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footer6.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oter8.xml" ContentType="application/vnd.openxmlformats-officedocument.wordprocessingml.footer+xml"/>
  <Override PartName="/word/header19.xml" ContentType="application/vnd.openxmlformats-officedocument.wordprocessingml.header+xml"/>
  <Override PartName="/word/footer9.xml" ContentType="application/vnd.openxmlformats-officedocument.wordprocessingml.footer+xml"/>
  <Override PartName="/word/header20.xml" ContentType="application/vnd.openxmlformats-officedocument.wordprocessingml.header+xml"/>
  <Override PartName="/word/footer1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11.xml" ContentType="application/vnd.openxmlformats-officedocument.wordprocessingml.footer+xml"/>
  <Override PartName="/word/header23.xml" ContentType="application/vnd.openxmlformats-officedocument.wordprocessingml.header+xml"/>
  <Override PartName="/word/footer12.xml" ContentType="application/vnd.openxmlformats-officedocument.wordprocessingml.footer+xml"/>
  <Override PartName="/word/header2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25.xml" ContentType="application/vnd.openxmlformats-officedocument.wordprocessingml.header+xml"/>
  <Override PartName="/word/footer15.xml" ContentType="application/vnd.openxmlformats-officedocument.wordprocessingml.footer+xml"/>
  <Override PartName="/word/header26.xml" ContentType="application/vnd.openxmlformats-officedocument.wordprocessingml.header+xml"/>
  <Override PartName="/word/footer1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17.xml" ContentType="application/vnd.openxmlformats-officedocument.wordprocessingml.footer+xml"/>
  <Override PartName="/word/header29.xml" ContentType="application/vnd.openxmlformats-officedocument.wordprocessingml.header+xml"/>
  <Override PartName="/word/footer18.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32.xml" ContentType="application/vnd.openxmlformats-officedocument.wordprocessingml.header+xml"/>
  <Override PartName="/word/footer21.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5.xml" ContentType="application/vnd.openxmlformats-officedocument.wordprocessingml.header+xml"/>
  <Override PartName="/word/footer24.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38.xml" ContentType="application/vnd.openxmlformats-officedocument.wordprocessingml.header+xml"/>
  <Override PartName="/word/footer27.xml" ContentType="application/vnd.openxmlformats-officedocument.wordprocessingml.footer+xml"/>
  <Override PartName="/word/header39.xml" ContentType="application/vnd.openxmlformats-officedocument.wordprocessingml.header+xml"/>
  <Override PartName="/word/footer28.xml" ContentType="application/vnd.openxmlformats-officedocument.wordprocessingml.footer+xml"/>
  <Override PartName="/word/header40.xml" ContentType="application/vnd.openxmlformats-officedocument.wordprocessingml.header+xml"/>
  <Override PartName="/word/footer29.xml" ContentType="application/vnd.openxmlformats-officedocument.wordprocessingml.footer+xml"/>
  <Override PartName="/word/header41.xml" ContentType="application/vnd.openxmlformats-officedocument.wordprocessingml.header+xml"/>
  <Override PartName="/word/footer30.xml" ContentType="application/vnd.openxmlformats-officedocument.wordprocessingml.footer+xml"/>
  <Override PartName="/word/header42.xml" ContentType="application/vnd.openxmlformats-officedocument.wordprocessingml.header+xml"/>
  <Override PartName="/word/footer31.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46.xml" ContentType="application/vnd.openxmlformats-officedocument.wordprocessingml.header+xml"/>
  <Override PartName="/word/footer34.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38.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39.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footer40.xml" ContentType="application/vnd.openxmlformats-officedocument.wordprocessingml.footer+xml"/>
  <Override PartName="/word/header60.xml" ContentType="application/vnd.openxmlformats-officedocument.wordprocessingml.header+xml"/>
  <Override PartName="/word/footer41.xml" ContentType="application/vnd.openxmlformats-officedocument.wordprocessingml.footer+xml"/>
  <Override PartName="/word/header61.xml" ContentType="application/vnd.openxmlformats-officedocument.wordprocessingml.header+xml"/>
  <Override PartName="/word/footer42.xml" ContentType="application/vnd.openxmlformats-officedocument.wordprocessingml.footer+xml"/>
  <Override PartName="/word/header62.xml" ContentType="application/vnd.openxmlformats-officedocument.wordprocessingml.header+xml"/>
  <Override PartName="/word/footer43.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44.xml" ContentType="application/vnd.openxmlformats-officedocument.wordprocessingml.footer+xml"/>
  <Override PartName="/word/header65.xml" ContentType="application/vnd.openxmlformats-officedocument.wordprocessingml.header+xml"/>
  <Override PartName="/word/footer45.xml" ContentType="application/vnd.openxmlformats-officedocument.wordprocessingml.footer+xml"/>
  <Override PartName="/word/header66.xml" ContentType="application/vnd.openxmlformats-officedocument.wordprocessingml.header+xml"/>
  <Override PartName="/word/header6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2C3E" w:rsidRPr="00C903F8" w:rsidRDefault="00302C3E" w:rsidP="00E1027C">
      <w:pPr>
        <w:pStyle w:val="Annexetitreglobale"/>
        <w:spacing w:line="240" w:lineRule="atLeast"/>
        <w:rPr>
          <w:rFonts w:cs="Arial"/>
          <w:b w:val="0"/>
          <w:u w:val="none"/>
        </w:rPr>
      </w:pPr>
    </w:p>
    <w:p w:rsidR="007874ED" w:rsidRPr="00C903F8" w:rsidRDefault="00226A59" w:rsidP="00FA2BFC">
      <w:pPr>
        <w:spacing w:line="240" w:lineRule="atLeast"/>
        <w:jc w:val="center"/>
        <w:rPr>
          <w:rFonts w:cs="Arial"/>
        </w:rPr>
      </w:pPr>
      <w:r>
        <w:t>A belvízi hajózási szabványok kidolgozásáért felelős európai bizottság</w:t>
      </w:r>
      <w:r>
        <w:br/>
        <w:t>(CESNI)</w:t>
      </w:r>
    </w:p>
    <w:p w:rsidR="007874ED" w:rsidRPr="00C903F8" w:rsidRDefault="007874ED" w:rsidP="00E1027C">
      <w:pPr>
        <w:spacing w:line="240" w:lineRule="atLeast"/>
        <w:jc w:val="center"/>
        <w:rPr>
          <w:rFonts w:cs="Arial"/>
        </w:rPr>
      </w:pPr>
    </w:p>
    <w:p w:rsidR="007874ED" w:rsidRPr="00C903F8" w:rsidRDefault="007874ED" w:rsidP="00E1027C">
      <w:pPr>
        <w:spacing w:line="240" w:lineRule="atLeast"/>
        <w:jc w:val="center"/>
        <w:rPr>
          <w:rFonts w:cs="Arial"/>
        </w:rPr>
      </w:pPr>
    </w:p>
    <w:p w:rsidR="00E1027C" w:rsidRPr="00C903F8" w:rsidRDefault="00E1027C" w:rsidP="00E1027C">
      <w:pPr>
        <w:spacing w:line="240" w:lineRule="atLeast"/>
        <w:jc w:val="center"/>
        <w:rPr>
          <w:rFonts w:cs="Arial"/>
        </w:rPr>
      </w:pPr>
    </w:p>
    <w:p w:rsidR="00E1027C" w:rsidRPr="00C903F8" w:rsidRDefault="00E1027C" w:rsidP="00E1027C">
      <w:pPr>
        <w:spacing w:line="240" w:lineRule="atLeast"/>
        <w:jc w:val="center"/>
        <w:rPr>
          <w:rFonts w:cs="Arial"/>
        </w:rPr>
      </w:pPr>
    </w:p>
    <w:p w:rsidR="00E1027C" w:rsidRPr="00C903F8" w:rsidRDefault="00E1027C" w:rsidP="00E1027C">
      <w:pPr>
        <w:spacing w:line="240" w:lineRule="atLeast"/>
        <w:jc w:val="center"/>
        <w:rPr>
          <w:rFonts w:cs="Arial"/>
        </w:rPr>
      </w:pPr>
    </w:p>
    <w:p w:rsidR="007874ED" w:rsidRPr="00C903F8" w:rsidRDefault="007874ED" w:rsidP="00E1027C">
      <w:pPr>
        <w:spacing w:line="240" w:lineRule="atLeast"/>
        <w:jc w:val="center"/>
        <w:rPr>
          <w:rFonts w:cs="Arial"/>
        </w:rPr>
      </w:pPr>
    </w:p>
    <w:p w:rsidR="00E77F1F" w:rsidRPr="00C903F8" w:rsidRDefault="004F7EC9" w:rsidP="00E77F1F">
      <w:pPr>
        <w:pStyle w:val="BodyText3"/>
        <w:spacing w:line="240" w:lineRule="atLeast"/>
        <w:jc w:val="center"/>
        <w:rPr>
          <w:rFonts w:cs="Arial"/>
          <w:sz w:val="22"/>
          <w:szCs w:val="22"/>
        </w:rPr>
      </w:pPr>
      <w:r>
        <w:rPr>
          <w:b/>
          <w:sz w:val="22"/>
        </w:rPr>
        <w:t>2017/1 kiadás</w:t>
      </w:r>
    </w:p>
    <w:p w:rsidR="00302C3E" w:rsidRPr="00C903F8" w:rsidRDefault="00302C3E"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E1027C" w:rsidRPr="00C903F8" w:rsidRDefault="00E1027C" w:rsidP="00E1027C">
      <w:pPr>
        <w:pStyle w:val="BodyText3"/>
        <w:spacing w:line="240" w:lineRule="atLeast"/>
        <w:jc w:val="center"/>
        <w:rPr>
          <w:rFonts w:cs="Arial"/>
          <w:sz w:val="22"/>
          <w:szCs w:val="22"/>
        </w:rPr>
      </w:pPr>
    </w:p>
    <w:p w:rsidR="00E1027C" w:rsidRPr="00C903F8" w:rsidRDefault="00E1027C"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226A59" w:rsidRPr="00C903F8" w:rsidRDefault="00226A59" w:rsidP="00226A59">
      <w:pPr>
        <w:pStyle w:val="BodyText3"/>
        <w:spacing w:line="240" w:lineRule="atLeast"/>
        <w:jc w:val="center"/>
        <w:rPr>
          <w:rFonts w:cs="Arial"/>
          <w:b/>
          <w:sz w:val="44"/>
          <w:szCs w:val="44"/>
        </w:rPr>
      </w:pPr>
      <w:r>
        <w:rPr>
          <w:b/>
          <w:sz w:val="44"/>
        </w:rPr>
        <w:t xml:space="preserve">A belvízi hajók </w:t>
      </w:r>
    </w:p>
    <w:p w:rsidR="00226A59" w:rsidRPr="00C903F8" w:rsidRDefault="00226A59" w:rsidP="00226A59">
      <w:pPr>
        <w:pStyle w:val="BodyText3"/>
        <w:spacing w:line="240" w:lineRule="atLeast"/>
        <w:jc w:val="center"/>
        <w:rPr>
          <w:rFonts w:cs="Arial"/>
          <w:b/>
          <w:sz w:val="44"/>
          <w:szCs w:val="44"/>
        </w:rPr>
      </w:pPr>
      <w:r>
        <w:rPr>
          <w:b/>
          <w:sz w:val="44"/>
        </w:rPr>
        <w:t xml:space="preserve">műszaki követelményeit </w:t>
      </w:r>
    </w:p>
    <w:p w:rsidR="00226A59" w:rsidRPr="00C903F8" w:rsidRDefault="00226A59" w:rsidP="00226A59">
      <w:pPr>
        <w:pStyle w:val="BodyText3"/>
        <w:spacing w:line="240" w:lineRule="atLeast"/>
        <w:jc w:val="center"/>
        <w:rPr>
          <w:rFonts w:cs="Arial"/>
          <w:b/>
          <w:sz w:val="44"/>
          <w:szCs w:val="44"/>
        </w:rPr>
      </w:pPr>
      <w:r>
        <w:rPr>
          <w:b/>
          <w:sz w:val="44"/>
        </w:rPr>
        <w:t xml:space="preserve">meghatározó </w:t>
      </w:r>
    </w:p>
    <w:p w:rsidR="00226A59" w:rsidRPr="00C903F8" w:rsidRDefault="00226A59" w:rsidP="00226A59">
      <w:pPr>
        <w:pStyle w:val="BodyText3"/>
        <w:spacing w:line="240" w:lineRule="atLeast"/>
        <w:jc w:val="center"/>
        <w:rPr>
          <w:rFonts w:cs="Arial"/>
          <w:b/>
          <w:sz w:val="44"/>
          <w:szCs w:val="44"/>
        </w:rPr>
      </w:pPr>
      <w:r>
        <w:rPr>
          <w:b/>
          <w:sz w:val="44"/>
        </w:rPr>
        <w:t xml:space="preserve">európai szabvány </w:t>
      </w:r>
    </w:p>
    <w:p w:rsidR="00302C3E" w:rsidRDefault="00226A59" w:rsidP="00F125EF">
      <w:pPr>
        <w:pStyle w:val="BodyText3"/>
        <w:spacing w:line="240" w:lineRule="atLeast"/>
        <w:jc w:val="center"/>
        <w:rPr>
          <w:b/>
          <w:sz w:val="44"/>
        </w:rPr>
      </w:pPr>
      <w:r>
        <w:rPr>
          <w:b/>
          <w:sz w:val="44"/>
        </w:rPr>
        <w:t xml:space="preserve">   </w:t>
      </w:r>
    </w:p>
    <w:p w:rsidR="00DD6F1B" w:rsidRPr="00C903F8" w:rsidRDefault="00DD6F1B" w:rsidP="00F125EF">
      <w:pPr>
        <w:pStyle w:val="BodyText3"/>
        <w:spacing w:line="240" w:lineRule="atLeast"/>
        <w:jc w:val="center"/>
        <w:rPr>
          <w:rFonts w:cs="Arial"/>
          <w:szCs w:val="22"/>
        </w:rPr>
      </w:pPr>
    </w:p>
    <w:p w:rsidR="00302C3E" w:rsidRPr="00C903F8" w:rsidRDefault="00172F8E" w:rsidP="00E1027C">
      <w:pPr>
        <w:spacing w:line="240" w:lineRule="atLeast"/>
        <w:jc w:val="center"/>
        <w:rPr>
          <w:rFonts w:cs="Arial"/>
          <w:b/>
        </w:rPr>
      </w:pPr>
      <w:r>
        <w:rPr>
          <w:b/>
        </w:rPr>
        <w:t>(ES-TRIN)</w:t>
      </w:r>
    </w:p>
    <w:p w:rsidR="00302C3E" w:rsidRPr="00C903F8" w:rsidRDefault="00302C3E" w:rsidP="00E1027C">
      <w:pPr>
        <w:spacing w:line="240" w:lineRule="atLeast"/>
        <w:jc w:val="center"/>
        <w:rPr>
          <w:rFonts w:cs="Arial"/>
        </w:rPr>
      </w:pPr>
    </w:p>
    <w:p w:rsidR="007874ED" w:rsidRPr="00C903F8" w:rsidRDefault="007874ED" w:rsidP="00E1027C">
      <w:pPr>
        <w:spacing w:line="240" w:lineRule="atLeast"/>
        <w:jc w:val="center"/>
        <w:rPr>
          <w:rFonts w:cs="Arial"/>
        </w:rPr>
      </w:pPr>
    </w:p>
    <w:p w:rsidR="00302C3E" w:rsidRPr="00C903F8" w:rsidRDefault="00302C3E" w:rsidP="00E1027C">
      <w:pPr>
        <w:pStyle w:val="Annexetitreglobale"/>
        <w:spacing w:line="240" w:lineRule="atLeast"/>
        <w:jc w:val="both"/>
        <w:rPr>
          <w:rFonts w:cs="Arial"/>
          <w:b w:val="0"/>
          <w:szCs w:val="20"/>
          <w:u w:val="none"/>
        </w:rPr>
      </w:pPr>
    </w:p>
    <w:p w:rsidR="00302C3E" w:rsidRPr="00C903F8" w:rsidRDefault="00302C3E" w:rsidP="00E1027C">
      <w:pPr>
        <w:pStyle w:val="Annexetitreglobale"/>
        <w:spacing w:line="240" w:lineRule="atLeast"/>
        <w:jc w:val="both"/>
        <w:rPr>
          <w:rFonts w:cs="Arial"/>
          <w:b w:val="0"/>
          <w:szCs w:val="20"/>
          <w:u w:val="none"/>
        </w:rPr>
      </w:pPr>
    </w:p>
    <w:p w:rsidR="00302C3E" w:rsidRPr="00C903F8" w:rsidRDefault="00302C3E" w:rsidP="00E1027C">
      <w:pPr>
        <w:pStyle w:val="Annexetitreglobale"/>
        <w:spacing w:line="240" w:lineRule="atLeast"/>
        <w:jc w:val="both"/>
        <w:rPr>
          <w:rFonts w:cs="Arial"/>
          <w:b w:val="0"/>
          <w:szCs w:val="20"/>
          <w:u w:val="none"/>
        </w:rPr>
      </w:pPr>
    </w:p>
    <w:p w:rsidR="00E1027C" w:rsidRPr="00C903F8" w:rsidRDefault="00302C3E" w:rsidP="00E1027C">
      <w:pPr>
        <w:spacing w:line="240" w:lineRule="atLeast"/>
        <w:jc w:val="center"/>
      </w:pPr>
      <w:r>
        <w:br w:type="page"/>
      </w:r>
    </w:p>
    <w:p w:rsidR="002C44F2" w:rsidRPr="00C903F8" w:rsidRDefault="002C44F2" w:rsidP="00E1027C">
      <w:pPr>
        <w:spacing w:line="240" w:lineRule="atLeast"/>
        <w:jc w:val="center"/>
      </w:pPr>
    </w:p>
    <w:p w:rsidR="002C44F2" w:rsidRPr="00C903F8" w:rsidRDefault="002C44F2" w:rsidP="00E1027C">
      <w:pPr>
        <w:spacing w:line="240" w:lineRule="atLeast"/>
        <w:jc w:val="center"/>
      </w:pPr>
    </w:p>
    <w:p w:rsidR="002C44F2" w:rsidRPr="00C903F8" w:rsidRDefault="002C44F2" w:rsidP="00E1027C">
      <w:pPr>
        <w:spacing w:line="240" w:lineRule="atLeast"/>
        <w:jc w:val="center"/>
      </w:pPr>
    </w:p>
    <w:p w:rsidR="002C44F2" w:rsidRPr="00C903F8" w:rsidRDefault="002C44F2" w:rsidP="00E1027C">
      <w:pPr>
        <w:spacing w:line="240" w:lineRule="atLeast"/>
        <w:jc w:val="center"/>
        <w:rPr>
          <w:b/>
        </w:rPr>
        <w:sectPr w:rsidR="002C44F2" w:rsidRPr="00C903F8" w:rsidSect="00EF4E24">
          <w:headerReference w:type="default" r:id="rId9"/>
          <w:footerReference w:type="default" r:id="rId10"/>
          <w:headerReference w:type="first" r:id="rId11"/>
          <w:footerReference w:type="first" r:id="rId12"/>
          <w:footnotePr>
            <w:numRestart w:val="eachPage"/>
          </w:footnotePr>
          <w:pgSz w:w="11906" w:h="16838" w:code="9"/>
          <w:pgMar w:top="1418" w:right="1418" w:bottom="1418" w:left="1418" w:header="709" w:footer="709" w:gutter="0"/>
          <w:pgNumType w:fmt="lowerRoman" w:start="1"/>
          <w:cols w:space="709"/>
          <w:titlePg/>
          <w:docGrid w:linePitch="326"/>
        </w:sectPr>
      </w:pPr>
    </w:p>
    <w:p w:rsidR="00E1027C" w:rsidRPr="00C903F8" w:rsidRDefault="00E1027C" w:rsidP="00E1027C">
      <w:pPr>
        <w:pStyle w:val="TOCHeading"/>
        <w:spacing w:after="0" w:line="240" w:lineRule="atLeast"/>
        <w:rPr>
          <w:rFonts w:cs="Arial"/>
          <w:sz w:val="20"/>
          <w:szCs w:val="20"/>
        </w:rPr>
      </w:pPr>
    </w:p>
    <w:p w:rsidR="00360D41" w:rsidRPr="00C903F8" w:rsidRDefault="00CA2865" w:rsidP="00E1027C">
      <w:pPr>
        <w:pStyle w:val="TOCHeading"/>
        <w:spacing w:after="0" w:line="240" w:lineRule="atLeast"/>
        <w:rPr>
          <w:rFonts w:cs="Arial"/>
          <w:sz w:val="24"/>
        </w:rPr>
      </w:pPr>
      <w:r>
        <w:rPr>
          <w:sz w:val="24"/>
        </w:rPr>
        <w:t>TARTALOMJEGYZÉK</w:t>
      </w:r>
    </w:p>
    <w:p w:rsidR="00E1027C" w:rsidRPr="00C903F8" w:rsidRDefault="00E1027C" w:rsidP="00A31C24">
      <w:pPr>
        <w:spacing w:line="240" w:lineRule="atLeast"/>
      </w:pPr>
    </w:p>
    <w:p w:rsidR="006E79EB" w:rsidRPr="00C903F8" w:rsidRDefault="006E79EB" w:rsidP="00A31C24">
      <w:pPr>
        <w:spacing w:line="240" w:lineRule="atLeast"/>
      </w:pPr>
    </w:p>
    <w:p w:rsidR="003142CA" w:rsidRDefault="00F125EF">
      <w:pPr>
        <w:pStyle w:val="TOC1"/>
        <w:rPr>
          <w:rFonts w:asciiTheme="minorHAnsi" w:eastAsiaTheme="minorEastAsia" w:hAnsiTheme="minorHAnsi" w:cstheme="minorBidi"/>
          <w:b w:val="0"/>
          <w:bCs w:val="0"/>
          <w:caps w:val="0"/>
          <w:noProof/>
          <w:sz w:val="22"/>
          <w:szCs w:val="22"/>
          <w:lang w:val="en-GB" w:eastAsia="en-GB" w:bidi="ar-SA"/>
        </w:rPr>
      </w:pPr>
      <w:r>
        <w:rPr>
          <w:rFonts w:cs="Arial"/>
        </w:rPr>
        <w:fldChar w:fldCharType="begin"/>
      </w:r>
      <w:r w:rsidR="00FC3016">
        <w:rPr>
          <w:rFonts w:cs="Arial"/>
        </w:rPr>
        <w:instrText xml:space="preserve"> TOC \h \z \t "ES-Titre1;1;ES-Titre2;2;ES-Titre3;3;ES-Titre3a;3;Es-Titre_annexes;1;ES-Titre3_pr_chap32;3;Chiffre_gras;1;ES-Titre2_ESI;2" </w:instrText>
      </w:r>
      <w:r>
        <w:rPr>
          <w:rFonts w:cs="Arial"/>
        </w:rPr>
        <w:fldChar w:fldCharType="separate"/>
      </w:r>
      <w:hyperlink w:anchor="_Toc535853781" w:history="1">
        <w:r w:rsidR="003142CA" w:rsidRPr="00F149F6">
          <w:rPr>
            <w:rStyle w:val="Hyperlink"/>
            <w:noProof/>
          </w:rPr>
          <w:t>I. RÉSZ ÁLTALÁNOS RÉSZ</w:t>
        </w:r>
        <w:r w:rsidR="003142CA">
          <w:rPr>
            <w:noProof/>
            <w:webHidden/>
          </w:rPr>
          <w:tab/>
        </w:r>
        <w:r w:rsidR="003142CA">
          <w:rPr>
            <w:noProof/>
            <w:webHidden/>
          </w:rPr>
          <w:fldChar w:fldCharType="begin"/>
        </w:r>
        <w:r w:rsidR="003142CA">
          <w:rPr>
            <w:noProof/>
            <w:webHidden/>
          </w:rPr>
          <w:instrText xml:space="preserve"> PAGEREF _Toc535853781 \h </w:instrText>
        </w:r>
        <w:r w:rsidR="003142CA">
          <w:rPr>
            <w:noProof/>
            <w:webHidden/>
          </w:rPr>
        </w:r>
        <w:r w:rsidR="003142CA">
          <w:rPr>
            <w:noProof/>
            <w:webHidden/>
          </w:rPr>
          <w:fldChar w:fldCharType="separate"/>
        </w:r>
        <w:r w:rsidR="003142CA">
          <w:rPr>
            <w:noProof/>
            <w:webHidden/>
          </w:rPr>
          <w:t>1</w:t>
        </w:r>
        <w:r w:rsidR="003142CA">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782" w:history="1">
        <w:r w:rsidRPr="00F149F6">
          <w:rPr>
            <w:rStyle w:val="Hyperlink"/>
            <w:noProof/>
          </w:rPr>
          <w:t>1. fejezet Általános rendelkezések</w:t>
        </w:r>
        <w:r>
          <w:rPr>
            <w:noProof/>
            <w:webHidden/>
          </w:rPr>
          <w:tab/>
        </w:r>
        <w:r>
          <w:rPr>
            <w:noProof/>
            <w:webHidden/>
          </w:rPr>
          <w:fldChar w:fldCharType="begin"/>
        </w:r>
        <w:r>
          <w:rPr>
            <w:noProof/>
            <w:webHidden/>
          </w:rPr>
          <w:instrText xml:space="preserve"> PAGEREF _Toc535853782 \h </w:instrText>
        </w:r>
        <w:r>
          <w:rPr>
            <w:noProof/>
            <w:webHidden/>
          </w:rPr>
        </w:r>
        <w:r>
          <w:rPr>
            <w:noProof/>
            <w:webHidden/>
          </w:rPr>
          <w:fldChar w:fldCharType="separate"/>
        </w:r>
        <w:r>
          <w:rPr>
            <w:noProof/>
            <w:webHidden/>
          </w:rPr>
          <w:t>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83" w:history="1">
        <w:r w:rsidRPr="00F149F6">
          <w:rPr>
            <w:rStyle w:val="Hyperlink"/>
            <w:noProof/>
          </w:rPr>
          <w:t>1.01. cikk Fogalommeghatározások</w:t>
        </w:r>
        <w:r>
          <w:rPr>
            <w:noProof/>
            <w:webHidden/>
          </w:rPr>
          <w:tab/>
        </w:r>
        <w:r>
          <w:rPr>
            <w:noProof/>
            <w:webHidden/>
          </w:rPr>
          <w:fldChar w:fldCharType="begin"/>
        </w:r>
        <w:r>
          <w:rPr>
            <w:noProof/>
            <w:webHidden/>
          </w:rPr>
          <w:instrText xml:space="preserve"> PAGEREF _Toc535853783 \h </w:instrText>
        </w:r>
        <w:r>
          <w:rPr>
            <w:noProof/>
            <w:webHidden/>
          </w:rPr>
        </w:r>
        <w:r>
          <w:rPr>
            <w:noProof/>
            <w:webHidden/>
          </w:rPr>
          <w:fldChar w:fldCharType="separate"/>
        </w:r>
        <w:r>
          <w:rPr>
            <w:noProof/>
            <w:webHidden/>
          </w:rPr>
          <w:t>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84" w:history="1">
        <w:r w:rsidRPr="00F149F6">
          <w:rPr>
            <w:rStyle w:val="Hyperlink"/>
            <w:noProof/>
            <w:lang w:val="pt-PT"/>
          </w:rPr>
          <w:t>1.02. cikk Az e szabvány alkalmazására vonatkozó utasítások</w:t>
        </w:r>
        <w:r>
          <w:rPr>
            <w:noProof/>
            <w:webHidden/>
          </w:rPr>
          <w:tab/>
        </w:r>
        <w:r>
          <w:rPr>
            <w:noProof/>
            <w:webHidden/>
          </w:rPr>
          <w:fldChar w:fldCharType="begin"/>
        </w:r>
        <w:r>
          <w:rPr>
            <w:noProof/>
            <w:webHidden/>
          </w:rPr>
          <w:instrText xml:space="preserve"> PAGEREF _Toc535853784 \h </w:instrText>
        </w:r>
        <w:r>
          <w:rPr>
            <w:noProof/>
            <w:webHidden/>
          </w:rPr>
        </w:r>
        <w:r>
          <w:rPr>
            <w:noProof/>
            <w:webHidden/>
          </w:rPr>
          <w:fldChar w:fldCharType="separate"/>
        </w:r>
        <w:r>
          <w:rPr>
            <w:noProof/>
            <w:webHidden/>
          </w:rPr>
          <w:t>19</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785" w:history="1">
        <w:r w:rsidRPr="00F149F6">
          <w:rPr>
            <w:rStyle w:val="Hyperlink"/>
            <w:noProof/>
            <w:lang w:val="pt-PT"/>
          </w:rPr>
          <w:t>2. fejezet Eljárás</w:t>
        </w:r>
        <w:r>
          <w:rPr>
            <w:noProof/>
            <w:webHidden/>
          </w:rPr>
          <w:tab/>
        </w:r>
        <w:r>
          <w:rPr>
            <w:noProof/>
            <w:webHidden/>
          </w:rPr>
          <w:fldChar w:fldCharType="begin"/>
        </w:r>
        <w:r>
          <w:rPr>
            <w:noProof/>
            <w:webHidden/>
          </w:rPr>
          <w:instrText xml:space="preserve"> PAGEREF _Toc535853785 \h </w:instrText>
        </w:r>
        <w:r>
          <w:rPr>
            <w:noProof/>
            <w:webHidden/>
          </w:rPr>
        </w:r>
        <w:r>
          <w:rPr>
            <w:noProof/>
            <w:webHidden/>
          </w:rPr>
          <w:fldChar w:fldCharType="separate"/>
        </w:r>
        <w:r>
          <w:rPr>
            <w:noProof/>
            <w:webHidden/>
          </w:rPr>
          <w:t>20</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3786" w:history="1">
        <w:r w:rsidRPr="00F149F6">
          <w:rPr>
            <w:rStyle w:val="Hyperlink"/>
            <w:noProof/>
            <w:lang w:val="pt-PT"/>
          </w:rPr>
          <w:t>II. RÉSZ A HAJÓK ÉPÍTÉSÉRE, FELSZERELÉSÉRE ÉS BERENDEZÉSEIRE VONATKOZÓ RENDELKEZÉSEK</w:t>
        </w:r>
        <w:r>
          <w:rPr>
            <w:noProof/>
            <w:webHidden/>
          </w:rPr>
          <w:tab/>
        </w:r>
        <w:r>
          <w:rPr>
            <w:noProof/>
            <w:webHidden/>
          </w:rPr>
          <w:fldChar w:fldCharType="begin"/>
        </w:r>
        <w:r>
          <w:rPr>
            <w:noProof/>
            <w:webHidden/>
          </w:rPr>
          <w:instrText xml:space="preserve"> PAGEREF _Toc535853786 \h </w:instrText>
        </w:r>
        <w:r>
          <w:rPr>
            <w:noProof/>
            <w:webHidden/>
          </w:rPr>
        </w:r>
        <w:r>
          <w:rPr>
            <w:noProof/>
            <w:webHidden/>
          </w:rPr>
          <w:fldChar w:fldCharType="separate"/>
        </w:r>
        <w:r>
          <w:rPr>
            <w:noProof/>
            <w:webHidden/>
          </w:rPr>
          <w:t>22</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787" w:history="1">
        <w:r w:rsidRPr="00F149F6">
          <w:rPr>
            <w:rStyle w:val="Hyperlink"/>
            <w:noProof/>
            <w:lang w:val="pt-PT"/>
          </w:rPr>
          <w:t>3. fejezet Hajóépítési követelmények</w:t>
        </w:r>
        <w:r>
          <w:rPr>
            <w:noProof/>
            <w:webHidden/>
          </w:rPr>
          <w:tab/>
        </w:r>
        <w:r>
          <w:rPr>
            <w:noProof/>
            <w:webHidden/>
          </w:rPr>
          <w:fldChar w:fldCharType="begin"/>
        </w:r>
        <w:r>
          <w:rPr>
            <w:noProof/>
            <w:webHidden/>
          </w:rPr>
          <w:instrText xml:space="preserve"> PAGEREF _Toc535853787 \h </w:instrText>
        </w:r>
        <w:r>
          <w:rPr>
            <w:noProof/>
            <w:webHidden/>
          </w:rPr>
        </w:r>
        <w:r>
          <w:rPr>
            <w:noProof/>
            <w:webHidden/>
          </w:rPr>
          <w:fldChar w:fldCharType="separate"/>
        </w:r>
        <w:r>
          <w:rPr>
            <w:noProof/>
            <w:webHidden/>
          </w:rPr>
          <w:t>22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88" w:history="1">
        <w:r w:rsidRPr="00F149F6">
          <w:rPr>
            <w:rStyle w:val="Hyperlink"/>
            <w:noProof/>
            <w:lang w:val="pt-PT"/>
          </w:rPr>
          <w:t>3.01. cikk Alapszabályok</w:t>
        </w:r>
        <w:r>
          <w:rPr>
            <w:noProof/>
            <w:webHidden/>
          </w:rPr>
          <w:tab/>
        </w:r>
        <w:r>
          <w:rPr>
            <w:noProof/>
            <w:webHidden/>
          </w:rPr>
          <w:fldChar w:fldCharType="begin"/>
        </w:r>
        <w:r>
          <w:rPr>
            <w:noProof/>
            <w:webHidden/>
          </w:rPr>
          <w:instrText xml:space="preserve"> PAGEREF _Toc535853788 \h </w:instrText>
        </w:r>
        <w:r>
          <w:rPr>
            <w:noProof/>
            <w:webHidden/>
          </w:rPr>
        </w:r>
        <w:r>
          <w:rPr>
            <w:noProof/>
            <w:webHidden/>
          </w:rPr>
          <w:fldChar w:fldCharType="separate"/>
        </w:r>
        <w:r>
          <w:rPr>
            <w:noProof/>
            <w:webHidden/>
          </w:rPr>
          <w:t>22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89" w:history="1">
        <w:r w:rsidRPr="00F149F6">
          <w:rPr>
            <w:rStyle w:val="Hyperlink"/>
            <w:noProof/>
            <w:lang w:val="pt-PT"/>
          </w:rPr>
          <w:t>3.02. cikk Szilárdság és stabilitás</w:t>
        </w:r>
        <w:r>
          <w:rPr>
            <w:noProof/>
            <w:webHidden/>
          </w:rPr>
          <w:tab/>
        </w:r>
        <w:r>
          <w:rPr>
            <w:noProof/>
            <w:webHidden/>
          </w:rPr>
          <w:fldChar w:fldCharType="begin"/>
        </w:r>
        <w:r>
          <w:rPr>
            <w:noProof/>
            <w:webHidden/>
          </w:rPr>
          <w:instrText xml:space="preserve"> PAGEREF _Toc535853789 \h </w:instrText>
        </w:r>
        <w:r>
          <w:rPr>
            <w:noProof/>
            <w:webHidden/>
          </w:rPr>
        </w:r>
        <w:r>
          <w:rPr>
            <w:noProof/>
            <w:webHidden/>
          </w:rPr>
          <w:fldChar w:fldCharType="separate"/>
        </w:r>
        <w:r>
          <w:rPr>
            <w:noProof/>
            <w:webHidden/>
          </w:rPr>
          <w:t>22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90" w:history="1">
        <w:r w:rsidRPr="00F149F6">
          <w:rPr>
            <w:rStyle w:val="Hyperlink"/>
            <w:noProof/>
            <w:lang w:val="es-ES"/>
          </w:rPr>
          <w:t>3.03. cikk Hajótest</w:t>
        </w:r>
        <w:r>
          <w:rPr>
            <w:noProof/>
            <w:webHidden/>
          </w:rPr>
          <w:tab/>
        </w:r>
        <w:r>
          <w:rPr>
            <w:noProof/>
            <w:webHidden/>
          </w:rPr>
          <w:fldChar w:fldCharType="begin"/>
        </w:r>
        <w:r>
          <w:rPr>
            <w:noProof/>
            <w:webHidden/>
          </w:rPr>
          <w:instrText xml:space="preserve"> PAGEREF _Toc535853790 \h </w:instrText>
        </w:r>
        <w:r>
          <w:rPr>
            <w:noProof/>
            <w:webHidden/>
          </w:rPr>
        </w:r>
        <w:r>
          <w:rPr>
            <w:noProof/>
            <w:webHidden/>
          </w:rPr>
          <w:fldChar w:fldCharType="separate"/>
        </w:r>
        <w:r>
          <w:rPr>
            <w:noProof/>
            <w:webHidden/>
          </w:rPr>
          <w:t>24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91" w:history="1">
        <w:r w:rsidRPr="00F149F6">
          <w:rPr>
            <w:rStyle w:val="Hyperlink"/>
            <w:noProof/>
            <w:lang w:val="es-ES"/>
          </w:rPr>
          <w:t>3.04. cikk Gépterek, kazánterek, tartályterek</w:t>
        </w:r>
        <w:r>
          <w:rPr>
            <w:noProof/>
            <w:webHidden/>
          </w:rPr>
          <w:tab/>
        </w:r>
        <w:r>
          <w:rPr>
            <w:noProof/>
            <w:webHidden/>
          </w:rPr>
          <w:fldChar w:fldCharType="begin"/>
        </w:r>
        <w:r>
          <w:rPr>
            <w:noProof/>
            <w:webHidden/>
          </w:rPr>
          <w:instrText xml:space="preserve"> PAGEREF _Toc535853791 \h </w:instrText>
        </w:r>
        <w:r>
          <w:rPr>
            <w:noProof/>
            <w:webHidden/>
          </w:rPr>
        </w:r>
        <w:r>
          <w:rPr>
            <w:noProof/>
            <w:webHidden/>
          </w:rPr>
          <w:fldChar w:fldCharType="separate"/>
        </w:r>
        <w:r>
          <w:rPr>
            <w:noProof/>
            <w:webHidden/>
          </w:rPr>
          <w:t>28</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792" w:history="1">
        <w:r w:rsidRPr="00F149F6">
          <w:rPr>
            <w:rStyle w:val="Hyperlink"/>
            <w:noProof/>
            <w:lang w:val="es-ES"/>
          </w:rPr>
          <w:t>4. fejezet Biztonsági távolság, szabadoldal, merülési vonalak</w:t>
        </w:r>
        <w:r>
          <w:rPr>
            <w:noProof/>
            <w:webHidden/>
          </w:rPr>
          <w:tab/>
        </w:r>
        <w:r>
          <w:rPr>
            <w:noProof/>
            <w:webHidden/>
          </w:rPr>
          <w:fldChar w:fldCharType="begin"/>
        </w:r>
        <w:r>
          <w:rPr>
            <w:noProof/>
            <w:webHidden/>
          </w:rPr>
          <w:instrText xml:space="preserve"> PAGEREF _Toc535853792 \h </w:instrText>
        </w:r>
        <w:r>
          <w:rPr>
            <w:noProof/>
            <w:webHidden/>
          </w:rPr>
        </w:r>
        <w:r>
          <w:rPr>
            <w:noProof/>
            <w:webHidden/>
          </w:rPr>
          <w:fldChar w:fldCharType="separate"/>
        </w:r>
        <w:r>
          <w:rPr>
            <w:noProof/>
            <w:webHidden/>
          </w:rPr>
          <w:t>30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93" w:history="1">
        <w:r w:rsidRPr="00F149F6">
          <w:rPr>
            <w:rStyle w:val="Hyperlink"/>
            <w:noProof/>
            <w:lang w:val="es-ES"/>
          </w:rPr>
          <w:t>4.01. cikk Biztonsági távolság</w:t>
        </w:r>
        <w:r>
          <w:rPr>
            <w:noProof/>
            <w:webHidden/>
          </w:rPr>
          <w:tab/>
        </w:r>
        <w:r>
          <w:rPr>
            <w:noProof/>
            <w:webHidden/>
          </w:rPr>
          <w:fldChar w:fldCharType="begin"/>
        </w:r>
        <w:r>
          <w:rPr>
            <w:noProof/>
            <w:webHidden/>
          </w:rPr>
          <w:instrText xml:space="preserve"> PAGEREF _Toc535853793 \h </w:instrText>
        </w:r>
        <w:r>
          <w:rPr>
            <w:noProof/>
            <w:webHidden/>
          </w:rPr>
        </w:r>
        <w:r>
          <w:rPr>
            <w:noProof/>
            <w:webHidden/>
          </w:rPr>
          <w:fldChar w:fldCharType="separate"/>
        </w:r>
        <w:r>
          <w:rPr>
            <w:noProof/>
            <w:webHidden/>
          </w:rPr>
          <w:t>30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94" w:history="1">
        <w:r w:rsidRPr="00F149F6">
          <w:rPr>
            <w:rStyle w:val="Hyperlink"/>
            <w:noProof/>
            <w:lang w:val="es-ES"/>
          </w:rPr>
          <w:t>4.02. cikk Szabadoldal</w:t>
        </w:r>
        <w:r>
          <w:rPr>
            <w:noProof/>
            <w:webHidden/>
          </w:rPr>
          <w:tab/>
        </w:r>
        <w:r>
          <w:rPr>
            <w:noProof/>
            <w:webHidden/>
          </w:rPr>
          <w:fldChar w:fldCharType="begin"/>
        </w:r>
        <w:r>
          <w:rPr>
            <w:noProof/>
            <w:webHidden/>
          </w:rPr>
          <w:instrText xml:space="preserve"> PAGEREF _Toc535853794 \h </w:instrText>
        </w:r>
        <w:r>
          <w:rPr>
            <w:noProof/>
            <w:webHidden/>
          </w:rPr>
        </w:r>
        <w:r>
          <w:rPr>
            <w:noProof/>
            <w:webHidden/>
          </w:rPr>
          <w:fldChar w:fldCharType="separate"/>
        </w:r>
        <w:r>
          <w:rPr>
            <w:noProof/>
            <w:webHidden/>
          </w:rPr>
          <w:t>30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95" w:history="1">
        <w:r w:rsidRPr="00F149F6">
          <w:rPr>
            <w:rStyle w:val="Hyperlink"/>
            <w:noProof/>
          </w:rPr>
          <w:t>4.03. cikk Minimális szabadoldal</w:t>
        </w:r>
        <w:r>
          <w:rPr>
            <w:noProof/>
            <w:webHidden/>
          </w:rPr>
          <w:tab/>
        </w:r>
        <w:r>
          <w:rPr>
            <w:noProof/>
            <w:webHidden/>
          </w:rPr>
          <w:fldChar w:fldCharType="begin"/>
        </w:r>
        <w:r>
          <w:rPr>
            <w:noProof/>
            <w:webHidden/>
          </w:rPr>
          <w:instrText xml:space="preserve"> PAGEREF _Toc535853795 \h </w:instrText>
        </w:r>
        <w:r>
          <w:rPr>
            <w:noProof/>
            <w:webHidden/>
          </w:rPr>
        </w:r>
        <w:r>
          <w:rPr>
            <w:noProof/>
            <w:webHidden/>
          </w:rPr>
          <w:fldChar w:fldCharType="separate"/>
        </w:r>
        <w:r>
          <w:rPr>
            <w:noProof/>
            <w:webHidden/>
          </w:rPr>
          <w:t>34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96" w:history="1">
        <w:r w:rsidRPr="00F149F6">
          <w:rPr>
            <w:rStyle w:val="Hyperlink"/>
            <w:noProof/>
          </w:rPr>
          <w:t>4.04. cikk Merülési jelek</w:t>
        </w:r>
        <w:r>
          <w:rPr>
            <w:noProof/>
            <w:webHidden/>
          </w:rPr>
          <w:tab/>
        </w:r>
        <w:r>
          <w:rPr>
            <w:noProof/>
            <w:webHidden/>
          </w:rPr>
          <w:fldChar w:fldCharType="begin"/>
        </w:r>
        <w:r>
          <w:rPr>
            <w:noProof/>
            <w:webHidden/>
          </w:rPr>
          <w:instrText xml:space="preserve"> PAGEREF _Toc535853796 \h </w:instrText>
        </w:r>
        <w:r>
          <w:rPr>
            <w:noProof/>
            <w:webHidden/>
          </w:rPr>
        </w:r>
        <w:r>
          <w:rPr>
            <w:noProof/>
            <w:webHidden/>
          </w:rPr>
          <w:fldChar w:fldCharType="separate"/>
        </w:r>
        <w:r>
          <w:rPr>
            <w:noProof/>
            <w:webHidden/>
          </w:rPr>
          <w:t>34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97" w:history="1">
        <w:r w:rsidRPr="00F149F6">
          <w:rPr>
            <w:rStyle w:val="Hyperlink"/>
            <w:noProof/>
          </w:rPr>
          <w:t>4.05. cikk A nem mindig zárt rakománytérrel közlekedő hajók fröccsenővíz- és időjárás-állóságot biztosító legnagyobb terhelt merülése</w:t>
        </w:r>
        <w:r>
          <w:rPr>
            <w:noProof/>
            <w:webHidden/>
          </w:rPr>
          <w:tab/>
        </w:r>
        <w:r>
          <w:rPr>
            <w:noProof/>
            <w:webHidden/>
          </w:rPr>
          <w:fldChar w:fldCharType="begin"/>
        </w:r>
        <w:r>
          <w:rPr>
            <w:noProof/>
            <w:webHidden/>
          </w:rPr>
          <w:instrText xml:space="preserve"> PAGEREF _Toc535853797 \h </w:instrText>
        </w:r>
        <w:r>
          <w:rPr>
            <w:noProof/>
            <w:webHidden/>
          </w:rPr>
        </w:r>
        <w:r>
          <w:rPr>
            <w:noProof/>
            <w:webHidden/>
          </w:rPr>
          <w:fldChar w:fldCharType="separate"/>
        </w:r>
        <w:r>
          <w:rPr>
            <w:noProof/>
            <w:webHidden/>
          </w:rPr>
          <w:t>37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98" w:history="1">
        <w:r w:rsidRPr="00F149F6">
          <w:rPr>
            <w:rStyle w:val="Hyperlink"/>
            <w:noProof/>
          </w:rPr>
          <w:t>4.06. cikk Merülési mércék</w:t>
        </w:r>
        <w:r>
          <w:rPr>
            <w:noProof/>
            <w:webHidden/>
          </w:rPr>
          <w:tab/>
        </w:r>
        <w:r>
          <w:rPr>
            <w:noProof/>
            <w:webHidden/>
          </w:rPr>
          <w:fldChar w:fldCharType="begin"/>
        </w:r>
        <w:r>
          <w:rPr>
            <w:noProof/>
            <w:webHidden/>
          </w:rPr>
          <w:instrText xml:space="preserve"> PAGEREF _Toc535853798 \h </w:instrText>
        </w:r>
        <w:r>
          <w:rPr>
            <w:noProof/>
            <w:webHidden/>
          </w:rPr>
        </w:r>
        <w:r>
          <w:rPr>
            <w:noProof/>
            <w:webHidden/>
          </w:rPr>
          <w:fldChar w:fldCharType="separate"/>
        </w:r>
        <w:r>
          <w:rPr>
            <w:noProof/>
            <w:webHidden/>
          </w:rPr>
          <w:t>37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799" w:history="1">
        <w:r w:rsidRPr="00F149F6">
          <w:rPr>
            <w:rStyle w:val="Hyperlink"/>
            <w:noProof/>
          </w:rPr>
          <w:t>4.07. cikk A 4. zónába tartozó vízi utakon közlekedő hajókra vonatkozó külön követelmények</w:t>
        </w:r>
        <w:r>
          <w:rPr>
            <w:noProof/>
            <w:webHidden/>
          </w:rPr>
          <w:tab/>
        </w:r>
        <w:r>
          <w:rPr>
            <w:noProof/>
            <w:webHidden/>
          </w:rPr>
          <w:fldChar w:fldCharType="begin"/>
        </w:r>
        <w:r>
          <w:rPr>
            <w:noProof/>
            <w:webHidden/>
          </w:rPr>
          <w:instrText xml:space="preserve"> PAGEREF _Toc535853799 \h </w:instrText>
        </w:r>
        <w:r>
          <w:rPr>
            <w:noProof/>
            <w:webHidden/>
          </w:rPr>
        </w:r>
        <w:r>
          <w:rPr>
            <w:noProof/>
            <w:webHidden/>
          </w:rPr>
          <w:fldChar w:fldCharType="separate"/>
        </w:r>
        <w:r>
          <w:rPr>
            <w:noProof/>
            <w:webHidden/>
          </w:rPr>
          <w:t>37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800" w:history="1">
        <w:r w:rsidRPr="00F149F6">
          <w:rPr>
            <w:rStyle w:val="Hyperlink"/>
            <w:noProof/>
          </w:rPr>
          <w:t>5. fejezet Műveletképesség</w:t>
        </w:r>
        <w:r>
          <w:rPr>
            <w:noProof/>
            <w:webHidden/>
          </w:rPr>
          <w:tab/>
        </w:r>
        <w:r>
          <w:rPr>
            <w:noProof/>
            <w:webHidden/>
          </w:rPr>
          <w:fldChar w:fldCharType="begin"/>
        </w:r>
        <w:r>
          <w:rPr>
            <w:noProof/>
            <w:webHidden/>
          </w:rPr>
          <w:instrText xml:space="preserve"> PAGEREF _Toc535853800 \h </w:instrText>
        </w:r>
        <w:r>
          <w:rPr>
            <w:noProof/>
            <w:webHidden/>
          </w:rPr>
        </w:r>
        <w:r>
          <w:rPr>
            <w:noProof/>
            <w:webHidden/>
          </w:rPr>
          <w:fldChar w:fldCharType="separate"/>
        </w:r>
        <w:r>
          <w:rPr>
            <w:noProof/>
            <w:webHidden/>
          </w:rPr>
          <w:t>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01" w:history="1">
        <w:r w:rsidRPr="00F149F6">
          <w:rPr>
            <w:rStyle w:val="Hyperlink"/>
            <w:noProof/>
          </w:rPr>
          <w:t>5.01. cikk Általános rendelkezések</w:t>
        </w:r>
        <w:r>
          <w:rPr>
            <w:noProof/>
            <w:webHidden/>
          </w:rPr>
          <w:tab/>
        </w:r>
        <w:r>
          <w:rPr>
            <w:noProof/>
            <w:webHidden/>
          </w:rPr>
          <w:fldChar w:fldCharType="begin"/>
        </w:r>
        <w:r>
          <w:rPr>
            <w:noProof/>
            <w:webHidden/>
          </w:rPr>
          <w:instrText xml:space="preserve"> PAGEREF _Toc535853801 \h </w:instrText>
        </w:r>
        <w:r>
          <w:rPr>
            <w:noProof/>
            <w:webHidden/>
          </w:rPr>
        </w:r>
        <w:r>
          <w:rPr>
            <w:noProof/>
            <w:webHidden/>
          </w:rPr>
          <w:fldChar w:fldCharType="separate"/>
        </w:r>
        <w:r>
          <w:rPr>
            <w:noProof/>
            <w:webHidden/>
          </w:rPr>
          <w:t>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02" w:history="1">
        <w:r w:rsidRPr="00F149F6">
          <w:rPr>
            <w:rStyle w:val="Hyperlink"/>
            <w:noProof/>
          </w:rPr>
          <w:t>5.02. cikk Próbautak</w:t>
        </w:r>
        <w:r>
          <w:rPr>
            <w:noProof/>
            <w:webHidden/>
          </w:rPr>
          <w:tab/>
        </w:r>
        <w:r>
          <w:rPr>
            <w:noProof/>
            <w:webHidden/>
          </w:rPr>
          <w:fldChar w:fldCharType="begin"/>
        </w:r>
        <w:r>
          <w:rPr>
            <w:noProof/>
            <w:webHidden/>
          </w:rPr>
          <w:instrText xml:space="preserve"> PAGEREF _Toc535853802 \h </w:instrText>
        </w:r>
        <w:r>
          <w:rPr>
            <w:noProof/>
            <w:webHidden/>
          </w:rPr>
        </w:r>
        <w:r>
          <w:rPr>
            <w:noProof/>
            <w:webHidden/>
          </w:rPr>
          <w:fldChar w:fldCharType="separate"/>
        </w:r>
        <w:r>
          <w:rPr>
            <w:noProof/>
            <w:webHidden/>
          </w:rPr>
          <w:t>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03" w:history="1">
        <w:r w:rsidRPr="00F149F6">
          <w:rPr>
            <w:rStyle w:val="Hyperlink"/>
            <w:noProof/>
          </w:rPr>
          <w:t>5.03. cikk A próbautak útvonala</w:t>
        </w:r>
        <w:r>
          <w:rPr>
            <w:noProof/>
            <w:webHidden/>
          </w:rPr>
          <w:tab/>
        </w:r>
        <w:r>
          <w:rPr>
            <w:noProof/>
            <w:webHidden/>
          </w:rPr>
          <w:fldChar w:fldCharType="begin"/>
        </w:r>
        <w:r>
          <w:rPr>
            <w:noProof/>
            <w:webHidden/>
          </w:rPr>
          <w:instrText xml:space="preserve"> PAGEREF _Toc535853803 \h </w:instrText>
        </w:r>
        <w:r>
          <w:rPr>
            <w:noProof/>
            <w:webHidden/>
          </w:rPr>
        </w:r>
        <w:r>
          <w:rPr>
            <w:noProof/>
            <w:webHidden/>
          </w:rPr>
          <w:fldChar w:fldCharType="separate"/>
        </w:r>
        <w:r>
          <w:rPr>
            <w:noProof/>
            <w:webHidden/>
          </w:rPr>
          <w:t>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04" w:history="1">
        <w:r w:rsidRPr="00F149F6">
          <w:rPr>
            <w:rStyle w:val="Hyperlink"/>
            <w:noProof/>
          </w:rPr>
          <w:t>5.04. cikk A hajók és kötelékek megrakodásának mértéke a próbautak során</w:t>
        </w:r>
        <w:r>
          <w:rPr>
            <w:noProof/>
            <w:webHidden/>
          </w:rPr>
          <w:tab/>
        </w:r>
        <w:r>
          <w:rPr>
            <w:noProof/>
            <w:webHidden/>
          </w:rPr>
          <w:fldChar w:fldCharType="begin"/>
        </w:r>
        <w:r>
          <w:rPr>
            <w:noProof/>
            <w:webHidden/>
          </w:rPr>
          <w:instrText xml:space="preserve"> PAGEREF _Toc535853804 \h </w:instrText>
        </w:r>
        <w:r>
          <w:rPr>
            <w:noProof/>
            <w:webHidden/>
          </w:rPr>
        </w:r>
        <w:r>
          <w:rPr>
            <w:noProof/>
            <w:webHidden/>
          </w:rPr>
          <w:fldChar w:fldCharType="separate"/>
        </w:r>
        <w:r>
          <w:rPr>
            <w:noProof/>
            <w:webHidden/>
          </w:rPr>
          <w:t>41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05" w:history="1">
        <w:r w:rsidRPr="00F149F6">
          <w:rPr>
            <w:rStyle w:val="Hyperlink"/>
            <w:noProof/>
            <w:lang w:val="es-ES"/>
          </w:rPr>
          <w:t>5.05. cikk A fedélzeten lévő berendezések használata a próbaút során</w:t>
        </w:r>
        <w:r>
          <w:rPr>
            <w:noProof/>
            <w:webHidden/>
          </w:rPr>
          <w:tab/>
        </w:r>
        <w:r>
          <w:rPr>
            <w:noProof/>
            <w:webHidden/>
          </w:rPr>
          <w:fldChar w:fldCharType="begin"/>
        </w:r>
        <w:r>
          <w:rPr>
            <w:noProof/>
            <w:webHidden/>
          </w:rPr>
          <w:instrText xml:space="preserve"> PAGEREF _Toc535853805 \h </w:instrText>
        </w:r>
        <w:r>
          <w:rPr>
            <w:noProof/>
            <w:webHidden/>
          </w:rPr>
        </w:r>
        <w:r>
          <w:rPr>
            <w:noProof/>
            <w:webHidden/>
          </w:rPr>
          <w:fldChar w:fldCharType="separate"/>
        </w:r>
        <w:r>
          <w:rPr>
            <w:noProof/>
            <w:webHidden/>
          </w:rPr>
          <w:t>42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06" w:history="1">
        <w:r w:rsidRPr="00F149F6">
          <w:rPr>
            <w:rStyle w:val="Hyperlink"/>
            <w:noProof/>
            <w:lang w:val="es-ES"/>
          </w:rPr>
          <w:t>5.06. cikk Előírt (előremeneti) sebesség</w:t>
        </w:r>
        <w:r>
          <w:rPr>
            <w:noProof/>
            <w:webHidden/>
          </w:rPr>
          <w:tab/>
        </w:r>
        <w:r>
          <w:rPr>
            <w:noProof/>
            <w:webHidden/>
          </w:rPr>
          <w:fldChar w:fldCharType="begin"/>
        </w:r>
        <w:r>
          <w:rPr>
            <w:noProof/>
            <w:webHidden/>
          </w:rPr>
          <w:instrText xml:space="preserve"> PAGEREF _Toc535853806 \h </w:instrText>
        </w:r>
        <w:r>
          <w:rPr>
            <w:noProof/>
            <w:webHidden/>
          </w:rPr>
        </w:r>
        <w:r>
          <w:rPr>
            <w:noProof/>
            <w:webHidden/>
          </w:rPr>
          <w:fldChar w:fldCharType="separate"/>
        </w:r>
        <w:r>
          <w:rPr>
            <w:noProof/>
            <w:webHidden/>
          </w:rPr>
          <w:t>42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07" w:history="1">
        <w:r w:rsidRPr="00F149F6">
          <w:rPr>
            <w:rStyle w:val="Hyperlink"/>
            <w:noProof/>
            <w:lang w:val="es-ES"/>
          </w:rPr>
          <w:t>5.07. cikk Megállási képesség</w:t>
        </w:r>
        <w:r>
          <w:rPr>
            <w:noProof/>
            <w:webHidden/>
          </w:rPr>
          <w:tab/>
        </w:r>
        <w:r>
          <w:rPr>
            <w:noProof/>
            <w:webHidden/>
          </w:rPr>
          <w:fldChar w:fldCharType="begin"/>
        </w:r>
        <w:r>
          <w:rPr>
            <w:noProof/>
            <w:webHidden/>
          </w:rPr>
          <w:instrText xml:space="preserve"> PAGEREF _Toc535853807 \h </w:instrText>
        </w:r>
        <w:r>
          <w:rPr>
            <w:noProof/>
            <w:webHidden/>
          </w:rPr>
        </w:r>
        <w:r>
          <w:rPr>
            <w:noProof/>
            <w:webHidden/>
          </w:rPr>
          <w:fldChar w:fldCharType="separate"/>
        </w:r>
        <w:r>
          <w:rPr>
            <w:noProof/>
            <w:webHidden/>
          </w:rPr>
          <w:t>42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08" w:history="1">
        <w:r w:rsidRPr="00F149F6">
          <w:rPr>
            <w:rStyle w:val="Hyperlink"/>
            <w:noProof/>
            <w:lang w:val="es-ES"/>
          </w:rPr>
          <w:t>5.08. cikk Hátrameneti képesség</w:t>
        </w:r>
        <w:r>
          <w:rPr>
            <w:noProof/>
            <w:webHidden/>
          </w:rPr>
          <w:tab/>
        </w:r>
        <w:r>
          <w:rPr>
            <w:noProof/>
            <w:webHidden/>
          </w:rPr>
          <w:fldChar w:fldCharType="begin"/>
        </w:r>
        <w:r>
          <w:rPr>
            <w:noProof/>
            <w:webHidden/>
          </w:rPr>
          <w:instrText xml:space="preserve"> PAGEREF _Toc535853808 \h </w:instrText>
        </w:r>
        <w:r>
          <w:rPr>
            <w:noProof/>
            <w:webHidden/>
          </w:rPr>
        </w:r>
        <w:r>
          <w:rPr>
            <w:noProof/>
            <w:webHidden/>
          </w:rPr>
          <w:fldChar w:fldCharType="separate"/>
        </w:r>
        <w:r>
          <w:rPr>
            <w:noProof/>
            <w:webHidden/>
          </w:rPr>
          <w:t>43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09" w:history="1">
        <w:r w:rsidRPr="00F149F6">
          <w:rPr>
            <w:rStyle w:val="Hyperlink"/>
            <w:noProof/>
            <w:lang w:val="es-ES"/>
          </w:rPr>
          <w:t>5.09. cikk Kitérési képesség</w:t>
        </w:r>
        <w:r>
          <w:rPr>
            <w:noProof/>
            <w:webHidden/>
          </w:rPr>
          <w:tab/>
        </w:r>
        <w:r>
          <w:rPr>
            <w:noProof/>
            <w:webHidden/>
          </w:rPr>
          <w:fldChar w:fldCharType="begin"/>
        </w:r>
        <w:r>
          <w:rPr>
            <w:noProof/>
            <w:webHidden/>
          </w:rPr>
          <w:instrText xml:space="preserve"> PAGEREF _Toc535853809 \h </w:instrText>
        </w:r>
        <w:r>
          <w:rPr>
            <w:noProof/>
            <w:webHidden/>
          </w:rPr>
        </w:r>
        <w:r>
          <w:rPr>
            <w:noProof/>
            <w:webHidden/>
          </w:rPr>
          <w:fldChar w:fldCharType="separate"/>
        </w:r>
        <w:r>
          <w:rPr>
            <w:noProof/>
            <w:webHidden/>
          </w:rPr>
          <w:t>44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10" w:history="1">
        <w:r w:rsidRPr="00F149F6">
          <w:rPr>
            <w:rStyle w:val="Hyperlink"/>
            <w:noProof/>
            <w:lang w:val="es-ES"/>
          </w:rPr>
          <w:t>5.10. cikk Fordulási képesség</w:t>
        </w:r>
        <w:r>
          <w:rPr>
            <w:noProof/>
            <w:webHidden/>
          </w:rPr>
          <w:tab/>
        </w:r>
        <w:r>
          <w:rPr>
            <w:noProof/>
            <w:webHidden/>
          </w:rPr>
          <w:fldChar w:fldCharType="begin"/>
        </w:r>
        <w:r>
          <w:rPr>
            <w:noProof/>
            <w:webHidden/>
          </w:rPr>
          <w:instrText xml:space="preserve"> PAGEREF _Toc535853810 \h </w:instrText>
        </w:r>
        <w:r>
          <w:rPr>
            <w:noProof/>
            <w:webHidden/>
          </w:rPr>
        </w:r>
        <w:r>
          <w:rPr>
            <w:noProof/>
            <w:webHidden/>
          </w:rPr>
          <w:fldChar w:fldCharType="separate"/>
        </w:r>
        <w:r>
          <w:rPr>
            <w:noProof/>
            <w:webHidden/>
          </w:rPr>
          <w:t>44</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811" w:history="1">
        <w:r w:rsidRPr="00F149F6">
          <w:rPr>
            <w:rStyle w:val="Hyperlink"/>
            <w:noProof/>
            <w:lang w:val="es-ES"/>
          </w:rPr>
          <w:t>6. fejezet Kormányberendezés</w:t>
        </w:r>
        <w:r>
          <w:rPr>
            <w:noProof/>
            <w:webHidden/>
          </w:rPr>
          <w:tab/>
        </w:r>
        <w:r>
          <w:rPr>
            <w:noProof/>
            <w:webHidden/>
          </w:rPr>
          <w:fldChar w:fldCharType="begin"/>
        </w:r>
        <w:r>
          <w:rPr>
            <w:noProof/>
            <w:webHidden/>
          </w:rPr>
          <w:instrText xml:space="preserve"> PAGEREF _Toc535853811 \h </w:instrText>
        </w:r>
        <w:r>
          <w:rPr>
            <w:noProof/>
            <w:webHidden/>
          </w:rPr>
        </w:r>
        <w:r>
          <w:rPr>
            <w:noProof/>
            <w:webHidden/>
          </w:rPr>
          <w:fldChar w:fldCharType="separate"/>
        </w:r>
        <w:r>
          <w:rPr>
            <w:noProof/>
            <w:webHidden/>
          </w:rPr>
          <w:t>46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12" w:history="1">
        <w:r w:rsidRPr="00F149F6">
          <w:rPr>
            <w:rStyle w:val="Hyperlink"/>
            <w:noProof/>
            <w:lang w:val="es-ES"/>
          </w:rPr>
          <w:t>6.01. cikk Általános követelmények</w:t>
        </w:r>
        <w:r>
          <w:rPr>
            <w:noProof/>
            <w:webHidden/>
          </w:rPr>
          <w:tab/>
        </w:r>
        <w:r>
          <w:rPr>
            <w:noProof/>
            <w:webHidden/>
          </w:rPr>
          <w:fldChar w:fldCharType="begin"/>
        </w:r>
        <w:r>
          <w:rPr>
            <w:noProof/>
            <w:webHidden/>
          </w:rPr>
          <w:instrText xml:space="preserve"> PAGEREF _Toc535853812 \h </w:instrText>
        </w:r>
        <w:r>
          <w:rPr>
            <w:noProof/>
            <w:webHidden/>
          </w:rPr>
        </w:r>
        <w:r>
          <w:rPr>
            <w:noProof/>
            <w:webHidden/>
          </w:rPr>
          <w:fldChar w:fldCharType="separate"/>
        </w:r>
        <w:r>
          <w:rPr>
            <w:noProof/>
            <w:webHidden/>
          </w:rPr>
          <w:t>46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13" w:history="1">
        <w:r w:rsidRPr="00F149F6">
          <w:rPr>
            <w:rStyle w:val="Hyperlink"/>
            <w:noProof/>
            <w:lang w:val="es-ES"/>
          </w:rPr>
          <w:t>6.02. cikk A kormánygép meghajtóegysége</w:t>
        </w:r>
        <w:r>
          <w:rPr>
            <w:noProof/>
            <w:webHidden/>
          </w:rPr>
          <w:tab/>
        </w:r>
        <w:r>
          <w:rPr>
            <w:noProof/>
            <w:webHidden/>
          </w:rPr>
          <w:fldChar w:fldCharType="begin"/>
        </w:r>
        <w:r>
          <w:rPr>
            <w:noProof/>
            <w:webHidden/>
          </w:rPr>
          <w:instrText xml:space="preserve"> PAGEREF _Toc535853813 \h </w:instrText>
        </w:r>
        <w:r>
          <w:rPr>
            <w:noProof/>
            <w:webHidden/>
          </w:rPr>
        </w:r>
        <w:r>
          <w:rPr>
            <w:noProof/>
            <w:webHidden/>
          </w:rPr>
          <w:fldChar w:fldCharType="separate"/>
        </w:r>
        <w:r>
          <w:rPr>
            <w:noProof/>
            <w:webHidden/>
          </w:rPr>
          <w:t>46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14" w:history="1">
        <w:r w:rsidRPr="00F149F6">
          <w:rPr>
            <w:rStyle w:val="Hyperlink"/>
            <w:noProof/>
            <w:lang w:val="es-ES"/>
          </w:rPr>
          <w:t>6.03. cikk A kormánygép hidraulikus meghajtóegysége</w:t>
        </w:r>
        <w:r>
          <w:rPr>
            <w:noProof/>
            <w:webHidden/>
          </w:rPr>
          <w:tab/>
        </w:r>
        <w:r>
          <w:rPr>
            <w:noProof/>
            <w:webHidden/>
          </w:rPr>
          <w:fldChar w:fldCharType="begin"/>
        </w:r>
        <w:r>
          <w:rPr>
            <w:noProof/>
            <w:webHidden/>
          </w:rPr>
          <w:instrText xml:space="preserve"> PAGEREF _Toc535853814 \h </w:instrText>
        </w:r>
        <w:r>
          <w:rPr>
            <w:noProof/>
            <w:webHidden/>
          </w:rPr>
        </w:r>
        <w:r>
          <w:rPr>
            <w:noProof/>
            <w:webHidden/>
          </w:rPr>
          <w:fldChar w:fldCharType="separate"/>
        </w:r>
        <w:r>
          <w:rPr>
            <w:noProof/>
            <w:webHidden/>
          </w:rPr>
          <w:t>48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15" w:history="1">
        <w:r w:rsidRPr="00F149F6">
          <w:rPr>
            <w:rStyle w:val="Hyperlink"/>
            <w:noProof/>
            <w:lang w:val="es-ES"/>
          </w:rPr>
          <w:t>6.04. cikk Energiaforrás</w:t>
        </w:r>
        <w:r>
          <w:rPr>
            <w:noProof/>
            <w:webHidden/>
          </w:rPr>
          <w:tab/>
        </w:r>
        <w:r>
          <w:rPr>
            <w:noProof/>
            <w:webHidden/>
          </w:rPr>
          <w:fldChar w:fldCharType="begin"/>
        </w:r>
        <w:r>
          <w:rPr>
            <w:noProof/>
            <w:webHidden/>
          </w:rPr>
          <w:instrText xml:space="preserve"> PAGEREF _Toc535853815 \h </w:instrText>
        </w:r>
        <w:r>
          <w:rPr>
            <w:noProof/>
            <w:webHidden/>
          </w:rPr>
        </w:r>
        <w:r>
          <w:rPr>
            <w:noProof/>
            <w:webHidden/>
          </w:rPr>
          <w:fldChar w:fldCharType="separate"/>
        </w:r>
        <w:r>
          <w:rPr>
            <w:noProof/>
            <w:webHidden/>
          </w:rPr>
          <w:t>48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16" w:history="1">
        <w:r w:rsidRPr="00F149F6">
          <w:rPr>
            <w:rStyle w:val="Hyperlink"/>
            <w:noProof/>
            <w:lang w:val="es-ES"/>
          </w:rPr>
          <w:t>6.05. cikk Kézi meghajtás</w:t>
        </w:r>
        <w:r>
          <w:rPr>
            <w:noProof/>
            <w:webHidden/>
          </w:rPr>
          <w:tab/>
        </w:r>
        <w:r>
          <w:rPr>
            <w:noProof/>
            <w:webHidden/>
          </w:rPr>
          <w:fldChar w:fldCharType="begin"/>
        </w:r>
        <w:r>
          <w:rPr>
            <w:noProof/>
            <w:webHidden/>
          </w:rPr>
          <w:instrText xml:space="preserve"> PAGEREF _Toc535853816 \h </w:instrText>
        </w:r>
        <w:r>
          <w:rPr>
            <w:noProof/>
            <w:webHidden/>
          </w:rPr>
        </w:r>
        <w:r>
          <w:rPr>
            <w:noProof/>
            <w:webHidden/>
          </w:rPr>
          <w:fldChar w:fldCharType="separate"/>
        </w:r>
        <w:r>
          <w:rPr>
            <w:noProof/>
            <w:webHidden/>
          </w:rPr>
          <w:t>49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17" w:history="1">
        <w:r w:rsidRPr="00F149F6">
          <w:rPr>
            <w:rStyle w:val="Hyperlink"/>
            <w:noProof/>
            <w:lang w:val="es-ES"/>
          </w:rPr>
          <w:t>6.06. cikk Kormánypropellerek, vízsugárhajtás, cikloidálpropellerek és orrsugárkormányok</w:t>
        </w:r>
        <w:r>
          <w:rPr>
            <w:noProof/>
            <w:webHidden/>
          </w:rPr>
          <w:tab/>
        </w:r>
        <w:r>
          <w:rPr>
            <w:noProof/>
            <w:webHidden/>
          </w:rPr>
          <w:fldChar w:fldCharType="begin"/>
        </w:r>
        <w:r>
          <w:rPr>
            <w:noProof/>
            <w:webHidden/>
          </w:rPr>
          <w:instrText xml:space="preserve"> PAGEREF _Toc535853817 \h </w:instrText>
        </w:r>
        <w:r>
          <w:rPr>
            <w:noProof/>
            <w:webHidden/>
          </w:rPr>
        </w:r>
        <w:r>
          <w:rPr>
            <w:noProof/>
            <w:webHidden/>
          </w:rPr>
          <w:fldChar w:fldCharType="separate"/>
        </w:r>
        <w:r>
          <w:rPr>
            <w:noProof/>
            <w:webHidden/>
          </w:rPr>
          <w:t>50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18" w:history="1">
        <w:r w:rsidRPr="00F149F6">
          <w:rPr>
            <w:rStyle w:val="Hyperlink"/>
            <w:noProof/>
            <w:lang w:val="es-ES"/>
          </w:rPr>
          <w:t>6.07. cikk Kijelző és ellenőrző rendszerek</w:t>
        </w:r>
        <w:r>
          <w:rPr>
            <w:noProof/>
            <w:webHidden/>
          </w:rPr>
          <w:tab/>
        </w:r>
        <w:r>
          <w:rPr>
            <w:noProof/>
            <w:webHidden/>
          </w:rPr>
          <w:fldChar w:fldCharType="begin"/>
        </w:r>
        <w:r>
          <w:rPr>
            <w:noProof/>
            <w:webHidden/>
          </w:rPr>
          <w:instrText xml:space="preserve"> PAGEREF _Toc535853818 \h </w:instrText>
        </w:r>
        <w:r>
          <w:rPr>
            <w:noProof/>
            <w:webHidden/>
          </w:rPr>
        </w:r>
        <w:r>
          <w:rPr>
            <w:noProof/>
            <w:webHidden/>
          </w:rPr>
          <w:fldChar w:fldCharType="separate"/>
        </w:r>
        <w:r>
          <w:rPr>
            <w:noProof/>
            <w:webHidden/>
          </w:rPr>
          <w:t>50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19" w:history="1">
        <w:r w:rsidRPr="00F149F6">
          <w:rPr>
            <w:rStyle w:val="Hyperlink"/>
            <w:noProof/>
            <w:lang w:val="es-ES"/>
          </w:rPr>
          <w:t>6.08. cikk Fordulási szögsebesség-szabályzók</w:t>
        </w:r>
        <w:r>
          <w:rPr>
            <w:noProof/>
            <w:webHidden/>
          </w:rPr>
          <w:tab/>
        </w:r>
        <w:r>
          <w:rPr>
            <w:noProof/>
            <w:webHidden/>
          </w:rPr>
          <w:fldChar w:fldCharType="begin"/>
        </w:r>
        <w:r>
          <w:rPr>
            <w:noProof/>
            <w:webHidden/>
          </w:rPr>
          <w:instrText xml:space="preserve"> PAGEREF _Toc535853819 \h </w:instrText>
        </w:r>
        <w:r>
          <w:rPr>
            <w:noProof/>
            <w:webHidden/>
          </w:rPr>
        </w:r>
        <w:r>
          <w:rPr>
            <w:noProof/>
            <w:webHidden/>
          </w:rPr>
          <w:fldChar w:fldCharType="separate"/>
        </w:r>
        <w:r>
          <w:rPr>
            <w:noProof/>
            <w:webHidden/>
          </w:rPr>
          <w:t>51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20" w:history="1">
        <w:r w:rsidRPr="00F149F6">
          <w:rPr>
            <w:rStyle w:val="Hyperlink"/>
            <w:noProof/>
            <w:lang w:val="es-ES"/>
          </w:rPr>
          <w:t>6.09. cikk Vizsgálatok</w:t>
        </w:r>
        <w:r>
          <w:rPr>
            <w:noProof/>
            <w:webHidden/>
          </w:rPr>
          <w:tab/>
        </w:r>
        <w:r>
          <w:rPr>
            <w:noProof/>
            <w:webHidden/>
          </w:rPr>
          <w:fldChar w:fldCharType="begin"/>
        </w:r>
        <w:r>
          <w:rPr>
            <w:noProof/>
            <w:webHidden/>
          </w:rPr>
          <w:instrText xml:space="preserve"> PAGEREF _Toc535853820 \h </w:instrText>
        </w:r>
        <w:r>
          <w:rPr>
            <w:noProof/>
            <w:webHidden/>
          </w:rPr>
        </w:r>
        <w:r>
          <w:rPr>
            <w:noProof/>
            <w:webHidden/>
          </w:rPr>
          <w:fldChar w:fldCharType="separate"/>
        </w:r>
        <w:r>
          <w:rPr>
            <w:noProof/>
            <w:webHidden/>
          </w:rPr>
          <w:t>52</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821" w:history="1">
        <w:r w:rsidRPr="00F149F6">
          <w:rPr>
            <w:rStyle w:val="Hyperlink"/>
            <w:noProof/>
            <w:lang w:val="es-ES"/>
          </w:rPr>
          <w:t>7. fejezet Kormányállás</w:t>
        </w:r>
        <w:r>
          <w:rPr>
            <w:noProof/>
            <w:webHidden/>
          </w:rPr>
          <w:tab/>
        </w:r>
        <w:r>
          <w:rPr>
            <w:noProof/>
            <w:webHidden/>
          </w:rPr>
          <w:fldChar w:fldCharType="begin"/>
        </w:r>
        <w:r>
          <w:rPr>
            <w:noProof/>
            <w:webHidden/>
          </w:rPr>
          <w:instrText xml:space="preserve"> PAGEREF _Toc535853821 \h </w:instrText>
        </w:r>
        <w:r>
          <w:rPr>
            <w:noProof/>
            <w:webHidden/>
          </w:rPr>
        </w:r>
        <w:r>
          <w:rPr>
            <w:noProof/>
            <w:webHidden/>
          </w:rPr>
          <w:fldChar w:fldCharType="separate"/>
        </w:r>
        <w:r>
          <w:rPr>
            <w:noProof/>
            <w:webHidden/>
          </w:rPr>
          <w:t>54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22" w:history="1">
        <w:r w:rsidRPr="00F149F6">
          <w:rPr>
            <w:rStyle w:val="Hyperlink"/>
            <w:noProof/>
            <w:lang w:val="es-ES"/>
          </w:rPr>
          <w:t>7.01. cikk Általános rendelkezések</w:t>
        </w:r>
        <w:r>
          <w:rPr>
            <w:noProof/>
            <w:webHidden/>
          </w:rPr>
          <w:tab/>
        </w:r>
        <w:r>
          <w:rPr>
            <w:noProof/>
            <w:webHidden/>
          </w:rPr>
          <w:fldChar w:fldCharType="begin"/>
        </w:r>
        <w:r>
          <w:rPr>
            <w:noProof/>
            <w:webHidden/>
          </w:rPr>
          <w:instrText xml:space="preserve"> PAGEREF _Toc535853822 \h </w:instrText>
        </w:r>
        <w:r>
          <w:rPr>
            <w:noProof/>
            <w:webHidden/>
          </w:rPr>
        </w:r>
        <w:r>
          <w:rPr>
            <w:noProof/>
            <w:webHidden/>
          </w:rPr>
          <w:fldChar w:fldCharType="separate"/>
        </w:r>
        <w:r>
          <w:rPr>
            <w:noProof/>
            <w:webHidden/>
          </w:rPr>
          <w:t>54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23" w:history="1">
        <w:r w:rsidRPr="00F149F6">
          <w:rPr>
            <w:rStyle w:val="Hyperlink"/>
            <w:noProof/>
            <w:lang w:val="es-ES"/>
          </w:rPr>
          <w:t>7.02. cikk Szabad kilátás</w:t>
        </w:r>
        <w:r>
          <w:rPr>
            <w:noProof/>
            <w:webHidden/>
          </w:rPr>
          <w:tab/>
        </w:r>
        <w:r>
          <w:rPr>
            <w:noProof/>
            <w:webHidden/>
          </w:rPr>
          <w:fldChar w:fldCharType="begin"/>
        </w:r>
        <w:r>
          <w:rPr>
            <w:noProof/>
            <w:webHidden/>
          </w:rPr>
          <w:instrText xml:space="preserve"> PAGEREF _Toc535853823 \h </w:instrText>
        </w:r>
        <w:r>
          <w:rPr>
            <w:noProof/>
            <w:webHidden/>
          </w:rPr>
        </w:r>
        <w:r>
          <w:rPr>
            <w:noProof/>
            <w:webHidden/>
          </w:rPr>
          <w:fldChar w:fldCharType="separate"/>
        </w:r>
        <w:r>
          <w:rPr>
            <w:noProof/>
            <w:webHidden/>
          </w:rPr>
          <w:t>54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24" w:history="1">
        <w:r w:rsidRPr="00F149F6">
          <w:rPr>
            <w:rStyle w:val="Hyperlink"/>
            <w:noProof/>
            <w:lang w:val="es-ES"/>
          </w:rPr>
          <w:t>7.03. cikk A vezérlő, kijelző és ellenőrző berendezésekre vonatkozó általános követelmények</w:t>
        </w:r>
        <w:r>
          <w:rPr>
            <w:noProof/>
            <w:webHidden/>
          </w:rPr>
          <w:tab/>
        </w:r>
        <w:r>
          <w:rPr>
            <w:noProof/>
            <w:webHidden/>
          </w:rPr>
          <w:fldChar w:fldCharType="begin"/>
        </w:r>
        <w:r>
          <w:rPr>
            <w:noProof/>
            <w:webHidden/>
          </w:rPr>
          <w:instrText xml:space="preserve"> PAGEREF _Toc535853824 \h </w:instrText>
        </w:r>
        <w:r>
          <w:rPr>
            <w:noProof/>
            <w:webHidden/>
          </w:rPr>
        </w:r>
        <w:r>
          <w:rPr>
            <w:noProof/>
            <w:webHidden/>
          </w:rPr>
          <w:fldChar w:fldCharType="separate"/>
        </w:r>
        <w:r>
          <w:rPr>
            <w:noProof/>
            <w:webHidden/>
          </w:rPr>
          <w:t>56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25" w:history="1">
        <w:r w:rsidRPr="00F149F6">
          <w:rPr>
            <w:rStyle w:val="Hyperlink"/>
            <w:noProof/>
            <w:lang w:val="es-ES"/>
          </w:rPr>
          <w:t>7.04. cikk A főmotorok és a kormányberendezés vezérlő, kijelző és ellenőrző berendezéseire vonatkozó külön követelmények</w:t>
        </w:r>
        <w:r>
          <w:rPr>
            <w:noProof/>
            <w:webHidden/>
          </w:rPr>
          <w:tab/>
        </w:r>
        <w:r>
          <w:rPr>
            <w:noProof/>
            <w:webHidden/>
          </w:rPr>
          <w:fldChar w:fldCharType="begin"/>
        </w:r>
        <w:r>
          <w:rPr>
            <w:noProof/>
            <w:webHidden/>
          </w:rPr>
          <w:instrText xml:space="preserve"> PAGEREF _Toc535853825 \h </w:instrText>
        </w:r>
        <w:r>
          <w:rPr>
            <w:noProof/>
            <w:webHidden/>
          </w:rPr>
        </w:r>
        <w:r>
          <w:rPr>
            <w:noProof/>
            <w:webHidden/>
          </w:rPr>
          <w:fldChar w:fldCharType="separate"/>
        </w:r>
        <w:r>
          <w:rPr>
            <w:noProof/>
            <w:webHidden/>
          </w:rPr>
          <w:t>58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26" w:history="1">
        <w:r w:rsidRPr="00F149F6">
          <w:rPr>
            <w:rStyle w:val="Hyperlink"/>
            <w:noProof/>
            <w:lang w:val="es-ES"/>
          </w:rPr>
          <w:t>7.06. cikk Navigációs és információs eszközök</w:t>
        </w:r>
        <w:r>
          <w:rPr>
            <w:noProof/>
            <w:webHidden/>
          </w:rPr>
          <w:tab/>
        </w:r>
        <w:r>
          <w:rPr>
            <w:noProof/>
            <w:webHidden/>
          </w:rPr>
          <w:fldChar w:fldCharType="begin"/>
        </w:r>
        <w:r>
          <w:rPr>
            <w:noProof/>
            <w:webHidden/>
          </w:rPr>
          <w:instrText xml:space="preserve"> PAGEREF _Toc535853826 \h </w:instrText>
        </w:r>
        <w:r>
          <w:rPr>
            <w:noProof/>
            <w:webHidden/>
          </w:rPr>
        </w:r>
        <w:r>
          <w:rPr>
            <w:noProof/>
            <w:webHidden/>
          </w:rPr>
          <w:fldChar w:fldCharType="separate"/>
        </w:r>
        <w:r>
          <w:rPr>
            <w:noProof/>
            <w:webHidden/>
          </w:rPr>
          <w:t>62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27" w:history="1">
        <w:r w:rsidRPr="00F149F6">
          <w:rPr>
            <w:rStyle w:val="Hyperlink"/>
            <w:noProof/>
            <w:lang w:val="es-ES"/>
          </w:rPr>
          <w:t>7.07. cikk Egyszemélyes radarhajózásra kialakított kormányállással rendelkező hajók rádiótelefon-rendszerei</w:t>
        </w:r>
        <w:r>
          <w:rPr>
            <w:noProof/>
            <w:webHidden/>
          </w:rPr>
          <w:tab/>
        </w:r>
        <w:r>
          <w:rPr>
            <w:noProof/>
            <w:webHidden/>
          </w:rPr>
          <w:fldChar w:fldCharType="begin"/>
        </w:r>
        <w:r>
          <w:rPr>
            <w:noProof/>
            <w:webHidden/>
          </w:rPr>
          <w:instrText xml:space="preserve"> PAGEREF _Toc535853827 \h </w:instrText>
        </w:r>
        <w:r>
          <w:rPr>
            <w:noProof/>
            <w:webHidden/>
          </w:rPr>
        </w:r>
        <w:r>
          <w:rPr>
            <w:noProof/>
            <w:webHidden/>
          </w:rPr>
          <w:fldChar w:fldCharType="separate"/>
        </w:r>
        <w:r>
          <w:rPr>
            <w:noProof/>
            <w:webHidden/>
          </w:rPr>
          <w:t>62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28" w:history="1">
        <w:r w:rsidRPr="00F149F6">
          <w:rPr>
            <w:rStyle w:val="Hyperlink"/>
            <w:noProof/>
            <w:lang w:val="es-ES"/>
          </w:rPr>
          <w:t>7.08. cikk Fedélzeti belső kommunikációs eszközök</w:t>
        </w:r>
        <w:r>
          <w:rPr>
            <w:noProof/>
            <w:webHidden/>
          </w:rPr>
          <w:tab/>
        </w:r>
        <w:r>
          <w:rPr>
            <w:noProof/>
            <w:webHidden/>
          </w:rPr>
          <w:fldChar w:fldCharType="begin"/>
        </w:r>
        <w:r>
          <w:rPr>
            <w:noProof/>
            <w:webHidden/>
          </w:rPr>
          <w:instrText xml:space="preserve"> PAGEREF _Toc535853828 \h </w:instrText>
        </w:r>
        <w:r>
          <w:rPr>
            <w:noProof/>
            <w:webHidden/>
          </w:rPr>
        </w:r>
        <w:r>
          <w:rPr>
            <w:noProof/>
            <w:webHidden/>
          </w:rPr>
          <w:fldChar w:fldCharType="separate"/>
        </w:r>
        <w:r>
          <w:rPr>
            <w:noProof/>
            <w:webHidden/>
          </w:rPr>
          <w:t>64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29" w:history="1">
        <w:r w:rsidRPr="00F149F6">
          <w:rPr>
            <w:rStyle w:val="Hyperlink"/>
            <w:noProof/>
            <w:lang w:val="pt-PT"/>
          </w:rPr>
          <w:t>7.09. cikk Riasztórendszer</w:t>
        </w:r>
        <w:r>
          <w:rPr>
            <w:noProof/>
            <w:webHidden/>
          </w:rPr>
          <w:tab/>
        </w:r>
        <w:r>
          <w:rPr>
            <w:noProof/>
            <w:webHidden/>
          </w:rPr>
          <w:fldChar w:fldCharType="begin"/>
        </w:r>
        <w:r>
          <w:rPr>
            <w:noProof/>
            <w:webHidden/>
          </w:rPr>
          <w:instrText xml:space="preserve"> PAGEREF _Toc535853829 \h </w:instrText>
        </w:r>
        <w:r>
          <w:rPr>
            <w:noProof/>
            <w:webHidden/>
          </w:rPr>
        </w:r>
        <w:r>
          <w:rPr>
            <w:noProof/>
            <w:webHidden/>
          </w:rPr>
          <w:fldChar w:fldCharType="separate"/>
        </w:r>
        <w:r>
          <w:rPr>
            <w:noProof/>
            <w:webHidden/>
          </w:rPr>
          <w:t>64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30" w:history="1">
        <w:r w:rsidRPr="00F149F6">
          <w:rPr>
            <w:rStyle w:val="Hyperlink"/>
            <w:noProof/>
            <w:lang w:val="pt-PT"/>
          </w:rPr>
          <w:t>7.10. cikk Fűtés és szellőzés</w:t>
        </w:r>
        <w:r>
          <w:rPr>
            <w:noProof/>
            <w:webHidden/>
          </w:rPr>
          <w:tab/>
        </w:r>
        <w:r>
          <w:rPr>
            <w:noProof/>
            <w:webHidden/>
          </w:rPr>
          <w:fldChar w:fldCharType="begin"/>
        </w:r>
        <w:r>
          <w:rPr>
            <w:noProof/>
            <w:webHidden/>
          </w:rPr>
          <w:instrText xml:space="preserve"> PAGEREF _Toc535853830 \h </w:instrText>
        </w:r>
        <w:r>
          <w:rPr>
            <w:noProof/>
            <w:webHidden/>
          </w:rPr>
        </w:r>
        <w:r>
          <w:rPr>
            <w:noProof/>
            <w:webHidden/>
          </w:rPr>
          <w:fldChar w:fldCharType="separate"/>
        </w:r>
        <w:r>
          <w:rPr>
            <w:noProof/>
            <w:webHidden/>
          </w:rPr>
          <w:t>65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31" w:history="1">
        <w:r w:rsidRPr="00F149F6">
          <w:rPr>
            <w:rStyle w:val="Hyperlink"/>
            <w:noProof/>
            <w:lang w:val="pt-PT"/>
          </w:rPr>
          <w:t>7.11. cikk Farhorgony-kezelőszervek</w:t>
        </w:r>
        <w:r>
          <w:rPr>
            <w:noProof/>
            <w:webHidden/>
          </w:rPr>
          <w:tab/>
        </w:r>
        <w:r>
          <w:rPr>
            <w:noProof/>
            <w:webHidden/>
          </w:rPr>
          <w:fldChar w:fldCharType="begin"/>
        </w:r>
        <w:r>
          <w:rPr>
            <w:noProof/>
            <w:webHidden/>
          </w:rPr>
          <w:instrText xml:space="preserve"> PAGEREF _Toc535853831 \h </w:instrText>
        </w:r>
        <w:r>
          <w:rPr>
            <w:noProof/>
            <w:webHidden/>
          </w:rPr>
        </w:r>
        <w:r>
          <w:rPr>
            <w:noProof/>
            <w:webHidden/>
          </w:rPr>
          <w:fldChar w:fldCharType="separate"/>
        </w:r>
        <w:r>
          <w:rPr>
            <w:noProof/>
            <w:webHidden/>
          </w:rPr>
          <w:t>65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32" w:history="1">
        <w:r w:rsidRPr="00F149F6">
          <w:rPr>
            <w:rStyle w:val="Hyperlink"/>
            <w:noProof/>
            <w:lang w:val="pt-PT"/>
          </w:rPr>
          <w:t xml:space="preserve">7.12. cikk </w:t>
        </w:r>
        <w:r w:rsidRPr="00F149F6">
          <w:rPr>
            <w:rStyle w:val="Hyperlink"/>
            <w:noProof/>
            <w:snapToGrid w:val="0"/>
            <w:lang w:val="pt-PT"/>
          </w:rPr>
          <w:t>Állítható magasságú kormányállás</w:t>
        </w:r>
        <w:r>
          <w:rPr>
            <w:noProof/>
            <w:webHidden/>
          </w:rPr>
          <w:tab/>
        </w:r>
        <w:r>
          <w:rPr>
            <w:noProof/>
            <w:webHidden/>
          </w:rPr>
          <w:fldChar w:fldCharType="begin"/>
        </w:r>
        <w:r>
          <w:rPr>
            <w:noProof/>
            <w:webHidden/>
          </w:rPr>
          <w:instrText xml:space="preserve"> PAGEREF _Toc535853832 \h </w:instrText>
        </w:r>
        <w:r>
          <w:rPr>
            <w:noProof/>
            <w:webHidden/>
          </w:rPr>
        </w:r>
        <w:r>
          <w:rPr>
            <w:noProof/>
            <w:webHidden/>
          </w:rPr>
          <w:fldChar w:fldCharType="separate"/>
        </w:r>
        <w:r>
          <w:rPr>
            <w:noProof/>
            <w:webHidden/>
          </w:rPr>
          <w:t>66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33" w:history="1">
        <w:r w:rsidRPr="00F149F6">
          <w:rPr>
            <w:rStyle w:val="Hyperlink"/>
            <w:noProof/>
            <w:lang w:val="pt-PT"/>
          </w:rPr>
          <w:t>7.13. cikk Bejegyzés az egyszemélyes radarhajózásra kialakított kormányállással rendelkező hajók belvízi hajóbizonyítványába</w:t>
        </w:r>
        <w:r>
          <w:rPr>
            <w:noProof/>
            <w:webHidden/>
          </w:rPr>
          <w:tab/>
        </w:r>
        <w:r>
          <w:rPr>
            <w:noProof/>
            <w:webHidden/>
          </w:rPr>
          <w:fldChar w:fldCharType="begin"/>
        </w:r>
        <w:r>
          <w:rPr>
            <w:noProof/>
            <w:webHidden/>
          </w:rPr>
          <w:instrText xml:space="preserve"> PAGEREF _Toc535853833 \h </w:instrText>
        </w:r>
        <w:r>
          <w:rPr>
            <w:noProof/>
            <w:webHidden/>
          </w:rPr>
        </w:r>
        <w:r>
          <w:rPr>
            <w:noProof/>
            <w:webHidden/>
          </w:rPr>
          <w:fldChar w:fldCharType="separate"/>
        </w:r>
        <w:r>
          <w:rPr>
            <w:noProof/>
            <w:webHidden/>
          </w:rPr>
          <w:t>68</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834" w:history="1">
        <w:r w:rsidRPr="00F149F6">
          <w:rPr>
            <w:rStyle w:val="Hyperlink"/>
            <w:noProof/>
            <w:lang w:val="pt-PT"/>
          </w:rPr>
          <w:t>8. fejezet A motorok kialakítása</w:t>
        </w:r>
        <w:r>
          <w:rPr>
            <w:noProof/>
            <w:webHidden/>
          </w:rPr>
          <w:tab/>
        </w:r>
        <w:r>
          <w:rPr>
            <w:noProof/>
            <w:webHidden/>
          </w:rPr>
          <w:fldChar w:fldCharType="begin"/>
        </w:r>
        <w:r>
          <w:rPr>
            <w:noProof/>
            <w:webHidden/>
          </w:rPr>
          <w:instrText xml:space="preserve"> PAGEREF _Toc535853834 \h </w:instrText>
        </w:r>
        <w:r>
          <w:rPr>
            <w:noProof/>
            <w:webHidden/>
          </w:rPr>
        </w:r>
        <w:r>
          <w:rPr>
            <w:noProof/>
            <w:webHidden/>
          </w:rPr>
          <w:fldChar w:fldCharType="separate"/>
        </w:r>
        <w:r>
          <w:rPr>
            <w:noProof/>
            <w:webHidden/>
          </w:rPr>
          <w:t>69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35" w:history="1">
        <w:r w:rsidRPr="00F149F6">
          <w:rPr>
            <w:rStyle w:val="Hyperlink"/>
            <w:noProof/>
            <w:lang w:val="pt-PT"/>
          </w:rPr>
          <w:t>8.01. cikk Általános rendelkezések</w:t>
        </w:r>
        <w:r>
          <w:rPr>
            <w:noProof/>
            <w:webHidden/>
          </w:rPr>
          <w:tab/>
        </w:r>
        <w:r>
          <w:rPr>
            <w:noProof/>
            <w:webHidden/>
          </w:rPr>
          <w:fldChar w:fldCharType="begin"/>
        </w:r>
        <w:r>
          <w:rPr>
            <w:noProof/>
            <w:webHidden/>
          </w:rPr>
          <w:instrText xml:space="preserve"> PAGEREF _Toc535853835 \h </w:instrText>
        </w:r>
        <w:r>
          <w:rPr>
            <w:noProof/>
            <w:webHidden/>
          </w:rPr>
        </w:r>
        <w:r>
          <w:rPr>
            <w:noProof/>
            <w:webHidden/>
          </w:rPr>
          <w:fldChar w:fldCharType="separate"/>
        </w:r>
        <w:r>
          <w:rPr>
            <w:noProof/>
            <w:webHidden/>
          </w:rPr>
          <w:t>69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36" w:history="1">
        <w:r w:rsidRPr="00F149F6">
          <w:rPr>
            <w:rStyle w:val="Hyperlink"/>
            <w:noProof/>
            <w:lang w:val="pt-PT"/>
          </w:rPr>
          <w:t>8.02. cikk Biztonsági berendezések</w:t>
        </w:r>
        <w:r>
          <w:rPr>
            <w:noProof/>
            <w:webHidden/>
          </w:rPr>
          <w:tab/>
        </w:r>
        <w:r>
          <w:rPr>
            <w:noProof/>
            <w:webHidden/>
          </w:rPr>
          <w:fldChar w:fldCharType="begin"/>
        </w:r>
        <w:r>
          <w:rPr>
            <w:noProof/>
            <w:webHidden/>
          </w:rPr>
          <w:instrText xml:space="preserve"> PAGEREF _Toc535853836 \h </w:instrText>
        </w:r>
        <w:r>
          <w:rPr>
            <w:noProof/>
            <w:webHidden/>
          </w:rPr>
        </w:r>
        <w:r>
          <w:rPr>
            <w:noProof/>
            <w:webHidden/>
          </w:rPr>
          <w:fldChar w:fldCharType="separate"/>
        </w:r>
        <w:r>
          <w:rPr>
            <w:noProof/>
            <w:webHidden/>
          </w:rPr>
          <w:t>69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37" w:history="1">
        <w:r w:rsidRPr="00F149F6">
          <w:rPr>
            <w:rStyle w:val="Hyperlink"/>
            <w:noProof/>
            <w:lang w:val="pt-PT"/>
          </w:rPr>
          <w:t>8.03. cikk Propulziós művek</w:t>
        </w:r>
        <w:r>
          <w:rPr>
            <w:noProof/>
            <w:webHidden/>
          </w:rPr>
          <w:tab/>
        </w:r>
        <w:r>
          <w:rPr>
            <w:noProof/>
            <w:webHidden/>
          </w:rPr>
          <w:fldChar w:fldCharType="begin"/>
        </w:r>
        <w:r>
          <w:rPr>
            <w:noProof/>
            <w:webHidden/>
          </w:rPr>
          <w:instrText xml:space="preserve"> PAGEREF _Toc535853837 \h </w:instrText>
        </w:r>
        <w:r>
          <w:rPr>
            <w:noProof/>
            <w:webHidden/>
          </w:rPr>
        </w:r>
        <w:r>
          <w:rPr>
            <w:noProof/>
            <w:webHidden/>
          </w:rPr>
          <w:fldChar w:fldCharType="separate"/>
        </w:r>
        <w:r>
          <w:rPr>
            <w:noProof/>
            <w:webHidden/>
          </w:rPr>
          <w:t>71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38" w:history="1">
        <w:r w:rsidRPr="00F149F6">
          <w:rPr>
            <w:rStyle w:val="Hyperlink"/>
            <w:noProof/>
            <w:lang w:val="pt-PT"/>
          </w:rPr>
          <w:t>8.04. cikk A motor kipufogórendszere</w:t>
        </w:r>
        <w:r>
          <w:rPr>
            <w:noProof/>
            <w:webHidden/>
          </w:rPr>
          <w:tab/>
        </w:r>
        <w:r>
          <w:rPr>
            <w:noProof/>
            <w:webHidden/>
          </w:rPr>
          <w:fldChar w:fldCharType="begin"/>
        </w:r>
        <w:r>
          <w:rPr>
            <w:noProof/>
            <w:webHidden/>
          </w:rPr>
          <w:instrText xml:space="preserve"> PAGEREF _Toc535853838 \h </w:instrText>
        </w:r>
        <w:r>
          <w:rPr>
            <w:noProof/>
            <w:webHidden/>
          </w:rPr>
        </w:r>
        <w:r>
          <w:rPr>
            <w:noProof/>
            <w:webHidden/>
          </w:rPr>
          <w:fldChar w:fldCharType="separate"/>
        </w:r>
        <w:r>
          <w:rPr>
            <w:noProof/>
            <w:webHidden/>
          </w:rPr>
          <w:t>72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39" w:history="1">
        <w:r w:rsidRPr="00F149F6">
          <w:rPr>
            <w:rStyle w:val="Hyperlink"/>
            <w:noProof/>
            <w:lang w:val="pt-PT"/>
          </w:rPr>
          <w:t>8.05. cikk Tüzelőanyag-tartályok, -csövek és tartozékok</w:t>
        </w:r>
        <w:r>
          <w:rPr>
            <w:noProof/>
            <w:webHidden/>
          </w:rPr>
          <w:tab/>
        </w:r>
        <w:r>
          <w:rPr>
            <w:noProof/>
            <w:webHidden/>
          </w:rPr>
          <w:fldChar w:fldCharType="begin"/>
        </w:r>
        <w:r>
          <w:rPr>
            <w:noProof/>
            <w:webHidden/>
          </w:rPr>
          <w:instrText xml:space="preserve"> PAGEREF _Toc535853839 \h </w:instrText>
        </w:r>
        <w:r>
          <w:rPr>
            <w:noProof/>
            <w:webHidden/>
          </w:rPr>
        </w:r>
        <w:r>
          <w:rPr>
            <w:noProof/>
            <w:webHidden/>
          </w:rPr>
          <w:fldChar w:fldCharType="separate"/>
        </w:r>
        <w:r>
          <w:rPr>
            <w:noProof/>
            <w:webHidden/>
          </w:rPr>
          <w:t>73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40" w:history="1">
        <w:r w:rsidRPr="00F149F6">
          <w:rPr>
            <w:rStyle w:val="Hyperlink"/>
            <w:noProof/>
            <w:lang w:val="pt-PT"/>
          </w:rPr>
          <w:t>8.06. cikk Kenőolaj tárolása, csövek és tartozékok</w:t>
        </w:r>
        <w:r>
          <w:rPr>
            <w:noProof/>
            <w:webHidden/>
          </w:rPr>
          <w:tab/>
        </w:r>
        <w:r>
          <w:rPr>
            <w:noProof/>
            <w:webHidden/>
          </w:rPr>
          <w:fldChar w:fldCharType="begin"/>
        </w:r>
        <w:r>
          <w:rPr>
            <w:noProof/>
            <w:webHidden/>
          </w:rPr>
          <w:instrText xml:space="preserve"> PAGEREF _Toc535853840 \h </w:instrText>
        </w:r>
        <w:r>
          <w:rPr>
            <w:noProof/>
            <w:webHidden/>
          </w:rPr>
        </w:r>
        <w:r>
          <w:rPr>
            <w:noProof/>
            <w:webHidden/>
          </w:rPr>
          <w:fldChar w:fldCharType="separate"/>
        </w:r>
        <w:r>
          <w:rPr>
            <w:noProof/>
            <w:webHidden/>
          </w:rPr>
          <w:t>75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41" w:history="1">
        <w:r w:rsidRPr="00F149F6">
          <w:rPr>
            <w:rStyle w:val="Hyperlink"/>
            <w:noProof/>
            <w:lang w:val="pt-PT"/>
          </w:rPr>
          <w:t>8.07. cikk Az erőátviteli rendszerben, a vezérlő- és indítórendszerben, valamint a fűtőrendszerben, a csövekben és tartozékokban használt olaj tárolása</w:t>
        </w:r>
        <w:r>
          <w:rPr>
            <w:noProof/>
            <w:webHidden/>
          </w:rPr>
          <w:tab/>
        </w:r>
        <w:r>
          <w:rPr>
            <w:noProof/>
            <w:webHidden/>
          </w:rPr>
          <w:fldChar w:fldCharType="begin"/>
        </w:r>
        <w:r>
          <w:rPr>
            <w:noProof/>
            <w:webHidden/>
          </w:rPr>
          <w:instrText xml:space="preserve"> PAGEREF _Toc535853841 \h </w:instrText>
        </w:r>
        <w:r>
          <w:rPr>
            <w:noProof/>
            <w:webHidden/>
          </w:rPr>
        </w:r>
        <w:r>
          <w:rPr>
            <w:noProof/>
            <w:webHidden/>
          </w:rPr>
          <w:fldChar w:fldCharType="separate"/>
        </w:r>
        <w:r>
          <w:rPr>
            <w:noProof/>
            <w:webHidden/>
          </w:rPr>
          <w:t>77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42" w:history="1">
        <w:r w:rsidRPr="00F149F6">
          <w:rPr>
            <w:rStyle w:val="Hyperlink"/>
            <w:noProof/>
            <w:lang w:val="pt-PT"/>
          </w:rPr>
          <w:t>8.08. cikk Fenékvízszivattyúk és vízelvezető rendszerek</w:t>
        </w:r>
        <w:r>
          <w:rPr>
            <w:noProof/>
            <w:webHidden/>
          </w:rPr>
          <w:tab/>
        </w:r>
        <w:r>
          <w:rPr>
            <w:noProof/>
            <w:webHidden/>
          </w:rPr>
          <w:fldChar w:fldCharType="begin"/>
        </w:r>
        <w:r>
          <w:rPr>
            <w:noProof/>
            <w:webHidden/>
          </w:rPr>
          <w:instrText xml:space="preserve"> PAGEREF _Toc535853842 \h </w:instrText>
        </w:r>
        <w:r>
          <w:rPr>
            <w:noProof/>
            <w:webHidden/>
          </w:rPr>
        </w:r>
        <w:r>
          <w:rPr>
            <w:noProof/>
            <w:webHidden/>
          </w:rPr>
          <w:fldChar w:fldCharType="separate"/>
        </w:r>
        <w:r>
          <w:rPr>
            <w:noProof/>
            <w:webHidden/>
          </w:rPr>
          <w:t>79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43" w:history="1">
        <w:r w:rsidRPr="00F149F6">
          <w:rPr>
            <w:rStyle w:val="Hyperlink"/>
            <w:noProof/>
            <w:lang w:val="es-ES"/>
          </w:rPr>
          <w:t>8.09. cikk Olajos víz és fáradtolaj tárolása</w:t>
        </w:r>
        <w:r>
          <w:rPr>
            <w:noProof/>
            <w:webHidden/>
          </w:rPr>
          <w:tab/>
        </w:r>
        <w:r>
          <w:rPr>
            <w:noProof/>
            <w:webHidden/>
          </w:rPr>
          <w:fldChar w:fldCharType="begin"/>
        </w:r>
        <w:r>
          <w:rPr>
            <w:noProof/>
            <w:webHidden/>
          </w:rPr>
          <w:instrText xml:space="preserve"> PAGEREF _Toc535853843 \h </w:instrText>
        </w:r>
        <w:r>
          <w:rPr>
            <w:noProof/>
            <w:webHidden/>
          </w:rPr>
        </w:r>
        <w:r>
          <w:rPr>
            <w:noProof/>
            <w:webHidden/>
          </w:rPr>
          <w:fldChar w:fldCharType="separate"/>
        </w:r>
        <w:r>
          <w:rPr>
            <w:noProof/>
            <w:webHidden/>
          </w:rPr>
          <w:t>82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44" w:history="1">
        <w:r w:rsidRPr="00F149F6">
          <w:rPr>
            <w:rStyle w:val="Hyperlink"/>
            <w:noProof/>
            <w:lang w:val="es-ES"/>
          </w:rPr>
          <w:t>8.10. cikk A hajók által keltett zaj</w:t>
        </w:r>
        <w:r>
          <w:rPr>
            <w:noProof/>
            <w:webHidden/>
          </w:rPr>
          <w:tab/>
        </w:r>
        <w:r>
          <w:rPr>
            <w:noProof/>
            <w:webHidden/>
          </w:rPr>
          <w:fldChar w:fldCharType="begin"/>
        </w:r>
        <w:r>
          <w:rPr>
            <w:noProof/>
            <w:webHidden/>
          </w:rPr>
          <w:instrText xml:space="preserve"> PAGEREF _Toc535853844 \h </w:instrText>
        </w:r>
        <w:r>
          <w:rPr>
            <w:noProof/>
            <w:webHidden/>
          </w:rPr>
        </w:r>
        <w:r>
          <w:rPr>
            <w:noProof/>
            <w:webHidden/>
          </w:rPr>
          <w:fldChar w:fldCharType="separate"/>
        </w:r>
        <w:r>
          <w:rPr>
            <w:noProof/>
            <w:webHidden/>
          </w:rPr>
          <w:t>83</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845" w:history="1">
        <w:r w:rsidRPr="00F149F6">
          <w:rPr>
            <w:rStyle w:val="Hyperlink"/>
            <w:noProof/>
            <w:lang w:val="es-ES"/>
          </w:rPr>
          <w:t>9. fejezet A belső égésű motorok gáz- és szilárd halmazállapotú szennyezőanyag-kibocsátása</w:t>
        </w:r>
        <w:r>
          <w:rPr>
            <w:noProof/>
            <w:webHidden/>
          </w:rPr>
          <w:tab/>
        </w:r>
        <w:r>
          <w:rPr>
            <w:noProof/>
            <w:webHidden/>
          </w:rPr>
          <w:fldChar w:fldCharType="begin"/>
        </w:r>
        <w:r>
          <w:rPr>
            <w:noProof/>
            <w:webHidden/>
          </w:rPr>
          <w:instrText xml:space="preserve"> PAGEREF _Toc535853845 \h </w:instrText>
        </w:r>
        <w:r>
          <w:rPr>
            <w:noProof/>
            <w:webHidden/>
          </w:rPr>
        </w:r>
        <w:r>
          <w:rPr>
            <w:noProof/>
            <w:webHidden/>
          </w:rPr>
          <w:fldChar w:fldCharType="separate"/>
        </w:r>
        <w:r>
          <w:rPr>
            <w:noProof/>
            <w:webHidden/>
          </w:rPr>
          <w:t>84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46" w:history="1">
        <w:r w:rsidRPr="00F149F6">
          <w:rPr>
            <w:rStyle w:val="Hyperlink"/>
            <w:noProof/>
            <w:lang w:val="es-ES"/>
          </w:rPr>
          <w:t>9.00. cikk Fogalommeghatározások</w:t>
        </w:r>
        <w:r>
          <w:rPr>
            <w:noProof/>
            <w:webHidden/>
          </w:rPr>
          <w:tab/>
        </w:r>
        <w:r>
          <w:rPr>
            <w:noProof/>
            <w:webHidden/>
          </w:rPr>
          <w:fldChar w:fldCharType="begin"/>
        </w:r>
        <w:r>
          <w:rPr>
            <w:noProof/>
            <w:webHidden/>
          </w:rPr>
          <w:instrText xml:space="preserve"> PAGEREF _Toc535853846 \h </w:instrText>
        </w:r>
        <w:r>
          <w:rPr>
            <w:noProof/>
            <w:webHidden/>
          </w:rPr>
        </w:r>
        <w:r>
          <w:rPr>
            <w:noProof/>
            <w:webHidden/>
          </w:rPr>
          <w:fldChar w:fldCharType="separate"/>
        </w:r>
        <w:r>
          <w:rPr>
            <w:noProof/>
            <w:webHidden/>
          </w:rPr>
          <w:t>84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47" w:history="1">
        <w:r w:rsidRPr="00F149F6">
          <w:rPr>
            <w:rStyle w:val="Hyperlink"/>
            <w:noProof/>
            <w:lang w:val="es-ES"/>
          </w:rPr>
          <w:t>9.01. cikk Általános rendelkezések</w:t>
        </w:r>
        <w:r>
          <w:rPr>
            <w:noProof/>
            <w:webHidden/>
          </w:rPr>
          <w:tab/>
        </w:r>
        <w:r>
          <w:rPr>
            <w:noProof/>
            <w:webHidden/>
          </w:rPr>
          <w:fldChar w:fldCharType="begin"/>
        </w:r>
        <w:r>
          <w:rPr>
            <w:noProof/>
            <w:webHidden/>
          </w:rPr>
          <w:instrText xml:space="preserve"> PAGEREF _Toc535853847 \h </w:instrText>
        </w:r>
        <w:r>
          <w:rPr>
            <w:noProof/>
            <w:webHidden/>
          </w:rPr>
        </w:r>
        <w:r>
          <w:rPr>
            <w:noProof/>
            <w:webHidden/>
          </w:rPr>
          <w:fldChar w:fldCharType="separate"/>
        </w:r>
        <w:r>
          <w:rPr>
            <w:noProof/>
            <w:webHidden/>
          </w:rPr>
          <w:t>85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48" w:history="1">
        <w:r w:rsidRPr="00F149F6">
          <w:rPr>
            <w:rStyle w:val="Hyperlink"/>
            <w:noProof/>
            <w:lang w:val="nb-NO"/>
          </w:rPr>
          <w:t>9.02. cikk Bejegyzés a belvízi hajóbizonyítványba</w:t>
        </w:r>
        <w:r>
          <w:rPr>
            <w:noProof/>
            <w:webHidden/>
          </w:rPr>
          <w:tab/>
        </w:r>
        <w:r>
          <w:rPr>
            <w:noProof/>
            <w:webHidden/>
          </w:rPr>
          <w:fldChar w:fldCharType="begin"/>
        </w:r>
        <w:r>
          <w:rPr>
            <w:noProof/>
            <w:webHidden/>
          </w:rPr>
          <w:instrText xml:space="preserve"> PAGEREF _Toc535853848 \h </w:instrText>
        </w:r>
        <w:r>
          <w:rPr>
            <w:noProof/>
            <w:webHidden/>
          </w:rPr>
        </w:r>
        <w:r>
          <w:rPr>
            <w:noProof/>
            <w:webHidden/>
          </w:rPr>
          <w:fldChar w:fldCharType="separate"/>
        </w:r>
        <w:r>
          <w:rPr>
            <w:noProof/>
            <w:webHidden/>
          </w:rPr>
          <w:t>86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49" w:history="1">
        <w:r w:rsidRPr="00F149F6">
          <w:rPr>
            <w:rStyle w:val="Hyperlink"/>
            <w:noProof/>
            <w:lang w:val="nb-NO"/>
          </w:rPr>
          <w:t>9.03. cikk A belső égésű motorok beépítésével kapcsolatos rendelkezés</w:t>
        </w:r>
        <w:r>
          <w:rPr>
            <w:noProof/>
            <w:webHidden/>
          </w:rPr>
          <w:tab/>
        </w:r>
        <w:r>
          <w:rPr>
            <w:noProof/>
            <w:webHidden/>
          </w:rPr>
          <w:fldChar w:fldCharType="begin"/>
        </w:r>
        <w:r>
          <w:rPr>
            <w:noProof/>
            <w:webHidden/>
          </w:rPr>
          <w:instrText xml:space="preserve"> PAGEREF _Toc535853849 \h </w:instrText>
        </w:r>
        <w:r>
          <w:rPr>
            <w:noProof/>
            <w:webHidden/>
          </w:rPr>
        </w:r>
        <w:r>
          <w:rPr>
            <w:noProof/>
            <w:webHidden/>
          </w:rPr>
          <w:fldChar w:fldCharType="separate"/>
        </w:r>
        <w:r>
          <w:rPr>
            <w:noProof/>
            <w:webHidden/>
          </w:rPr>
          <w:t>86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50" w:history="1">
        <w:r w:rsidRPr="00F149F6">
          <w:rPr>
            <w:rStyle w:val="Hyperlink"/>
            <w:noProof/>
            <w:lang w:val="nb-NO"/>
          </w:rPr>
          <w:t>9.04. cikk A motor gyártójának utasításai</w:t>
        </w:r>
        <w:r>
          <w:rPr>
            <w:noProof/>
            <w:webHidden/>
          </w:rPr>
          <w:tab/>
        </w:r>
        <w:r>
          <w:rPr>
            <w:noProof/>
            <w:webHidden/>
          </w:rPr>
          <w:fldChar w:fldCharType="begin"/>
        </w:r>
        <w:r>
          <w:rPr>
            <w:noProof/>
            <w:webHidden/>
          </w:rPr>
          <w:instrText xml:space="preserve"> PAGEREF _Toc535853850 \h </w:instrText>
        </w:r>
        <w:r>
          <w:rPr>
            <w:noProof/>
            <w:webHidden/>
          </w:rPr>
        </w:r>
        <w:r>
          <w:rPr>
            <w:noProof/>
            <w:webHidden/>
          </w:rPr>
          <w:fldChar w:fldCharType="separate"/>
        </w:r>
        <w:r>
          <w:rPr>
            <w:noProof/>
            <w:webHidden/>
          </w:rPr>
          <w:t>87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51" w:history="1">
        <w:r w:rsidRPr="00F149F6">
          <w:rPr>
            <w:rStyle w:val="Hyperlink"/>
            <w:noProof/>
            <w:lang w:val="nb-NO"/>
          </w:rPr>
          <w:t>9.05. cikk A belső égésű motorok vizsgálatai</w:t>
        </w:r>
        <w:r>
          <w:rPr>
            <w:noProof/>
            <w:webHidden/>
          </w:rPr>
          <w:tab/>
        </w:r>
        <w:r>
          <w:rPr>
            <w:noProof/>
            <w:webHidden/>
          </w:rPr>
          <w:fldChar w:fldCharType="begin"/>
        </w:r>
        <w:r>
          <w:rPr>
            <w:noProof/>
            <w:webHidden/>
          </w:rPr>
          <w:instrText xml:space="preserve"> PAGEREF _Toc535853851 \h </w:instrText>
        </w:r>
        <w:r>
          <w:rPr>
            <w:noProof/>
            <w:webHidden/>
          </w:rPr>
        </w:r>
        <w:r>
          <w:rPr>
            <w:noProof/>
            <w:webHidden/>
          </w:rPr>
          <w:fldChar w:fldCharType="separate"/>
        </w:r>
        <w:r>
          <w:rPr>
            <w:noProof/>
            <w:webHidden/>
          </w:rPr>
          <w:t>88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52" w:history="1">
        <w:r w:rsidRPr="00F149F6">
          <w:rPr>
            <w:rStyle w:val="Hyperlink"/>
            <w:noProof/>
            <w:lang w:val="nb-NO"/>
          </w:rPr>
          <w:t>9.06. cikk Átvételi vizsgálatok</w:t>
        </w:r>
        <w:r>
          <w:rPr>
            <w:noProof/>
            <w:webHidden/>
          </w:rPr>
          <w:tab/>
        </w:r>
        <w:r>
          <w:rPr>
            <w:noProof/>
            <w:webHidden/>
          </w:rPr>
          <w:fldChar w:fldCharType="begin"/>
        </w:r>
        <w:r>
          <w:rPr>
            <w:noProof/>
            <w:webHidden/>
          </w:rPr>
          <w:instrText xml:space="preserve"> PAGEREF _Toc535853852 \h </w:instrText>
        </w:r>
        <w:r>
          <w:rPr>
            <w:noProof/>
            <w:webHidden/>
          </w:rPr>
        </w:r>
        <w:r>
          <w:rPr>
            <w:noProof/>
            <w:webHidden/>
          </w:rPr>
          <w:fldChar w:fldCharType="separate"/>
        </w:r>
        <w:r>
          <w:rPr>
            <w:noProof/>
            <w:webHidden/>
          </w:rPr>
          <w:t>88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53" w:history="1">
        <w:r w:rsidRPr="00F149F6">
          <w:rPr>
            <w:rStyle w:val="Hyperlink"/>
            <w:noProof/>
            <w:lang w:val="nb-NO"/>
          </w:rPr>
          <w:t>9.07. cikk Időközi vizsgálatok</w:t>
        </w:r>
        <w:r>
          <w:rPr>
            <w:noProof/>
            <w:webHidden/>
          </w:rPr>
          <w:tab/>
        </w:r>
        <w:r>
          <w:rPr>
            <w:noProof/>
            <w:webHidden/>
          </w:rPr>
          <w:fldChar w:fldCharType="begin"/>
        </w:r>
        <w:r>
          <w:rPr>
            <w:noProof/>
            <w:webHidden/>
          </w:rPr>
          <w:instrText xml:space="preserve"> PAGEREF _Toc535853853 \h </w:instrText>
        </w:r>
        <w:r>
          <w:rPr>
            <w:noProof/>
            <w:webHidden/>
          </w:rPr>
        </w:r>
        <w:r>
          <w:rPr>
            <w:noProof/>
            <w:webHidden/>
          </w:rPr>
          <w:fldChar w:fldCharType="separate"/>
        </w:r>
        <w:r>
          <w:rPr>
            <w:noProof/>
            <w:webHidden/>
          </w:rPr>
          <w:t>90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54" w:history="1">
        <w:r w:rsidRPr="00F149F6">
          <w:rPr>
            <w:rStyle w:val="Hyperlink"/>
            <w:noProof/>
            <w:lang w:val="nb-NO"/>
          </w:rPr>
          <w:t>9.08. cikk Rendkívüli vizsgálatok</w:t>
        </w:r>
        <w:r>
          <w:rPr>
            <w:noProof/>
            <w:webHidden/>
          </w:rPr>
          <w:tab/>
        </w:r>
        <w:r>
          <w:rPr>
            <w:noProof/>
            <w:webHidden/>
          </w:rPr>
          <w:fldChar w:fldCharType="begin"/>
        </w:r>
        <w:r>
          <w:rPr>
            <w:noProof/>
            <w:webHidden/>
          </w:rPr>
          <w:instrText xml:space="preserve"> PAGEREF _Toc535853854 \h </w:instrText>
        </w:r>
        <w:r>
          <w:rPr>
            <w:noProof/>
            <w:webHidden/>
          </w:rPr>
        </w:r>
        <w:r>
          <w:rPr>
            <w:noProof/>
            <w:webHidden/>
          </w:rPr>
          <w:fldChar w:fldCharType="separate"/>
        </w:r>
        <w:r>
          <w:rPr>
            <w:noProof/>
            <w:webHidden/>
          </w:rPr>
          <w:t>90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55" w:history="1">
        <w:r w:rsidRPr="00F149F6">
          <w:rPr>
            <w:rStyle w:val="Hyperlink"/>
            <w:noProof/>
            <w:lang w:val="nb-NO"/>
          </w:rPr>
          <w:t>9.09. cikk A kipufogógáz-utókezelő rendszerekre vonatkozó külön követelmények</w:t>
        </w:r>
        <w:r>
          <w:rPr>
            <w:noProof/>
            <w:webHidden/>
          </w:rPr>
          <w:tab/>
        </w:r>
        <w:r>
          <w:rPr>
            <w:noProof/>
            <w:webHidden/>
          </w:rPr>
          <w:fldChar w:fldCharType="begin"/>
        </w:r>
        <w:r>
          <w:rPr>
            <w:noProof/>
            <w:webHidden/>
          </w:rPr>
          <w:instrText xml:space="preserve"> PAGEREF _Toc535853855 \h </w:instrText>
        </w:r>
        <w:r>
          <w:rPr>
            <w:noProof/>
            <w:webHidden/>
          </w:rPr>
        </w:r>
        <w:r>
          <w:rPr>
            <w:noProof/>
            <w:webHidden/>
          </w:rPr>
          <w:fldChar w:fldCharType="separate"/>
        </w:r>
        <w:r>
          <w:rPr>
            <w:noProof/>
            <w:webHidden/>
          </w:rPr>
          <w:t>90</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856" w:history="1">
        <w:r w:rsidRPr="00F149F6">
          <w:rPr>
            <w:rStyle w:val="Hyperlink"/>
            <w:noProof/>
            <w:lang w:val="nb-NO"/>
          </w:rPr>
          <w:t>10. fejezet Elektromos berendezések és felszerelések</w:t>
        </w:r>
        <w:r>
          <w:rPr>
            <w:noProof/>
            <w:webHidden/>
          </w:rPr>
          <w:tab/>
        </w:r>
        <w:r>
          <w:rPr>
            <w:noProof/>
            <w:webHidden/>
          </w:rPr>
          <w:fldChar w:fldCharType="begin"/>
        </w:r>
        <w:r>
          <w:rPr>
            <w:noProof/>
            <w:webHidden/>
          </w:rPr>
          <w:instrText xml:space="preserve"> PAGEREF _Toc535853856 \h </w:instrText>
        </w:r>
        <w:r>
          <w:rPr>
            <w:noProof/>
            <w:webHidden/>
          </w:rPr>
        </w:r>
        <w:r>
          <w:rPr>
            <w:noProof/>
            <w:webHidden/>
          </w:rPr>
          <w:fldChar w:fldCharType="separate"/>
        </w:r>
        <w:r>
          <w:rPr>
            <w:noProof/>
            <w:webHidden/>
          </w:rPr>
          <w:t>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57" w:history="1">
        <w:r w:rsidRPr="00F149F6">
          <w:rPr>
            <w:rStyle w:val="Hyperlink"/>
            <w:noProof/>
            <w:lang w:val="nb-NO"/>
          </w:rPr>
          <w:t>10.01. cikk Általános rendelkezések</w:t>
        </w:r>
        <w:r>
          <w:rPr>
            <w:noProof/>
            <w:webHidden/>
          </w:rPr>
          <w:tab/>
        </w:r>
        <w:r>
          <w:rPr>
            <w:noProof/>
            <w:webHidden/>
          </w:rPr>
          <w:fldChar w:fldCharType="begin"/>
        </w:r>
        <w:r>
          <w:rPr>
            <w:noProof/>
            <w:webHidden/>
          </w:rPr>
          <w:instrText xml:space="preserve"> PAGEREF _Toc535853857 \h </w:instrText>
        </w:r>
        <w:r>
          <w:rPr>
            <w:noProof/>
            <w:webHidden/>
          </w:rPr>
        </w:r>
        <w:r>
          <w:rPr>
            <w:noProof/>
            <w:webHidden/>
          </w:rPr>
          <w:fldChar w:fldCharType="separate"/>
        </w:r>
        <w:r>
          <w:rPr>
            <w:noProof/>
            <w:webHidden/>
          </w:rPr>
          <w:t>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58" w:history="1">
        <w:r w:rsidRPr="00F149F6">
          <w:rPr>
            <w:rStyle w:val="Hyperlink"/>
            <w:noProof/>
            <w:lang w:val="nb-NO"/>
          </w:rPr>
          <w:t>10.02. cikk Áramellátó rendszerek</w:t>
        </w:r>
        <w:r>
          <w:rPr>
            <w:noProof/>
            <w:webHidden/>
          </w:rPr>
          <w:tab/>
        </w:r>
        <w:r>
          <w:rPr>
            <w:noProof/>
            <w:webHidden/>
          </w:rPr>
          <w:fldChar w:fldCharType="begin"/>
        </w:r>
        <w:r>
          <w:rPr>
            <w:noProof/>
            <w:webHidden/>
          </w:rPr>
          <w:instrText xml:space="preserve"> PAGEREF _Toc535853858 \h </w:instrText>
        </w:r>
        <w:r>
          <w:rPr>
            <w:noProof/>
            <w:webHidden/>
          </w:rPr>
        </w:r>
        <w:r>
          <w:rPr>
            <w:noProof/>
            <w:webHidden/>
          </w:rPr>
          <w:fldChar w:fldCharType="separate"/>
        </w:r>
        <w:r>
          <w:rPr>
            <w:noProof/>
            <w:webHidden/>
          </w:rPr>
          <w:t>95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59" w:history="1">
        <w:r w:rsidRPr="00F149F6">
          <w:rPr>
            <w:rStyle w:val="Hyperlink"/>
            <w:noProof/>
            <w:lang w:val="nb-NO"/>
          </w:rPr>
          <w:t>10.03. cikk Védelem veszélyes alkatrészekhez való hozzáférés, szilárd idegen tárgyak és víz behatolása ellen</w:t>
        </w:r>
        <w:r>
          <w:rPr>
            <w:noProof/>
            <w:webHidden/>
          </w:rPr>
          <w:tab/>
        </w:r>
        <w:r>
          <w:rPr>
            <w:noProof/>
            <w:webHidden/>
          </w:rPr>
          <w:fldChar w:fldCharType="begin"/>
        </w:r>
        <w:r>
          <w:rPr>
            <w:noProof/>
            <w:webHidden/>
          </w:rPr>
          <w:instrText xml:space="preserve"> PAGEREF _Toc535853859 \h </w:instrText>
        </w:r>
        <w:r>
          <w:rPr>
            <w:noProof/>
            <w:webHidden/>
          </w:rPr>
        </w:r>
        <w:r>
          <w:rPr>
            <w:noProof/>
            <w:webHidden/>
          </w:rPr>
          <w:fldChar w:fldCharType="separate"/>
        </w:r>
        <w:r>
          <w:rPr>
            <w:noProof/>
            <w:webHidden/>
          </w:rPr>
          <w:t>96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60" w:history="1">
        <w:r w:rsidRPr="00F149F6">
          <w:rPr>
            <w:rStyle w:val="Hyperlink"/>
            <w:noProof/>
          </w:rPr>
          <w:t>10.04. cikk Robbanásvédelem</w:t>
        </w:r>
        <w:r>
          <w:rPr>
            <w:noProof/>
            <w:webHidden/>
          </w:rPr>
          <w:tab/>
        </w:r>
        <w:r>
          <w:rPr>
            <w:noProof/>
            <w:webHidden/>
          </w:rPr>
          <w:fldChar w:fldCharType="begin"/>
        </w:r>
        <w:r>
          <w:rPr>
            <w:noProof/>
            <w:webHidden/>
          </w:rPr>
          <w:instrText xml:space="preserve"> PAGEREF _Toc535853860 \h </w:instrText>
        </w:r>
        <w:r>
          <w:rPr>
            <w:noProof/>
            <w:webHidden/>
          </w:rPr>
        </w:r>
        <w:r>
          <w:rPr>
            <w:noProof/>
            <w:webHidden/>
          </w:rPr>
          <w:fldChar w:fldCharType="separate"/>
        </w:r>
        <w:r>
          <w:rPr>
            <w:noProof/>
            <w:webHidden/>
          </w:rPr>
          <w:t>96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61" w:history="1">
        <w:r w:rsidRPr="00F149F6">
          <w:rPr>
            <w:rStyle w:val="Hyperlink"/>
            <w:noProof/>
          </w:rPr>
          <w:t>10.05. cikk Földelés</w:t>
        </w:r>
        <w:r>
          <w:rPr>
            <w:noProof/>
            <w:webHidden/>
          </w:rPr>
          <w:tab/>
        </w:r>
        <w:r>
          <w:rPr>
            <w:noProof/>
            <w:webHidden/>
          </w:rPr>
          <w:fldChar w:fldCharType="begin"/>
        </w:r>
        <w:r>
          <w:rPr>
            <w:noProof/>
            <w:webHidden/>
          </w:rPr>
          <w:instrText xml:space="preserve"> PAGEREF _Toc535853861 \h </w:instrText>
        </w:r>
        <w:r>
          <w:rPr>
            <w:noProof/>
            <w:webHidden/>
          </w:rPr>
        </w:r>
        <w:r>
          <w:rPr>
            <w:noProof/>
            <w:webHidden/>
          </w:rPr>
          <w:fldChar w:fldCharType="separate"/>
        </w:r>
        <w:r>
          <w:rPr>
            <w:noProof/>
            <w:webHidden/>
          </w:rPr>
          <w:t>98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62" w:history="1">
        <w:r w:rsidRPr="00F149F6">
          <w:rPr>
            <w:rStyle w:val="Hyperlink"/>
            <w:noProof/>
          </w:rPr>
          <w:t>10.06. cikk Legnagyobb megengedett feszültség</w:t>
        </w:r>
        <w:r>
          <w:rPr>
            <w:noProof/>
            <w:webHidden/>
          </w:rPr>
          <w:tab/>
        </w:r>
        <w:r>
          <w:rPr>
            <w:noProof/>
            <w:webHidden/>
          </w:rPr>
          <w:fldChar w:fldCharType="begin"/>
        </w:r>
        <w:r>
          <w:rPr>
            <w:noProof/>
            <w:webHidden/>
          </w:rPr>
          <w:instrText xml:space="preserve"> PAGEREF _Toc535853862 \h </w:instrText>
        </w:r>
        <w:r>
          <w:rPr>
            <w:noProof/>
            <w:webHidden/>
          </w:rPr>
        </w:r>
        <w:r>
          <w:rPr>
            <w:noProof/>
            <w:webHidden/>
          </w:rPr>
          <w:fldChar w:fldCharType="separate"/>
        </w:r>
        <w:r>
          <w:rPr>
            <w:noProof/>
            <w:webHidden/>
          </w:rPr>
          <w:t>101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63" w:history="1">
        <w:r w:rsidRPr="00F149F6">
          <w:rPr>
            <w:rStyle w:val="Hyperlink"/>
            <w:noProof/>
          </w:rPr>
          <w:t>10.07. cikk Elosztórendszerek</w:t>
        </w:r>
        <w:r>
          <w:rPr>
            <w:noProof/>
            <w:webHidden/>
          </w:rPr>
          <w:tab/>
        </w:r>
        <w:r>
          <w:rPr>
            <w:noProof/>
            <w:webHidden/>
          </w:rPr>
          <w:fldChar w:fldCharType="begin"/>
        </w:r>
        <w:r>
          <w:rPr>
            <w:noProof/>
            <w:webHidden/>
          </w:rPr>
          <w:instrText xml:space="preserve"> PAGEREF _Toc535853863 \h </w:instrText>
        </w:r>
        <w:r>
          <w:rPr>
            <w:noProof/>
            <w:webHidden/>
          </w:rPr>
        </w:r>
        <w:r>
          <w:rPr>
            <w:noProof/>
            <w:webHidden/>
          </w:rPr>
          <w:fldChar w:fldCharType="separate"/>
        </w:r>
        <w:r>
          <w:rPr>
            <w:noProof/>
            <w:webHidden/>
          </w:rPr>
          <w:t>103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64" w:history="1">
        <w:r w:rsidRPr="00F149F6">
          <w:rPr>
            <w:rStyle w:val="Hyperlink"/>
            <w:noProof/>
          </w:rPr>
          <w:t>10.08. cikk Parti vagy egyéb külső hálózati csatlakozók</w:t>
        </w:r>
        <w:r>
          <w:rPr>
            <w:noProof/>
            <w:webHidden/>
          </w:rPr>
          <w:tab/>
        </w:r>
        <w:r>
          <w:rPr>
            <w:noProof/>
            <w:webHidden/>
          </w:rPr>
          <w:fldChar w:fldCharType="begin"/>
        </w:r>
        <w:r>
          <w:rPr>
            <w:noProof/>
            <w:webHidden/>
          </w:rPr>
          <w:instrText xml:space="preserve"> PAGEREF _Toc535853864 \h </w:instrText>
        </w:r>
        <w:r>
          <w:rPr>
            <w:noProof/>
            <w:webHidden/>
          </w:rPr>
        </w:r>
        <w:r>
          <w:rPr>
            <w:noProof/>
            <w:webHidden/>
          </w:rPr>
          <w:fldChar w:fldCharType="separate"/>
        </w:r>
        <w:r>
          <w:rPr>
            <w:noProof/>
            <w:webHidden/>
          </w:rPr>
          <w:t>103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65" w:history="1">
        <w:r w:rsidRPr="00F149F6">
          <w:rPr>
            <w:rStyle w:val="Hyperlink"/>
            <w:noProof/>
          </w:rPr>
          <w:t>10.09. cikk Más vízi jármű árammal való ellátása</w:t>
        </w:r>
        <w:r>
          <w:rPr>
            <w:noProof/>
            <w:webHidden/>
          </w:rPr>
          <w:tab/>
        </w:r>
        <w:r>
          <w:rPr>
            <w:noProof/>
            <w:webHidden/>
          </w:rPr>
          <w:fldChar w:fldCharType="begin"/>
        </w:r>
        <w:r>
          <w:rPr>
            <w:noProof/>
            <w:webHidden/>
          </w:rPr>
          <w:instrText xml:space="preserve"> PAGEREF _Toc535853865 \h </w:instrText>
        </w:r>
        <w:r>
          <w:rPr>
            <w:noProof/>
            <w:webHidden/>
          </w:rPr>
        </w:r>
        <w:r>
          <w:rPr>
            <w:noProof/>
            <w:webHidden/>
          </w:rPr>
          <w:fldChar w:fldCharType="separate"/>
        </w:r>
        <w:r>
          <w:rPr>
            <w:noProof/>
            <w:webHidden/>
          </w:rPr>
          <w:t>105</w:t>
        </w:r>
        <w:r>
          <w:rPr>
            <w:noProof/>
            <w:webHidden/>
          </w:rPr>
          <w:fldChar w:fldCharType="end"/>
        </w:r>
      </w:hyperlink>
      <w:bookmarkStart w:id="0" w:name="_GoBack"/>
      <w:bookmarkEnd w:id="0"/>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66" w:history="1">
        <w:r w:rsidRPr="00F149F6">
          <w:rPr>
            <w:rStyle w:val="Hyperlink"/>
            <w:noProof/>
          </w:rPr>
          <w:t>10.10. cikk Generátorok, motorok és transzformátorok</w:t>
        </w:r>
        <w:r>
          <w:rPr>
            <w:noProof/>
            <w:webHidden/>
          </w:rPr>
          <w:tab/>
        </w:r>
        <w:r>
          <w:rPr>
            <w:noProof/>
            <w:webHidden/>
          </w:rPr>
          <w:fldChar w:fldCharType="begin"/>
        </w:r>
        <w:r>
          <w:rPr>
            <w:noProof/>
            <w:webHidden/>
          </w:rPr>
          <w:instrText xml:space="preserve"> PAGEREF _Toc535853866 \h </w:instrText>
        </w:r>
        <w:r>
          <w:rPr>
            <w:noProof/>
            <w:webHidden/>
          </w:rPr>
        </w:r>
        <w:r>
          <w:rPr>
            <w:noProof/>
            <w:webHidden/>
          </w:rPr>
          <w:fldChar w:fldCharType="separate"/>
        </w:r>
        <w:r>
          <w:rPr>
            <w:noProof/>
            <w:webHidden/>
          </w:rPr>
          <w:t>105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67" w:history="1">
        <w:r w:rsidRPr="00F149F6">
          <w:rPr>
            <w:rStyle w:val="Hyperlink"/>
            <w:noProof/>
          </w:rPr>
          <w:t>10.11. cikk Szárazelemek, akkumulátorok és azok töltőberendezései</w:t>
        </w:r>
        <w:r>
          <w:rPr>
            <w:noProof/>
            <w:webHidden/>
          </w:rPr>
          <w:tab/>
        </w:r>
        <w:r>
          <w:rPr>
            <w:noProof/>
            <w:webHidden/>
          </w:rPr>
          <w:fldChar w:fldCharType="begin"/>
        </w:r>
        <w:r>
          <w:rPr>
            <w:noProof/>
            <w:webHidden/>
          </w:rPr>
          <w:instrText xml:space="preserve"> PAGEREF _Toc535853867 \h </w:instrText>
        </w:r>
        <w:r>
          <w:rPr>
            <w:noProof/>
            <w:webHidden/>
          </w:rPr>
        </w:r>
        <w:r>
          <w:rPr>
            <w:noProof/>
            <w:webHidden/>
          </w:rPr>
          <w:fldChar w:fldCharType="separate"/>
        </w:r>
        <w:r>
          <w:rPr>
            <w:noProof/>
            <w:webHidden/>
          </w:rPr>
          <w:t>107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68" w:history="1">
        <w:r w:rsidRPr="00F149F6">
          <w:rPr>
            <w:rStyle w:val="Hyperlink"/>
            <w:noProof/>
            <w:lang w:val="es-ES"/>
          </w:rPr>
          <w:t>10.12. cikk Kapcsolóberendezés és vezérlőberendezés</w:t>
        </w:r>
        <w:r>
          <w:rPr>
            <w:noProof/>
            <w:webHidden/>
          </w:rPr>
          <w:tab/>
        </w:r>
        <w:r>
          <w:rPr>
            <w:noProof/>
            <w:webHidden/>
          </w:rPr>
          <w:fldChar w:fldCharType="begin"/>
        </w:r>
        <w:r>
          <w:rPr>
            <w:noProof/>
            <w:webHidden/>
          </w:rPr>
          <w:instrText xml:space="preserve"> PAGEREF _Toc535853868 \h </w:instrText>
        </w:r>
        <w:r>
          <w:rPr>
            <w:noProof/>
            <w:webHidden/>
          </w:rPr>
        </w:r>
        <w:r>
          <w:rPr>
            <w:noProof/>
            <w:webHidden/>
          </w:rPr>
          <w:fldChar w:fldCharType="separate"/>
        </w:r>
        <w:r>
          <w:rPr>
            <w:noProof/>
            <w:webHidden/>
          </w:rPr>
          <w:t>111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69" w:history="1">
        <w:r w:rsidRPr="00F149F6">
          <w:rPr>
            <w:rStyle w:val="Hyperlink"/>
            <w:noProof/>
            <w:lang w:val="es-ES"/>
          </w:rPr>
          <w:t>10.13. cikk Vészhelyzeti áramkör-megszakító berendezések</w:t>
        </w:r>
        <w:r>
          <w:rPr>
            <w:noProof/>
            <w:webHidden/>
          </w:rPr>
          <w:tab/>
        </w:r>
        <w:r>
          <w:rPr>
            <w:noProof/>
            <w:webHidden/>
          </w:rPr>
          <w:fldChar w:fldCharType="begin"/>
        </w:r>
        <w:r>
          <w:rPr>
            <w:noProof/>
            <w:webHidden/>
          </w:rPr>
          <w:instrText xml:space="preserve"> PAGEREF _Toc535853869 \h </w:instrText>
        </w:r>
        <w:r>
          <w:rPr>
            <w:noProof/>
            <w:webHidden/>
          </w:rPr>
        </w:r>
        <w:r>
          <w:rPr>
            <w:noProof/>
            <w:webHidden/>
          </w:rPr>
          <w:fldChar w:fldCharType="separate"/>
        </w:r>
        <w:r>
          <w:rPr>
            <w:noProof/>
            <w:webHidden/>
          </w:rPr>
          <w:t>113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70" w:history="1">
        <w:r w:rsidRPr="00F149F6">
          <w:rPr>
            <w:rStyle w:val="Hyperlink"/>
            <w:noProof/>
            <w:lang w:val="es-ES"/>
          </w:rPr>
          <w:t>10.14. cikk Berendezések szerelvényei</w:t>
        </w:r>
        <w:r>
          <w:rPr>
            <w:noProof/>
            <w:webHidden/>
          </w:rPr>
          <w:tab/>
        </w:r>
        <w:r>
          <w:rPr>
            <w:noProof/>
            <w:webHidden/>
          </w:rPr>
          <w:fldChar w:fldCharType="begin"/>
        </w:r>
        <w:r>
          <w:rPr>
            <w:noProof/>
            <w:webHidden/>
          </w:rPr>
          <w:instrText xml:space="preserve"> PAGEREF _Toc535853870 \h </w:instrText>
        </w:r>
        <w:r>
          <w:rPr>
            <w:noProof/>
            <w:webHidden/>
          </w:rPr>
        </w:r>
        <w:r>
          <w:rPr>
            <w:noProof/>
            <w:webHidden/>
          </w:rPr>
          <w:fldChar w:fldCharType="separate"/>
        </w:r>
        <w:r>
          <w:rPr>
            <w:noProof/>
            <w:webHidden/>
          </w:rPr>
          <w:t>113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71" w:history="1">
        <w:r w:rsidRPr="00F149F6">
          <w:rPr>
            <w:rStyle w:val="Hyperlink"/>
            <w:noProof/>
            <w:lang w:val="es-ES"/>
          </w:rPr>
          <w:t>10.15. cikk Kábelek, szigetelt kábelek és kábelrendszerek</w:t>
        </w:r>
        <w:r>
          <w:rPr>
            <w:noProof/>
            <w:webHidden/>
          </w:rPr>
          <w:tab/>
        </w:r>
        <w:r>
          <w:rPr>
            <w:noProof/>
            <w:webHidden/>
          </w:rPr>
          <w:fldChar w:fldCharType="begin"/>
        </w:r>
        <w:r>
          <w:rPr>
            <w:noProof/>
            <w:webHidden/>
          </w:rPr>
          <w:instrText xml:space="preserve"> PAGEREF _Toc535853871 \h </w:instrText>
        </w:r>
        <w:r>
          <w:rPr>
            <w:noProof/>
            <w:webHidden/>
          </w:rPr>
        </w:r>
        <w:r>
          <w:rPr>
            <w:noProof/>
            <w:webHidden/>
          </w:rPr>
          <w:fldChar w:fldCharType="separate"/>
        </w:r>
        <w:r>
          <w:rPr>
            <w:noProof/>
            <w:webHidden/>
          </w:rPr>
          <w:t>115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72" w:history="1">
        <w:r w:rsidRPr="00F149F6">
          <w:rPr>
            <w:rStyle w:val="Hyperlink"/>
            <w:noProof/>
            <w:lang w:val="es-ES"/>
          </w:rPr>
          <w:t>10.16. cikk Világítási berendezések</w:t>
        </w:r>
        <w:r>
          <w:rPr>
            <w:noProof/>
            <w:webHidden/>
          </w:rPr>
          <w:tab/>
        </w:r>
        <w:r>
          <w:rPr>
            <w:noProof/>
            <w:webHidden/>
          </w:rPr>
          <w:fldChar w:fldCharType="begin"/>
        </w:r>
        <w:r>
          <w:rPr>
            <w:noProof/>
            <w:webHidden/>
          </w:rPr>
          <w:instrText xml:space="preserve"> PAGEREF _Toc535853872 \h </w:instrText>
        </w:r>
        <w:r>
          <w:rPr>
            <w:noProof/>
            <w:webHidden/>
          </w:rPr>
        </w:r>
        <w:r>
          <w:rPr>
            <w:noProof/>
            <w:webHidden/>
          </w:rPr>
          <w:fldChar w:fldCharType="separate"/>
        </w:r>
        <w:r>
          <w:rPr>
            <w:noProof/>
            <w:webHidden/>
          </w:rPr>
          <w:t>117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73" w:history="1">
        <w:r w:rsidRPr="00F149F6">
          <w:rPr>
            <w:rStyle w:val="Hyperlink"/>
            <w:noProof/>
            <w:lang w:val="es-ES"/>
          </w:rPr>
          <w:t>10.17. cikk Navigációs fények</w:t>
        </w:r>
        <w:r>
          <w:rPr>
            <w:noProof/>
            <w:webHidden/>
          </w:rPr>
          <w:tab/>
        </w:r>
        <w:r>
          <w:rPr>
            <w:noProof/>
            <w:webHidden/>
          </w:rPr>
          <w:fldChar w:fldCharType="begin"/>
        </w:r>
        <w:r>
          <w:rPr>
            <w:noProof/>
            <w:webHidden/>
          </w:rPr>
          <w:instrText xml:space="preserve"> PAGEREF _Toc535853873 \h </w:instrText>
        </w:r>
        <w:r>
          <w:rPr>
            <w:noProof/>
            <w:webHidden/>
          </w:rPr>
        </w:r>
        <w:r>
          <w:rPr>
            <w:noProof/>
            <w:webHidden/>
          </w:rPr>
          <w:fldChar w:fldCharType="separate"/>
        </w:r>
        <w:r>
          <w:rPr>
            <w:noProof/>
            <w:webHidden/>
          </w:rPr>
          <w:t>118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74" w:history="1">
        <w:r w:rsidRPr="00F149F6">
          <w:rPr>
            <w:rStyle w:val="Hyperlink"/>
            <w:noProof/>
            <w:lang w:val="es-ES"/>
          </w:rPr>
          <w:t>10.18. cikk Teljesítményelektronikai átalakító</w:t>
        </w:r>
        <w:r>
          <w:rPr>
            <w:noProof/>
            <w:webHidden/>
          </w:rPr>
          <w:tab/>
        </w:r>
        <w:r>
          <w:rPr>
            <w:noProof/>
            <w:webHidden/>
          </w:rPr>
          <w:fldChar w:fldCharType="begin"/>
        </w:r>
        <w:r>
          <w:rPr>
            <w:noProof/>
            <w:webHidden/>
          </w:rPr>
          <w:instrText xml:space="preserve"> PAGEREF _Toc535853874 \h </w:instrText>
        </w:r>
        <w:r>
          <w:rPr>
            <w:noProof/>
            <w:webHidden/>
          </w:rPr>
        </w:r>
        <w:r>
          <w:rPr>
            <w:noProof/>
            <w:webHidden/>
          </w:rPr>
          <w:fldChar w:fldCharType="separate"/>
        </w:r>
        <w:r>
          <w:rPr>
            <w:noProof/>
            <w:webHidden/>
          </w:rPr>
          <w:t>119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75" w:history="1">
        <w:r w:rsidRPr="00F149F6">
          <w:rPr>
            <w:rStyle w:val="Hyperlink"/>
            <w:noProof/>
            <w:lang w:val="es-ES"/>
          </w:rPr>
          <w:t>10.19. cikk Mechanikus berendezések riasztó- és biztonsági rendszerei</w:t>
        </w:r>
        <w:r>
          <w:rPr>
            <w:noProof/>
            <w:webHidden/>
          </w:rPr>
          <w:tab/>
        </w:r>
        <w:r>
          <w:rPr>
            <w:noProof/>
            <w:webHidden/>
          </w:rPr>
          <w:fldChar w:fldCharType="begin"/>
        </w:r>
        <w:r>
          <w:rPr>
            <w:noProof/>
            <w:webHidden/>
          </w:rPr>
          <w:instrText xml:space="preserve"> PAGEREF _Toc535853875 \h </w:instrText>
        </w:r>
        <w:r>
          <w:rPr>
            <w:noProof/>
            <w:webHidden/>
          </w:rPr>
        </w:r>
        <w:r>
          <w:rPr>
            <w:noProof/>
            <w:webHidden/>
          </w:rPr>
          <w:fldChar w:fldCharType="separate"/>
        </w:r>
        <w:r>
          <w:rPr>
            <w:noProof/>
            <w:webHidden/>
          </w:rPr>
          <w:t>121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76" w:history="1">
        <w:r w:rsidRPr="00F149F6">
          <w:rPr>
            <w:rStyle w:val="Hyperlink"/>
            <w:noProof/>
            <w:lang w:val="es-ES"/>
          </w:rPr>
          <w:t>10.20. cikk Elektronikus rendszerek vizsgálati feltételei</w:t>
        </w:r>
        <w:r>
          <w:rPr>
            <w:noProof/>
            <w:webHidden/>
          </w:rPr>
          <w:tab/>
        </w:r>
        <w:r>
          <w:rPr>
            <w:noProof/>
            <w:webHidden/>
          </w:rPr>
          <w:fldChar w:fldCharType="begin"/>
        </w:r>
        <w:r>
          <w:rPr>
            <w:noProof/>
            <w:webHidden/>
          </w:rPr>
          <w:instrText xml:space="preserve"> PAGEREF _Toc535853876 \h </w:instrText>
        </w:r>
        <w:r>
          <w:rPr>
            <w:noProof/>
            <w:webHidden/>
          </w:rPr>
        </w:r>
        <w:r>
          <w:rPr>
            <w:noProof/>
            <w:webHidden/>
          </w:rPr>
          <w:fldChar w:fldCharType="separate"/>
        </w:r>
        <w:r>
          <w:rPr>
            <w:noProof/>
            <w:webHidden/>
          </w:rPr>
          <w:t>122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77" w:history="1">
        <w:r w:rsidRPr="00F149F6">
          <w:rPr>
            <w:rStyle w:val="Hyperlink"/>
            <w:noProof/>
            <w:lang w:val="pt-PT"/>
          </w:rPr>
          <w:t>10.21. cikk Elektromágneses kompatibilitás</w:t>
        </w:r>
        <w:r>
          <w:rPr>
            <w:noProof/>
            <w:webHidden/>
          </w:rPr>
          <w:tab/>
        </w:r>
        <w:r>
          <w:rPr>
            <w:noProof/>
            <w:webHidden/>
          </w:rPr>
          <w:fldChar w:fldCharType="begin"/>
        </w:r>
        <w:r>
          <w:rPr>
            <w:noProof/>
            <w:webHidden/>
          </w:rPr>
          <w:instrText xml:space="preserve"> PAGEREF _Toc535853877 \h </w:instrText>
        </w:r>
        <w:r>
          <w:rPr>
            <w:noProof/>
            <w:webHidden/>
          </w:rPr>
        </w:r>
        <w:r>
          <w:rPr>
            <w:noProof/>
            <w:webHidden/>
          </w:rPr>
          <w:fldChar w:fldCharType="separate"/>
        </w:r>
        <w:r>
          <w:rPr>
            <w:noProof/>
            <w:webHidden/>
          </w:rPr>
          <w:t>125</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878" w:history="1">
        <w:r w:rsidRPr="00F149F6">
          <w:rPr>
            <w:rStyle w:val="Hyperlink"/>
            <w:noProof/>
            <w:lang w:val="pt-PT"/>
          </w:rPr>
          <w:t>11. fejezet Elektromos propulziós rendszerek</w:t>
        </w:r>
        <w:r>
          <w:rPr>
            <w:noProof/>
            <w:webHidden/>
          </w:rPr>
          <w:tab/>
        </w:r>
        <w:r>
          <w:rPr>
            <w:noProof/>
            <w:webHidden/>
          </w:rPr>
          <w:fldChar w:fldCharType="begin"/>
        </w:r>
        <w:r>
          <w:rPr>
            <w:noProof/>
            <w:webHidden/>
          </w:rPr>
          <w:instrText xml:space="preserve"> PAGEREF _Toc535853878 \h </w:instrText>
        </w:r>
        <w:r>
          <w:rPr>
            <w:noProof/>
            <w:webHidden/>
          </w:rPr>
        </w:r>
        <w:r>
          <w:rPr>
            <w:noProof/>
            <w:webHidden/>
          </w:rPr>
          <w:fldChar w:fldCharType="separate"/>
        </w:r>
        <w:r>
          <w:rPr>
            <w:noProof/>
            <w:webHidden/>
          </w:rPr>
          <w:t>127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879" w:history="1">
        <w:r w:rsidRPr="00F149F6">
          <w:rPr>
            <w:rStyle w:val="Hyperlink"/>
            <w:noProof/>
            <w:lang w:val="pt-PT"/>
          </w:rPr>
          <w:t>12. fejezet Elektronikus berendezések és rendszerek</w:t>
        </w:r>
        <w:r>
          <w:rPr>
            <w:noProof/>
            <w:webHidden/>
          </w:rPr>
          <w:tab/>
        </w:r>
        <w:r>
          <w:rPr>
            <w:noProof/>
            <w:webHidden/>
          </w:rPr>
          <w:fldChar w:fldCharType="begin"/>
        </w:r>
        <w:r>
          <w:rPr>
            <w:noProof/>
            <w:webHidden/>
          </w:rPr>
          <w:instrText xml:space="preserve"> PAGEREF _Toc535853879 \h </w:instrText>
        </w:r>
        <w:r>
          <w:rPr>
            <w:noProof/>
            <w:webHidden/>
          </w:rPr>
        </w:r>
        <w:r>
          <w:rPr>
            <w:noProof/>
            <w:webHidden/>
          </w:rPr>
          <w:fldChar w:fldCharType="separate"/>
        </w:r>
        <w:r>
          <w:rPr>
            <w:noProof/>
            <w:webHidden/>
          </w:rPr>
          <w:t>129</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880" w:history="1">
        <w:r w:rsidRPr="00F149F6">
          <w:rPr>
            <w:rStyle w:val="Hyperlink"/>
            <w:noProof/>
            <w:lang w:val="pt-PT"/>
          </w:rPr>
          <w:t>13. fejezet Berendezések</w:t>
        </w:r>
        <w:r>
          <w:rPr>
            <w:noProof/>
            <w:webHidden/>
          </w:rPr>
          <w:tab/>
        </w:r>
        <w:r>
          <w:rPr>
            <w:noProof/>
            <w:webHidden/>
          </w:rPr>
          <w:fldChar w:fldCharType="begin"/>
        </w:r>
        <w:r>
          <w:rPr>
            <w:noProof/>
            <w:webHidden/>
          </w:rPr>
          <w:instrText xml:space="preserve"> PAGEREF _Toc535853880 \h </w:instrText>
        </w:r>
        <w:r>
          <w:rPr>
            <w:noProof/>
            <w:webHidden/>
          </w:rPr>
        </w:r>
        <w:r>
          <w:rPr>
            <w:noProof/>
            <w:webHidden/>
          </w:rPr>
          <w:fldChar w:fldCharType="separate"/>
        </w:r>
        <w:r>
          <w:rPr>
            <w:noProof/>
            <w:webHidden/>
          </w:rPr>
          <w:t>131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81" w:history="1">
        <w:r w:rsidRPr="00F149F6">
          <w:rPr>
            <w:rStyle w:val="Hyperlink"/>
            <w:noProof/>
            <w:lang w:val="pt-PT"/>
          </w:rPr>
          <w:t>13.01. cikk Horgonyberendezések</w:t>
        </w:r>
        <w:r>
          <w:rPr>
            <w:noProof/>
            <w:webHidden/>
          </w:rPr>
          <w:tab/>
        </w:r>
        <w:r>
          <w:rPr>
            <w:noProof/>
            <w:webHidden/>
          </w:rPr>
          <w:fldChar w:fldCharType="begin"/>
        </w:r>
        <w:r>
          <w:rPr>
            <w:noProof/>
            <w:webHidden/>
          </w:rPr>
          <w:instrText xml:space="preserve"> PAGEREF _Toc535853881 \h </w:instrText>
        </w:r>
        <w:r>
          <w:rPr>
            <w:noProof/>
            <w:webHidden/>
          </w:rPr>
        </w:r>
        <w:r>
          <w:rPr>
            <w:noProof/>
            <w:webHidden/>
          </w:rPr>
          <w:fldChar w:fldCharType="separate"/>
        </w:r>
        <w:r>
          <w:rPr>
            <w:noProof/>
            <w:webHidden/>
          </w:rPr>
          <w:t>131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82" w:history="1">
        <w:r w:rsidRPr="00F149F6">
          <w:rPr>
            <w:rStyle w:val="Hyperlink"/>
            <w:noProof/>
          </w:rPr>
          <w:t>13.02. cikk Egyéb felszerelések</w:t>
        </w:r>
        <w:r>
          <w:rPr>
            <w:noProof/>
            <w:webHidden/>
          </w:rPr>
          <w:tab/>
        </w:r>
        <w:r>
          <w:rPr>
            <w:noProof/>
            <w:webHidden/>
          </w:rPr>
          <w:fldChar w:fldCharType="begin"/>
        </w:r>
        <w:r>
          <w:rPr>
            <w:noProof/>
            <w:webHidden/>
          </w:rPr>
          <w:instrText xml:space="preserve"> PAGEREF _Toc535853882 \h </w:instrText>
        </w:r>
        <w:r>
          <w:rPr>
            <w:noProof/>
            <w:webHidden/>
          </w:rPr>
        </w:r>
        <w:r>
          <w:rPr>
            <w:noProof/>
            <w:webHidden/>
          </w:rPr>
          <w:fldChar w:fldCharType="separate"/>
        </w:r>
        <w:r>
          <w:rPr>
            <w:noProof/>
            <w:webHidden/>
          </w:rPr>
          <w:t>136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83" w:history="1">
        <w:r w:rsidRPr="00F149F6">
          <w:rPr>
            <w:rStyle w:val="Hyperlink"/>
            <w:noProof/>
            <w:lang w:val="it-IT"/>
          </w:rPr>
          <w:t>13.03. cikk Hordozható tűzoltó készülékek</w:t>
        </w:r>
        <w:r>
          <w:rPr>
            <w:noProof/>
            <w:webHidden/>
          </w:rPr>
          <w:tab/>
        </w:r>
        <w:r>
          <w:rPr>
            <w:noProof/>
            <w:webHidden/>
          </w:rPr>
          <w:fldChar w:fldCharType="begin"/>
        </w:r>
        <w:r>
          <w:rPr>
            <w:noProof/>
            <w:webHidden/>
          </w:rPr>
          <w:instrText xml:space="preserve"> PAGEREF _Toc535853883 \h </w:instrText>
        </w:r>
        <w:r>
          <w:rPr>
            <w:noProof/>
            <w:webHidden/>
          </w:rPr>
        </w:r>
        <w:r>
          <w:rPr>
            <w:noProof/>
            <w:webHidden/>
          </w:rPr>
          <w:fldChar w:fldCharType="separate"/>
        </w:r>
        <w:r>
          <w:rPr>
            <w:noProof/>
            <w:webHidden/>
          </w:rPr>
          <w:t>139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84" w:history="1">
        <w:r w:rsidRPr="00F149F6">
          <w:rPr>
            <w:rStyle w:val="Hyperlink"/>
            <w:noProof/>
            <w:lang w:val="it-IT"/>
          </w:rPr>
          <w:t>13.04. cikk A lakóterek, kormányállások és utasterek védelmét szolgáló tartósan rögzített tűzvédelmi rendszerek</w:t>
        </w:r>
        <w:r>
          <w:rPr>
            <w:noProof/>
            <w:webHidden/>
          </w:rPr>
          <w:tab/>
        </w:r>
        <w:r>
          <w:rPr>
            <w:noProof/>
            <w:webHidden/>
          </w:rPr>
          <w:fldChar w:fldCharType="begin"/>
        </w:r>
        <w:r>
          <w:rPr>
            <w:noProof/>
            <w:webHidden/>
          </w:rPr>
          <w:instrText xml:space="preserve"> PAGEREF _Toc535853884 \h </w:instrText>
        </w:r>
        <w:r>
          <w:rPr>
            <w:noProof/>
            <w:webHidden/>
          </w:rPr>
        </w:r>
        <w:r>
          <w:rPr>
            <w:noProof/>
            <w:webHidden/>
          </w:rPr>
          <w:fldChar w:fldCharType="separate"/>
        </w:r>
        <w:r>
          <w:rPr>
            <w:noProof/>
            <w:webHidden/>
          </w:rPr>
          <w:t>141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85" w:history="1">
        <w:r w:rsidRPr="00F149F6">
          <w:rPr>
            <w:rStyle w:val="Hyperlink"/>
            <w:noProof/>
            <w:lang w:val="it-IT"/>
          </w:rPr>
          <w:t>13.05. cikk A gépterek, kazánterek és szivattyúházak védelmét szolgáló tartósan rögzített tűzvédelmi rendszerek</w:t>
        </w:r>
        <w:r>
          <w:rPr>
            <w:noProof/>
            <w:webHidden/>
          </w:rPr>
          <w:tab/>
        </w:r>
        <w:r>
          <w:rPr>
            <w:noProof/>
            <w:webHidden/>
          </w:rPr>
          <w:fldChar w:fldCharType="begin"/>
        </w:r>
        <w:r>
          <w:rPr>
            <w:noProof/>
            <w:webHidden/>
          </w:rPr>
          <w:instrText xml:space="preserve"> PAGEREF _Toc535853885 \h </w:instrText>
        </w:r>
        <w:r>
          <w:rPr>
            <w:noProof/>
            <w:webHidden/>
          </w:rPr>
        </w:r>
        <w:r>
          <w:rPr>
            <w:noProof/>
            <w:webHidden/>
          </w:rPr>
          <w:fldChar w:fldCharType="separate"/>
        </w:r>
        <w:r>
          <w:rPr>
            <w:noProof/>
            <w:webHidden/>
          </w:rPr>
          <w:t>143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86" w:history="1">
        <w:r w:rsidRPr="00F149F6">
          <w:rPr>
            <w:rStyle w:val="Hyperlink"/>
            <w:noProof/>
            <w:lang w:val="pt-PT"/>
          </w:rPr>
          <w:t>13.06. cikk Tárgyak védelmét szolgáló tartósan rögzített tűzvédelmi rendszerek</w:t>
        </w:r>
        <w:r>
          <w:rPr>
            <w:noProof/>
            <w:webHidden/>
          </w:rPr>
          <w:tab/>
        </w:r>
        <w:r>
          <w:rPr>
            <w:noProof/>
            <w:webHidden/>
          </w:rPr>
          <w:fldChar w:fldCharType="begin"/>
        </w:r>
        <w:r>
          <w:rPr>
            <w:noProof/>
            <w:webHidden/>
          </w:rPr>
          <w:instrText xml:space="preserve"> PAGEREF _Toc535853886 \h </w:instrText>
        </w:r>
        <w:r>
          <w:rPr>
            <w:noProof/>
            <w:webHidden/>
          </w:rPr>
        </w:r>
        <w:r>
          <w:rPr>
            <w:noProof/>
            <w:webHidden/>
          </w:rPr>
          <w:fldChar w:fldCharType="separate"/>
        </w:r>
        <w:r>
          <w:rPr>
            <w:noProof/>
            <w:webHidden/>
          </w:rPr>
          <w:t>156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87" w:history="1">
        <w:r w:rsidRPr="00F149F6">
          <w:rPr>
            <w:rStyle w:val="Hyperlink"/>
            <w:noProof/>
            <w:lang w:val="pt-PT"/>
          </w:rPr>
          <w:t>13.07. cikk Szolgálati csónakok</w:t>
        </w:r>
        <w:r>
          <w:rPr>
            <w:noProof/>
            <w:webHidden/>
          </w:rPr>
          <w:tab/>
        </w:r>
        <w:r>
          <w:rPr>
            <w:noProof/>
            <w:webHidden/>
          </w:rPr>
          <w:fldChar w:fldCharType="begin"/>
        </w:r>
        <w:r>
          <w:rPr>
            <w:noProof/>
            <w:webHidden/>
          </w:rPr>
          <w:instrText xml:space="preserve"> PAGEREF _Toc535853887 \h </w:instrText>
        </w:r>
        <w:r>
          <w:rPr>
            <w:noProof/>
            <w:webHidden/>
          </w:rPr>
        </w:r>
        <w:r>
          <w:rPr>
            <w:noProof/>
            <w:webHidden/>
          </w:rPr>
          <w:fldChar w:fldCharType="separate"/>
        </w:r>
        <w:r>
          <w:rPr>
            <w:noProof/>
            <w:webHidden/>
          </w:rPr>
          <w:t>157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88" w:history="1">
        <w:r w:rsidRPr="00F149F6">
          <w:rPr>
            <w:rStyle w:val="Hyperlink"/>
            <w:noProof/>
            <w:lang w:val="pt-PT"/>
          </w:rPr>
          <w:t>13.08. cikk Mentőgyűrűk és mentőmellények</w:t>
        </w:r>
        <w:r>
          <w:rPr>
            <w:noProof/>
            <w:webHidden/>
          </w:rPr>
          <w:tab/>
        </w:r>
        <w:r>
          <w:rPr>
            <w:noProof/>
            <w:webHidden/>
          </w:rPr>
          <w:fldChar w:fldCharType="begin"/>
        </w:r>
        <w:r>
          <w:rPr>
            <w:noProof/>
            <w:webHidden/>
          </w:rPr>
          <w:instrText xml:space="preserve"> PAGEREF _Toc535853888 \h </w:instrText>
        </w:r>
        <w:r>
          <w:rPr>
            <w:noProof/>
            <w:webHidden/>
          </w:rPr>
        </w:r>
        <w:r>
          <w:rPr>
            <w:noProof/>
            <w:webHidden/>
          </w:rPr>
          <w:fldChar w:fldCharType="separate"/>
        </w:r>
        <w:r>
          <w:rPr>
            <w:noProof/>
            <w:webHidden/>
          </w:rPr>
          <w:t>157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889" w:history="1">
        <w:r w:rsidRPr="00F149F6">
          <w:rPr>
            <w:rStyle w:val="Hyperlink"/>
            <w:noProof/>
            <w:lang w:val="pt-PT"/>
          </w:rPr>
          <w:t>14. fejezet Biztonság a munkaállomásokon</w:t>
        </w:r>
        <w:r>
          <w:rPr>
            <w:noProof/>
            <w:webHidden/>
          </w:rPr>
          <w:tab/>
        </w:r>
        <w:r>
          <w:rPr>
            <w:noProof/>
            <w:webHidden/>
          </w:rPr>
          <w:fldChar w:fldCharType="begin"/>
        </w:r>
        <w:r>
          <w:rPr>
            <w:noProof/>
            <w:webHidden/>
          </w:rPr>
          <w:instrText xml:space="preserve"> PAGEREF _Toc535853889 \h </w:instrText>
        </w:r>
        <w:r>
          <w:rPr>
            <w:noProof/>
            <w:webHidden/>
          </w:rPr>
        </w:r>
        <w:r>
          <w:rPr>
            <w:noProof/>
            <w:webHidden/>
          </w:rPr>
          <w:fldChar w:fldCharType="separate"/>
        </w:r>
        <w:r>
          <w:rPr>
            <w:noProof/>
            <w:webHidden/>
          </w:rPr>
          <w:t>159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90" w:history="1">
        <w:r w:rsidRPr="00F149F6">
          <w:rPr>
            <w:rStyle w:val="Hyperlink"/>
            <w:noProof/>
            <w:lang w:val="pt-PT"/>
          </w:rPr>
          <w:t>14.01. cikk Általános rendelkezések</w:t>
        </w:r>
        <w:r>
          <w:rPr>
            <w:noProof/>
            <w:webHidden/>
          </w:rPr>
          <w:tab/>
        </w:r>
        <w:r>
          <w:rPr>
            <w:noProof/>
            <w:webHidden/>
          </w:rPr>
          <w:fldChar w:fldCharType="begin"/>
        </w:r>
        <w:r>
          <w:rPr>
            <w:noProof/>
            <w:webHidden/>
          </w:rPr>
          <w:instrText xml:space="preserve"> PAGEREF _Toc535853890 \h </w:instrText>
        </w:r>
        <w:r>
          <w:rPr>
            <w:noProof/>
            <w:webHidden/>
          </w:rPr>
        </w:r>
        <w:r>
          <w:rPr>
            <w:noProof/>
            <w:webHidden/>
          </w:rPr>
          <w:fldChar w:fldCharType="separate"/>
        </w:r>
        <w:r>
          <w:rPr>
            <w:noProof/>
            <w:webHidden/>
          </w:rPr>
          <w:t>159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91" w:history="1">
        <w:r w:rsidRPr="00F149F6">
          <w:rPr>
            <w:rStyle w:val="Hyperlink"/>
            <w:noProof/>
            <w:lang w:val="pt-PT"/>
          </w:rPr>
          <w:t>14.02. cikk Leesés elleni védelem</w:t>
        </w:r>
        <w:r>
          <w:rPr>
            <w:noProof/>
            <w:webHidden/>
          </w:rPr>
          <w:tab/>
        </w:r>
        <w:r>
          <w:rPr>
            <w:noProof/>
            <w:webHidden/>
          </w:rPr>
          <w:fldChar w:fldCharType="begin"/>
        </w:r>
        <w:r>
          <w:rPr>
            <w:noProof/>
            <w:webHidden/>
          </w:rPr>
          <w:instrText xml:space="preserve"> PAGEREF _Toc535853891 \h </w:instrText>
        </w:r>
        <w:r>
          <w:rPr>
            <w:noProof/>
            <w:webHidden/>
          </w:rPr>
        </w:r>
        <w:r>
          <w:rPr>
            <w:noProof/>
            <w:webHidden/>
          </w:rPr>
          <w:fldChar w:fldCharType="separate"/>
        </w:r>
        <w:r>
          <w:rPr>
            <w:noProof/>
            <w:webHidden/>
          </w:rPr>
          <w:t>159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92" w:history="1">
        <w:r w:rsidRPr="00F149F6">
          <w:rPr>
            <w:rStyle w:val="Hyperlink"/>
            <w:noProof/>
            <w:lang w:val="pt-PT"/>
          </w:rPr>
          <w:t>14.03. cikk A munkaállomások méretei</w:t>
        </w:r>
        <w:r>
          <w:rPr>
            <w:noProof/>
            <w:webHidden/>
          </w:rPr>
          <w:tab/>
        </w:r>
        <w:r>
          <w:rPr>
            <w:noProof/>
            <w:webHidden/>
          </w:rPr>
          <w:fldChar w:fldCharType="begin"/>
        </w:r>
        <w:r>
          <w:rPr>
            <w:noProof/>
            <w:webHidden/>
          </w:rPr>
          <w:instrText xml:space="preserve"> PAGEREF _Toc535853892 \h </w:instrText>
        </w:r>
        <w:r>
          <w:rPr>
            <w:noProof/>
            <w:webHidden/>
          </w:rPr>
        </w:r>
        <w:r>
          <w:rPr>
            <w:noProof/>
            <w:webHidden/>
          </w:rPr>
          <w:fldChar w:fldCharType="separate"/>
        </w:r>
        <w:r>
          <w:rPr>
            <w:noProof/>
            <w:webHidden/>
          </w:rPr>
          <w:t>161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93" w:history="1">
        <w:r w:rsidRPr="00F149F6">
          <w:rPr>
            <w:rStyle w:val="Hyperlink"/>
            <w:noProof/>
            <w:lang w:val="pt-PT"/>
          </w:rPr>
          <w:t>14.04. cikk Oldalfedélzetek</w:t>
        </w:r>
        <w:r>
          <w:rPr>
            <w:noProof/>
            <w:webHidden/>
          </w:rPr>
          <w:tab/>
        </w:r>
        <w:r>
          <w:rPr>
            <w:noProof/>
            <w:webHidden/>
          </w:rPr>
          <w:fldChar w:fldCharType="begin"/>
        </w:r>
        <w:r>
          <w:rPr>
            <w:noProof/>
            <w:webHidden/>
          </w:rPr>
          <w:instrText xml:space="preserve"> PAGEREF _Toc535853893 \h </w:instrText>
        </w:r>
        <w:r>
          <w:rPr>
            <w:noProof/>
            <w:webHidden/>
          </w:rPr>
        </w:r>
        <w:r>
          <w:rPr>
            <w:noProof/>
            <w:webHidden/>
          </w:rPr>
          <w:fldChar w:fldCharType="separate"/>
        </w:r>
        <w:r>
          <w:rPr>
            <w:noProof/>
            <w:webHidden/>
          </w:rPr>
          <w:t>161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94" w:history="1">
        <w:r w:rsidRPr="00F149F6">
          <w:rPr>
            <w:rStyle w:val="Hyperlink"/>
            <w:noProof/>
            <w:lang w:val="pt-PT"/>
          </w:rPr>
          <w:t>14.05. cikk A munkaállomások megközelítése</w:t>
        </w:r>
        <w:r>
          <w:rPr>
            <w:noProof/>
            <w:webHidden/>
          </w:rPr>
          <w:tab/>
        </w:r>
        <w:r>
          <w:rPr>
            <w:noProof/>
            <w:webHidden/>
          </w:rPr>
          <w:fldChar w:fldCharType="begin"/>
        </w:r>
        <w:r>
          <w:rPr>
            <w:noProof/>
            <w:webHidden/>
          </w:rPr>
          <w:instrText xml:space="preserve"> PAGEREF _Toc535853894 \h </w:instrText>
        </w:r>
        <w:r>
          <w:rPr>
            <w:noProof/>
            <w:webHidden/>
          </w:rPr>
        </w:r>
        <w:r>
          <w:rPr>
            <w:noProof/>
            <w:webHidden/>
          </w:rPr>
          <w:fldChar w:fldCharType="separate"/>
        </w:r>
        <w:r>
          <w:rPr>
            <w:noProof/>
            <w:webHidden/>
          </w:rPr>
          <w:t>161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95" w:history="1">
        <w:r w:rsidRPr="00F149F6">
          <w:rPr>
            <w:rStyle w:val="Hyperlink"/>
            <w:noProof/>
            <w:lang w:val="pt-PT"/>
          </w:rPr>
          <w:t>14.06. cikk Kijáratok és vészkijáratok</w:t>
        </w:r>
        <w:r>
          <w:rPr>
            <w:noProof/>
            <w:webHidden/>
          </w:rPr>
          <w:tab/>
        </w:r>
        <w:r>
          <w:rPr>
            <w:noProof/>
            <w:webHidden/>
          </w:rPr>
          <w:fldChar w:fldCharType="begin"/>
        </w:r>
        <w:r>
          <w:rPr>
            <w:noProof/>
            <w:webHidden/>
          </w:rPr>
          <w:instrText xml:space="preserve"> PAGEREF _Toc535853895 \h </w:instrText>
        </w:r>
        <w:r>
          <w:rPr>
            <w:noProof/>
            <w:webHidden/>
          </w:rPr>
        </w:r>
        <w:r>
          <w:rPr>
            <w:noProof/>
            <w:webHidden/>
          </w:rPr>
          <w:fldChar w:fldCharType="separate"/>
        </w:r>
        <w:r>
          <w:rPr>
            <w:noProof/>
            <w:webHidden/>
          </w:rPr>
          <w:t>163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96" w:history="1">
        <w:r w:rsidRPr="00F149F6">
          <w:rPr>
            <w:rStyle w:val="Hyperlink"/>
            <w:noProof/>
            <w:lang w:val="pt-PT"/>
          </w:rPr>
          <w:t>14.07. cikk Létrák, lépcsők és hasonló eszközök</w:t>
        </w:r>
        <w:r>
          <w:rPr>
            <w:noProof/>
            <w:webHidden/>
          </w:rPr>
          <w:tab/>
        </w:r>
        <w:r>
          <w:rPr>
            <w:noProof/>
            <w:webHidden/>
          </w:rPr>
          <w:fldChar w:fldCharType="begin"/>
        </w:r>
        <w:r>
          <w:rPr>
            <w:noProof/>
            <w:webHidden/>
          </w:rPr>
          <w:instrText xml:space="preserve"> PAGEREF _Toc535853896 \h </w:instrText>
        </w:r>
        <w:r>
          <w:rPr>
            <w:noProof/>
            <w:webHidden/>
          </w:rPr>
        </w:r>
        <w:r>
          <w:rPr>
            <w:noProof/>
            <w:webHidden/>
          </w:rPr>
          <w:fldChar w:fldCharType="separate"/>
        </w:r>
        <w:r>
          <w:rPr>
            <w:noProof/>
            <w:webHidden/>
          </w:rPr>
          <w:t>163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97" w:history="1">
        <w:r w:rsidRPr="00F149F6">
          <w:rPr>
            <w:rStyle w:val="Hyperlink"/>
            <w:noProof/>
            <w:lang w:val="pt-PT"/>
          </w:rPr>
          <w:t>14.08. cikk Belső terek</w:t>
        </w:r>
        <w:r>
          <w:rPr>
            <w:noProof/>
            <w:webHidden/>
          </w:rPr>
          <w:tab/>
        </w:r>
        <w:r>
          <w:rPr>
            <w:noProof/>
            <w:webHidden/>
          </w:rPr>
          <w:fldChar w:fldCharType="begin"/>
        </w:r>
        <w:r>
          <w:rPr>
            <w:noProof/>
            <w:webHidden/>
          </w:rPr>
          <w:instrText xml:space="preserve"> PAGEREF _Toc535853897 \h </w:instrText>
        </w:r>
        <w:r>
          <w:rPr>
            <w:noProof/>
            <w:webHidden/>
          </w:rPr>
        </w:r>
        <w:r>
          <w:rPr>
            <w:noProof/>
            <w:webHidden/>
          </w:rPr>
          <w:fldChar w:fldCharType="separate"/>
        </w:r>
        <w:r>
          <w:rPr>
            <w:noProof/>
            <w:webHidden/>
          </w:rPr>
          <w:t>164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98" w:history="1">
        <w:r w:rsidRPr="00F149F6">
          <w:rPr>
            <w:rStyle w:val="Hyperlink"/>
            <w:noProof/>
            <w:lang w:val="pt-PT"/>
          </w:rPr>
          <w:t>14.09. cikk Zaj- és rezgésvédelem</w:t>
        </w:r>
        <w:r>
          <w:rPr>
            <w:noProof/>
            <w:webHidden/>
          </w:rPr>
          <w:tab/>
        </w:r>
        <w:r>
          <w:rPr>
            <w:noProof/>
            <w:webHidden/>
          </w:rPr>
          <w:fldChar w:fldCharType="begin"/>
        </w:r>
        <w:r>
          <w:rPr>
            <w:noProof/>
            <w:webHidden/>
          </w:rPr>
          <w:instrText xml:space="preserve"> PAGEREF _Toc535853898 \h </w:instrText>
        </w:r>
        <w:r>
          <w:rPr>
            <w:noProof/>
            <w:webHidden/>
          </w:rPr>
        </w:r>
        <w:r>
          <w:rPr>
            <w:noProof/>
            <w:webHidden/>
          </w:rPr>
          <w:fldChar w:fldCharType="separate"/>
        </w:r>
        <w:r>
          <w:rPr>
            <w:noProof/>
            <w:webHidden/>
          </w:rPr>
          <w:t>165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899" w:history="1">
        <w:r w:rsidRPr="00F149F6">
          <w:rPr>
            <w:rStyle w:val="Hyperlink"/>
            <w:noProof/>
            <w:lang w:val="pt-PT"/>
          </w:rPr>
          <w:t>14.10. cikk Nyílásfedelek</w:t>
        </w:r>
        <w:r>
          <w:rPr>
            <w:noProof/>
            <w:webHidden/>
          </w:rPr>
          <w:tab/>
        </w:r>
        <w:r>
          <w:rPr>
            <w:noProof/>
            <w:webHidden/>
          </w:rPr>
          <w:fldChar w:fldCharType="begin"/>
        </w:r>
        <w:r>
          <w:rPr>
            <w:noProof/>
            <w:webHidden/>
          </w:rPr>
          <w:instrText xml:space="preserve"> PAGEREF _Toc535853899 \h </w:instrText>
        </w:r>
        <w:r>
          <w:rPr>
            <w:noProof/>
            <w:webHidden/>
          </w:rPr>
        </w:r>
        <w:r>
          <w:rPr>
            <w:noProof/>
            <w:webHidden/>
          </w:rPr>
          <w:fldChar w:fldCharType="separate"/>
        </w:r>
        <w:r>
          <w:rPr>
            <w:noProof/>
            <w:webHidden/>
          </w:rPr>
          <w:t>165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00" w:history="1">
        <w:r w:rsidRPr="00F149F6">
          <w:rPr>
            <w:rStyle w:val="Hyperlink"/>
            <w:noProof/>
            <w:lang w:val="pt-PT"/>
          </w:rPr>
          <w:t>14.11. cikk Csörlők</w:t>
        </w:r>
        <w:r>
          <w:rPr>
            <w:noProof/>
            <w:webHidden/>
          </w:rPr>
          <w:tab/>
        </w:r>
        <w:r>
          <w:rPr>
            <w:noProof/>
            <w:webHidden/>
          </w:rPr>
          <w:fldChar w:fldCharType="begin"/>
        </w:r>
        <w:r>
          <w:rPr>
            <w:noProof/>
            <w:webHidden/>
          </w:rPr>
          <w:instrText xml:space="preserve"> PAGEREF _Toc535853900 \h </w:instrText>
        </w:r>
        <w:r>
          <w:rPr>
            <w:noProof/>
            <w:webHidden/>
          </w:rPr>
        </w:r>
        <w:r>
          <w:rPr>
            <w:noProof/>
            <w:webHidden/>
          </w:rPr>
          <w:fldChar w:fldCharType="separate"/>
        </w:r>
        <w:r>
          <w:rPr>
            <w:noProof/>
            <w:webHidden/>
          </w:rPr>
          <w:t>167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01" w:history="1">
        <w:r w:rsidRPr="00F149F6">
          <w:rPr>
            <w:rStyle w:val="Hyperlink"/>
            <w:noProof/>
            <w:lang w:val="pt-PT"/>
          </w:rPr>
          <w:t>14.12. cikk Daruk</w:t>
        </w:r>
        <w:r>
          <w:rPr>
            <w:noProof/>
            <w:webHidden/>
          </w:rPr>
          <w:tab/>
        </w:r>
        <w:r>
          <w:rPr>
            <w:noProof/>
            <w:webHidden/>
          </w:rPr>
          <w:fldChar w:fldCharType="begin"/>
        </w:r>
        <w:r>
          <w:rPr>
            <w:noProof/>
            <w:webHidden/>
          </w:rPr>
          <w:instrText xml:space="preserve"> PAGEREF _Toc535853901 \h </w:instrText>
        </w:r>
        <w:r>
          <w:rPr>
            <w:noProof/>
            <w:webHidden/>
          </w:rPr>
        </w:r>
        <w:r>
          <w:rPr>
            <w:noProof/>
            <w:webHidden/>
          </w:rPr>
          <w:fldChar w:fldCharType="separate"/>
        </w:r>
        <w:r>
          <w:rPr>
            <w:noProof/>
            <w:webHidden/>
          </w:rPr>
          <w:t>167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02" w:history="1">
        <w:r w:rsidRPr="00F149F6">
          <w:rPr>
            <w:rStyle w:val="Hyperlink"/>
            <w:noProof/>
            <w:lang w:val="fr-FR"/>
          </w:rPr>
          <w:t>14.13. cikk Gyúlékony folyadékok tárolása</w:t>
        </w:r>
        <w:r>
          <w:rPr>
            <w:noProof/>
            <w:webHidden/>
          </w:rPr>
          <w:tab/>
        </w:r>
        <w:r>
          <w:rPr>
            <w:noProof/>
            <w:webHidden/>
          </w:rPr>
          <w:fldChar w:fldCharType="begin"/>
        </w:r>
        <w:r>
          <w:rPr>
            <w:noProof/>
            <w:webHidden/>
          </w:rPr>
          <w:instrText xml:space="preserve"> PAGEREF _Toc535853902 \h </w:instrText>
        </w:r>
        <w:r>
          <w:rPr>
            <w:noProof/>
            <w:webHidden/>
          </w:rPr>
        </w:r>
        <w:r>
          <w:rPr>
            <w:noProof/>
            <w:webHidden/>
          </w:rPr>
          <w:fldChar w:fldCharType="separate"/>
        </w:r>
        <w:r>
          <w:rPr>
            <w:noProof/>
            <w:webHidden/>
          </w:rPr>
          <w:t>170</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903" w:history="1">
        <w:r w:rsidRPr="00F149F6">
          <w:rPr>
            <w:rStyle w:val="Hyperlink"/>
            <w:noProof/>
            <w:lang w:val="fr-FR"/>
          </w:rPr>
          <w:t>15. fejezet Lakótér</w:t>
        </w:r>
        <w:r>
          <w:rPr>
            <w:noProof/>
            <w:webHidden/>
          </w:rPr>
          <w:tab/>
        </w:r>
        <w:r>
          <w:rPr>
            <w:noProof/>
            <w:webHidden/>
          </w:rPr>
          <w:fldChar w:fldCharType="begin"/>
        </w:r>
        <w:r>
          <w:rPr>
            <w:noProof/>
            <w:webHidden/>
          </w:rPr>
          <w:instrText xml:space="preserve"> PAGEREF _Toc535853903 \h </w:instrText>
        </w:r>
        <w:r>
          <w:rPr>
            <w:noProof/>
            <w:webHidden/>
          </w:rPr>
        </w:r>
        <w:r>
          <w:rPr>
            <w:noProof/>
            <w:webHidden/>
          </w:rPr>
          <w:fldChar w:fldCharType="separate"/>
        </w:r>
        <w:r>
          <w:rPr>
            <w:noProof/>
            <w:webHidden/>
          </w:rPr>
          <w:t>171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04" w:history="1">
        <w:r w:rsidRPr="00F149F6">
          <w:rPr>
            <w:rStyle w:val="Hyperlink"/>
            <w:noProof/>
            <w:lang w:val="fr-FR"/>
          </w:rPr>
          <w:t>15.01. cikk Általános rendelkezések</w:t>
        </w:r>
        <w:r>
          <w:rPr>
            <w:noProof/>
            <w:webHidden/>
          </w:rPr>
          <w:tab/>
        </w:r>
        <w:r>
          <w:rPr>
            <w:noProof/>
            <w:webHidden/>
          </w:rPr>
          <w:fldChar w:fldCharType="begin"/>
        </w:r>
        <w:r>
          <w:rPr>
            <w:noProof/>
            <w:webHidden/>
          </w:rPr>
          <w:instrText xml:space="preserve"> PAGEREF _Toc535853904 \h </w:instrText>
        </w:r>
        <w:r>
          <w:rPr>
            <w:noProof/>
            <w:webHidden/>
          </w:rPr>
        </w:r>
        <w:r>
          <w:rPr>
            <w:noProof/>
            <w:webHidden/>
          </w:rPr>
          <w:fldChar w:fldCharType="separate"/>
        </w:r>
        <w:r>
          <w:rPr>
            <w:noProof/>
            <w:webHidden/>
          </w:rPr>
          <w:t>171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05" w:history="1">
        <w:r w:rsidRPr="00F149F6">
          <w:rPr>
            <w:rStyle w:val="Hyperlink"/>
            <w:noProof/>
            <w:lang w:val="fr-FR"/>
          </w:rPr>
          <w:t>15.02. cikk A lakótérre vonatkozó különleges kialakítási követelmények</w:t>
        </w:r>
        <w:r>
          <w:rPr>
            <w:noProof/>
            <w:webHidden/>
          </w:rPr>
          <w:tab/>
        </w:r>
        <w:r>
          <w:rPr>
            <w:noProof/>
            <w:webHidden/>
          </w:rPr>
          <w:fldChar w:fldCharType="begin"/>
        </w:r>
        <w:r>
          <w:rPr>
            <w:noProof/>
            <w:webHidden/>
          </w:rPr>
          <w:instrText xml:space="preserve"> PAGEREF _Toc535853905 \h </w:instrText>
        </w:r>
        <w:r>
          <w:rPr>
            <w:noProof/>
            <w:webHidden/>
          </w:rPr>
        </w:r>
        <w:r>
          <w:rPr>
            <w:noProof/>
            <w:webHidden/>
          </w:rPr>
          <w:fldChar w:fldCharType="separate"/>
        </w:r>
        <w:r>
          <w:rPr>
            <w:noProof/>
            <w:webHidden/>
          </w:rPr>
          <w:t>171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06" w:history="1">
        <w:r w:rsidRPr="00F149F6">
          <w:rPr>
            <w:rStyle w:val="Hyperlink"/>
            <w:noProof/>
            <w:lang w:val="pt-PT"/>
          </w:rPr>
          <w:t>15.03. cikk Szaniterberendezések</w:t>
        </w:r>
        <w:r>
          <w:rPr>
            <w:noProof/>
            <w:webHidden/>
          </w:rPr>
          <w:tab/>
        </w:r>
        <w:r>
          <w:rPr>
            <w:noProof/>
            <w:webHidden/>
          </w:rPr>
          <w:fldChar w:fldCharType="begin"/>
        </w:r>
        <w:r>
          <w:rPr>
            <w:noProof/>
            <w:webHidden/>
          </w:rPr>
          <w:instrText xml:space="preserve"> PAGEREF _Toc535853906 \h </w:instrText>
        </w:r>
        <w:r>
          <w:rPr>
            <w:noProof/>
            <w:webHidden/>
          </w:rPr>
        </w:r>
        <w:r>
          <w:rPr>
            <w:noProof/>
            <w:webHidden/>
          </w:rPr>
          <w:fldChar w:fldCharType="separate"/>
        </w:r>
        <w:r>
          <w:rPr>
            <w:noProof/>
            <w:webHidden/>
          </w:rPr>
          <w:t>174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07" w:history="1">
        <w:r w:rsidRPr="00F149F6">
          <w:rPr>
            <w:rStyle w:val="Hyperlink"/>
            <w:noProof/>
            <w:lang w:val="pt-PT"/>
          </w:rPr>
          <w:t>15.04. cikk Konyhák</w:t>
        </w:r>
        <w:r>
          <w:rPr>
            <w:noProof/>
            <w:webHidden/>
          </w:rPr>
          <w:tab/>
        </w:r>
        <w:r>
          <w:rPr>
            <w:noProof/>
            <w:webHidden/>
          </w:rPr>
          <w:fldChar w:fldCharType="begin"/>
        </w:r>
        <w:r>
          <w:rPr>
            <w:noProof/>
            <w:webHidden/>
          </w:rPr>
          <w:instrText xml:space="preserve"> PAGEREF _Toc535853907 \h </w:instrText>
        </w:r>
        <w:r>
          <w:rPr>
            <w:noProof/>
            <w:webHidden/>
          </w:rPr>
        </w:r>
        <w:r>
          <w:rPr>
            <w:noProof/>
            <w:webHidden/>
          </w:rPr>
          <w:fldChar w:fldCharType="separate"/>
        </w:r>
        <w:r>
          <w:rPr>
            <w:noProof/>
            <w:webHidden/>
          </w:rPr>
          <w:t>175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08" w:history="1">
        <w:r w:rsidRPr="00F149F6">
          <w:rPr>
            <w:rStyle w:val="Hyperlink"/>
            <w:noProof/>
            <w:lang w:val="pt-PT"/>
          </w:rPr>
          <w:t>15.05. cikk Ivóvízellátásra szolgáló berendezések</w:t>
        </w:r>
        <w:r>
          <w:rPr>
            <w:noProof/>
            <w:webHidden/>
          </w:rPr>
          <w:tab/>
        </w:r>
        <w:r>
          <w:rPr>
            <w:noProof/>
            <w:webHidden/>
          </w:rPr>
          <w:fldChar w:fldCharType="begin"/>
        </w:r>
        <w:r>
          <w:rPr>
            <w:noProof/>
            <w:webHidden/>
          </w:rPr>
          <w:instrText xml:space="preserve"> PAGEREF _Toc535853908 \h </w:instrText>
        </w:r>
        <w:r>
          <w:rPr>
            <w:noProof/>
            <w:webHidden/>
          </w:rPr>
        </w:r>
        <w:r>
          <w:rPr>
            <w:noProof/>
            <w:webHidden/>
          </w:rPr>
          <w:fldChar w:fldCharType="separate"/>
        </w:r>
        <w:r>
          <w:rPr>
            <w:noProof/>
            <w:webHidden/>
          </w:rPr>
          <w:t>175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09" w:history="1">
        <w:r w:rsidRPr="00F149F6">
          <w:rPr>
            <w:rStyle w:val="Hyperlink"/>
            <w:noProof/>
            <w:lang w:val="pt-PT"/>
          </w:rPr>
          <w:t>15.06. cikk Fűtés és szellőzés</w:t>
        </w:r>
        <w:r>
          <w:rPr>
            <w:noProof/>
            <w:webHidden/>
          </w:rPr>
          <w:tab/>
        </w:r>
        <w:r>
          <w:rPr>
            <w:noProof/>
            <w:webHidden/>
          </w:rPr>
          <w:fldChar w:fldCharType="begin"/>
        </w:r>
        <w:r>
          <w:rPr>
            <w:noProof/>
            <w:webHidden/>
          </w:rPr>
          <w:instrText xml:space="preserve"> PAGEREF _Toc535853909 \h </w:instrText>
        </w:r>
        <w:r>
          <w:rPr>
            <w:noProof/>
            <w:webHidden/>
          </w:rPr>
        </w:r>
        <w:r>
          <w:rPr>
            <w:noProof/>
            <w:webHidden/>
          </w:rPr>
          <w:fldChar w:fldCharType="separate"/>
        </w:r>
        <w:r>
          <w:rPr>
            <w:noProof/>
            <w:webHidden/>
          </w:rPr>
          <w:t>177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10" w:history="1">
        <w:r w:rsidRPr="00F149F6">
          <w:rPr>
            <w:rStyle w:val="Hyperlink"/>
            <w:noProof/>
            <w:lang w:val="pt-PT"/>
          </w:rPr>
          <w:t>15.07. cikk Egyéb lakótéri berendezések</w:t>
        </w:r>
        <w:r>
          <w:rPr>
            <w:noProof/>
            <w:webHidden/>
          </w:rPr>
          <w:tab/>
        </w:r>
        <w:r>
          <w:rPr>
            <w:noProof/>
            <w:webHidden/>
          </w:rPr>
          <w:fldChar w:fldCharType="begin"/>
        </w:r>
        <w:r>
          <w:rPr>
            <w:noProof/>
            <w:webHidden/>
          </w:rPr>
          <w:instrText xml:space="preserve"> PAGEREF _Toc535853910 \h </w:instrText>
        </w:r>
        <w:r>
          <w:rPr>
            <w:noProof/>
            <w:webHidden/>
          </w:rPr>
        </w:r>
        <w:r>
          <w:rPr>
            <w:noProof/>
            <w:webHidden/>
          </w:rPr>
          <w:fldChar w:fldCharType="separate"/>
        </w:r>
        <w:r>
          <w:rPr>
            <w:noProof/>
            <w:webHidden/>
          </w:rPr>
          <w:t>177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911" w:history="1">
        <w:r w:rsidRPr="00F149F6">
          <w:rPr>
            <w:rStyle w:val="Hyperlink"/>
            <w:noProof/>
            <w:lang w:val="pt-PT"/>
          </w:rPr>
          <w:t>16. fejezet Tüzelőanyaggal működő fűtő-, főző- és hűtőberendezések</w:t>
        </w:r>
        <w:r>
          <w:rPr>
            <w:noProof/>
            <w:webHidden/>
          </w:rPr>
          <w:tab/>
        </w:r>
        <w:r>
          <w:rPr>
            <w:noProof/>
            <w:webHidden/>
          </w:rPr>
          <w:fldChar w:fldCharType="begin"/>
        </w:r>
        <w:r>
          <w:rPr>
            <w:noProof/>
            <w:webHidden/>
          </w:rPr>
          <w:instrText xml:space="preserve"> PAGEREF _Toc535853911 \h </w:instrText>
        </w:r>
        <w:r>
          <w:rPr>
            <w:noProof/>
            <w:webHidden/>
          </w:rPr>
        </w:r>
        <w:r>
          <w:rPr>
            <w:noProof/>
            <w:webHidden/>
          </w:rPr>
          <w:fldChar w:fldCharType="separate"/>
        </w:r>
        <w:r>
          <w:rPr>
            <w:noProof/>
            <w:webHidden/>
          </w:rPr>
          <w:t>179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12" w:history="1">
        <w:r w:rsidRPr="00F149F6">
          <w:rPr>
            <w:rStyle w:val="Hyperlink"/>
            <w:noProof/>
            <w:lang w:val="pt-PT"/>
          </w:rPr>
          <w:t>16.01. cikk Általános rendelkezések</w:t>
        </w:r>
        <w:r>
          <w:rPr>
            <w:noProof/>
            <w:webHidden/>
          </w:rPr>
          <w:tab/>
        </w:r>
        <w:r>
          <w:rPr>
            <w:noProof/>
            <w:webHidden/>
          </w:rPr>
          <w:fldChar w:fldCharType="begin"/>
        </w:r>
        <w:r>
          <w:rPr>
            <w:noProof/>
            <w:webHidden/>
          </w:rPr>
          <w:instrText xml:space="preserve"> PAGEREF _Toc535853912 \h </w:instrText>
        </w:r>
        <w:r>
          <w:rPr>
            <w:noProof/>
            <w:webHidden/>
          </w:rPr>
        </w:r>
        <w:r>
          <w:rPr>
            <w:noProof/>
            <w:webHidden/>
          </w:rPr>
          <w:fldChar w:fldCharType="separate"/>
        </w:r>
        <w:r>
          <w:rPr>
            <w:noProof/>
            <w:webHidden/>
          </w:rPr>
          <w:t>179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13" w:history="1">
        <w:r w:rsidRPr="00F149F6">
          <w:rPr>
            <w:rStyle w:val="Hyperlink"/>
            <w:noProof/>
            <w:lang w:val="pt-PT"/>
          </w:rPr>
          <w:t>16.02. cikk Folyékony tüzelőanyagok, olajtüzelésű berendezések használata</w:t>
        </w:r>
        <w:r>
          <w:rPr>
            <w:noProof/>
            <w:webHidden/>
          </w:rPr>
          <w:tab/>
        </w:r>
        <w:r>
          <w:rPr>
            <w:noProof/>
            <w:webHidden/>
          </w:rPr>
          <w:fldChar w:fldCharType="begin"/>
        </w:r>
        <w:r>
          <w:rPr>
            <w:noProof/>
            <w:webHidden/>
          </w:rPr>
          <w:instrText xml:space="preserve"> PAGEREF _Toc535853913 \h </w:instrText>
        </w:r>
        <w:r>
          <w:rPr>
            <w:noProof/>
            <w:webHidden/>
          </w:rPr>
        </w:r>
        <w:r>
          <w:rPr>
            <w:noProof/>
            <w:webHidden/>
          </w:rPr>
          <w:fldChar w:fldCharType="separate"/>
        </w:r>
        <w:r>
          <w:rPr>
            <w:noProof/>
            <w:webHidden/>
          </w:rPr>
          <w:t>179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14" w:history="1">
        <w:r w:rsidRPr="00F149F6">
          <w:rPr>
            <w:rStyle w:val="Hyperlink"/>
            <w:noProof/>
            <w:lang w:val="pt-PT"/>
          </w:rPr>
          <w:t>16.03. cikk Olajkályhák és porlasztós olajtüzelő berendezések</w:t>
        </w:r>
        <w:r>
          <w:rPr>
            <w:noProof/>
            <w:webHidden/>
          </w:rPr>
          <w:tab/>
        </w:r>
        <w:r>
          <w:rPr>
            <w:noProof/>
            <w:webHidden/>
          </w:rPr>
          <w:fldChar w:fldCharType="begin"/>
        </w:r>
        <w:r>
          <w:rPr>
            <w:noProof/>
            <w:webHidden/>
          </w:rPr>
          <w:instrText xml:space="preserve"> PAGEREF _Toc535853914 \h </w:instrText>
        </w:r>
        <w:r>
          <w:rPr>
            <w:noProof/>
            <w:webHidden/>
          </w:rPr>
        </w:r>
        <w:r>
          <w:rPr>
            <w:noProof/>
            <w:webHidden/>
          </w:rPr>
          <w:fldChar w:fldCharType="separate"/>
        </w:r>
        <w:r>
          <w:rPr>
            <w:noProof/>
            <w:webHidden/>
          </w:rPr>
          <w:t>180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15" w:history="1">
        <w:r w:rsidRPr="00F149F6">
          <w:rPr>
            <w:rStyle w:val="Hyperlink"/>
            <w:noProof/>
            <w:lang w:val="pt-PT"/>
          </w:rPr>
          <w:t>16.04. cikk Olajkályhák</w:t>
        </w:r>
        <w:r>
          <w:rPr>
            <w:noProof/>
            <w:webHidden/>
          </w:rPr>
          <w:tab/>
        </w:r>
        <w:r>
          <w:rPr>
            <w:noProof/>
            <w:webHidden/>
          </w:rPr>
          <w:fldChar w:fldCharType="begin"/>
        </w:r>
        <w:r>
          <w:rPr>
            <w:noProof/>
            <w:webHidden/>
          </w:rPr>
          <w:instrText xml:space="preserve"> PAGEREF _Toc535853915 \h </w:instrText>
        </w:r>
        <w:r>
          <w:rPr>
            <w:noProof/>
            <w:webHidden/>
          </w:rPr>
        </w:r>
        <w:r>
          <w:rPr>
            <w:noProof/>
            <w:webHidden/>
          </w:rPr>
          <w:fldChar w:fldCharType="separate"/>
        </w:r>
        <w:r>
          <w:rPr>
            <w:noProof/>
            <w:webHidden/>
          </w:rPr>
          <w:t>181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16" w:history="1">
        <w:r w:rsidRPr="00F149F6">
          <w:rPr>
            <w:rStyle w:val="Hyperlink"/>
            <w:noProof/>
            <w:lang w:val="pt-PT"/>
          </w:rPr>
          <w:t>16.05. cikk Porlasztós olajtüzelő berendezések</w:t>
        </w:r>
        <w:r>
          <w:rPr>
            <w:noProof/>
            <w:webHidden/>
          </w:rPr>
          <w:tab/>
        </w:r>
        <w:r>
          <w:rPr>
            <w:noProof/>
            <w:webHidden/>
          </w:rPr>
          <w:fldChar w:fldCharType="begin"/>
        </w:r>
        <w:r>
          <w:rPr>
            <w:noProof/>
            <w:webHidden/>
          </w:rPr>
          <w:instrText xml:space="preserve"> PAGEREF _Toc535853916 \h </w:instrText>
        </w:r>
        <w:r>
          <w:rPr>
            <w:noProof/>
            <w:webHidden/>
          </w:rPr>
        </w:r>
        <w:r>
          <w:rPr>
            <w:noProof/>
            <w:webHidden/>
          </w:rPr>
          <w:fldChar w:fldCharType="separate"/>
        </w:r>
        <w:r>
          <w:rPr>
            <w:noProof/>
            <w:webHidden/>
          </w:rPr>
          <w:t>182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17" w:history="1">
        <w:r w:rsidRPr="00F149F6">
          <w:rPr>
            <w:rStyle w:val="Hyperlink"/>
            <w:noProof/>
            <w:lang w:val="pt-PT"/>
          </w:rPr>
          <w:t>16.06. cikk Légfűtő berendezések</w:t>
        </w:r>
        <w:r>
          <w:rPr>
            <w:noProof/>
            <w:webHidden/>
          </w:rPr>
          <w:tab/>
        </w:r>
        <w:r>
          <w:rPr>
            <w:noProof/>
            <w:webHidden/>
          </w:rPr>
          <w:fldChar w:fldCharType="begin"/>
        </w:r>
        <w:r>
          <w:rPr>
            <w:noProof/>
            <w:webHidden/>
          </w:rPr>
          <w:instrText xml:space="preserve"> PAGEREF _Toc535853917 \h </w:instrText>
        </w:r>
        <w:r>
          <w:rPr>
            <w:noProof/>
            <w:webHidden/>
          </w:rPr>
        </w:r>
        <w:r>
          <w:rPr>
            <w:noProof/>
            <w:webHidden/>
          </w:rPr>
          <w:fldChar w:fldCharType="separate"/>
        </w:r>
        <w:r>
          <w:rPr>
            <w:noProof/>
            <w:webHidden/>
          </w:rPr>
          <w:t>183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18" w:history="1">
        <w:r w:rsidRPr="00F149F6">
          <w:rPr>
            <w:rStyle w:val="Hyperlink"/>
            <w:noProof/>
            <w:lang w:val="pt-PT"/>
          </w:rPr>
          <w:t>16.07. cikk Szilárd tüzelőanyaggal történő fűtés</w:t>
        </w:r>
        <w:r>
          <w:rPr>
            <w:noProof/>
            <w:webHidden/>
          </w:rPr>
          <w:tab/>
        </w:r>
        <w:r>
          <w:rPr>
            <w:noProof/>
            <w:webHidden/>
          </w:rPr>
          <w:fldChar w:fldCharType="begin"/>
        </w:r>
        <w:r>
          <w:rPr>
            <w:noProof/>
            <w:webHidden/>
          </w:rPr>
          <w:instrText xml:space="preserve"> PAGEREF _Toc535853918 \h </w:instrText>
        </w:r>
        <w:r>
          <w:rPr>
            <w:noProof/>
            <w:webHidden/>
          </w:rPr>
        </w:r>
        <w:r>
          <w:rPr>
            <w:noProof/>
            <w:webHidden/>
          </w:rPr>
          <w:fldChar w:fldCharType="separate"/>
        </w:r>
        <w:r>
          <w:rPr>
            <w:noProof/>
            <w:webHidden/>
          </w:rPr>
          <w:t>183</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919" w:history="1">
        <w:r w:rsidRPr="00F149F6">
          <w:rPr>
            <w:rStyle w:val="Hyperlink"/>
            <w:noProof/>
            <w:lang w:val="pt-PT"/>
          </w:rPr>
          <w:t>17. fejezet Cseppfolyósított gázzal üzemelő háztartási berendezések</w:t>
        </w:r>
        <w:r>
          <w:rPr>
            <w:noProof/>
            <w:webHidden/>
          </w:rPr>
          <w:tab/>
        </w:r>
        <w:r>
          <w:rPr>
            <w:noProof/>
            <w:webHidden/>
          </w:rPr>
          <w:fldChar w:fldCharType="begin"/>
        </w:r>
        <w:r>
          <w:rPr>
            <w:noProof/>
            <w:webHidden/>
          </w:rPr>
          <w:instrText xml:space="preserve"> PAGEREF _Toc535853919 \h </w:instrText>
        </w:r>
        <w:r>
          <w:rPr>
            <w:noProof/>
            <w:webHidden/>
          </w:rPr>
        </w:r>
        <w:r>
          <w:rPr>
            <w:noProof/>
            <w:webHidden/>
          </w:rPr>
          <w:fldChar w:fldCharType="separate"/>
        </w:r>
        <w:r>
          <w:rPr>
            <w:noProof/>
            <w:webHidden/>
          </w:rPr>
          <w:t>186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20" w:history="1">
        <w:r w:rsidRPr="00F149F6">
          <w:rPr>
            <w:rStyle w:val="Hyperlink"/>
            <w:noProof/>
            <w:lang w:val="pt-PT"/>
          </w:rPr>
          <w:t>17.01. cikk Általános rendelkezések</w:t>
        </w:r>
        <w:r>
          <w:rPr>
            <w:noProof/>
            <w:webHidden/>
          </w:rPr>
          <w:tab/>
        </w:r>
        <w:r>
          <w:rPr>
            <w:noProof/>
            <w:webHidden/>
          </w:rPr>
          <w:fldChar w:fldCharType="begin"/>
        </w:r>
        <w:r>
          <w:rPr>
            <w:noProof/>
            <w:webHidden/>
          </w:rPr>
          <w:instrText xml:space="preserve"> PAGEREF _Toc535853920 \h </w:instrText>
        </w:r>
        <w:r>
          <w:rPr>
            <w:noProof/>
            <w:webHidden/>
          </w:rPr>
        </w:r>
        <w:r>
          <w:rPr>
            <w:noProof/>
            <w:webHidden/>
          </w:rPr>
          <w:fldChar w:fldCharType="separate"/>
        </w:r>
        <w:r>
          <w:rPr>
            <w:noProof/>
            <w:webHidden/>
          </w:rPr>
          <w:t>186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21" w:history="1">
        <w:r w:rsidRPr="00F149F6">
          <w:rPr>
            <w:rStyle w:val="Hyperlink"/>
            <w:noProof/>
            <w:lang w:val="pt-PT"/>
          </w:rPr>
          <w:t>17.02. cikk Berendezések</w:t>
        </w:r>
        <w:r>
          <w:rPr>
            <w:noProof/>
            <w:webHidden/>
          </w:rPr>
          <w:tab/>
        </w:r>
        <w:r>
          <w:rPr>
            <w:noProof/>
            <w:webHidden/>
          </w:rPr>
          <w:fldChar w:fldCharType="begin"/>
        </w:r>
        <w:r>
          <w:rPr>
            <w:noProof/>
            <w:webHidden/>
          </w:rPr>
          <w:instrText xml:space="preserve"> PAGEREF _Toc535853921 \h </w:instrText>
        </w:r>
        <w:r>
          <w:rPr>
            <w:noProof/>
            <w:webHidden/>
          </w:rPr>
        </w:r>
        <w:r>
          <w:rPr>
            <w:noProof/>
            <w:webHidden/>
          </w:rPr>
          <w:fldChar w:fldCharType="separate"/>
        </w:r>
        <w:r>
          <w:rPr>
            <w:noProof/>
            <w:webHidden/>
          </w:rPr>
          <w:t>186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22" w:history="1">
        <w:r w:rsidRPr="00F149F6">
          <w:rPr>
            <w:rStyle w:val="Hyperlink"/>
            <w:noProof/>
            <w:lang w:val="pt-PT"/>
          </w:rPr>
          <w:t>17.03. cikk Gázpalackok</w:t>
        </w:r>
        <w:r>
          <w:rPr>
            <w:noProof/>
            <w:webHidden/>
          </w:rPr>
          <w:tab/>
        </w:r>
        <w:r>
          <w:rPr>
            <w:noProof/>
            <w:webHidden/>
          </w:rPr>
          <w:fldChar w:fldCharType="begin"/>
        </w:r>
        <w:r>
          <w:rPr>
            <w:noProof/>
            <w:webHidden/>
          </w:rPr>
          <w:instrText xml:space="preserve"> PAGEREF _Toc535853922 \h </w:instrText>
        </w:r>
        <w:r>
          <w:rPr>
            <w:noProof/>
            <w:webHidden/>
          </w:rPr>
        </w:r>
        <w:r>
          <w:rPr>
            <w:noProof/>
            <w:webHidden/>
          </w:rPr>
          <w:fldChar w:fldCharType="separate"/>
        </w:r>
        <w:r>
          <w:rPr>
            <w:noProof/>
            <w:webHidden/>
          </w:rPr>
          <w:t>186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23" w:history="1">
        <w:r w:rsidRPr="00F149F6">
          <w:rPr>
            <w:rStyle w:val="Hyperlink"/>
            <w:noProof/>
            <w:lang w:val="pt-PT"/>
          </w:rPr>
          <w:t>17.04. cikk A gázellátó egységek elhelyezése és elrendezése</w:t>
        </w:r>
        <w:r>
          <w:rPr>
            <w:noProof/>
            <w:webHidden/>
          </w:rPr>
          <w:tab/>
        </w:r>
        <w:r>
          <w:rPr>
            <w:noProof/>
            <w:webHidden/>
          </w:rPr>
          <w:fldChar w:fldCharType="begin"/>
        </w:r>
        <w:r>
          <w:rPr>
            <w:noProof/>
            <w:webHidden/>
          </w:rPr>
          <w:instrText xml:space="preserve"> PAGEREF _Toc535853923 \h </w:instrText>
        </w:r>
        <w:r>
          <w:rPr>
            <w:noProof/>
            <w:webHidden/>
          </w:rPr>
        </w:r>
        <w:r>
          <w:rPr>
            <w:noProof/>
            <w:webHidden/>
          </w:rPr>
          <w:fldChar w:fldCharType="separate"/>
        </w:r>
        <w:r>
          <w:rPr>
            <w:noProof/>
            <w:webHidden/>
          </w:rPr>
          <w:t>187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24" w:history="1">
        <w:r w:rsidRPr="00F149F6">
          <w:rPr>
            <w:rStyle w:val="Hyperlink"/>
            <w:noProof/>
            <w:lang w:val="pt-PT"/>
          </w:rPr>
          <w:t>17.05. cikk Tartalék- és üres gázpalackok</w:t>
        </w:r>
        <w:r>
          <w:rPr>
            <w:noProof/>
            <w:webHidden/>
          </w:rPr>
          <w:tab/>
        </w:r>
        <w:r>
          <w:rPr>
            <w:noProof/>
            <w:webHidden/>
          </w:rPr>
          <w:fldChar w:fldCharType="begin"/>
        </w:r>
        <w:r>
          <w:rPr>
            <w:noProof/>
            <w:webHidden/>
          </w:rPr>
          <w:instrText xml:space="preserve"> PAGEREF _Toc535853924 \h </w:instrText>
        </w:r>
        <w:r>
          <w:rPr>
            <w:noProof/>
            <w:webHidden/>
          </w:rPr>
        </w:r>
        <w:r>
          <w:rPr>
            <w:noProof/>
            <w:webHidden/>
          </w:rPr>
          <w:fldChar w:fldCharType="separate"/>
        </w:r>
        <w:r>
          <w:rPr>
            <w:noProof/>
            <w:webHidden/>
          </w:rPr>
          <w:t>188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25" w:history="1">
        <w:r w:rsidRPr="00F149F6">
          <w:rPr>
            <w:rStyle w:val="Hyperlink"/>
            <w:noProof/>
            <w:lang w:val="pt-PT"/>
          </w:rPr>
          <w:t>17.06. cikk Nyomásszabályozók</w:t>
        </w:r>
        <w:r>
          <w:rPr>
            <w:noProof/>
            <w:webHidden/>
          </w:rPr>
          <w:tab/>
        </w:r>
        <w:r>
          <w:rPr>
            <w:noProof/>
            <w:webHidden/>
          </w:rPr>
          <w:fldChar w:fldCharType="begin"/>
        </w:r>
        <w:r>
          <w:rPr>
            <w:noProof/>
            <w:webHidden/>
          </w:rPr>
          <w:instrText xml:space="preserve"> PAGEREF _Toc535853925 \h </w:instrText>
        </w:r>
        <w:r>
          <w:rPr>
            <w:noProof/>
            <w:webHidden/>
          </w:rPr>
        </w:r>
        <w:r>
          <w:rPr>
            <w:noProof/>
            <w:webHidden/>
          </w:rPr>
          <w:fldChar w:fldCharType="separate"/>
        </w:r>
        <w:r>
          <w:rPr>
            <w:noProof/>
            <w:webHidden/>
          </w:rPr>
          <w:t>188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26" w:history="1">
        <w:r w:rsidRPr="00F149F6">
          <w:rPr>
            <w:rStyle w:val="Hyperlink"/>
            <w:noProof/>
            <w:lang w:val="pt-PT"/>
          </w:rPr>
          <w:t>17.07. cikk Nyomás</w:t>
        </w:r>
        <w:r>
          <w:rPr>
            <w:noProof/>
            <w:webHidden/>
          </w:rPr>
          <w:tab/>
        </w:r>
        <w:r>
          <w:rPr>
            <w:noProof/>
            <w:webHidden/>
          </w:rPr>
          <w:fldChar w:fldCharType="begin"/>
        </w:r>
        <w:r>
          <w:rPr>
            <w:noProof/>
            <w:webHidden/>
          </w:rPr>
          <w:instrText xml:space="preserve"> PAGEREF _Toc535853926 \h </w:instrText>
        </w:r>
        <w:r>
          <w:rPr>
            <w:noProof/>
            <w:webHidden/>
          </w:rPr>
        </w:r>
        <w:r>
          <w:rPr>
            <w:noProof/>
            <w:webHidden/>
          </w:rPr>
          <w:fldChar w:fldCharType="separate"/>
        </w:r>
        <w:r>
          <w:rPr>
            <w:noProof/>
            <w:webHidden/>
          </w:rPr>
          <w:t>190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27" w:history="1">
        <w:r w:rsidRPr="00F149F6">
          <w:rPr>
            <w:rStyle w:val="Hyperlink"/>
            <w:noProof/>
            <w:lang w:val="pt-PT"/>
          </w:rPr>
          <w:t>17.08. cikk Csövek és rugalmas tömlők</w:t>
        </w:r>
        <w:r>
          <w:rPr>
            <w:noProof/>
            <w:webHidden/>
          </w:rPr>
          <w:tab/>
        </w:r>
        <w:r>
          <w:rPr>
            <w:noProof/>
            <w:webHidden/>
          </w:rPr>
          <w:fldChar w:fldCharType="begin"/>
        </w:r>
        <w:r>
          <w:rPr>
            <w:noProof/>
            <w:webHidden/>
          </w:rPr>
          <w:instrText xml:space="preserve"> PAGEREF _Toc535853927 \h </w:instrText>
        </w:r>
        <w:r>
          <w:rPr>
            <w:noProof/>
            <w:webHidden/>
          </w:rPr>
        </w:r>
        <w:r>
          <w:rPr>
            <w:noProof/>
            <w:webHidden/>
          </w:rPr>
          <w:fldChar w:fldCharType="separate"/>
        </w:r>
        <w:r>
          <w:rPr>
            <w:noProof/>
            <w:webHidden/>
          </w:rPr>
          <w:t>190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28" w:history="1">
        <w:r w:rsidRPr="00F149F6">
          <w:rPr>
            <w:rStyle w:val="Hyperlink"/>
            <w:noProof/>
            <w:lang w:val="pt-PT"/>
          </w:rPr>
          <w:t>17.09. cikk Elosztórendszer</w:t>
        </w:r>
        <w:r>
          <w:rPr>
            <w:noProof/>
            <w:webHidden/>
          </w:rPr>
          <w:tab/>
        </w:r>
        <w:r>
          <w:rPr>
            <w:noProof/>
            <w:webHidden/>
          </w:rPr>
          <w:fldChar w:fldCharType="begin"/>
        </w:r>
        <w:r>
          <w:rPr>
            <w:noProof/>
            <w:webHidden/>
          </w:rPr>
          <w:instrText xml:space="preserve"> PAGEREF _Toc535853928 \h </w:instrText>
        </w:r>
        <w:r>
          <w:rPr>
            <w:noProof/>
            <w:webHidden/>
          </w:rPr>
        </w:r>
        <w:r>
          <w:rPr>
            <w:noProof/>
            <w:webHidden/>
          </w:rPr>
          <w:fldChar w:fldCharType="separate"/>
        </w:r>
        <w:r>
          <w:rPr>
            <w:noProof/>
            <w:webHidden/>
          </w:rPr>
          <w:t>191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29" w:history="1">
        <w:r w:rsidRPr="00F149F6">
          <w:rPr>
            <w:rStyle w:val="Hyperlink"/>
            <w:noProof/>
            <w:lang w:val="pt-PT"/>
          </w:rPr>
          <w:t>17.10. cikk Gázfogyasztó készülékek és azok telepítése</w:t>
        </w:r>
        <w:r>
          <w:rPr>
            <w:noProof/>
            <w:webHidden/>
          </w:rPr>
          <w:tab/>
        </w:r>
        <w:r>
          <w:rPr>
            <w:noProof/>
            <w:webHidden/>
          </w:rPr>
          <w:fldChar w:fldCharType="begin"/>
        </w:r>
        <w:r>
          <w:rPr>
            <w:noProof/>
            <w:webHidden/>
          </w:rPr>
          <w:instrText xml:space="preserve"> PAGEREF _Toc535853929 \h </w:instrText>
        </w:r>
        <w:r>
          <w:rPr>
            <w:noProof/>
            <w:webHidden/>
          </w:rPr>
        </w:r>
        <w:r>
          <w:rPr>
            <w:noProof/>
            <w:webHidden/>
          </w:rPr>
          <w:fldChar w:fldCharType="separate"/>
        </w:r>
        <w:r>
          <w:rPr>
            <w:noProof/>
            <w:webHidden/>
          </w:rPr>
          <w:t>192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30" w:history="1">
        <w:r w:rsidRPr="00F149F6">
          <w:rPr>
            <w:rStyle w:val="Hyperlink"/>
            <w:noProof/>
            <w:lang w:val="pt-PT"/>
          </w:rPr>
          <w:t>17.11. cikk Szellőzés és az égési gázok elvezetése</w:t>
        </w:r>
        <w:r>
          <w:rPr>
            <w:noProof/>
            <w:webHidden/>
          </w:rPr>
          <w:tab/>
        </w:r>
        <w:r>
          <w:rPr>
            <w:noProof/>
            <w:webHidden/>
          </w:rPr>
          <w:fldChar w:fldCharType="begin"/>
        </w:r>
        <w:r>
          <w:rPr>
            <w:noProof/>
            <w:webHidden/>
          </w:rPr>
          <w:instrText xml:space="preserve"> PAGEREF _Toc535853930 \h </w:instrText>
        </w:r>
        <w:r>
          <w:rPr>
            <w:noProof/>
            <w:webHidden/>
          </w:rPr>
        </w:r>
        <w:r>
          <w:rPr>
            <w:noProof/>
            <w:webHidden/>
          </w:rPr>
          <w:fldChar w:fldCharType="separate"/>
        </w:r>
        <w:r>
          <w:rPr>
            <w:noProof/>
            <w:webHidden/>
          </w:rPr>
          <w:t>192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31" w:history="1">
        <w:r w:rsidRPr="00F149F6">
          <w:rPr>
            <w:rStyle w:val="Hyperlink"/>
            <w:noProof/>
            <w:lang w:val="pt-PT"/>
          </w:rPr>
          <w:t>17.12. cikk Kezelési utasítások</w:t>
        </w:r>
        <w:r>
          <w:rPr>
            <w:noProof/>
            <w:webHidden/>
          </w:rPr>
          <w:tab/>
        </w:r>
        <w:r>
          <w:rPr>
            <w:noProof/>
            <w:webHidden/>
          </w:rPr>
          <w:fldChar w:fldCharType="begin"/>
        </w:r>
        <w:r>
          <w:rPr>
            <w:noProof/>
            <w:webHidden/>
          </w:rPr>
          <w:instrText xml:space="preserve"> PAGEREF _Toc535853931 \h </w:instrText>
        </w:r>
        <w:r>
          <w:rPr>
            <w:noProof/>
            <w:webHidden/>
          </w:rPr>
        </w:r>
        <w:r>
          <w:rPr>
            <w:noProof/>
            <w:webHidden/>
          </w:rPr>
          <w:fldChar w:fldCharType="separate"/>
        </w:r>
        <w:r>
          <w:rPr>
            <w:noProof/>
            <w:webHidden/>
          </w:rPr>
          <w:t>194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32" w:history="1">
        <w:r w:rsidRPr="00F149F6">
          <w:rPr>
            <w:rStyle w:val="Hyperlink"/>
            <w:noProof/>
            <w:lang w:val="pt-PT"/>
          </w:rPr>
          <w:t>17.13. cikk Átvételi vizsgálat</w:t>
        </w:r>
        <w:r>
          <w:rPr>
            <w:noProof/>
            <w:webHidden/>
          </w:rPr>
          <w:tab/>
        </w:r>
        <w:r>
          <w:rPr>
            <w:noProof/>
            <w:webHidden/>
          </w:rPr>
          <w:fldChar w:fldCharType="begin"/>
        </w:r>
        <w:r>
          <w:rPr>
            <w:noProof/>
            <w:webHidden/>
          </w:rPr>
          <w:instrText xml:space="preserve"> PAGEREF _Toc535853932 \h </w:instrText>
        </w:r>
        <w:r>
          <w:rPr>
            <w:noProof/>
            <w:webHidden/>
          </w:rPr>
        </w:r>
        <w:r>
          <w:rPr>
            <w:noProof/>
            <w:webHidden/>
          </w:rPr>
          <w:fldChar w:fldCharType="separate"/>
        </w:r>
        <w:r>
          <w:rPr>
            <w:noProof/>
            <w:webHidden/>
          </w:rPr>
          <w:t>194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33" w:history="1">
        <w:r w:rsidRPr="00F149F6">
          <w:rPr>
            <w:rStyle w:val="Hyperlink"/>
            <w:noProof/>
            <w:lang w:val="pt-PT"/>
          </w:rPr>
          <w:t>17.14. cikk Vizsgálati feltételek</w:t>
        </w:r>
        <w:r>
          <w:rPr>
            <w:noProof/>
            <w:webHidden/>
          </w:rPr>
          <w:tab/>
        </w:r>
        <w:r>
          <w:rPr>
            <w:noProof/>
            <w:webHidden/>
          </w:rPr>
          <w:fldChar w:fldCharType="begin"/>
        </w:r>
        <w:r>
          <w:rPr>
            <w:noProof/>
            <w:webHidden/>
          </w:rPr>
          <w:instrText xml:space="preserve"> PAGEREF _Toc535853933 \h </w:instrText>
        </w:r>
        <w:r>
          <w:rPr>
            <w:noProof/>
            <w:webHidden/>
          </w:rPr>
        </w:r>
        <w:r>
          <w:rPr>
            <w:noProof/>
            <w:webHidden/>
          </w:rPr>
          <w:fldChar w:fldCharType="separate"/>
        </w:r>
        <w:r>
          <w:rPr>
            <w:noProof/>
            <w:webHidden/>
          </w:rPr>
          <w:t>194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34" w:history="1">
        <w:r w:rsidRPr="00F149F6">
          <w:rPr>
            <w:rStyle w:val="Hyperlink"/>
            <w:noProof/>
            <w:lang w:val="pt-PT"/>
          </w:rPr>
          <w:t>17.15. cikk Igazolás</w:t>
        </w:r>
        <w:r>
          <w:rPr>
            <w:noProof/>
            <w:webHidden/>
          </w:rPr>
          <w:tab/>
        </w:r>
        <w:r>
          <w:rPr>
            <w:noProof/>
            <w:webHidden/>
          </w:rPr>
          <w:fldChar w:fldCharType="begin"/>
        </w:r>
        <w:r>
          <w:rPr>
            <w:noProof/>
            <w:webHidden/>
          </w:rPr>
          <w:instrText xml:space="preserve"> PAGEREF _Toc535853934 \h </w:instrText>
        </w:r>
        <w:r>
          <w:rPr>
            <w:noProof/>
            <w:webHidden/>
          </w:rPr>
        </w:r>
        <w:r>
          <w:rPr>
            <w:noProof/>
            <w:webHidden/>
          </w:rPr>
          <w:fldChar w:fldCharType="separate"/>
        </w:r>
        <w:r>
          <w:rPr>
            <w:noProof/>
            <w:webHidden/>
          </w:rPr>
          <w:t>196</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935" w:history="1">
        <w:r w:rsidRPr="00F149F6">
          <w:rPr>
            <w:rStyle w:val="Hyperlink"/>
            <w:noProof/>
            <w:lang w:val="pt-PT"/>
          </w:rPr>
          <w:t>18. fejezet Fedélzeti szennyvízkezelő művek</w:t>
        </w:r>
        <w:r>
          <w:rPr>
            <w:noProof/>
            <w:webHidden/>
          </w:rPr>
          <w:tab/>
        </w:r>
        <w:r>
          <w:rPr>
            <w:noProof/>
            <w:webHidden/>
          </w:rPr>
          <w:fldChar w:fldCharType="begin"/>
        </w:r>
        <w:r>
          <w:rPr>
            <w:noProof/>
            <w:webHidden/>
          </w:rPr>
          <w:instrText xml:space="preserve"> PAGEREF _Toc535853935 \h </w:instrText>
        </w:r>
        <w:r>
          <w:rPr>
            <w:noProof/>
            <w:webHidden/>
          </w:rPr>
        </w:r>
        <w:r>
          <w:rPr>
            <w:noProof/>
            <w:webHidden/>
          </w:rPr>
          <w:fldChar w:fldCharType="separate"/>
        </w:r>
        <w:r>
          <w:rPr>
            <w:noProof/>
            <w:webHidden/>
          </w:rPr>
          <w:t>198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36" w:history="1">
        <w:r w:rsidRPr="00F149F6">
          <w:rPr>
            <w:rStyle w:val="Hyperlink"/>
            <w:noProof/>
            <w:lang w:val="pt-PT"/>
          </w:rPr>
          <w:t>18.00. cikk Fogalommeghatározások</w:t>
        </w:r>
        <w:r>
          <w:rPr>
            <w:noProof/>
            <w:webHidden/>
          </w:rPr>
          <w:tab/>
        </w:r>
        <w:r>
          <w:rPr>
            <w:noProof/>
            <w:webHidden/>
          </w:rPr>
          <w:fldChar w:fldCharType="begin"/>
        </w:r>
        <w:r>
          <w:rPr>
            <w:noProof/>
            <w:webHidden/>
          </w:rPr>
          <w:instrText xml:space="preserve"> PAGEREF _Toc535853936 \h </w:instrText>
        </w:r>
        <w:r>
          <w:rPr>
            <w:noProof/>
            <w:webHidden/>
          </w:rPr>
        </w:r>
        <w:r>
          <w:rPr>
            <w:noProof/>
            <w:webHidden/>
          </w:rPr>
          <w:fldChar w:fldCharType="separate"/>
        </w:r>
        <w:r>
          <w:rPr>
            <w:noProof/>
            <w:webHidden/>
          </w:rPr>
          <w:t>198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37" w:history="1">
        <w:r w:rsidRPr="00F149F6">
          <w:rPr>
            <w:rStyle w:val="Hyperlink"/>
            <w:noProof/>
            <w:lang w:val="pt-PT"/>
          </w:rPr>
          <w:t>18.01. cikk Általános rendelkezések</w:t>
        </w:r>
        <w:r>
          <w:rPr>
            <w:noProof/>
            <w:webHidden/>
          </w:rPr>
          <w:tab/>
        </w:r>
        <w:r>
          <w:rPr>
            <w:noProof/>
            <w:webHidden/>
          </w:rPr>
          <w:fldChar w:fldCharType="begin"/>
        </w:r>
        <w:r>
          <w:rPr>
            <w:noProof/>
            <w:webHidden/>
          </w:rPr>
          <w:instrText xml:space="preserve"> PAGEREF _Toc535853937 \h </w:instrText>
        </w:r>
        <w:r>
          <w:rPr>
            <w:noProof/>
            <w:webHidden/>
          </w:rPr>
        </w:r>
        <w:r>
          <w:rPr>
            <w:noProof/>
            <w:webHidden/>
          </w:rPr>
          <w:fldChar w:fldCharType="separate"/>
        </w:r>
        <w:r>
          <w:rPr>
            <w:noProof/>
            <w:webHidden/>
          </w:rPr>
          <w:t>200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38" w:history="1">
        <w:r w:rsidRPr="00F149F6">
          <w:rPr>
            <w:rStyle w:val="Hyperlink"/>
            <w:noProof/>
          </w:rPr>
          <w:t>18.02. cikk A típusjóváhagyás kérelmezése</w:t>
        </w:r>
        <w:r>
          <w:rPr>
            <w:noProof/>
            <w:webHidden/>
          </w:rPr>
          <w:tab/>
        </w:r>
        <w:r>
          <w:rPr>
            <w:noProof/>
            <w:webHidden/>
          </w:rPr>
          <w:fldChar w:fldCharType="begin"/>
        </w:r>
        <w:r>
          <w:rPr>
            <w:noProof/>
            <w:webHidden/>
          </w:rPr>
          <w:instrText xml:space="preserve"> PAGEREF _Toc535853938 \h </w:instrText>
        </w:r>
        <w:r>
          <w:rPr>
            <w:noProof/>
            <w:webHidden/>
          </w:rPr>
        </w:r>
        <w:r>
          <w:rPr>
            <w:noProof/>
            <w:webHidden/>
          </w:rPr>
          <w:fldChar w:fldCharType="separate"/>
        </w:r>
        <w:r>
          <w:rPr>
            <w:noProof/>
            <w:webHidden/>
          </w:rPr>
          <w:t>203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39" w:history="1">
        <w:r w:rsidRPr="00F149F6">
          <w:rPr>
            <w:rStyle w:val="Hyperlink"/>
            <w:noProof/>
          </w:rPr>
          <w:t>18.03. cikk A típusjóváhagyási eljárás</w:t>
        </w:r>
        <w:r>
          <w:rPr>
            <w:noProof/>
            <w:webHidden/>
          </w:rPr>
          <w:tab/>
        </w:r>
        <w:r>
          <w:rPr>
            <w:noProof/>
            <w:webHidden/>
          </w:rPr>
          <w:fldChar w:fldCharType="begin"/>
        </w:r>
        <w:r>
          <w:rPr>
            <w:noProof/>
            <w:webHidden/>
          </w:rPr>
          <w:instrText xml:space="preserve"> PAGEREF _Toc535853939 \h </w:instrText>
        </w:r>
        <w:r>
          <w:rPr>
            <w:noProof/>
            <w:webHidden/>
          </w:rPr>
        </w:r>
        <w:r>
          <w:rPr>
            <w:noProof/>
            <w:webHidden/>
          </w:rPr>
          <w:fldChar w:fldCharType="separate"/>
        </w:r>
        <w:r>
          <w:rPr>
            <w:noProof/>
            <w:webHidden/>
          </w:rPr>
          <w:t>203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40" w:history="1">
        <w:r w:rsidRPr="00F149F6">
          <w:rPr>
            <w:rStyle w:val="Hyperlink"/>
            <w:noProof/>
          </w:rPr>
          <w:t>18.04. cikk A típusjóváhagyás módosítása</w:t>
        </w:r>
        <w:r>
          <w:rPr>
            <w:noProof/>
            <w:webHidden/>
          </w:rPr>
          <w:tab/>
        </w:r>
        <w:r>
          <w:rPr>
            <w:noProof/>
            <w:webHidden/>
          </w:rPr>
          <w:fldChar w:fldCharType="begin"/>
        </w:r>
        <w:r>
          <w:rPr>
            <w:noProof/>
            <w:webHidden/>
          </w:rPr>
          <w:instrText xml:space="preserve"> PAGEREF _Toc535853940 \h </w:instrText>
        </w:r>
        <w:r>
          <w:rPr>
            <w:noProof/>
            <w:webHidden/>
          </w:rPr>
        </w:r>
        <w:r>
          <w:rPr>
            <w:noProof/>
            <w:webHidden/>
          </w:rPr>
          <w:fldChar w:fldCharType="separate"/>
        </w:r>
        <w:r>
          <w:rPr>
            <w:noProof/>
            <w:webHidden/>
          </w:rPr>
          <w:t>205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41" w:history="1">
        <w:r w:rsidRPr="00F149F6">
          <w:rPr>
            <w:rStyle w:val="Hyperlink"/>
            <w:noProof/>
          </w:rPr>
          <w:t>18.05. cikk Megfelelés a típusjóváhagyásnak</w:t>
        </w:r>
        <w:r>
          <w:rPr>
            <w:noProof/>
            <w:webHidden/>
          </w:rPr>
          <w:tab/>
        </w:r>
        <w:r>
          <w:rPr>
            <w:noProof/>
            <w:webHidden/>
          </w:rPr>
          <w:fldChar w:fldCharType="begin"/>
        </w:r>
        <w:r>
          <w:rPr>
            <w:noProof/>
            <w:webHidden/>
          </w:rPr>
          <w:instrText xml:space="preserve"> PAGEREF _Toc535853941 \h </w:instrText>
        </w:r>
        <w:r>
          <w:rPr>
            <w:noProof/>
            <w:webHidden/>
          </w:rPr>
        </w:r>
        <w:r>
          <w:rPr>
            <w:noProof/>
            <w:webHidden/>
          </w:rPr>
          <w:fldChar w:fldCharType="separate"/>
        </w:r>
        <w:r>
          <w:rPr>
            <w:noProof/>
            <w:webHidden/>
          </w:rPr>
          <w:t>206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42" w:history="1">
        <w:r w:rsidRPr="00F149F6">
          <w:rPr>
            <w:rStyle w:val="Hyperlink"/>
            <w:noProof/>
          </w:rPr>
          <w:t>18.06. cikk A gyártási szám ellenőrzése</w:t>
        </w:r>
        <w:r>
          <w:rPr>
            <w:noProof/>
            <w:webHidden/>
          </w:rPr>
          <w:tab/>
        </w:r>
        <w:r>
          <w:rPr>
            <w:noProof/>
            <w:webHidden/>
          </w:rPr>
          <w:fldChar w:fldCharType="begin"/>
        </w:r>
        <w:r>
          <w:rPr>
            <w:noProof/>
            <w:webHidden/>
          </w:rPr>
          <w:instrText xml:space="preserve"> PAGEREF _Toc535853942 \h </w:instrText>
        </w:r>
        <w:r>
          <w:rPr>
            <w:noProof/>
            <w:webHidden/>
          </w:rPr>
        </w:r>
        <w:r>
          <w:rPr>
            <w:noProof/>
            <w:webHidden/>
          </w:rPr>
          <w:fldChar w:fldCharType="separate"/>
        </w:r>
        <w:r>
          <w:rPr>
            <w:noProof/>
            <w:webHidden/>
          </w:rPr>
          <w:t>206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43" w:history="1">
        <w:r w:rsidRPr="00F149F6">
          <w:rPr>
            <w:rStyle w:val="Hyperlink"/>
            <w:noProof/>
          </w:rPr>
          <w:t>18.07. cikk A gyártás megfelelősége</w:t>
        </w:r>
        <w:r>
          <w:rPr>
            <w:noProof/>
            <w:webHidden/>
          </w:rPr>
          <w:tab/>
        </w:r>
        <w:r>
          <w:rPr>
            <w:noProof/>
            <w:webHidden/>
          </w:rPr>
          <w:fldChar w:fldCharType="begin"/>
        </w:r>
        <w:r>
          <w:rPr>
            <w:noProof/>
            <w:webHidden/>
          </w:rPr>
          <w:instrText xml:space="preserve"> PAGEREF _Toc535853943 \h </w:instrText>
        </w:r>
        <w:r>
          <w:rPr>
            <w:noProof/>
            <w:webHidden/>
          </w:rPr>
        </w:r>
        <w:r>
          <w:rPr>
            <w:noProof/>
            <w:webHidden/>
          </w:rPr>
          <w:fldChar w:fldCharType="separate"/>
        </w:r>
        <w:r>
          <w:rPr>
            <w:noProof/>
            <w:webHidden/>
          </w:rPr>
          <w:t>208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44" w:history="1">
        <w:r w:rsidRPr="00F149F6">
          <w:rPr>
            <w:rStyle w:val="Hyperlink"/>
            <w:noProof/>
          </w:rPr>
          <w:t>18.08. cikk A típusjóváhagyás keretében jóváhagyott típusú fedélzeti szennyvízkezelő mű meg nem felelése</w:t>
        </w:r>
        <w:r>
          <w:rPr>
            <w:noProof/>
            <w:webHidden/>
          </w:rPr>
          <w:tab/>
        </w:r>
        <w:r>
          <w:rPr>
            <w:noProof/>
            <w:webHidden/>
          </w:rPr>
          <w:fldChar w:fldCharType="begin"/>
        </w:r>
        <w:r>
          <w:rPr>
            <w:noProof/>
            <w:webHidden/>
          </w:rPr>
          <w:instrText xml:space="preserve"> PAGEREF _Toc535853944 \h </w:instrText>
        </w:r>
        <w:r>
          <w:rPr>
            <w:noProof/>
            <w:webHidden/>
          </w:rPr>
        </w:r>
        <w:r>
          <w:rPr>
            <w:noProof/>
            <w:webHidden/>
          </w:rPr>
          <w:fldChar w:fldCharType="separate"/>
        </w:r>
        <w:r>
          <w:rPr>
            <w:noProof/>
            <w:webHidden/>
          </w:rPr>
          <w:t>208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45" w:history="1">
        <w:r w:rsidRPr="00F149F6">
          <w:rPr>
            <w:rStyle w:val="Hyperlink"/>
            <w:noProof/>
          </w:rPr>
          <w:t>18.09. cikk Szúrópróbaszerű mérések / Rendkívüli vizsgálat</w:t>
        </w:r>
        <w:r>
          <w:rPr>
            <w:noProof/>
            <w:webHidden/>
          </w:rPr>
          <w:tab/>
        </w:r>
        <w:r>
          <w:rPr>
            <w:noProof/>
            <w:webHidden/>
          </w:rPr>
          <w:fldChar w:fldCharType="begin"/>
        </w:r>
        <w:r>
          <w:rPr>
            <w:noProof/>
            <w:webHidden/>
          </w:rPr>
          <w:instrText xml:space="preserve"> PAGEREF _Toc535853945 \h </w:instrText>
        </w:r>
        <w:r>
          <w:rPr>
            <w:noProof/>
            <w:webHidden/>
          </w:rPr>
        </w:r>
        <w:r>
          <w:rPr>
            <w:noProof/>
            <w:webHidden/>
          </w:rPr>
          <w:fldChar w:fldCharType="separate"/>
        </w:r>
        <w:r>
          <w:rPr>
            <w:noProof/>
            <w:webHidden/>
          </w:rPr>
          <w:t>210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46" w:history="1">
        <w:r w:rsidRPr="00F149F6">
          <w:rPr>
            <w:rStyle w:val="Hyperlink"/>
            <w:noProof/>
          </w:rPr>
          <w:t>18.10. cikk Illetékes hatóságok és műszaki szolgálatok</w:t>
        </w:r>
        <w:r>
          <w:rPr>
            <w:noProof/>
            <w:webHidden/>
          </w:rPr>
          <w:tab/>
        </w:r>
        <w:r>
          <w:rPr>
            <w:noProof/>
            <w:webHidden/>
          </w:rPr>
          <w:fldChar w:fldCharType="begin"/>
        </w:r>
        <w:r>
          <w:rPr>
            <w:noProof/>
            <w:webHidden/>
          </w:rPr>
          <w:instrText xml:space="preserve"> PAGEREF _Toc535853946 \h </w:instrText>
        </w:r>
        <w:r>
          <w:rPr>
            <w:noProof/>
            <w:webHidden/>
          </w:rPr>
        </w:r>
        <w:r>
          <w:rPr>
            <w:noProof/>
            <w:webHidden/>
          </w:rPr>
          <w:fldChar w:fldCharType="separate"/>
        </w:r>
        <w:r>
          <w:rPr>
            <w:noProof/>
            <w:webHidden/>
          </w:rPr>
          <w:t>212</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3947" w:history="1">
        <w:r w:rsidRPr="00F149F6">
          <w:rPr>
            <w:rStyle w:val="Hyperlink"/>
            <w:noProof/>
          </w:rPr>
          <w:t>III. RÉSZ KÜLÖN RENDELKEZÉSEK</w:t>
        </w:r>
        <w:r>
          <w:rPr>
            <w:noProof/>
            <w:webHidden/>
          </w:rPr>
          <w:tab/>
        </w:r>
        <w:r>
          <w:rPr>
            <w:noProof/>
            <w:webHidden/>
          </w:rPr>
          <w:fldChar w:fldCharType="begin"/>
        </w:r>
        <w:r>
          <w:rPr>
            <w:noProof/>
            <w:webHidden/>
          </w:rPr>
          <w:instrText xml:space="preserve"> PAGEREF _Toc535853947 \h </w:instrText>
        </w:r>
        <w:r>
          <w:rPr>
            <w:noProof/>
            <w:webHidden/>
          </w:rPr>
        </w:r>
        <w:r>
          <w:rPr>
            <w:noProof/>
            <w:webHidden/>
          </w:rPr>
          <w:fldChar w:fldCharType="separate"/>
        </w:r>
        <w:r>
          <w:rPr>
            <w:noProof/>
            <w:webHidden/>
          </w:rPr>
          <w:t>214</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948" w:history="1">
        <w:r w:rsidRPr="00F149F6">
          <w:rPr>
            <w:rStyle w:val="Hyperlink"/>
            <w:noProof/>
          </w:rPr>
          <w:t>19. fejezet A személyhajókra alkalmazandó külön rendelkezések</w:t>
        </w:r>
        <w:r>
          <w:rPr>
            <w:noProof/>
            <w:webHidden/>
          </w:rPr>
          <w:tab/>
        </w:r>
        <w:r>
          <w:rPr>
            <w:noProof/>
            <w:webHidden/>
          </w:rPr>
          <w:fldChar w:fldCharType="begin"/>
        </w:r>
        <w:r>
          <w:rPr>
            <w:noProof/>
            <w:webHidden/>
          </w:rPr>
          <w:instrText xml:space="preserve"> PAGEREF _Toc535853948 \h </w:instrText>
        </w:r>
        <w:r>
          <w:rPr>
            <w:noProof/>
            <w:webHidden/>
          </w:rPr>
        </w:r>
        <w:r>
          <w:rPr>
            <w:noProof/>
            <w:webHidden/>
          </w:rPr>
          <w:fldChar w:fldCharType="separate"/>
        </w:r>
        <w:r>
          <w:rPr>
            <w:noProof/>
            <w:webHidden/>
          </w:rPr>
          <w:t>214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49" w:history="1">
        <w:r w:rsidRPr="00F149F6">
          <w:rPr>
            <w:rStyle w:val="Hyperlink"/>
            <w:noProof/>
          </w:rPr>
          <w:t>19.01. cikk Általános rendelkezések</w:t>
        </w:r>
        <w:r>
          <w:rPr>
            <w:noProof/>
            <w:webHidden/>
          </w:rPr>
          <w:tab/>
        </w:r>
        <w:r>
          <w:rPr>
            <w:noProof/>
            <w:webHidden/>
          </w:rPr>
          <w:fldChar w:fldCharType="begin"/>
        </w:r>
        <w:r>
          <w:rPr>
            <w:noProof/>
            <w:webHidden/>
          </w:rPr>
          <w:instrText xml:space="preserve"> PAGEREF _Toc535853949 \h </w:instrText>
        </w:r>
        <w:r>
          <w:rPr>
            <w:noProof/>
            <w:webHidden/>
          </w:rPr>
        </w:r>
        <w:r>
          <w:rPr>
            <w:noProof/>
            <w:webHidden/>
          </w:rPr>
          <w:fldChar w:fldCharType="separate"/>
        </w:r>
        <w:r>
          <w:rPr>
            <w:noProof/>
            <w:webHidden/>
          </w:rPr>
          <w:t>214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50" w:history="1">
        <w:r w:rsidRPr="00F149F6">
          <w:rPr>
            <w:rStyle w:val="Hyperlink"/>
            <w:noProof/>
          </w:rPr>
          <w:t>19.02. cikk Hajótest</w:t>
        </w:r>
        <w:r>
          <w:rPr>
            <w:noProof/>
            <w:webHidden/>
          </w:rPr>
          <w:tab/>
        </w:r>
        <w:r>
          <w:rPr>
            <w:noProof/>
            <w:webHidden/>
          </w:rPr>
          <w:fldChar w:fldCharType="begin"/>
        </w:r>
        <w:r>
          <w:rPr>
            <w:noProof/>
            <w:webHidden/>
          </w:rPr>
          <w:instrText xml:space="preserve"> PAGEREF _Toc535853950 \h </w:instrText>
        </w:r>
        <w:r>
          <w:rPr>
            <w:noProof/>
            <w:webHidden/>
          </w:rPr>
        </w:r>
        <w:r>
          <w:rPr>
            <w:noProof/>
            <w:webHidden/>
          </w:rPr>
          <w:fldChar w:fldCharType="separate"/>
        </w:r>
        <w:r>
          <w:rPr>
            <w:noProof/>
            <w:webHidden/>
          </w:rPr>
          <w:t>215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51" w:history="1">
        <w:r w:rsidRPr="00F149F6">
          <w:rPr>
            <w:rStyle w:val="Hyperlink"/>
            <w:noProof/>
          </w:rPr>
          <w:t>19.03. cikk Stabilitás</w:t>
        </w:r>
        <w:r>
          <w:rPr>
            <w:noProof/>
            <w:webHidden/>
          </w:rPr>
          <w:tab/>
        </w:r>
        <w:r>
          <w:rPr>
            <w:noProof/>
            <w:webHidden/>
          </w:rPr>
          <w:fldChar w:fldCharType="begin"/>
        </w:r>
        <w:r>
          <w:rPr>
            <w:noProof/>
            <w:webHidden/>
          </w:rPr>
          <w:instrText xml:space="preserve"> PAGEREF _Toc535853951 \h </w:instrText>
        </w:r>
        <w:r>
          <w:rPr>
            <w:noProof/>
            <w:webHidden/>
          </w:rPr>
        </w:r>
        <w:r>
          <w:rPr>
            <w:noProof/>
            <w:webHidden/>
          </w:rPr>
          <w:fldChar w:fldCharType="separate"/>
        </w:r>
        <w:r>
          <w:rPr>
            <w:noProof/>
            <w:webHidden/>
          </w:rPr>
          <w:t>219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52" w:history="1">
        <w:r w:rsidRPr="00F149F6">
          <w:rPr>
            <w:rStyle w:val="Hyperlink"/>
            <w:noProof/>
          </w:rPr>
          <w:t>19.04. cikk Biztonsági távolság és szabadoldal</w:t>
        </w:r>
        <w:r>
          <w:rPr>
            <w:noProof/>
            <w:webHidden/>
          </w:rPr>
          <w:tab/>
        </w:r>
        <w:r>
          <w:rPr>
            <w:noProof/>
            <w:webHidden/>
          </w:rPr>
          <w:fldChar w:fldCharType="begin"/>
        </w:r>
        <w:r>
          <w:rPr>
            <w:noProof/>
            <w:webHidden/>
          </w:rPr>
          <w:instrText xml:space="preserve"> PAGEREF _Toc535853952 \h </w:instrText>
        </w:r>
        <w:r>
          <w:rPr>
            <w:noProof/>
            <w:webHidden/>
          </w:rPr>
        </w:r>
        <w:r>
          <w:rPr>
            <w:noProof/>
            <w:webHidden/>
          </w:rPr>
          <w:fldChar w:fldCharType="separate"/>
        </w:r>
        <w:r>
          <w:rPr>
            <w:noProof/>
            <w:webHidden/>
          </w:rPr>
          <w:t>230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53" w:history="1">
        <w:r w:rsidRPr="00F149F6">
          <w:rPr>
            <w:rStyle w:val="Hyperlink"/>
            <w:noProof/>
          </w:rPr>
          <w:t>19.05. cikk Legnagyobb megengedett utaslétszám</w:t>
        </w:r>
        <w:r>
          <w:rPr>
            <w:noProof/>
            <w:webHidden/>
          </w:rPr>
          <w:tab/>
        </w:r>
        <w:r>
          <w:rPr>
            <w:noProof/>
            <w:webHidden/>
          </w:rPr>
          <w:fldChar w:fldCharType="begin"/>
        </w:r>
        <w:r>
          <w:rPr>
            <w:noProof/>
            <w:webHidden/>
          </w:rPr>
          <w:instrText xml:space="preserve"> PAGEREF _Toc535853953 \h </w:instrText>
        </w:r>
        <w:r>
          <w:rPr>
            <w:noProof/>
            <w:webHidden/>
          </w:rPr>
        </w:r>
        <w:r>
          <w:rPr>
            <w:noProof/>
            <w:webHidden/>
          </w:rPr>
          <w:fldChar w:fldCharType="separate"/>
        </w:r>
        <w:r>
          <w:rPr>
            <w:noProof/>
            <w:webHidden/>
          </w:rPr>
          <w:t>231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54" w:history="1">
        <w:r w:rsidRPr="00F149F6">
          <w:rPr>
            <w:rStyle w:val="Hyperlink"/>
            <w:noProof/>
          </w:rPr>
          <w:t>19.06. cikk Utasterek és utasok által használt területek</w:t>
        </w:r>
        <w:r>
          <w:rPr>
            <w:noProof/>
            <w:webHidden/>
          </w:rPr>
          <w:tab/>
        </w:r>
        <w:r>
          <w:rPr>
            <w:noProof/>
            <w:webHidden/>
          </w:rPr>
          <w:fldChar w:fldCharType="begin"/>
        </w:r>
        <w:r>
          <w:rPr>
            <w:noProof/>
            <w:webHidden/>
          </w:rPr>
          <w:instrText xml:space="preserve"> PAGEREF _Toc535853954 \h </w:instrText>
        </w:r>
        <w:r>
          <w:rPr>
            <w:noProof/>
            <w:webHidden/>
          </w:rPr>
        </w:r>
        <w:r>
          <w:rPr>
            <w:noProof/>
            <w:webHidden/>
          </w:rPr>
          <w:fldChar w:fldCharType="separate"/>
        </w:r>
        <w:r>
          <w:rPr>
            <w:noProof/>
            <w:webHidden/>
          </w:rPr>
          <w:t>232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55" w:history="1">
        <w:r w:rsidRPr="00F149F6">
          <w:rPr>
            <w:rStyle w:val="Hyperlink"/>
            <w:noProof/>
            <w:lang w:val="es-ES"/>
          </w:rPr>
          <w:t>19.07. cikk Propulziós rendszer</w:t>
        </w:r>
        <w:r>
          <w:rPr>
            <w:noProof/>
            <w:webHidden/>
          </w:rPr>
          <w:tab/>
        </w:r>
        <w:r>
          <w:rPr>
            <w:noProof/>
            <w:webHidden/>
          </w:rPr>
          <w:fldChar w:fldCharType="begin"/>
        </w:r>
        <w:r>
          <w:rPr>
            <w:noProof/>
            <w:webHidden/>
          </w:rPr>
          <w:instrText xml:space="preserve"> PAGEREF _Toc535853955 \h </w:instrText>
        </w:r>
        <w:r>
          <w:rPr>
            <w:noProof/>
            <w:webHidden/>
          </w:rPr>
        </w:r>
        <w:r>
          <w:rPr>
            <w:noProof/>
            <w:webHidden/>
          </w:rPr>
          <w:fldChar w:fldCharType="separate"/>
        </w:r>
        <w:r>
          <w:rPr>
            <w:noProof/>
            <w:webHidden/>
          </w:rPr>
          <w:t>240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56" w:history="1">
        <w:r w:rsidRPr="00F149F6">
          <w:rPr>
            <w:rStyle w:val="Hyperlink"/>
            <w:noProof/>
            <w:lang w:val="es-ES"/>
          </w:rPr>
          <w:t>19.08. cikk Biztonsági berendezések és felszerelések</w:t>
        </w:r>
        <w:r>
          <w:rPr>
            <w:noProof/>
            <w:webHidden/>
          </w:rPr>
          <w:tab/>
        </w:r>
        <w:r>
          <w:rPr>
            <w:noProof/>
            <w:webHidden/>
          </w:rPr>
          <w:fldChar w:fldCharType="begin"/>
        </w:r>
        <w:r>
          <w:rPr>
            <w:noProof/>
            <w:webHidden/>
          </w:rPr>
          <w:instrText xml:space="preserve"> PAGEREF _Toc535853956 \h </w:instrText>
        </w:r>
        <w:r>
          <w:rPr>
            <w:noProof/>
            <w:webHidden/>
          </w:rPr>
        </w:r>
        <w:r>
          <w:rPr>
            <w:noProof/>
            <w:webHidden/>
          </w:rPr>
          <w:fldChar w:fldCharType="separate"/>
        </w:r>
        <w:r>
          <w:rPr>
            <w:noProof/>
            <w:webHidden/>
          </w:rPr>
          <w:t>240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57" w:history="1">
        <w:r w:rsidRPr="00F149F6">
          <w:rPr>
            <w:rStyle w:val="Hyperlink"/>
            <w:noProof/>
            <w:lang w:val="es-ES"/>
          </w:rPr>
          <w:t>19.09. cikk Életmentő felszerelések</w:t>
        </w:r>
        <w:r>
          <w:rPr>
            <w:noProof/>
            <w:webHidden/>
          </w:rPr>
          <w:tab/>
        </w:r>
        <w:r>
          <w:rPr>
            <w:noProof/>
            <w:webHidden/>
          </w:rPr>
          <w:fldChar w:fldCharType="begin"/>
        </w:r>
        <w:r>
          <w:rPr>
            <w:noProof/>
            <w:webHidden/>
          </w:rPr>
          <w:instrText xml:space="preserve"> PAGEREF _Toc535853957 \h </w:instrText>
        </w:r>
        <w:r>
          <w:rPr>
            <w:noProof/>
            <w:webHidden/>
          </w:rPr>
        </w:r>
        <w:r>
          <w:rPr>
            <w:noProof/>
            <w:webHidden/>
          </w:rPr>
          <w:fldChar w:fldCharType="separate"/>
        </w:r>
        <w:r>
          <w:rPr>
            <w:noProof/>
            <w:webHidden/>
          </w:rPr>
          <w:t>243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58" w:history="1">
        <w:r w:rsidRPr="00F149F6">
          <w:rPr>
            <w:rStyle w:val="Hyperlink"/>
            <w:noProof/>
            <w:lang w:val="es-ES"/>
          </w:rPr>
          <w:t>19.10. cikk Elektromos berendezések</w:t>
        </w:r>
        <w:r>
          <w:rPr>
            <w:noProof/>
            <w:webHidden/>
          </w:rPr>
          <w:tab/>
        </w:r>
        <w:r>
          <w:rPr>
            <w:noProof/>
            <w:webHidden/>
          </w:rPr>
          <w:fldChar w:fldCharType="begin"/>
        </w:r>
        <w:r>
          <w:rPr>
            <w:noProof/>
            <w:webHidden/>
          </w:rPr>
          <w:instrText xml:space="preserve"> PAGEREF _Toc535853958 \h </w:instrText>
        </w:r>
        <w:r>
          <w:rPr>
            <w:noProof/>
            <w:webHidden/>
          </w:rPr>
        </w:r>
        <w:r>
          <w:rPr>
            <w:noProof/>
            <w:webHidden/>
          </w:rPr>
          <w:fldChar w:fldCharType="separate"/>
        </w:r>
        <w:r>
          <w:rPr>
            <w:noProof/>
            <w:webHidden/>
          </w:rPr>
          <w:t>246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59" w:history="1">
        <w:r w:rsidRPr="00F149F6">
          <w:rPr>
            <w:rStyle w:val="Hyperlink"/>
            <w:noProof/>
            <w:lang w:val="es-ES"/>
          </w:rPr>
          <w:t>19.11. cikk Tűzvédelem</w:t>
        </w:r>
        <w:r>
          <w:rPr>
            <w:noProof/>
            <w:webHidden/>
          </w:rPr>
          <w:tab/>
        </w:r>
        <w:r>
          <w:rPr>
            <w:noProof/>
            <w:webHidden/>
          </w:rPr>
          <w:fldChar w:fldCharType="begin"/>
        </w:r>
        <w:r>
          <w:rPr>
            <w:noProof/>
            <w:webHidden/>
          </w:rPr>
          <w:instrText xml:space="preserve"> PAGEREF _Toc535853959 \h </w:instrText>
        </w:r>
        <w:r>
          <w:rPr>
            <w:noProof/>
            <w:webHidden/>
          </w:rPr>
        </w:r>
        <w:r>
          <w:rPr>
            <w:noProof/>
            <w:webHidden/>
          </w:rPr>
          <w:fldChar w:fldCharType="separate"/>
        </w:r>
        <w:r>
          <w:rPr>
            <w:noProof/>
            <w:webHidden/>
          </w:rPr>
          <w:t>250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60" w:history="1">
        <w:r w:rsidRPr="00F149F6">
          <w:rPr>
            <w:rStyle w:val="Hyperlink"/>
            <w:noProof/>
            <w:lang w:val="pt-PT"/>
          </w:rPr>
          <w:t>19.12. cikk Tűzvédelem</w:t>
        </w:r>
        <w:r>
          <w:rPr>
            <w:noProof/>
            <w:webHidden/>
          </w:rPr>
          <w:tab/>
        </w:r>
        <w:r>
          <w:rPr>
            <w:noProof/>
            <w:webHidden/>
          </w:rPr>
          <w:fldChar w:fldCharType="begin"/>
        </w:r>
        <w:r>
          <w:rPr>
            <w:noProof/>
            <w:webHidden/>
          </w:rPr>
          <w:instrText xml:space="preserve"> PAGEREF _Toc535853960 \h </w:instrText>
        </w:r>
        <w:r>
          <w:rPr>
            <w:noProof/>
            <w:webHidden/>
          </w:rPr>
        </w:r>
        <w:r>
          <w:rPr>
            <w:noProof/>
            <w:webHidden/>
          </w:rPr>
          <w:fldChar w:fldCharType="separate"/>
        </w:r>
        <w:r>
          <w:rPr>
            <w:noProof/>
            <w:webHidden/>
          </w:rPr>
          <w:t>260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61" w:history="1">
        <w:r w:rsidRPr="00F149F6">
          <w:rPr>
            <w:rStyle w:val="Hyperlink"/>
            <w:noProof/>
            <w:lang w:val="es-ES"/>
          </w:rPr>
          <w:t>19.13. cikk Biztonságtechnikai szervezés</w:t>
        </w:r>
        <w:r>
          <w:rPr>
            <w:noProof/>
            <w:webHidden/>
          </w:rPr>
          <w:tab/>
        </w:r>
        <w:r>
          <w:rPr>
            <w:noProof/>
            <w:webHidden/>
          </w:rPr>
          <w:fldChar w:fldCharType="begin"/>
        </w:r>
        <w:r>
          <w:rPr>
            <w:noProof/>
            <w:webHidden/>
          </w:rPr>
          <w:instrText xml:space="preserve"> PAGEREF _Toc535853961 \h </w:instrText>
        </w:r>
        <w:r>
          <w:rPr>
            <w:noProof/>
            <w:webHidden/>
          </w:rPr>
        </w:r>
        <w:r>
          <w:rPr>
            <w:noProof/>
            <w:webHidden/>
          </w:rPr>
          <w:fldChar w:fldCharType="separate"/>
        </w:r>
        <w:r>
          <w:rPr>
            <w:noProof/>
            <w:webHidden/>
          </w:rPr>
          <w:t>262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62" w:history="1">
        <w:r w:rsidRPr="00F149F6">
          <w:rPr>
            <w:rStyle w:val="Hyperlink"/>
            <w:noProof/>
            <w:lang w:val="es-ES"/>
          </w:rPr>
          <w:t>19.14. cikk Szennyvízgyűjtő és -elvezető berendezések</w:t>
        </w:r>
        <w:r>
          <w:rPr>
            <w:noProof/>
            <w:webHidden/>
          </w:rPr>
          <w:tab/>
        </w:r>
        <w:r>
          <w:rPr>
            <w:noProof/>
            <w:webHidden/>
          </w:rPr>
          <w:fldChar w:fldCharType="begin"/>
        </w:r>
        <w:r>
          <w:rPr>
            <w:noProof/>
            <w:webHidden/>
          </w:rPr>
          <w:instrText xml:space="preserve"> PAGEREF _Toc535853962 \h </w:instrText>
        </w:r>
        <w:r>
          <w:rPr>
            <w:noProof/>
            <w:webHidden/>
          </w:rPr>
        </w:r>
        <w:r>
          <w:rPr>
            <w:noProof/>
            <w:webHidden/>
          </w:rPr>
          <w:fldChar w:fldCharType="separate"/>
        </w:r>
        <w:r>
          <w:rPr>
            <w:noProof/>
            <w:webHidden/>
          </w:rPr>
          <w:t>266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63" w:history="1">
        <w:r w:rsidRPr="00F149F6">
          <w:rPr>
            <w:rStyle w:val="Hyperlink"/>
            <w:noProof/>
            <w:lang w:val="es-ES"/>
          </w:rPr>
          <w:t>19.15. cikk Bizonyos személyhajókra vonatkozó eltérések</w:t>
        </w:r>
        <w:r>
          <w:rPr>
            <w:noProof/>
            <w:webHidden/>
          </w:rPr>
          <w:tab/>
        </w:r>
        <w:r>
          <w:rPr>
            <w:noProof/>
            <w:webHidden/>
          </w:rPr>
          <w:fldChar w:fldCharType="begin"/>
        </w:r>
        <w:r>
          <w:rPr>
            <w:noProof/>
            <w:webHidden/>
          </w:rPr>
          <w:instrText xml:space="preserve"> PAGEREF _Toc535853963 \h </w:instrText>
        </w:r>
        <w:r>
          <w:rPr>
            <w:noProof/>
            <w:webHidden/>
          </w:rPr>
        </w:r>
        <w:r>
          <w:rPr>
            <w:noProof/>
            <w:webHidden/>
          </w:rPr>
          <w:fldChar w:fldCharType="separate"/>
        </w:r>
        <w:r>
          <w:rPr>
            <w:noProof/>
            <w:webHidden/>
          </w:rPr>
          <w:t>266</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964" w:history="1">
        <w:r w:rsidRPr="00F149F6">
          <w:rPr>
            <w:rStyle w:val="Hyperlink"/>
            <w:noProof/>
            <w:lang w:val="es-ES"/>
          </w:rPr>
          <w:t>20. fejezet A Rajnán (R zóna) nem közlekedő vitorlás személyhajókra vonatkozó külön rendelkezések</w:t>
        </w:r>
        <w:r>
          <w:rPr>
            <w:noProof/>
            <w:webHidden/>
          </w:rPr>
          <w:tab/>
        </w:r>
        <w:r>
          <w:rPr>
            <w:noProof/>
            <w:webHidden/>
          </w:rPr>
          <w:fldChar w:fldCharType="begin"/>
        </w:r>
        <w:r>
          <w:rPr>
            <w:noProof/>
            <w:webHidden/>
          </w:rPr>
          <w:instrText xml:space="preserve"> PAGEREF _Toc535853964 \h </w:instrText>
        </w:r>
        <w:r>
          <w:rPr>
            <w:noProof/>
            <w:webHidden/>
          </w:rPr>
        </w:r>
        <w:r>
          <w:rPr>
            <w:noProof/>
            <w:webHidden/>
          </w:rPr>
          <w:fldChar w:fldCharType="separate"/>
        </w:r>
        <w:r>
          <w:rPr>
            <w:noProof/>
            <w:webHidden/>
          </w:rPr>
          <w:t>270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65" w:history="1">
        <w:r w:rsidRPr="00F149F6">
          <w:rPr>
            <w:rStyle w:val="Hyperlink"/>
            <w:noProof/>
            <w:lang w:val="es-ES"/>
          </w:rPr>
          <w:t>20.01. cikk A II. és III. rész alkalmazása</w:t>
        </w:r>
        <w:r>
          <w:rPr>
            <w:noProof/>
            <w:webHidden/>
          </w:rPr>
          <w:tab/>
        </w:r>
        <w:r>
          <w:rPr>
            <w:noProof/>
            <w:webHidden/>
          </w:rPr>
          <w:fldChar w:fldCharType="begin"/>
        </w:r>
        <w:r>
          <w:rPr>
            <w:noProof/>
            <w:webHidden/>
          </w:rPr>
          <w:instrText xml:space="preserve"> PAGEREF _Toc535853965 \h </w:instrText>
        </w:r>
        <w:r>
          <w:rPr>
            <w:noProof/>
            <w:webHidden/>
          </w:rPr>
        </w:r>
        <w:r>
          <w:rPr>
            <w:noProof/>
            <w:webHidden/>
          </w:rPr>
          <w:fldChar w:fldCharType="separate"/>
        </w:r>
        <w:r>
          <w:rPr>
            <w:noProof/>
            <w:webHidden/>
          </w:rPr>
          <w:t>270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66" w:history="1">
        <w:r w:rsidRPr="00F149F6">
          <w:rPr>
            <w:rStyle w:val="Hyperlink"/>
            <w:noProof/>
            <w:lang w:val="es-ES"/>
          </w:rPr>
          <w:t>20.02. cikk Bizonyos vitorlás személyhajókra vonatkozó kivételek</w:t>
        </w:r>
        <w:r>
          <w:rPr>
            <w:noProof/>
            <w:webHidden/>
          </w:rPr>
          <w:tab/>
        </w:r>
        <w:r>
          <w:rPr>
            <w:noProof/>
            <w:webHidden/>
          </w:rPr>
          <w:fldChar w:fldCharType="begin"/>
        </w:r>
        <w:r>
          <w:rPr>
            <w:noProof/>
            <w:webHidden/>
          </w:rPr>
          <w:instrText xml:space="preserve"> PAGEREF _Toc535853966 \h </w:instrText>
        </w:r>
        <w:r>
          <w:rPr>
            <w:noProof/>
            <w:webHidden/>
          </w:rPr>
        </w:r>
        <w:r>
          <w:rPr>
            <w:noProof/>
            <w:webHidden/>
          </w:rPr>
          <w:fldChar w:fldCharType="separate"/>
        </w:r>
        <w:r>
          <w:rPr>
            <w:noProof/>
            <w:webHidden/>
          </w:rPr>
          <w:t>270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67" w:history="1">
        <w:r w:rsidRPr="00F149F6">
          <w:rPr>
            <w:rStyle w:val="Hyperlink"/>
            <w:noProof/>
            <w:lang w:val="pt-PT"/>
          </w:rPr>
          <w:t>20.03. cikk A vitorláshajókra vonatkozó stabilitási követelmények</w:t>
        </w:r>
        <w:r>
          <w:rPr>
            <w:noProof/>
            <w:webHidden/>
          </w:rPr>
          <w:tab/>
        </w:r>
        <w:r>
          <w:rPr>
            <w:noProof/>
            <w:webHidden/>
          </w:rPr>
          <w:fldChar w:fldCharType="begin"/>
        </w:r>
        <w:r>
          <w:rPr>
            <w:noProof/>
            <w:webHidden/>
          </w:rPr>
          <w:instrText xml:space="preserve"> PAGEREF _Toc535853967 \h </w:instrText>
        </w:r>
        <w:r>
          <w:rPr>
            <w:noProof/>
            <w:webHidden/>
          </w:rPr>
        </w:r>
        <w:r>
          <w:rPr>
            <w:noProof/>
            <w:webHidden/>
          </w:rPr>
          <w:fldChar w:fldCharType="separate"/>
        </w:r>
        <w:r>
          <w:rPr>
            <w:noProof/>
            <w:webHidden/>
          </w:rPr>
          <w:t>270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68" w:history="1">
        <w:r w:rsidRPr="00F149F6">
          <w:rPr>
            <w:rStyle w:val="Hyperlink"/>
            <w:noProof/>
            <w:lang w:val="pt-PT"/>
          </w:rPr>
          <w:t>20.04. cikk Hajóépítési és gépészeti követelmények</w:t>
        </w:r>
        <w:r>
          <w:rPr>
            <w:noProof/>
            <w:webHidden/>
          </w:rPr>
          <w:tab/>
        </w:r>
        <w:r>
          <w:rPr>
            <w:noProof/>
            <w:webHidden/>
          </w:rPr>
          <w:fldChar w:fldCharType="begin"/>
        </w:r>
        <w:r>
          <w:rPr>
            <w:noProof/>
            <w:webHidden/>
          </w:rPr>
          <w:instrText xml:space="preserve"> PAGEREF _Toc535853968 \h </w:instrText>
        </w:r>
        <w:r>
          <w:rPr>
            <w:noProof/>
            <w:webHidden/>
          </w:rPr>
        </w:r>
        <w:r>
          <w:rPr>
            <w:noProof/>
            <w:webHidden/>
          </w:rPr>
          <w:fldChar w:fldCharType="separate"/>
        </w:r>
        <w:r>
          <w:rPr>
            <w:noProof/>
            <w:webHidden/>
          </w:rPr>
          <w:t>272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69" w:history="1">
        <w:r w:rsidRPr="00F149F6">
          <w:rPr>
            <w:rStyle w:val="Hyperlink"/>
            <w:noProof/>
            <w:lang w:val="pt-PT"/>
          </w:rPr>
          <w:t>20.05. cikk A kötélzetre vonatkozó általános rendelkezések</w:t>
        </w:r>
        <w:r>
          <w:rPr>
            <w:noProof/>
            <w:webHidden/>
          </w:rPr>
          <w:tab/>
        </w:r>
        <w:r>
          <w:rPr>
            <w:noProof/>
            <w:webHidden/>
          </w:rPr>
          <w:fldChar w:fldCharType="begin"/>
        </w:r>
        <w:r>
          <w:rPr>
            <w:noProof/>
            <w:webHidden/>
          </w:rPr>
          <w:instrText xml:space="preserve"> PAGEREF _Toc535853969 \h </w:instrText>
        </w:r>
        <w:r>
          <w:rPr>
            <w:noProof/>
            <w:webHidden/>
          </w:rPr>
        </w:r>
        <w:r>
          <w:rPr>
            <w:noProof/>
            <w:webHidden/>
          </w:rPr>
          <w:fldChar w:fldCharType="separate"/>
        </w:r>
        <w:r>
          <w:rPr>
            <w:noProof/>
            <w:webHidden/>
          </w:rPr>
          <w:t>272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70" w:history="1">
        <w:r w:rsidRPr="00F149F6">
          <w:rPr>
            <w:rStyle w:val="Hyperlink"/>
            <w:noProof/>
            <w:lang w:val="pt-PT"/>
          </w:rPr>
          <w:t>20.06. cikk Árbócokra és vitorlarudakra vonatkozó általános rendelkezések</w:t>
        </w:r>
        <w:r>
          <w:rPr>
            <w:noProof/>
            <w:webHidden/>
          </w:rPr>
          <w:tab/>
        </w:r>
        <w:r>
          <w:rPr>
            <w:noProof/>
            <w:webHidden/>
          </w:rPr>
          <w:fldChar w:fldCharType="begin"/>
        </w:r>
        <w:r>
          <w:rPr>
            <w:noProof/>
            <w:webHidden/>
          </w:rPr>
          <w:instrText xml:space="preserve"> PAGEREF _Toc535853970 \h </w:instrText>
        </w:r>
        <w:r>
          <w:rPr>
            <w:noProof/>
            <w:webHidden/>
          </w:rPr>
        </w:r>
        <w:r>
          <w:rPr>
            <w:noProof/>
            <w:webHidden/>
          </w:rPr>
          <w:fldChar w:fldCharType="separate"/>
        </w:r>
        <w:r>
          <w:rPr>
            <w:noProof/>
            <w:webHidden/>
          </w:rPr>
          <w:t>274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71" w:history="1">
        <w:r w:rsidRPr="00F149F6">
          <w:rPr>
            <w:rStyle w:val="Hyperlink"/>
            <w:noProof/>
            <w:lang w:val="nb-NO"/>
          </w:rPr>
          <w:t>20.07. cikk Az árbócokra vonatkozó külön rendelkezések</w:t>
        </w:r>
        <w:r>
          <w:rPr>
            <w:noProof/>
            <w:webHidden/>
          </w:rPr>
          <w:tab/>
        </w:r>
        <w:r>
          <w:rPr>
            <w:noProof/>
            <w:webHidden/>
          </w:rPr>
          <w:fldChar w:fldCharType="begin"/>
        </w:r>
        <w:r>
          <w:rPr>
            <w:noProof/>
            <w:webHidden/>
          </w:rPr>
          <w:instrText xml:space="preserve"> PAGEREF _Toc535853971 \h </w:instrText>
        </w:r>
        <w:r>
          <w:rPr>
            <w:noProof/>
            <w:webHidden/>
          </w:rPr>
        </w:r>
        <w:r>
          <w:rPr>
            <w:noProof/>
            <w:webHidden/>
          </w:rPr>
          <w:fldChar w:fldCharType="separate"/>
        </w:r>
        <w:r>
          <w:rPr>
            <w:noProof/>
            <w:webHidden/>
          </w:rPr>
          <w:t>275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72" w:history="1">
        <w:r w:rsidRPr="00F149F6">
          <w:rPr>
            <w:rStyle w:val="Hyperlink"/>
            <w:noProof/>
          </w:rPr>
          <w:t>20.08. cikk Az árbócsudárra vonatkozó külön rendelkezések</w:t>
        </w:r>
        <w:r>
          <w:rPr>
            <w:noProof/>
            <w:webHidden/>
          </w:rPr>
          <w:tab/>
        </w:r>
        <w:r>
          <w:rPr>
            <w:noProof/>
            <w:webHidden/>
          </w:rPr>
          <w:fldChar w:fldCharType="begin"/>
        </w:r>
        <w:r>
          <w:rPr>
            <w:noProof/>
            <w:webHidden/>
          </w:rPr>
          <w:instrText xml:space="preserve"> PAGEREF _Toc535853972 \h </w:instrText>
        </w:r>
        <w:r>
          <w:rPr>
            <w:noProof/>
            <w:webHidden/>
          </w:rPr>
        </w:r>
        <w:r>
          <w:rPr>
            <w:noProof/>
            <w:webHidden/>
          </w:rPr>
          <w:fldChar w:fldCharType="separate"/>
        </w:r>
        <w:r>
          <w:rPr>
            <w:noProof/>
            <w:webHidden/>
          </w:rPr>
          <w:t>276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73" w:history="1">
        <w:r w:rsidRPr="00F149F6">
          <w:rPr>
            <w:rStyle w:val="Hyperlink"/>
            <w:noProof/>
          </w:rPr>
          <w:t>20.09. cikk Az orrárbócokra vonatkozó külön rendelkezések</w:t>
        </w:r>
        <w:r>
          <w:rPr>
            <w:noProof/>
            <w:webHidden/>
          </w:rPr>
          <w:tab/>
        </w:r>
        <w:r>
          <w:rPr>
            <w:noProof/>
            <w:webHidden/>
          </w:rPr>
          <w:fldChar w:fldCharType="begin"/>
        </w:r>
        <w:r>
          <w:rPr>
            <w:noProof/>
            <w:webHidden/>
          </w:rPr>
          <w:instrText xml:space="preserve"> PAGEREF _Toc535853973 \h </w:instrText>
        </w:r>
        <w:r>
          <w:rPr>
            <w:noProof/>
            <w:webHidden/>
          </w:rPr>
        </w:r>
        <w:r>
          <w:rPr>
            <w:noProof/>
            <w:webHidden/>
          </w:rPr>
          <w:fldChar w:fldCharType="separate"/>
        </w:r>
        <w:r>
          <w:rPr>
            <w:noProof/>
            <w:webHidden/>
          </w:rPr>
          <w:t>277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74" w:history="1">
        <w:r w:rsidRPr="00F149F6">
          <w:rPr>
            <w:rStyle w:val="Hyperlink"/>
            <w:noProof/>
          </w:rPr>
          <w:t>20.10. cikk Az orrvitorlarúdra vonatkozó külön rendelkezések</w:t>
        </w:r>
        <w:r>
          <w:rPr>
            <w:noProof/>
            <w:webHidden/>
          </w:rPr>
          <w:tab/>
        </w:r>
        <w:r>
          <w:rPr>
            <w:noProof/>
            <w:webHidden/>
          </w:rPr>
          <w:fldChar w:fldCharType="begin"/>
        </w:r>
        <w:r>
          <w:rPr>
            <w:noProof/>
            <w:webHidden/>
          </w:rPr>
          <w:instrText xml:space="preserve"> PAGEREF _Toc535853974 \h </w:instrText>
        </w:r>
        <w:r>
          <w:rPr>
            <w:noProof/>
            <w:webHidden/>
          </w:rPr>
        </w:r>
        <w:r>
          <w:rPr>
            <w:noProof/>
            <w:webHidden/>
          </w:rPr>
          <w:fldChar w:fldCharType="separate"/>
        </w:r>
        <w:r>
          <w:rPr>
            <w:noProof/>
            <w:webHidden/>
          </w:rPr>
          <w:t>277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75" w:history="1">
        <w:r w:rsidRPr="00F149F6">
          <w:rPr>
            <w:rStyle w:val="Hyperlink"/>
            <w:noProof/>
          </w:rPr>
          <w:t>20.11. cikk A fővitorla keresztrúdjaira vonatkozó külön rendelkezések</w:t>
        </w:r>
        <w:r>
          <w:rPr>
            <w:noProof/>
            <w:webHidden/>
          </w:rPr>
          <w:tab/>
        </w:r>
        <w:r>
          <w:rPr>
            <w:noProof/>
            <w:webHidden/>
          </w:rPr>
          <w:fldChar w:fldCharType="begin"/>
        </w:r>
        <w:r>
          <w:rPr>
            <w:noProof/>
            <w:webHidden/>
          </w:rPr>
          <w:instrText xml:space="preserve"> PAGEREF _Toc535853975 \h </w:instrText>
        </w:r>
        <w:r>
          <w:rPr>
            <w:noProof/>
            <w:webHidden/>
          </w:rPr>
        </w:r>
        <w:r>
          <w:rPr>
            <w:noProof/>
            <w:webHidden/>
          </w:rPr>
          <w:fldChar w:fldCharType="separate"/>
        </w:r>
        <w:r>
          <w:rPr>
            <w:noProof/>
            <w:webHidden/>
          </w:rPr>
          <w:t>279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76" w:history="1">
        <w:r w:rsidRPr="00F149F6">
          <w:rPr>
            <w:rStyle w:val="Hyperlink"/>
            <w:noProof/>
          </w:rPr>
          <w:t>20.12. cikk A gaffokra vonatkozó külön rendelkezések</w:t>
        </w:r>
        <w:r>
          <w:rPr>
            <w:noProof/>
            <w:webHidden/>
          </w:rPr>
          <w:tab/>
        </w:r>
        <w:r>
          <w:rPr>
            <w:noProof/>
            <w:webHidden/>
          </w:rPr>
          <w:fldChar w:fldCharType="begin"/>
        </w:r>
        <w:r>
          <w:rPr>
            <w:noProof/>
            <w:webHidden/>
          </w:rPr>
          <w:instrText xml:space="preserve"> PAGEREF _Toc535853976 \h </w:instrText>
        </w:r>
        <w:r>
          <w:rPr>
            <w:noProof/>
            <w:webHidden/>
          </w:rPr>
        </w:r>
        <w:r>
          <w:rPr>
            <w:noProof/>
            <w:webHidden/>
          </w:rPr>
          <w:fldChar w:fldCharType="separate"/>
        </w:r>
        <w:r>
          <w:rPr>
            <w:noProof/>
            <w:webHidden/>
          </w:rPr>
          <w:t>279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77" w:history="1">
        <w:r w:rsidRPr="00F149F6">
          <w:rPr>
            <w:rStyle w:val="Hyperlink"/>
            <w:noProof/>
          </w:rPr>
          <w:t>20.13. cikk Az álló- és futókötélzetre vonatkozó általános rendelkezések</w:t>
        </w:r>
        <w:r>
          <w:rPr>
            <w:noProof/>
            <w:webHidden/>
          </w:rPr>
          <w:tab/>
        </w:r>
        <w:r>
          <w:rPr>
            <w:noProof/>
            <w:webHidden/>
          </w:rPr>
          <w:fldChar w:fldCharType="begin"/>
        </w:r>
        <w:r>
          <w:rPr>
            <w:noProof/>
            <w:webHidden/>
          </w:rPr>
          <w:instrText xml:space="preserve"> PAGEREF _Toc535853977 \h </w:instrText>
        </w:r>
        <w:r>
          <w:rPr>
            <w:noProof/>
            <w:webHidden/>
          </w:rPr>
        </w:r>
        <w:r>
          <w:rPr>
            <w:noProof/>
            <w:webHidden/>
          </w:rPr>
          <w:fldChar w:fldCharType="separate"/>
        </w:r>
        <w:r>
          <w:rPr>
            <w:noProof/>
            <w:webHidden/>
          </w:rPr>
          <w:t>281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78" w:history="1">
        <w:r w:rsidRPr="00F149F6">
          <w:rPr>
            <w:rStyle w:val="Hyperlink"/>
            <w:noProof/>
          </w:rPr>
          <w:t>20.14. cikk Az állókötélzetre vonatkozó külön rendelkezések</w:t>
        </w:r>
        <w:r>
          <w:rPr>
            <w:noProof/>
            <w:webHidden/>
          </w:rPr>
          <w:tab/>
        </w:r>
        <w:r>
          <w:rPr>
            <w:noProof/>
            <w:webHidden/>
          </w:rPr>
          <w:fldChar w:fldCharType="begin"/>
        </w:r>
        <w:r>
          <w:rPr>
            <w:noProof/>
            <w:webHidden/>
          </w:rPr>
          <w:instrText xml:space="preserve"> PAGEREF _Toc535853978 \h </w:instrText>
        </w:r>
        <w:r>
          <w:rPr>
            <w:noProof/>
            <w:webHidden/>
          </w:rPr>
        </w:r>
        <w:r>
          <w:rPr>
            <w:noProof/>
            <w:webHidden/>
          </w:rPr>
          <w:fldChar w:fldCharType="separate"/>
        </w:r>
        <w:r>
          <w:rPr>
            <w:noProof/>
            <w:webHidden/>
          </w:rPr>
          <w:t>281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79" w:history="1">
        <w:r w:rsidRPr="00F149F6">
          <w:rPr>
            <w:rStyle w:val="Hyperlink"/>
            <w:noProof/>
          </w:rPr>
          <w:t>20.15. cikk A futókötélzetre vonatkozó külön rendelkezések</w:t>
        </w:r>
        <w:r>
          <w:rPr>
            <w:noProof/>
            <w:webHidden/>
          </w:rPr>
          <w:tab/>
        </w:r>
        <w:r>
          <w:rPr>
            <w:noProof/>
            <w:webHidden/>
          </w:rPr>
          <w:fldChar w:fldCharType="begin"/>
        </w:r>
        <w:r>
          <w:rPr>
            <w:noProof/>
            <w:webHidden/>
          </w:rPr>
          <w:instrText xml:space="preserve"> PAGEREF _Toc535853979 \h </w:instrText>
        </w:r>
        <w:r>
          <w:rPr>
            <w:noProof/>
            <w:webHidden/>
          </w:rPr>
        </w:r>
        <w:r>
          <w:rPr>
            <w:noProof/>
            <w:webHidden/>
          </w:rPr>
          <w:fldChar w:fldCharType="separate"/>
        </w:r>
        <w:r>
          <w:rPr>
            <w:noProof/>
            <w:webHidden/>
          </w:rPr>
          <w:t>283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80" w:history="1">
        <w:r w:rsidRPr="00F149F6">
          <w:rPr>
            <w:rStyle w:val="Hyperlink"/>
            <w:noProof/>
          </w:rPr>
          <w:t>20.16. cikk A kötélzet szerelékei és részei</w:t>
        </w:r>
        <w:r>
          <w:rPr>
            <w:noProof/>
            <w:webHidden/>
          </w:rPr>
          <w:tab/>
        </w:r>
        <w:r>
          <w:rPr>
            <w:noProof/>
            <w:webHidden/>
          </w:rPr>
          <w:fldChar w:fldCharType="begin"/>
        </w:r>
        <w:r>
          <w:rPr>
            <w:noProof/>
            <w:webHidden/>
          </w:rPr>
          <w:instrText xml:space="preserve"> PAGEREF _Toc535853980 \h </w:instrText>
        </w:r>
        <w:r>
          <w:rPr>
            <w:noProof/>
            <w:webHidden/>
          </w:rPr>
        </w:r>
        <w:r>
          <w:rPr>
            <w:noProof/>
            <w:webHidden/>
          </w:rPr>
          <w:fldChar w:fldCharType="separate"/>
        </w:r>
        <w:r>
          <w:rPr>
            <w:noProof/>
            <w:webHidden/>
          </w:rPr>
          <w:t>284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81" w:history="1">
        <w:r w:rsidRPr="00F149F6">
          <w:rPr>
            <w:rStyle w:val="Hyperlink"/>
            <w:noProof/>
          </w:rPr>
          <w:t>20.17. cikk Vitorlák</w:t>
        </w:r>
        <w:r>
          <w:rPr>
            <w:noProof/>
            <w:webHidden/>
          </w:rPr>
          <w:tab/>
        </w:r>
        <w:r>
          <w:rPr>
            <w:noProof/>
            <w:webHidden/>
          </w:rPr>
          <w:fldChar w:fldCharType="begin"/>
        </w:r>
        <w:r>
          <w:rPr>
            <w:noProof/>
            <w:webHidden/>
          </w:rPr>
          <w:instrText xml:space="preserve"> PAGEREF _Toc535853981 \h </w:instrText>
        </w:r>
        <w:r>
          <w:rPr>
            <w:noProof/>
            <w:webHidden/>
          </w:rPr>
        </w:r>
        <w:r>
          <w:rPr>
            <w:noProof/>
            <w:webHidden/>
          </w:rPr>
          <w:fldChar w:fldCharType="separate"/>
        </w:r>
        <w:r>
          <w:rPr>
            <w:noProof/>
            <w:webHidden/>
          </w:rPr>
          <w:t>286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82" w:history="1">
        <w:r w:rsidRPr="00F149F6">
          <w:rPr>
            <w:rStyle w:val="Hyperlink"/>
            <w:noProof/>
          </w:rPr>
          <w:t>20.18. cikk Felszerelések</w:t>
        </w:r>
        <w:r>
          <w:rPr>
            <w:noProof/>
            <w:webHidden/>
          </w:rPr>
          <w:tab/>
        </w:r>
        <w:r>
          <w:rPr>
            <w:noProof/>
            <w:webHidden/>
          </w:rPr>
          <w:fldChar w:fldCharType="begin"/>
        </w:r>
        <w:r>
          <w:rPr>
            <w:noProof/>
            <w:webHidden/>
          </w:rPr>
          <w:instrText xml:space="preserve"> PAGEREF _Toc535853982 \h </w:instrText>
        </w:r>
        <w:r>
          <w:rPr>
            <w:noProof/>
            <w:webHidden/>
          </w:rPr>
        </w:r>
        <w:r>
          <w:rPr>
            <w:noProof/>
            <w:webHidden/>
          </w:rPr>
          <w:fldChar w:fldCharType="separate"/>
        </w:r>
        <w:r>
          <w:rPr>
            <w:noProof/>
            <w:webHidden/>
          </w:rPr>
          <w:t>286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83" w:history="1">
        <w:r w:rsidRPr="00F149F6">
          <w:rPr>
            <w:rStyle w:val="Hyperlink"/>
            <w:noProof/>
          </w:rPr>
          <w:t>20.19. cikk Vizsgálatok</w:t>
        </w:r>
        <w:r>
          <w:rPr>
            <w:noProof/>
            <w:webHidden/>
          </w:rPr>
          <w:tab/>
        </w:r>
        <w:r>
          <w:rPr>
            <w:noProof/>
            <w:webHidden/>
          </w:rPr>
          <w:fldChar w:fldCharType="begin"/>
        </w:r>
        <w:r>
          <w:rPr>
            <w:noProof/>
            <w:webHidden/>
          </w:rPr>
          <w:instrText xml:space="preserve"> PAGEREF _Toc535853983 \h </w:instrText>
        </w:r>
        <w:r>
          <w:rPr>
            <w:noProof/>
            <w:webHidden/>
          </w:rPr>
        </w:r>
        <w:r>
          <w:rPr>
            <w:noProof/>
            <w:webHidden/>
          </w:rPr>
          <w:fldChar w:fldCharType="separate"/>
        </w:r>
        <w:r>
          <w:rPr>
            <w:noProof/>
            <w:webHidden/>
          </w:rPr>
          <w:t>286</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984" w:history="1">
        <w:r w:rsidRPr="00F149F6">
          <w:rPr>
            <w:rStyle w:val="Hyperlink"/>
            <w:noProof/>
          </w:rPr>
          <w:t>21. fejezet Tolt vagy vontatott kötelék, illetve mellévett alakzat kialakítására szolgáló vízi járművekre vonatkozó külön rendelkezések</w:t>
        </w:r>
        <w:r>
          <w:rPr>
            <w:noProof/>
            <w:webHidden/>
          </w:rPr>
          <w:tab/>
        </w:r>
        <w:r>
          <w:rPr>
            <w:noProof/>
            <w:webHidden/>
          </w:rPr>
          <w:fldChar w:fldCharType="begin"/>
        </w:r>
        <w:r>
          <w:rPr>
            <w:noProof/>
            <w:webHidden/>
          </w:rPr>
          <w:instrText xml:space="preserve"> PAGEREF _Toc535853984 \h </w:instrText>
        </w:r>
        <w:r>
          <w:rPr>
            <w:noProof/>
            <w:webHidden/>
          </w:rPr>
        </w:r>
        <w:r>
          <w:rPr>
            <w:noProof/>
            <w:webHidden/>
          </w:rPr>
          <w:fldChar w:fldCharType="separate"/>
        </w:r>
        <w:r>
          <w:rPr>
            <w:noProof/>
            <w:webHidden/>
          </w:rPr>
          <w:t>288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85" w:history="1">
        <w:r w:rsidRPr="00F149F6">
          <w:rPr>
            <w:rStyle w:val="Hyperlink"/>
            <w:noProof/>
          </w:rPr>
          <w:t>21.01. cikk Tolóhajók</w:t>
        </w:r>
        <w:r>
          <w:rPr>
            <w:noProof/>
            <w:webHidden/>
          </w:rPr>
          <w:tab/>
        </w:r>
        <w:r>
          <w:rPr>
            <w:noProof/>
            <w:webHidden/>
          </w:rPr>
          <w:fldChar w:fldCharType="begin"/>
        </w:r>
        <w:r>
          <w:rPr>
            <w:noProof/>
            <w:webHidden/>
          </w:rPr>
          <w:instrText xml:space="preserve"> PAGEREF _Toc535853985 \h </w:instrText>
        </w:r>
        <w:r>
          <w:rPr>
            <w:noProof/>
            <w:webHidden/>
          </w:rPr>
        </w:r>
        <w:r>
          <w:rPr>
            <w:noProof/>
            <w:webHidden/>
          </w:rPr>
          <w:fldChar w:fldCharType="separate"/>
        </w:r>
        <w:r>
          <w:rPr>
            <w:noProof/>
            <w:webHidden/>
          </w:rPr>
          <w:t>288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86" w:history="1">
        <w:r w:rsidRPr="00F149F6">
          <w:rPr>
            <w:rStyle w:val="Hyperlink"/>
            <w:noProof/>
          </w:rPr>
          <w:t>21.02. cikk Tolt vízi járművek</w:t>
        </w:r>
        <w:r>
          <w:rPr>
            <w:noProof/>
            <w:webHidden/>
          </w:rPr>
          <w:tab/>
        </w:r>
        <w:r>
          <w:rPr>
            <w:noProof/>
            <w:webHidden/>
          </w:rPr>
          <w:fldChar w:fldCharType="begin"/>
        </w:r>
        <w:r>
          <w:rPr>
            <w:noProof/>
            <w:webHidden/>
          </w:rPr>
          <w:instrText xml:space="preserve"> PAGEREF _Toc535853986 \h </w:instrText>
        </w:r>
        <w:r>
          <w:rPr>
            <w:noProof/>
            <w:webHidden/>
          </w:rPr>
        </w:r>
        <w:r>
          <w:rPr>
            <w:noProof/>
            <w:webHidden/>
          </w:rPr>
          <w:fldChar w:fldCharType="separate"/>
        </w:r>
        <w:r>
          <w:rPr>
            <w:noProof/>
            <w:webHidden/>
          </w:rPr>
          <w:t>288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87" w:history="1">
        <w:r w:rsidRPr="00F149F6">
          <w:rPr>
            <w:rStyle w:val="Hyperlink"/>
            <w:noProof/>
          </w:rPr>
          <w:t>21.03. cikk Mellévett alakzatokat meghajtó vízi járművek</w:t>
        </w:r>
        <w:r>
          <w:rPr>
            <w:noProof/>
            <w:webHidden/>
          </w:rPr>
          <w:tab/>
        </w:r>
        <w:r>
          <w:rPr>
            <w:noProof/>
            <w:webHidden/>
          </w:rPr>
          <w:fldChar w:fldCharType="begin"/>
        </w:r>
        <w:r>
          <w:rPr>
            <w:noProof/>
            <w:webHidden/>
          </w:rPr>
          <w:instrText xml:space="preserve"> PAGEREF _Toc535853987 \h </w:instrText>
        </w:r>
        <w:r>
          <w:rPr>
            <w:noProof/>
            <w:webHidden/>
          </w:rPr>
        </w:r>
        <w:r>
          <w:rPr>
            <w:noProof/>
            <w:webHidden/>
          </w:rPr>
          <w:fldChar w:fldCharType="separate"/>
        </w:r>
        <w:r>
          <w:rPr>
            <w:noProof/>
            <w:webHidden/>
          </w:rPr>
          <w:t>290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88" w:history="1">
        <w:r w:rsidRPr="00F149F6">
          <w:rPr>
            <w:rStyle w:val="Hyperlink"/>
            <w:noProof/>
          </w:rPr>
          <w:t>21.04. cikk Kötelékben meghajtott vízi járművek</w:t>
        </w:r>
        <w:r>
          <w:rPr>
            <w:noProof/>
            <w:webHidden/>
          </w:rPr>
          <w:tab/>
        </w:r>
        <w:r>
          <w:rPr>
            <w:noProof/>
            <w:webHidden/>
          </w:rPr>
          <w:fldChar w:fldCharType="begin"/>
        </w:r>
        <w:r>
          <w:rPr>
            <w:noProof/>
            <w:webHidden/>
          </w:rPr>
          <w:instrText xml:space="preserve"> PAGEREF _Toc535853988 \h </w:instrText>
        </w:r>
        <w:r>
          <w:rPr>
            <w:noProof/>
            <w:webHidden/>
          </w:rPr>
        </w:r>
        <w:r>
          <w:rPr>
            <w:noProof/>
            <w:webHidden/>
          </w:rPr>
          <w:fldChar w:fldCharType="separate"/>
        </w:r>
        <w:r>
          <w:rPr>
            <w:noProof/>
            <w:webHidden/>
          </w:rPr>
          <w:t>290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89" w:history="1">
        <w:r w:rsidRPr="00F149F6">
          <w:rPr>
            <w:rStyle w:val="Hyperlink"/>
            <w:noProof/>
          </w:rPr>
          <w:t>21.05. cikk Vontató vízi járművek</w:t>
        </w:r>
        <w:r>
          <w:rPr>
            <w:noProof/>
            <w:webHidden/>
          </w:rPr>
          <w:tab/>
        </w:r>
        <w:r>
          <w:rPr>
            <w:noProof/>
            <w:webHidden/>
          </w:rPr>
          <w:fldChar w:fldCharType="begin"/>
        </w:r>
        <w:r>
          <w:rPr>
            <w:noProof/>
            <w:webHidden/>
          </w:rPr>
          <w:instrText xml:space="preserve"> PAGEREF _Toc535853989 \h </w:instrText>
        </w:r>
        <w:r>
          <w:rPr>
            <w:noProof/>
            <w:webHidden/>
          </w:rPr>
        </w:r>
        <w:r>
          <w:rPr>
            <w:noProof/>
            <w:webHidden/>
          </w:rPr>
          <w:fldChar w:fldCharType="separate"/>
        </w:r>
        <w:r>
          <w:rPr>
            <w:noProof/>
            <w:webHidden/>
          </w:rPr>
          <w:t>290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90" w:history="1">
        <w:r w:rsidRPr="00F149F6">
          <w:rPr>
            <w:rStyle w:val="Hyperlink"/>
            <w:noProof/>
          </w:rPr>
          <w:t>21.06. cikk Kötelékek próbaútjai</w:t>
        </w:r>
        <w:r>
          <w:rPr>
            <w:noProof/>
            <w:webHidden/>
          </w:rPr>
          <w:tab/>
        </w:r>
        <w:r>
          <w:rPr>
            <w:noProof/>
            <w:webHidden/>
          </w:rPr>
          <w:fldChar w:fldCharType="begin"/>
        </w:r>
        <w:r>
          <w:rPr>
            <w:noProof/>
            <w:webHidden/>
          </w:rPr>
          <w:instrText xml:space="preserve"> PAGEREF _Toc535853990 \h </w:instrText>
        </w:r>
        <w:r>
          <w:rPr>
            <w:noProof/>
            <w:webHidden/>
          </w:rPr>
        </w:r>
        <w:r>
          <w:rPr>
            <w:noProof/>
            <w:webHidden/>
          </w:rPr>
          <w:fldChar w:fldCharType="separate"/>
        </w:r>
        <w:r>
          <w:rPr>
            <w:noProof/>
            <w:webHidden/>
          </w:rPr>
          <w:t>291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91" w:history="1">
        <w:r w:rsidRPr="00F149F6">
          <w:rPr>
            <w:rStyle w:val="Hyperlink"/>
            <w:noProof/>
          </w:rPr>
          <w:t>21.07. cikk Bejegyzések a belvízi hajóbizonyítványba</w:t>
        </w:r>
        <w:r>
          <w:rPr>
            <w:noProof/>
            <w:webHidden/>
          </w:rPr>
          <w:tab/>
        </w:r>
        <w:r>
          <w:rPr>
            <w:noProof/>
            <w:webHidden/>
          </w:rPr>
          <w:fldChar w:fldCharType="begin"/>
        </w:r>
        <w:r>
          <w:rPr>
            <w:noProof/>
            <w:webHidden/>
          </w:rPr>
          <w:instrText xml:space="preserve"> PAGEREF _Toc535853991 \h </w:instrText>
        </w:r>
        <w:r>
          <w:rPr>
            <w:noProof/>
            <w:webHidden/>
          </w:rPr>
        </w:r>
        <w:r>
          <w:rPr>
            <w:noProof/>
            <w:webHidden/>
          </w:rPr>
          <w:fldChar w:fldCharType="separate"/>
        </w:r>
        <w:r>
          <w:rPr>
            <w:noProof/>
            <w:webHidden/>
          </w:rPr>
          <w:t>292</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3992" w:history="1">
        <w:r w:rsidRPr="00F149F6">
          <w:rPr>
            <w:rStyle w:val="Hyperlink"/>
            <w:noProof/>
          </w:rPr>
          <w:t>22. fejezet Az úszó munkagépekre alkalmazandó külön rendelkezések</w:t>
        </w:r>
        <w:r>
          <w:rPr>
            <w:noProof/>
            <w:webHidden/>
          </w:rPr>
          <w:tab/>
        </w:r>
        <w:r>
          <w:rPr>
            <w:noProof/>
            <w:webHidden/>
          </w:rPr>
          <w:fldChar w:fldCharType="begin"/>
        </w:r>
        <w:r>
          <w:rPr>
            <w:noProof/>
            <w:webHidden/>
          </w:rPr>
          <w:instrText xml:space="preserve"> PAGEREF _Toc535853992 \h </w:instrText>
        </w:r>
        <w:r>
          <w:rPr>
            <w:noProof/>
            <w:webHidden/>
          </w:rPr>
        </w:r>
        <w:r>
          <w:rPr>
            <w:noProof/>
            <w:webHidden/>
          </w:rPr>
          <w:fldChar w:fldCharType="separate"/>
        </w:r>
        <w:r>
          <w:rPr>
            <w:noProof/>
            <w:webHidden/>
          </w:rPr>
          <w:t>294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93" w:history="1">
        <w:r w:rsidRPr="00F149F6">
          <w:rPr>
            <w:rStyle w:val="Hyperlink"/>
            <w:noProof/>
          </w:rPr>
          <w:t>22.01. cikk Általános rendelkezések</w:t>
        </w:r>
        <w:r>
          <w:rPr>
            <w:noProof/>
            <w:webHidden/>
          </w:rPr>
          <w:tab/>
        </w:r>
        <w:r>
          <w:rPr>
            <w:noProof/>
            <w:webHidden/>
          </w:rPr>
          <w:fldChar w:fldCharType="begin"/>
        </w:r>
        <w:r>
          <w:rPr>
            <w:noProof/>
            <w:webHidden/>
          </w:rPr>
          <w:instrText xml:space="preserve"> PAGEREF _Toc535853993 \h </w:instrText>
        </w:r>
        <w:r>
          <w:rPr>
            <w:noProof/>
            <w:webHidden/>
          </w:rPr>
        </w:r>
        <w:r>
          <w:rPr>
            <w:noProof/>
            <w:webHidden/>
          </w:rPr>
          <w:fldChar w:fldCharType="separate"/>
        </w:r>
        <w:r>
          <w:rPr>
            <w:noProof/>
            <w:webHidden/>
          </w:rPr>
          <w:t>294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94" w:history="1">
        <w:r w:rsidRPr="00F149F6">
          <w:rPr>
            <w:rStyle w:val="Hyperlink"/>
            <w:noProof/>
          </w:rPr>
          <w:t>22.02. cikk Eltérések</w:t>
        </w:r>
        <w:r>
          <w:rPr>
            <w:noProof/>
            <w:webHidden/>
          </w:rPr>
          <w:tab/>
        </w:r>
        <w:r>
          <w:rPr>
            <w:noProof/>
            <w:webHidden/>
          </w:rPr>
          <w:fldChar w:fldCharType="begin"/>
        </w:r>
        <w:r>
          <w:rPr>
            <w:noProof/>
            <w:webHidden/>
          </w:rPr>
          <w:instrText xml:space="preserve"> PAGEREF _Toc535853994 \h </w:instrText>
        </w:r>
        <w:r>
          <w:rPr>
            <w:noProof/>
            <w:webHidden/>
          </w:rPr>
        </w:r>
        <w:r>
          <w:rPr>
            <w:noProof/>
            <w:webHidden/>
          </w:rPr>
          <w:fldChar w:fldCharType="separate"/>
        </w:r>
        <w:r>
          <w:rPr>
            <w:noProof/>
            <w:webHidden/>
          </w:rPr>
          <w:t>294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95" w:history="1">
        <w:r w:rsidRPr="00F149F6">
          <w:rPr>
            <w:rStyle w:val="Hyperlink"/>
            <w:noProof/>
          </w:rPr>
          <w:t>22.03. cikk További követelmények</w:t>
        </w:r>
        <w:r>
          <w:rPr>
            <w:noProof/>
            <w:webHidden/>
          </w:rPr>
          <w:tab/>
        </w:r>
        <w:r>
          <w:rPr>
            <w:noProof/>
            <w:webHidden/>
          </w:rPr>
          <w:fldChar w:fldCharType="begin"/>
        </w:r>
        <w:r>
          <w:rPr>
            <w:noProof/>
            <w:webHidden/>
          </w:rPr>
          <w:instrText xml:space="preserve"> PAGEREF _Toc535853995 \h </w:instrText>
        </w:r>
        <w:r>
          <w:rPr>
            <w:noProof/>
            <w:webHidden/>
          </w:rPr>
        </w:r>
        <w:r>
          <w:rPr>
            <w:noProof/>
            <w:webHidden/>
          </w:rPr>
          <w:fldChar w:fldCharType="separate"/>
        </w:r>
        <w:r>
          <w:rPr>
            <w:noProof/>
            <w:webHidden/>
          </w:rPr>
          <w:t>296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96" w:history="1">
        <w:r w:rsidRPr="00F149F6">
          <w:rPr>
            <w:rStyle w:val="Hyperlink"/>
            <w:noProof/>
          </w:rPr>
          <w:t>22.04. cikk Fennmaradó biztonsági távolság</w:t>
        </w:r>
        <w:r>
          <w:rPr>
            <w:noProof/>
            <w:webHidden/>
          </w:rPr>
          <w:tab/>
        </w:r>
        <w:r>
          <w:rPr>
            <w:noProof/>
            <w:webHidden/>
          </w:rPr>
          <w:fldChar w:fldCharType="begin"/>
        </w:r>
        <w:r>
          <w:rPr>
            <w:noProof/>
            <w:webHidden/>
          </w:rPr>
          <w:instrText xml:space="preserve"> PAGEREF _Toc535853996 \h </w:instrText>
        </w:r>
        <w:r>
          <w:rPr>
            <w:noProof/>
            <w:webHidden/>
          </w:rPr>
        </w:r>
        <w:r>
          <w:rPr>
            <w:noProof/>
            <w:webHidden/>
          </w:rPr>
          <w:fldChar w:fldCharType="separate"/>
        </w:r>
        <w:r>
          <w:rPr>
            <w:noProof/>
            <w:webHidden/>
          </w:rPr>
          <w:t>296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97" w:history="1">
        <w:r w:rsidRPr="00F149F6">
          <w:rPr>
            <w:rStyle w:val="Hyperlink"/>
            <w:noProof/>
          </w:rPr>
          <w:t>22.05. cikk Fennmaradó szabadoldal</w:t>
        </w:r>
        <w:r>
          <w:rPr>
            <w:noProof/>
            <w:webHidden/>
          </w:rPr>
          <w:tab/>
        </w:r>
        <w:r>
          <w:rPr>
            <w:noProof/>
            <w:webHidden/>
          </w:rPr>
          <w:fldChar w:fldCharType="begin"/>
        </w:r>
        <w:r>
          <w:rPr>
            <w:noProof/>
            <w:webHidden/>
          </w:rPr>
          <w:instrText xml:space="preserve"> PAGEREF _Toc535853997 \h </w:instrText>
        </w:r>
        <w:r>
          <w:rPr>
            <w:noProof/>
            <w:webHidden/>
          </w:rPr>
        </w:r>
        <w:r>
          <w:rPr>
            <w:noProof/>
            <w:webHidden/>
          </w:rPr>
          <w:fldChar w:fldCharType="separate"/>
        </w:r>
        <w:r>
          <w:rPr>
            <w:noProof/>
            <w:webHidden/>
          </w:rPr>
          <w:t>297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98" w:history="1">
        <w:r w:rsidRPr="00F149F6">
          <w:rPr>
            <w:rStyle w:val="Hyperlink"/>
            <w:noProof/>
          </w:rPr>
          <w:t>22.06. cikk Dőléspróba</w:t>
        </w:r>
        <w:r>
          <w:rPr>
            <w:noProof/>
            <w:webHidden/>
          </w:rPr>
          <w:tab/>
        </w:r>
        <w:r>
          <w:rPr>
            <w:noProof/>
            <w:webHidden/>
          </w:rPr>
          <w:fldChar w:fldCharType="begin"/>
        </w:r>
        <w:r>
          <w:rPr>
            <w:noProof/>
            <w:webHidden/>
          </w:rPr>
          <w:instrText xml:space="preserve"> PAGEREF _Toc535853998 \h </w:instrText>
        </w:r>
        <w:r>
          <w:rPr>
            <w:noProof/>
            <w:webHidden/>
          </w:rPr>
        </w:r>
        <w:r>
          <w:rPr>
            <w:noProof/>
            <w:webHidden/>
          </w:rPr>
          <w:fldChar w:fldCharType="separate"/>
        </w:r>
        <w:r>
          <w:rPr>
            <w:noProof/>
            <w:webHidden/>
          </w:rPr>
          <w:t>298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3999" w:history="1">
        <w:r w:rsidRPr="00F149F6">
          <w:rPr>
            <w:rStyle w:val="Hyperlink"/>
            <w:noProof/>
          </w:rPr>
          <w:t>22.07. cikk A stabilitás igazolása</w:t>
        </w:r>
        <w:r>
          <w:rPr>
            <w:noProof/>
            <w:webHidden/>
          </w:rPr>
          <w:tab/>
        </w:r>
        <w:r>
          <w:rPr>
            <w:noProof/>
            <w:webHidden/>
          </w:rPr>
          <w:fldChar w:fldCharType="begin"/>
        </w:r>
        <w:r>
          <w:rPr>
            <w:noProof/>
            <w:webHidden/>
          </w:rPr>
          <w:instrText xml:space="preserve"> PAGEREF _Toc535853999 \h </w:instrText>
        </w:r>
        <w:r>
          <w:rPr>
            <w:noProof/>
            <w:webHidden/>
          </w:rPr>
        </w:r>
        <w:r>
          <w:rPr>
            <w:noProof/>
            <w:webHidden/>
          </w:rPr>
          <w:fldChar w:fldCharType="separate"/>
        </w:r>
        <w:r>
          <w:rPr>
            <w:noProof/>
            <w:webHidden/>
          </w:rPr>
          <w:t>298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00" w:history="1">
        <w:r w:rsidRPr="00F149F6">
          <w:rPr>
            <w:rStyle w:val="Hyperlink"/>
            <w:noProof/>
          </w:rPr>
          <w:t>22.08. cikk A stabilitás igazolása csökkentett fennmaradó szabadoldal esetén</w:t>
        </w:r>
        <w:r>
          <w:rPr>
            <w:noProof/>
            <w:webHidden/>
          </w:rPr>
          <w:tab/>
        </w:r>
        <w:r>
          <w:rPr>
            <w:noProof/>
            <w:webHidden/>
          </w:rPr>
          <w:fldChar w:fldCharType="begin"/>
        </w:r>
        <w:r>
          <w:rPr>
            <w:noProof/>
            <w:webHidden/>
          </w:rPr>
          <w:instrText xml:space="preserve"> PAGEREF _Toc535854000 \h </w:instrText>
        </w:r>
        <w:r>
          <w:rPr>
            <w:noProof/>
            <w:webHidden/>
          </w:rPr>
        </w:r>
        <w:r>
          <w:rPr>
            <w:noProof/>
            <w:webHidden/>
          </w:rPr>
          <w:fldChar w:fldCharType="separate"/>
        </w:r>
        <w:r>
          <w:rPr>
            <w:noProof/>
            <w:webHidden/>
          </w:rPr>
          <w:t>302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01" w:history="1">
        <w:r w:rsidRPr="00F149F6">
          <w:rPr>
            <w:rStyle w:val="Hyperlink"/>
            <w:noProof/>
          </w:rPr>
          <w:t>22.09. cikk Merülési vonalak és merülési mércék</w:t>
        </w:r>
        <w:r>
          <w:rPr>
            <w:noProof/>
            <w:webHidden/>
          </w:rPr>
          <w:tab/>
        </w:r>
        <w:r>
          <w:rPr>
            <w:noProof/>
            <w:webHidden/>
          </w:rPr>
          <w:fldChar w:fldCharType="begin"/>
        </w:r>
        <w:r>
          <w:rPr>
            <w:noProof/>
            <w:webHidden/>
          </w:rPr>
          <w:instrText xml:space="preserve"> PAGEREF _Toc535854001 \h </w:instrText>
        </w:r>
        <w:r>
          <w:rPr>
            <w:noProof/>
            <w:webHidden/>
          </w:rPr>
        </w:r>
        <w:r>
          <w:rPr>
            <w:noProof/>
            <w:webHidden/>
          </w:rPr>
          <w:fldChar w:fldCharType="separate"/>
        </w:r>
        <w:r>
          <w:rPr>
            <w:noProof/>
            <w:webHidden/>
          </w:rPr>
          <w:t>304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02" w:history="1">
        <w:r w:rsidRPr="00F149F6">
          <w:rPr>
            <w:rStyle w:val="Hyperlink"/>
            <w:noProof/>
          </w:rPr>
          <w:t>22.10. cikk Stabilitási igazolás nélküli úszó munkagépek</w:t>
        </w:r>
        <w:r>
          <w:rPr>
            <w:noProof/>
            <w:webHidden/>
          </w:rPr>
          <w:tab/>
        </w:r>
        <w:r>
          <w:rPr>
            <w:noProof/>
            <w:webHidden/>
          </w:rPr>
          <w:fldChar w:fldCharType="begin"/>
        </w:r>
        <w:r>
          <w:rPr>
            <w:noProof/>
            <w:webHidden/>
          </w:rPr>
          <w:instrText xml:space="preserve"> PAGEREF _Toc535854002 \h </w:instrText>
        </w:r>
        <w:r>
          <w:rPr>
            <w:noProof/>
            <w:webHidden/>
          </w:rPr>
        </w:r>
        <w:r>
          <w:rPr>
            <w:noProof/>
            <w:webHidden/>
          </w:rPr>
          <w:fldChar w:fldCharType="separate"/>
        </w:r>
        <w:r>
          <w:rPr>
            <w:noProof/>
            <w:webHidden/>
          </w:rPr>
          <w:t>304</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03" w:history="1">
        <w:r w:rsidRPr="00F149F6">
          <w:rPr>
            <w:rStyle w:val="Hyperlink"/>
            <w:noProof/>
          </w:rPr>
          <w:t>23. fejezet A munkaterületen használt vízi járművekre alkalmazandó külön rendelkezések</w:t>
        </w:r>
        <w:r>
          <w:rPr>
            <w:noProof/>
            <w:webHidden/>
          </w:rPr>
          <w:tab/>
        </w:r>
        <w:r>
          <w:rPr>
            <w:noProof/>
            <w:webHidden/>
          </w:rPr>
          <w:fldChar w:fldCharType="begin"/>
        </w:r>
        <w:r>
          <w:rPr>
            <w:noProof/>
            <w:webHidden/>
          </w:rPr>
          <w:instrText xml:space="preserve"> PAGEREF _Toc535854003 \h </w:instrText>
        </w:r>
        <w:r>
          <w:rPr>
            <w:noProof/>
            <w:webHidden/>
          </w:rPr>
        </w:r>
        <w:r>
          <w:rPr>
            <w:noProof/>
            <w:webHidden/>
          </w:rPr>
          <w:fldChar w:fldCharType="separate"/>
        </w:r>
        <w:r>
          <w:rPr>
            <w:noProof/>
            <w:webHidden/>
          </w:rPr>
          <w:t>305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04" w:history="1">
        <w:r w:rsidRPr="00F149F6">
          <w:rPr>
            <w:rStyle w:val="Hyperlink"/>
            <w:noProof/>
          </w:rPr>
          <w:t>23.01. cikk Üzemi körülmények</w:t>
        </w:r>
        <w:r>
          <w:rPr>
            <w:noProof/>
            <w:webHidden/>
          </w:rPr>
          <w:tab/>
        </w:r>
        <w:r>
          <w:rPr>
            <w:noProof/>
            <w:webHidden/>
          </w:rPr>
          <w:fldChar w:fldCharType="begin"/>
        </w:r>
        <w:r>
          <w:rPr>
            <w:noProof/>
            <w:webHidden/>
          </w:rPr>
          <w:instrText xml:space="preserve"> PAGEREF _Toc535854004 \h </w:instrText>
        </w:r>
        <w:r>
          <w:rPr>
            <w:noProof/>
            <w:webHidden/>
          </w:rPr>
        </w:r>
        <w:r>
          <w:rPr>
            <w:noProof/>
            <w:webHidden/>
          </w:rPr>
          <w:fldChar w:fldCharType="separate"/>
        </w:r>
        <w:r>
          <w:rPr>
            <w:noProof/>
            <w:webHidden/>
          </w:rPr>
          <w:t>305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05" w:history="1">
        <w:r w:rsidRPr="00F149F6">
          <w:rPr>
            <w:rStyle w:val="Hyperlink"/>
            <w:noProof/>
          </w:rPr>
          <w:t>23.02. cikk A II. rész alkalmazása</w:t>
        </w:r>
        <w:r>
          <w:rPr>
            <w:noProof/>
            <w:webHidden/>
          </w:rPr>
          <w:tab/>
        </w:r>
        <w:r>
          <w:rPr>
            <w:noProof/>
            <w:webHidden/>
          </w:rPr>
          <w:fldChar w:fldCharType="begin"/>
        </w:r>
        <w:r>
          <w:rPr>
            <w:noProof/>
            <w:webHidden/>
          </w:rPr>
          <w:instrText xml:space="preserve"> PAGEREF _Toc535854005 \h </w:instrText>
        </w:r>
        <w:r>
          <w:rPr>
            <w:noProof/>
            <w:webHidden/>
          </w:rPr>
        </w:r>
        <w:r>
          <w:rPr>
            <w:noProof/>
            <w:webHidden/>
          </w:rPr>
          <w:fldChar w:fldCharType="separate"/>
        </w:r>
        <w:r>
          <w:rPr>
            <w:noProof/>
            <w:webHidden/>
          </w:rPr>
          <w:t>305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06" w:history="1">
        <w:r w:rsidRPr="00F149F6">
          <w:rPr>
            <w:rStyle w:val="Hyperlink"/>
            <w:noProof/>
          </w:rPr>
          <w:t>23.03. cikk Eltérések</w:t>
        </w:r>
        <w:r>
          <w:rPr>
            <w:noProof/>
            <w:webHidden/>
          </w:rPr>
          <w:tab/>
        </w:r>
        <w:r>
          <w:rPr>
            <w:noProof/>
            <w:webHidden/>
          </w:rPr>
          <w:fldChar w:fldCharType="begin"/>
        </w:r>
        <w:r>
          <w:rPr>
            <w:noProof/>
            <w:webHidden/>
          </w:rPr>
          <w:instrText xml:space="preserve"> PAGEREF _Toc535854006 \h </w:instrText>
        </w:r>
        <w:r>
          <w:rPr>
            <w:noProof/>
            <w:webHidden/>
          </w:rPr>
        </w:r>
        <w:r>
          <w:rPr>
            <w:noProof/>
            <w:webHidden/>
          </w:rPr>
          <w:fldChar w:fldCharType="separate"/>
        </w:r>
        <w:r>
          <w:rPr>
            <w:noProof/>
            <w:webHidden/>
          </w:rPr>
          <w:t>305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07" w:history="1">
        <w:r w:rsidRPr="00F149F6">
          <w:rPr>
            <w:rStyle w:val="Hyperlink"/>
            <w:noProof/>
          </w:rPr>
          <w:t>23.04. cikk Biztonsági távolság és szabadoldal</w:t>
        </w:r>
        <w:r>
          <w:rPr>
            <w:noProof/>
            <w:webHidden/>
          </w:rPr>
          <w:tab/>
        </w:r>
        <w:r>
          <w:rPr>
            <w:noProof/>
            <w:webHidden/>
          </w:rPr>
          <w:fldChar w:fldCharType="begin"/>
        </w:r>
        <w:r>
          <w:rPr>
            <w:noProof/>
            <w:webHidden/>
          </w:rPr>
          <w:instrText xml:space="preserve"> PAGEREF _Toc535854007 \h </w:instrText>
        </w:r>
        <w:r>
          <w:rPr>
            <w:noProof/>
            <w:webHidden/>
          </w:rPr>
        </w:r>
        <w:r>
          <w:rPr>
            <w:noProof/>
            <w:webHidden/>
          </w:rPr>
          <w:fldChar w:fldCharType="separate"/>
        </w:r>
        <w:r>
          <w:rPr>
            <w:noProof/>
            <w:webHidden/>
          </w:rPr>
          <w:t>307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08" w:history="1">
        <w:r w:rsidRPr="00F149F6">
          <w:rPr>
            <w:rStyle w:val="Hyperlink"/>
            <w:noProof/>
          </w:rPr>
          <w:t>23.05. cikk Szolgálati csónakok</w:t>
        </w:r>
        <w:r>
          <w:rPr>
            <w:noProof/>
            <w:webHidden/>
          </w:rPr>
          <w:tab/>
        </w:r>
        <w:r>
          <w:rPr>
            <w:noProof/>
            <w:webHidden/>
          </w:rPr>
          <w:fldChar w:fldCharType="begin"/>
        </w:r>
        <w:r>
          <w:rPr>
            <w:noProof/>
            <w:webHidden/>
          </w:rPr>
          <w:instrText xml:space="preserve"> PAGEREF _Toc535854008 \h </w:instrText>
        </w:r>
        <w:r>
          <w:rPr>
            <w:noProof/>
            <w:webHidden/>
          </w:rPr>
        </w:r>
        <w:r>
          <w:rPr>
            <w:noProof/>
            <w:webHidden/>
          </w:rPr>
          <w:fldChar w:fldCharType="separate"/>
        </w:r>
        <w:r>
          <w:rPr>
            <w:noProof/>
            <w:webHidden/>
          </w:rPr>
          <w:t>307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09" w:history="1">
        <w:r w:rsidRPr="00F149F6">
          <w:rPr>
            <w:rStyle w:val="Hyperlink"/>
            <w:noProof/>
          </w:rPr>
          <w:t>24. fejezet A tradicionális vízi járművekre alkalmazandó külön rendelkezések</w:t>
        </w:r>
        <w:r>
          <w:rPr>
            <w:noProof/>
            <w:webHidden/>
          </w:rPr>
          <w:tab/>
        </w:r>
        <w:r>
          <w:rPr>
            <w:noProof/>
            <w:webHidden/>
          </w:rPr>
          <w:fldChar w:fldCharType="begin"/>
        </w:r>
        <w:r>
          <w:rPr>
            <w:noProof/>
            <w:webHidden/>
          </w:rPr>
          <w:instrText xml:space="preserve"> PAGEREF _Toc535854009 \h </w:instrText>
        </w:r>
        <w:r>
          <w:rPr>
            <w:noProof/>
            <w:webHidden/>
          </w:rPr>
        </w:r>
        <w:r>
          <w:rPr>
            <w:noProof/>
            <w:webHidden/>
          </w:rPr>
          <w:fldChar w:fldCharType="separate"/>
        </w:r>
        <w:r>
          <w:rPr>
            <w:noProof/>
            <w:webHidden/>
          </w:rPr>
          <w:t>308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10" w:history="1">
        <w:r w:rsidRPr="00F149F6">
          <w:rPr>
            <w:rStyle w:val="Hyperlink"/>
            <w:noProof/>
          </w:rPr>
          <w:t>24.01. cikk A II. és III. rész alkalmazása</w:t>
        </w:r>
        <w:r>
          <w:rPr>
            <w:noProof/>
            <w:webHidden/>
          </w:rPr>
          <w:tab/>
        </w:r>
        <w:r>
          <w:rPr>
            <w:noProof/>
            <w:webHidden/>
          </w:rPr>
          <w:fldChar w:fldCharType="begin"/>
        </w:r>
        <w:r>
          <w:rPr>
            <w:noProof/>
            <w:webHidden/>
          </w:rPr>
          <w:instrText xml:space="preserve"> PAGEREF _Toc535854010 \h </w:instrText>
        </w:r>
        <w:r>
          <w:rPr>
            <w:noProof/>
            <w:webHidden/>
          </w:rPr>
        </w:r>
        <w:r>
          <w:rPr>
            <w:noProof/>
            <w:webHidden/>
          </w:rPr>
          <w:fldChar w:fldCharType="separate"/>
        </w:r>
        <w:r>
          <w:rPr>
            <w:noProof/>
            <w:webHidden/>
          </w:rPr>
          <w:t>308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11" w:history="1">
        <w:r w:rsidRPr="00F149F6">
          <w:rPr>
            <w:rStyle w:val="Hyperlink"/>
            <w:noProof/>
          </w:rPr>
          <w:t>24.02. cikk Elismerés és bejegyzés a belvízi hajóbizonyítványba</w:t>
        </w:r>
        <w:r>
          <w:rPr>
            <w:noProof/>
            <w:webHidden/>
          </w:rPr>
          <w:tab/>
        </w:r>
        <w:r>
          <w:rPr>
            <w:noProof/>
            <w:webHidden/>
          </w:rPr>
          <w:fldChar w:fldCharType="begin"/>
        </w:r>
        <w:r>
          <w:rPr>
            <w:noProof/>
            <w:webHidden/>
          </w:rPr>
          <w:instrText xml:space="preserve"> PAGEREF _Toc535854011 \h </w:instrText>
        </w:r>
        <w:r>
          <w:rPr>
            <w:noProof/>
            <w:webHidden/>
          </w:rPr>
        </w:r>
        <w:r>
          <w:rPr>
            <w:noProof/>
            <w:webHidden/>
          </w:rPr>
          <w:fldChar w:fldCharType="separate"/>
        </w:r>
        <w:r>
          <w:rPr>
            <w:noProof/>
            <w:webHidden/>
          </w:rPr>
          <w:t>308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12" w:history="1">
        <w:r w:rsidRPr="00F149F6">
          <w:rPr>
            <w:rStyle w:val="Hyperlink"/>
            <w:noProof/>
          </w:rPr>
          <w:t>24.03. cikk Egyéb rendelkezések és követelmények</w:t>
        </w:r>
        <w:r>
          <w:rPr>
            <w:noProof/>
            <w:webHidden/>
          </w:rPr>
          <w:tab/>
        </w:r>
        <w:r>
          <w:rPr>
            <w:noProof/>
            <w:webHidden/>
          </w:rPr>
          <w:fldChar w:fldCharType="begin"/>
        </w:r>
        <w:r>
          <w:rPr>
            <w:noProof/>
            <w:webHidden/>
          </w:rPr>
          <w:instrText xml:space="preserve"> PAGEREF _Toc535854012 \h </w:instrText>
        </w:r>
        <w:r>
          <w:rPr>
            <w:noProof/>
            <w:webHidden/>
          </w:rPr>
        </w:r>
        <w:r>
          <w:rPr>
            <w:noProof/>
            <w:webHidden/>
          </w:rPr>
          <w:fldChar w:fldCharType="separate"/>
        </w:r>
        <w:r>
          <w:rPr>
            <w:noProof/>
            <w:webHidden/>
          </w:rPr>
          <w:t>312</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13" w:history="1">
        <w:r w:rsidRPr="00F149F6">
          <w:rPr>
            <w:rStyle w:val="Hyperlink"/>
            <w:noProof/>
          </w:rPr>
          <w:t>25. fejezet A tengerjáró hajókra alkalmazandó külön rendelkezések</w:t>
        </w:r>
        <w:r>
          <w:rPr>
            <w:noProof/>
            <w:webHidden/>
          </w:rPr>
          <w:tab/>
        </w:r>
        <w:r>
          <w:rPr>
            <w:noProof/>
            <w:webHidden/>
          </w:rPr>
          <w:fldChar w:fldCharType="begin"/>
        </w:r>
        <w:r>
          <w:rPr>
            <w:noProof/>
            <w:webHidden/>
          </w:rPr>
          <w:instrText xml:space="preserve"> PAGEREF _Toc535854013 \h </w:instrText>
        </w:r>
        <w:r>
          <w:rPr>
            <w:noProof/>
            <w:webHidden/>
          </w:rPr>
        </w:r>
        <w:r>
          <w:rPr>
            <w:noProof/>
            <w:webHidden/>
          </w:rPr>
          <w:fldChar w:fldCharType="separate"/>
        </w:r>
        <w:r>
          <w:rPr>
            <w:noProof/>
            <w:webHidden/>
          </w:rPr>
          <w:t>314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14" w:history="1">
        <w:r w:rsidRPr="00F149F6">
          <w:rPr>
            <w:rStyle w:val="Hyperlink"/>
            <w:noProof/>
          </w:rPr>
          <w:t>25.01. cikk A Rajnával (R zóna) kapcsolatos rendelkezések</w:t>
        </w:r>
        <w:r>
          <w:rPr>
            <w:noProof/>
            <w:webHidden/>
          </w:rPr>
          <w:tab/>
        </w:r>
        <w:r>
          <w:rPr>
            <w:noProof/>
            <w:webHidden/>
          </w:rPr>
          <w:fldChar w:fldCharType="begin"/>
        </w:r>
        <w:r>
          <w:rPr>
            <w:noProof/>
            <w:webHidden/>
          </w:rPr>
          <w:instrText xml:space="preserve"> PAGEREF _Toc535854014 \h </w:instrText>
        </w:r>
        <w:r>
          <w:rPr>
            <w:noProof/>
            <w:webHidden/>
          </w:rPr>
        </w:r>
        <w:r>
          <w:rPr>
            <w:noProof/>
            <w:webHidden/>
          </w:rPr>
          <w:fldChar w:fldCharType="separate"/>
        </w:r>
        <w:r>
          <w:rPr>
            <w:noProof/>
            <w:webHidden/>
          </w:rPr>
          <w:t>314</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15" w:history="1">
        <w:r w:rsidRPr="00F149F6">
          <w:rPr>
            <w:rStyle w:val="Hyperlink"/>
            <w:noProof/>
            <w:lang w:val="pt-PT"/>
          </w:rPr>
          <w:t>26. fejezet A kedvtelési célú vízi járművekre alkalmazandó külön rendelkezések</w:t>
        </w:r>
        <w:r>
          <w:rPr>
            <w:noProof/>
            <w:webHidden/>
          </w:rPr>
          <w:tab/>
        </w:r>
        <w:r>
          <w:rPr>
            <w:noProof/>
            <w:webHidden/>
          </w:rPr>
          <w:fldChar w:fldCharType="begin"/>
        </w:r>
        <w:r>
          <w:rPr>
            <w:noProof/>
            <w:webHidden/>
          </w:rPr>
          <w:instrText xml:space="preserve"> PAGEREF _Toc535854015 \h </w:instrText>
        </w:r>
        <w:r>
          <w:rPr>
            <w:noProof/>
            <w:webHidden/>
          </w:rPr>
        </w:r>
        <w:r>
          <w:rPr>
            <w:noProof/>
            <w:webHidden/>
          </w:rPr>
          <w:fldChar w:fldCharType="separate"/>
        </w:r>
        <w:r>
          <w:rPr>
            <w:noProof/>
            <w:webHidden/>
          </w:rPr>
          <w:t>317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16" w:history="1">
        <w:r w:rsidRPr="00F149F6">
          <w:rPr>
            <w:rStyle w:val="Hyperlink"/>
            <w:noProof/>
            <w:lang w:val="pt-PT"/>
          </w:rPr>
          <w:t>26.01. cikk A II. rész alkalmazása</w:t>
        </w:r>
        <w:r>
          <w:rPr>
            <w:noProof/>
            <w:webHidden/>
          </w:rPr>
          <w:tab/>
        </w:r>
        <w:r>
          <w:rPr>
            <w:noProof/>
            <w:webHidden/>
          </w:rPr>
          <w:fldChar w:fldCharType="begin"/>
        </w:r>
        <w:r>
          <w:rPr>
            <w:noProof/>
            <w:webHidden/>
          </w:rPr>
          <w:instrText xml:space="preserve"> PAGEREF _Toc535854016 \h </w:instrText>
        </w:r>
        <w:r>
          <w:rPr>
            <w:noProof/>
            <w:webHidden/>
          </w:rPr>
        </w:r>
        <w:r>
          <w:rPr>
            <w:noProof/>
            <w:webHidden/>
          </w:rPr>
          <w:fldChar w:fldCharType="separate"/>
        </w:r>
        <w:r>
          <w:rPr>
            <w:noProof/>
            <w:webHidden/>
          </w:rPr>
          <w:t>317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17" w:history="1">
        <w:r w:rsidRPr="00F149F6">
          <w:rPr>
            <w:rStyle w:val="Hyperlink"/>
            <w:noProof/>
            <w:lang w:val="pt-PT"/>
          </w:rPr>
          <w:t>27. fejezet A konténereket szállító hajókra alkalmazandó külön rendelkezések</w:t>
        </w:r>
        <w:r>
          <w:rPr>
            <w:noProof/>
            <w:webHidden/>
          </w:rPr>
          <w:tab/>
        </w:r>
        <w:r>
          <w:rPr>
            <w:noProof/>
            <w:webHidden/>
          </w:rPr>
          <w:fldChar w:fldCharType="begin"/>
        </w:r>
        <w:r>
          <w:rPr>
            <w:noProof/>
            <w:webHidden/>
          </w:rPr>
          <w:instrText xml:space="preserve"> PAGEREF _Toc535854017 \h </w:instrText>
        </w:r>
        <w:r>
          <w:rPr>
            <w:noProof/>
            <w:webHidden/>
          </w:rPr>
        </w:r>
        <w:r>
          <w:rPr>
            <w:noProof/>
            <w:webHidden/>
          </w:rPr>
          <w:fldChar w:fldCharType="separate"/>
        </w:r>
        <w:r>
          <w:rPr>
            <w:noProof/>
            <w:webHidden/>
          </w:rPr>
          <w:t>320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18" w:history="1">
        <w:r w:rsidRPr="00F149F6">
          <w:rPr>
            <w:rStyle w:val="Hyperlink"/>
            <w:noProof/>
            <w:lang w:val="pt-PT"/>
          </w:rPr>
          <w:t>27.01. cikk Általános rendelkezések</w:t>
        </w:r>
        <w:r>
          <w:rPr>
            <w:noProof/>
            <w:webHidden/>
          </w:rPr>
          <w:tab/>
        </w:r>
        <w:r>
          <w:rPr>
            <w:noProof/>
            <w:webHidden/>
          </w:rPr>
          <w:fldChar w:fldCharType="begin"/>
        </w:r>
        <w:r>
          <w:rPr>
            <w:noProof/>
            <w:webHidden/>
          </w:rPr>
          <w:instrText xml:space="preserve"> PAGEREF _Toc535854018 \h </w:instrText>
        </w:r>
        <w:r>
          <w:rPr>
            <w:noProof/>
            <w:webHidden/>
          </w:rPr>
        </w:r>
        <w:r>
          <w:rPr>
            <w:noProof/>
            <w:webHidden/>
          </w:rPr>
          <w:fldChar w:fldCharType="separate"/>
        </w:r>
        <w:r>
          <w:rPr>
            <w:noProof/>
            <w:webHidden/>
          </w:rPr>
          <w:t>320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19" w:history="1">
        <w:r w:rsidRPr="00F149F6">
          <w:rPr>
            <w:rStyle w:val="Hyperlink"/>
            <w:noProof/>
            <w:lang w:val="pt-PT"/>
          </w:rPr>
          <w:t>27.02. cikk</w:t>
        </w:r>
        <w:r>
          <w:rPr>
            <w:noProof/>
            <w:webHidden/>
          </w:rPr>
          <w:tab/>
        </w:r>
        <w:r>
          <w:rPr>
            <w:noProof/>
            <w:webHidden/>
          </w:rPr>
          <w:fldChar w:fldCharType="begin"/>
        </w:r>
        <w:r>
          <w:rPr>
            <w:noProof/>
            <w:webHidden/>
          </w:rPr>
          <w:instrText xml:space="preserve"> PAGEREF _Toc535854019 \h </w:instrText>
        </w:r>
        <w:r>
          <w:rPr>
            <w:noProof/>
            <w:webHidden/>
          </w:rPr>
        </w:r>
        <w:r>
          <w:rPr>
            <w:noProof/>
            <w:webHidden/>
          </w:rPr>
          <w:fldChar w:fldCharType="separate"/>
        </w:r>
        <w:r>
          <w:rPr>
            <w:noProof/>
            <w:webHidden/>
          </w:rPr>
          <w:t>320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20" w:history="1">
        <w:r w:rsidRPr="00F149F6">
          <w:rPr>
            <w:rStyle w:val="Hyperlink"/>
            <w:noProof/>
            <w:lang w:val="pt-PT"/>
          </w:rPr>
          <w:t>Határérték-feltételek és számítási módszer a konténerek nem rögzített szállítása közbeni stabilitás igazolására</w:t>
        </w:r>
        <w:r>
          <w:rPr>
            <w:noProof/>
            <w:webHidden/>
          </w:rPr>
          <w:tab/>
        </w:r>
        <w:r>
          <w:rPr>
            <w:noProof/>
            <w:webHidden/>
          </w:rPr>
          <w:fldChar w:fldCharType="begin"/>
        </w:r>
        <w:r>
          <w:rPr>
            <w:noProof/>
            <w:webHidden/>
          </w:rPr>
          <w:instrText xml:space="preserve"> PAGEREF _Toc535854020 \h </w:instrText>
        </w:r>
        <w:r>
          <w:rPr>
            <w:noProof/>
            <w:webHidden/>
          </w:rPr>
        </w:r>
        <w:r>
          <w:rPr>
            <w:noProof/>
            <w:webHidden/>
          </w:rPr>
          <w:fldChar w:fldCharType="separate"/>
        </w:r>
        <w:r>
          <w:rPr>
            <w:noProof/>
            <w:webHidden/>
          </w:rPr>
          <w:t>320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21" w:history="1">
        <w:r w:rsidRPr="00F149F6">
          <w:rPr>
            <w:rStyle w:val="Hyperlink"/>
            <w:noProof/>
          </w:rPr>
          <w:t>27.03. cikk Határérték-feltételek és számítási módszer a konténerek rögzített szállítása közbeni stabilitás igazolására</w:t>
        </w:r>
        <w:r>
          <w:rPr>
            <w:noProof/>
            <w:webHidden/>
          </w:rPr>
          <w:tab/>
        </w:r>
        <w:r>
          <w:rPr>
            <w:noProof/>
            <w:webHidden/>
          </w:rPr>
          <w:fldChar w:fldCharType="begin"/>
        </w:r>
        <w:r>
          <w:rPr>
            <w:noProof/>
            <w:webHidden/>
          </w:rPr>
          <w:instrText xml:space="preserve"> PAGEREF _Toc535854021 \h </w:instrText>
        </w:r>
        <w:r>
          <w:rPr>
            <w:noProof/>
            <w:webHidden/>
          </w:rPr>
        </w:r>
        <w:r>
          <w:rPr>
            <w:noProof/>
            <w:webHidden/>
          </w:rPr>
          <w:fldChar w:fldCharType="separate"/>
        </w:r>
        <w:r>
          <w:rPr>
            <w:noProof/>
            <w:webHidden/>
          </w:rPr>
          <w:t>326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22" w:history="1">
        <w:r w:rsidRPr="00F149F6">
          <w:rPr>
            <w:rStyle w:val="Hyperlink"/>
            <w:noProof/>
            <w:lang w:val="pt-PT"/>
          </w:rPr>
          <w:t>27.04. cikk A stabilitás fedélzeti értékelésére vonatkozó eljárás</w:t>
        </w:r>
        <w:r>
          <w:rPr>
            <w:noProof/>
            <w:webHidden/>
          </w:rPr>
          <w:tab/>
        </w:r>
        <w:r>
          <w:rPr>
            <w:noProof/>
            <w:webHidden/>
          </w:rPr>
          <w:fldChar w:fldCharType="begin"/>
        </w:r>
        <w:r>
          <w:rPr>
            <w:noProof/>
            <w:webHidden/>
          </w:rPr>
          <w:instrText xml:space="preserve"> PAGEREF _Toc535854022 \h </w:instrText>
        </w:r>
        <w:r>
          <w:rPr>
            <w:noProof/>
            <w:webHidden/>
          </w:rPr>
        </w:r>
        <w:r>
          <w:rPr>
            <w:noProof/>
            <w:webHidden/>
          </w:rPr>
          <w:fldChar w:fldCharType="separate"/>
        </w:r>
        <w:r>
          <w:rPr>
            <w:noProof/>
            <w:webHidden/>
          </w:rPr>
          <w:t>328</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23" w:history="1">
        <w:r w:rsidRPr="00F149F6">
          <w:rPr>
            <w:rStyle w:val="Hyperlink"/>
            <w:noProof/>
            <w:lang w:val="pt-PT"/>
          </w:rPr>
          <w:t>28. fejezet A 110 m hosszúságot meghaladó vízi járművekre vonatkozó külön rendelkezések</w:t>
        </w:r>
        <w:r>
          <w:rPr>
            <w:noProof/>
            <w:webHidden/>
          </w:rPr>
          <w:tab/>
        </w:r>
        <w:r>
          <w:rPr>
            <w:noProof/>
            <w:webHidden/>
          </w:rPr>
          <w:fldChar w:fldCharType="begin"/>
        </w:r>
        <w:r>
          <w:rPr>
            <w:noProof/>
            <w:webHidden/>
          </w:rPr>
          <w:instrText xml:space="preserve"> PAGEREF _Toc535854023 \h </w:instrText>
        </w:r>
        <w:r>
          <w:rPr>
            <w:noProof/>
            <w:webHidden/>
          </w:rPr>
        </w:r>
        <w:r>
          <w:rPr>
            <w:noProof/>
            <w:webHidden/>
          </w:rPr>
          <w:fldChar w:fldCharType="separate"/>
        </w:r>
        <w:r>
          <w:rPr>
            <w:noProof/>
            <w:webHidden/>
          </w:rPr>
          <w:t>330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24" w:history="1">
        <w:r w:rsidRPr="00F149F6">
          <w:rPr>
            <w:rStyle w:val="Hyperlink"/>
            <w:noProof/>
            <w:lang w:val="pt-PT"/>
          </w:rPr>
          <w:t>28.01. cikk A II. rész alkalmazása</w:t>
        </w:r>
        <w:r>
          <w:rPr>
            <w:noProof/>
            <w:webHidden/>
          </w:rPr>
          <w:tab/>
        </w:r>
        <w:r>
          <w:rPr>
            <w:noProof/>
            <w:webHidden/>
          </w:rPr>
          <w:fldChar w:fldCharType="begin"/>
        </w:r>
        <w:r>
          <w:rPr>
            <w:noProof/>
            <w:webHidden/>
          </w:rPr>
          <w:instrText xml:space="preserve"> PAGEREF _Toc535854024 \h </w:instrText>
        </w:r>
        <w:r>
          <w:rPr>
            <w:noProof/>
            <w:webHidden/>
          </w:rPr>
        </w:r>
        <w:r>
          <w:rPr>
            <w:noProof/>
            <w:webHidden/>
          </w:rPr>
          <w:fldChar w:fldCharType="separate"/>
        </w:r>
        <w:r>
          <w:rPr>
            <w:noProof/>
            <w:webHidden/>
          </w:rPr>
          <w:t>330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25" w:history="1">
        <w:r w:rsidRPr="00F149F6">
          <w:rPr>
            <w:rStyle w:val="Hyperlink"/>
            <w:noProof/>
            <w:lang w:val="pt-PT"/>
          </w:rPr>
          <w:t>28.02. cikk Szilárdság</w:t>
        </w:r>
        <w:r>
          <w:rPr>
            <w:noProof/>
            <w:webHidden/>
          </w:rPr>
          <w:tab/>
        </w:r>
        <w:r>
          <w:rPr>
            <w:noProof/>
            <w:webHidden/>
          </w:rPr>
          <w:fldChar w:fldCharType="begin"/>
        </w:r>
        <w:r>
          <w:rPr>
            <w:noProof/>
            <w:webHidden/>
          </w:rPr>
          <w:instrText xml:space="preserve"> PAGEREF _Toc535854025 \h </w:instrText>
        </w:r>
        <w:r>
          <w:rPr>
            <w:noProof/>
            <w:webHidden/>
          </w:rPr>
        </w:r>
        <w:r>
          <w:rPr>
            <w:noProof/>
            <w:webHidden/>
          </w:rPr>
          <w:fldChar w:fldCharType="separate"/>
        </w:r>
        <w:r>
          <w:rPr>
            <w:noProof/>
            <w:webHidden/>
          </w:rPr>
          <w:t>330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26" w:history="1">
        <w:r w:rsidRPr="00F149F6">
          <w:rPr>
            <w:rStyle w:val="Hyperlink"/>
            <w:noProof/>
            <w:lang w:val="pt-PT"/>
          </w:rPr>
          <w:t>28.03. cikk</w:t>
        </w:r>
        <w:r>
          <w:rPr>
            <w:noProof/>
            <w:webHidden/>
          </w:rPr>
          <w:tab/>
        </w:r>
        <w:r>
          <w:rPr>
            <w:noProof/>
            <w:webHidden/>
          </w:rPr>
          <w:fldChar w:fldCharType="begin"/>
        </w:r>
        <w:r>
          <w:rPr>
            <w:noProof/>
            <w:webHidden/>
          </w:rPr>
          <w:instrText xml:space="preserve"> PAGEREF _Toc535854026 \h </w:instrText>
        </w:r>
        <w:r>
          <w:rPr>
            <w:noProof/>
            <w:webHidden/>
          </w:rPr>
        </w:r>
        <w:r>
          <w:rPr>
            <w:noProof/>
            <w:webHidden/>
          </w:rPr>
          <w:fldChar w:fldCharType="separate"/>
        </w:r>
        <w:r>
          <w:rPr>
            <w:noProof/>
            <w:webHidden/>
          </w:rPr>
          <w:t>330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27" w:history="1">
        <w:r w:rsidRPr="00F149F6">
          <w:rPr>
            <w:rStyle w:val="Hyperlink"/>
            <w:noProof/>
            <w:lang w:val="pt-PT"/>
          </w:rPr>
          <w:t>Úszóképesség és stabilitás</w:t>
        </w:r>
        <w:r>
          <w:rPr>
            <w:noProof/>
            <w:webHidden/>
          </w:rPr>
          <w:tab/>
        </w:r>
        <w:r>
          <w:rPr>
            <w:noProof/>
            <w:webHidden/>
          </w:rPr>
          <w:fldChar w:fldCharType="begin"/>
        </w:r>
        <w:r>
          <w:rPr>
            <w:noProof/>
            <w:webHidden/>
          </w:rPr>
          <w:instrText xml:space="preserve"> PAGEREF _Toc535854027 \h </w:instrText>
        </w:r>
        <w:r>
          <w:rPr>
            <w:noProof/>
            <w:webHidden/>
          </w:rPr>
        </w:r>
        <w:r>
          <w:rPr>
            <w:noProof/>
            <w:webHidden/>
          </w:rPr>
          <w:fldChar w:fldCharType="separate"/>
        </w:r>
        <w:r>
          <w:rPr>
            <w:noProof/>
            <w:webHidden/>
          </w:rPr>
          <w:t>330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28" w:history="1">
        <w:r w:rsidRPr="00F149F6">
          <w:rPr>
            <w:rStyle w:val="Hyperlink"/>
            <w:noProof/>
          </w:rPr>
          <w:t>28.04. cikk További követelmények</w:t>
        </w:r>
        <w:r>
          <w:rPr>
            <w:noProof/>
            <w:webHidden/>
          </w:rPr>
          <w:tab/>
        </w:r>
        <w:r>
          <w:rPr>
            <w:noProof/>
            <w:webHidden/>
          </w:rPr>
          <w:fldChar w:fldCharType="begin"/>
        </w:r>
        <w:r>
          <w:rPr>
            <w:noProof/>
            <w:webHidden/>
          </w:rPr>
          <w:instrText xml:space="preserve"> PAGEREF _Toc535854028 \h </w:instrText>
        </w:r>
        <w:r>
          <w:rPr>
            <w:noProof/>
            <w:webHidden/>
          </w:rPr>
        </w:r>
        <w:r>
          <w:rPr>
            <w:noProof/>
            <w:webHidden/>
          </w:rPr>
          <w:fldChar w:fldCharType="separate"/>
        </w:r>
        <w:r>
          <w:rPr>
            <w:noProof/>
            <w:webHidden/>
          </w:rPr>
          <w:t>336</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29" w:history="1">
        <w:r w:rsidRPr="00F149F6">
          <w:rPr>
            <w:rStyle w:val="Hyperlink"/>
            <w:noProof/>
          </w:rPr>
          <w:t>29. fejezet A gyorsjáratú hajókra alkalmazandó külön rendelkezések</w:t>
        </w:r>
        <w:r>
          <w:rPr>
            <w:noProof/>
            <w:webHidden/>
          </w:rPr>
          <w:tab/>
        </w:r>
        <w:r>
          <w:rPr>
            <w:noProof/>
            <w:webHidden/>
          </w:rPr>
          <w:fldChar w:fldCharType="begin"/>
        </w:r>
        <w:r>
          <w:rPr>
            <w:noProof/>
            <w:webHidden/>
          </w:rPr>
          <w:instrText xml:space="preserve"> PAGEREF _Toc535854029 \h </w:instrText>
        </w:r>
        <w:r>
          <w:rPr>
            <w:noProof/>
            <w:webHidden/>
          </w:rPr>
        </w:r>
        <w:r>
          <w:rPr>
            <w:noProof/>
            <w:webHidden/>
          </w:rPr>
          <w:fldChar w:fldCharType="separate"/>
        </w:r>
        <w:r>
          <w:rPr>
            <w:noProof/>
            <w:webHidden/>
          </w:rPr>
          <w:t>340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30" w:history="1">
        <w:r w:rsidRPr="00F149F6">
          <w:rPr>
            <w:rStyle w:val="Hyperlink"/>
            <w:noProof/>
          </w:rPr>
          <w:t>29.01. cikk Általános rendelkezések</w:t>
        </w:r>
        <w:r>
          <w:rPr>
            <w:noProof/>
            <w:webHidden/>
          </w:rPr>
          <w:tab/>
        </w:r>
        <w:r>
          <w:rPr>
            <w:noProof/>
            <w:webHidden/>
          </w:rPr>
          <w:fldChar w:fldCharType="begin"/>
        </w:r>
        <w:r>
          <w:rPr>
            <w:noProof/>
            <w:webHidden/>
          </w:rPr>
          <w:instrText xml:space="preserve"> PAGEREF _Toc535854030 \h </w:instrText>
        </w:r>
        <w:r>
          <w:rPr>
            <w:noProof/>
            <w:webHidden/>
          </w:rPr>
        </w:r>
        <w:r>
          <w:rPr>
            <w:noProof/>
            <w:webHidden/>
          </w:rPr>
          <w:fldChar w:fldCharType="separate"/>
        </w:r>
        <w:r>
          <w:rPr>
            <w:noProof/>
            <w:webHidden/>
          </w:rPr>
          <w:t>340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31" w:history="1">
        <w:r w:rsidRPr="00F149F6">
          <w:rPr>
            <w:rStyle w:val="Hyperlink"/>
            <w:noProof/>
          </w:rPr>
          <w:t>29.02. cikk A II. és III. rész alkalmazása</w:t>
        </w:r>
        <w:r>
          <w:rPr>
            <w:noProof/>
            <w:webHidden/>
          </w:rPr>
          <w:tab/>
        </w:r>
        <w:r>
          <w:rPr>
            <w:noProof/>
            <w:webHidden/>
          </w:rPr>
          <w:fldChar w:fldCharType="begin"/>
        </w:r>
        <w:r>
          <w:rPr>
            <w:noProof/>
            <w:webHidden/>
          </w:rPr>
          <w:instrText xml:space="preserve"> PAGEREF _Toc535854031 \h </w:instrText>
        </w:r>
        <w:r>
          <w:rPr>
            <w:noProof/>
            <w:webHidden/>
          </w:rPr>
        </w:r>
        <w:r>
          <w:rPr>
            <w:noProof/>
            <w:webHidden/>
          </w:rPr>
          <w:fldChar w:fldCharType="separate"/>
        </w:r>
        <w:r>
          <w:rPr>
            <w:noProof/>
            <w:webHidden/>
          </w:rPr>
          <w:t>340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32" w:history="1">
        <w:r w:rsidRPr="00F149F6">
          <w:rPr>
            <w:rStyle w:val="Hyperlink"/>
            <w:noProof/>
          </w:rPr>
          <w:t>29.03. cikk Ülések és biztonsági övek</w:t>
        </w:r>
        <w:r>
          <w:rPr>
            <w:noProof/>
            <w:webHidden/>
          </w:rPr>
          <w:tab/>
        </w:r>
        <w:r>
          <w:rPr>
            <w:noProof/>
            <w:webHidden/>
          </w:rPr>
          <w:fldChar w:fldCharType="begin"/>
        </w:r>
        <w:r>
          <w:rPr>
            <w:noProof/>
            <w:webHidden/>
          </w:rPr>
          <w:instrText xml:space="preserve"> PAGEREF _Toc535854032 \h </w:instrText>
        </w:r>
        <w:r>
          <w:rPr>
            <w:noProof/>
            <w:webHidden/>
          </w:rPr>
        </w:r>
        <w:r>
          <w:rPr>
            <w:noProof/>
            <w:webHidden/>
          </w:rPr>
          <w:fldChar w:fldCharType="separate"/>
        </w:r>
        <w:r>
          <w:rPr>
            <w:noProof/>
            <w:webHidden/>
          </w:rPr>
          <w:t>342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33" w:history="1">
        <w:r w:rsidRPr="00F149F6">
          <w:rPr>
            <w:rStyle w:val="Hyperlink"/>
            <w:noProof/>
          </w:rPr>
          <w:t>29.04. cikk Szabadoldal</w:t>
        </w:r>
        <w:r>
          <w:rPr>
            <w:noProof/>
            <w:webHidden/>
          </w:rPr>
          <w:tab/>
        </w:r>
        <w:r>
          <w:rPr>
            <w:noProof/>
            <w:webHidden/>
          </w:rPr>
          <w:fldChar w:fldCharType="begin"/>
        </w:r>
        <w:r>
          <w:rPr>
            <w:noProof/>
            <w:webHidden/>
          </w:rPr>
          <w:instrText xml:space="preserve"> PAGEREF _Toc535854033 \h </w:instrText>
        </w:r>
        <w:r>
          <w:rPr>
            <w:noProof/>
            <w:webHidden/>
          </w:rPr>
        </w:r>
        <w:r>
          <w:rPr>
            <w:noProof/>
            <w:webHidden/>
          </w:rPr>
          <w:fldChar w:fldCharType="separate"/>
        </w:r>
        <w:r>
          <w:rPr>
            <w:noProof/>
            <w:webHidden/>
          </w:rPr>
          <w:t>342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34" w:history="1">
        <w:r w:rsidRPr="00F149F6">
          <w:rPr>
            <w:rStyle w:val="Hyperlink"/>
            <w:noProof/>
          </w:rPr>
          <w:t>29.05. cikk Úszóképesség, stabilitás és térbeosztás</w:t>
        </w:r>
        <w:r>
          <w:rPr>
            <w:noProof/>
            <w:webHidden/>
          </w:rPr>
          <w:tab/>
        </w:r>
        <w:r>
          <w:rPr>
            <w:noProof/>
            <w:webHidden/>
          </w:rPr>
          <w:fldChar w:fldCharType="begin"/>
        </w:r>
        <w:r>
          <w:rPr>
            <w:noProof/>
            <w:webHidden/>
          </w:rPr>
          <w:instrText xml:space="preserve"> PAGEREF _Toc535854034 \h </w:instrText>
        </w:r>
        <w:r>
          <w:rPr>
            <w:noProof/>
            <w:webHidden/>
          </w:rPr>
        </w:r>
        <w:r>
          <w:rPr>
            <w:noProof/>
            <w:webHidden/>
          </w:rPr>
          <w:fldChar w:fldCharType="separate"/>
        </w:r>
        <w:r>
          <w:rPr>
            <w:noProof/>
            <w:webHidden/>
          </w:rPr>
          <w:t>342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35" w:history="1">
        <w:r w:rsidRPr="00F149F6">
          <w:rPr>
            <w:rStyle w:val="Hyperlink"/>
            <w:noProof/>
          </w:rPr>
          <w:t>29.06. cikk Kormányállás</w:t>
        </w:r>
        <w:r>
          <w:rPr>
            <w:noProof/>
            <w:webHidden/>
          </w:rPr>
          <w:tab/>
        </w:r>
        <w:r>
          <w:rPr>
            <w:noProof/>
            <w:webHidden/>
          </w:rPr>
          <w:fldChar w:fldCharType="begin"/>
        </w:r>
        <w:r>
          <w:rPr>
            <w:noProof/>
            <w:webHidden/>
          </w:rPr>
          <w:instrText xml:space="preserve"> PAGEREF _Toc535854035 \h </w:instrText>
        </w:r>
        <w:r>
          <w:rPr>
            <w:noProof/>
            <w:webHidden/>
          </w:rPr>
        </w:r>
        <w:r>
          <w:rPr>
            <w:noProof/>
            <w:webHidden/>
          </w:rPr>
          <w:fldChar w:fldCharType="separate"/>
        </w:r>
        <w:r>
          <w:rPr>
            <w:noProof/>
            <w:webHidden/>
          </w:rPr>
          <w:t>342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36" w:history="1">
        <w:r w:rsidRPr="00F149F6">
          <w:rPr>
            <w:rStyle w:val="Hyperlink"/>
            <w:noProof/>
          </w:rPr>
          <w:t>29.07. cikk Kiegészítő berendezések</w:t>
        </w:r>
        <w:r>
          <w:rPr>
            <w:noProof/>
            <w:webHidden/>
          </w:rPr>
          <w:tab/>
        </w:r>
        <w:r>
          <w:rPr>
            <w:noProof/>
            <w:webHidden/>
          </w:rPr>
          <w:fldChar w:fldCharType="begin"/>
        </w:r>
        <w:r>
          <w:rPr>
            <w:noProof/>
            <w:webHidden/>
          </w:rPr>
          <w:instrText xml:space="preserve"> PAGEREF _Toc535854036 \h </w:instrText>
        </w:r>
        <w:r>
          <w:rPr>
            <w:noProof/>
            <w:webHidden/>
          </w:rPr>
        </w:r>
        <w:r>
          <w:rPr>
            <w:noProof/>
            <w:webHidden/>
          </w:rPr>
          <w:fldChar w:fldCharType="separate"/>
        </w:r>
        <w:r>
          <w:rPr>
            <w:noProof/>
            <w:webHidden/>
          </w:rPr>
          <w:t>344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37" w:history="1">
        <w:r w:rsidRPr="00F149F6">
          <w:rPr>
            <w:rStyle w:val="Hyperlink"/>
            <w:noProof/>
          </w:rPr>
          <w:t>29.08. cikk Zárt terek</w:t>
        </w:r>
        <w:r>
          <w:rPr>
            <w:noProof/>
            <w:webHidden/>
          </w:rPr>
          <w:tab/>
        </w:r>
        <w:r>
          <w:rPr>
            <w:noProof/>
            <w:webHidden/>
          </w:rPr>
          <w:fldChar w:fldCharType="begin"/>
        </w:r>
        <w:r>
          <w:rPr>
            <w:noProof/>
            <w:webHidden/>
          </w:rPr>
          <w:instrText xml:space="preserve"> PAGEREF _Toc535854037 \h </w:instrText>
        </w:r>
        <w:r>
          <w:rPr>
            <w:noProof/>
            <w:webHidden/>
          </w:rPr>
        </w:r>
        <w:r>
          <w:rPr>
            <w:noProof/>
            <w:webHidden/>
          </w:rPr>
          <w:fldChar w:fldCharType="separate"/>
        </w:r>
        <w:r>
          <w:rPr>
            <w:noProof/>
            <w:webHidden/>
          </w:rPr>
          <w:t>345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38" w:history="1">
        <w:r w:rsidRPr="00F149F6">
          <w:rPr>
            <w:rStyle w:val="Hyperlink"/>
            <w:noProof/>
          </w:rPr>
          <w:t>29.09. cikk Kijáratok és menekülési útvonalak</w:t>
        </w:r>
        <w:r>
          <w:rPr>
            <w:noProof/>
            <w:webHidden/>
          </w:rPr>
          <w:tab/>
        </w:r>
        <w:r>
          <w:rPr>
            <w:noProof/>
            <w:webHidden/>
          </w:rPr>
          <w:fldChar w:fldCharType="begin"/>
        </w:r>
        <w:r>
          <w:rPr>
            <w:noProof/>
            <w:webHidden/>
          </w:rPr>
          <w:instrText xml:space="preserve"> PAGEREF _Toc535854038 \h </w:instrText>
        </w:r>
        <w:r>
          <w:rPr>
            <w:noProof/>
            <w:webHidden/>
          </w:rPr>
        </w:r>
        <w:r>
          <w:rPr>
            <w:noProof/>
            <w:webHidden/>
          </w:rPr>
          <w:fldChar w:fldCharType="separate"/>
        </w:r>
        <w:r>
          <w:rPr>
            <w:noProof/>
            <w:webHidden/>
          </w:rPr>
          <w:t>346</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39" w:history="1">
        <w:r w:rsidRPr="00F149F6">
          <w:rPr>
            <w:rStyle w:val="Hyperlink"/>
            <w:noProof/>
          </w:rPr>
          <w:t>29.10. cikk Tűzvédelem</w:t>
        </w:r>
        <w:r>
          <w:rPr>
            <w:noProof/>
            <w:webHidden/>
          </w:rPr>
          <w:tab/>
        </w:r>
        <w:r>
          <w:rPr>
            <w:noProof/>
            <w:webHidden/>
          </w:rPr>
          <w:fldChar w:fldCharType="begin"/>
        </w:r>
        <w:r>
          <w:rPr>
            <w:noProof/>
            <w:webHidden/>
          </w:rPr>
          <w:instrText xml:space="preserve"> PAGEREF _Toc535854039 \h </w:instrText>
        </w:r>
        <w:r>
          <w:rPr>
            <w:noProof/>
            <w:webHidden/>
          </w:rPr>
        </w:r>
        <w:r>
          <w:rPr>
            <w:noProof/>
            <w:webHidden/>
          </w:rPr>
          <w:fldChar w:fldCharType="separate"/>
        </w:r>
        <w:r>
          <w:rPr>
            <w:noProof/>
            <w:webHidden/>
          </w:rPr>
          <w:t>346</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40" w:history="1">
        <w:r w:rsidRPr="00F149F6">
          <w:rPr>
            <w:rStyle w:val="Hyperlink"/>
            <w:noProof/>
          </w:rPr>
          <w:t>30. fejezet Az 55 °C vagy annál alacsonyabb lobbanáspontú tüzelőanyaggal üzemelő propulziós vagy kiegészítő rendszerekkel felszerelt vízi járművekre vonatkozó külön rendelkezések</w:t>
        </w:r>
        <w:r>
          <w:rPr>
            <w:noProof/>
            <w:webHidden/>
          </w:rPr>
          <w:tab/>
        </w:r>
        <w:r>
          <w:rPr>
            <w:noProof/>
            <w:webHidden/>
          </w:rPr>
          <w:fldChar w:fldCharType="begin"/>
        </w:r>
        <w:r>
          <w:rPr>
            <w:noProof/>
            <w:webHidden/>
          </w:rPr>
          <w:instrText xml:space="preserve"> PAGEREF _Toc535854040 \h </w:instrText>
        </w:r>
        <w:r>
          <w:rPr>
            <w:noProof/>
            <w:webHidden/>
          </w:rPr>
        </w:r>
        <w:r>
          <w:rPr>
            <w:noProof/>
            <w:webHidden/>
          </w:rPr>
          <w:fldChar w:fldCharType="separate"/>
        </w:r>
        <w:r>
          <w:rPr>
            <w:noProof/>
            <w:webHidden/>
          </w:rPr>
          <w:t>348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41" w:history="1">
        <w:r w:rsidRPr="00F149F6">
          <w:rPr>
            <w:rStyle w:val="Hyperlink"/>
            <w:noProof/>
          </w:rPr>
          <w:t>30.01. cikk Általános rendelkezések</w:t>
        </w:r>
        <w:r>
          <w:rPr>
            <w:noProof/>
            <w:webHidden/>
          </w:rPr>
          <w:tab/>
        </w:r>
        <w:r>
          <w:rPr>
            <w:noProof/>
            <w:webHidden/>
          </w:rPr>
          <w:fldChar w:fldCharType="begin"/>
        </w:r>
        <w:r>
          <w:rPr>
            <w:noProof/>
            <w:webHidden/>
          </w:rPr>
          <w:instrText xml:space="preserve"> PAGEREF _Toc535854041 \h </w:instrText>
        </w:r>
        <w:r>
          <w:rPr>
            <w:noProof/>
            <w:webHidden/>
          </w:rPr>
        </w:r>
        <w:r>
          <w:rPr>
            <w:noProof/>
            <w:webHidden/>
          </w:rPr>
          <w:fldChar w:fldCharType="separate"/>
        </w:r>
        <w:r>
          <w:rPr>
            <w:noProof/>
            <w:webHidden/>
          </w:rPr>
          <w:t>348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42" w:history="1">
        <w:r w:rsidRPr="00F149F6">
          <w:rPr>
            <w:rStyle w:val="Hyperlink"/>
            <w:noProof/>
            <w:lang w:val="sv-SE"/>
          </w:rPr>
          <w:t>30.02. cikk Vizsgálatok</w:t>
        </w:r>
        <w:r>
          <w:rPr>
            <w:noProof/>
            <w:webHidden/>
          </w:rPr>
          <w:tab/>
        </w:r>
        <w:r>
          <w:rPr>
            <w:noProof/>
            <w:webHidden/>
          </w:rPr>
          <w:fldChar w:fldCharType="begin"/>
        </w:r>
        <w:r>
          <w:rPr>
            <w:noProof/>
            <w:webHidden/>
          </w:rPr>
          <w:instrText xml:space="preserve"> PAGEREF _Toc535854042 \h </w:instrText>
        </w:r>
        <w:r>
          <w:rPr>
            <w:noProof/>
            <w:webHidden/>
          </w:rPr>
        </w:r>
        <w:r>
          <w:rPr>
            <w:noProof/>
            <w:webHidden/>
          </w:rPr>
          <w:fldChar w:fldCharType="separate"/>
        </w:r>
        <w:r>
          <w:rPr>
            <w:noProof/>
            <w:webHidden/>
          </w:rPr>
          <w:t>350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43" w:history="1">
        <w:r w:rsidRPr="00F149F6">
          <w:rPr>
            <w:rStyle w:val="Hyperlink"/>
            <w:noProof/>
            <w:lang w:val="sv-SE"/>
          </w:rPr>
          <w:t>30.03. cikk Biztonságtechnikai szervezés</w:t>
        </w:r>
        <w:r>
          <w:rPr>
            <w:noProof/>
            <w:webHidden/>
          </w:rPr>
          <w:tab/>
        </w:r>
        <w:r>
          <w:rPr>
            <w:noProof/>
            <w:webHidden/>
          </w:rPr>
          <w:fldChar w:fldCharType="begin"/>
        </w:r>
        <w:r>
          <w:rPr>
            <w:noProof/>
            <w:webHidden/>
          </w:rPr>
          <w:instrText xml:space="preserve"> PAGEREF _Toc535854043 \h </w:instrText>
        </w:r>
        <w:r>
          <w:rPr>
            <w:noProof/>
            <w:webHidden/>
          </w:rPr>
        </w:r>
        <w:r>
          <w:rPr>
            <w:noProof/>
            <w:webHidden/>
          </w:rPr>
          <w:fldChar w:fldCharType="separate"/>
        </w:r>
        <w:r>
          <w:rPr>
            <w:noProof/>
            <w:webHidden/>
          </w:rPr>
          <w:t>350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44" w:history="1">
        <w:r w:rsidRPr="00F149F6">
          <w:rPr>
            <w:rStyle w:val="Hyperlink"/>
            <w:noProof/>
            <w:lang w:val="sv-SE"/>
          </w:rPr>
          <w:t>30.04. cikk (Üres)</w:t>
        </w:r>
        <w:r>
          <w:rPr>
            <w:noProof/>
            <w:webHidden/>
          </w:rPr>
          <w:tab/>
        </w:r>
        <w:r>
          <w:rPr>
            <w:noProof/>
            <w:webHidden/>
          </w:rPr>
          <w:fldChar w:fldCharType="begin"/>
        </w:r>
        <w:r>
          <w:rPr>
            <w:noProof/>
            <w:webHidden/>
          </w:rPr>
          <w:instrText xml:space="preserve"> PAGEREF _Toc535854044 \h </w:instrText>
        </w:r>
        <w:r>
          <w:rPr>
            <w:noProof/>
            <w:webHidden/>
          </w:rPr>
        </w:r>
        <w:r>
          <w:rPr>
            <w:noProof/>
            <w:webHidden/>
          </w:rPr>
          <w:fldChar w:fldCharType="separate"/>
        </w:r>
        <w:r>
          <w:rPr>
            <w:noProof/>
            <w:webHidden/>
          </w:rPr>
          <w:t>352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45" w:history="1">
        <w:r w:rsidRPr="00F149F6">
          <w:rPr>
            <w:rStyle w:val="Hyperlink"/>
            <w:noProof/>
            <w:lang w:val="sv-SE"/>
          </w:rPr>
          <w:t>30.05. cikk Jelölés</w:t>
        </w:r>
        <w:r>
          <w:rPr>
            <w:noProof/>
            <w:webHidden/>
          </w:rPr>
          <w:tab/>
        </w:r>
        <w:r>
          <w:rPr>
            <w:noProof/>
            <w:webHidden/>
          </w:rPr>
          <w:fldChar w:fldCharType="begin"/>
        </w:r>
        <w:r>
          <w:rPr>
            <w:noProof/>
            <w:webHidden/>
          </w:rPr>
          <w:instrText xml:space="preserve"> PAGEREF _Toc535854045 \h </w:instrText>
        </w:r>
        <w:r>
          <w:rPr>
            <w:noProof/>
            <w:webHidden/>
          </w:rPr>
        </w:r>
        <w:r>
          <w:rPr>
            <w:noProof/>
            <w:webHidden/>
          </w:rPr>
          <w:fldChar w:fldCharType="separate"/>
        </w:r>
        <w:r>
          <w:rPr>
            <w:noProof/>
            <w:webHidden/>
          </w:rPr>
          <w:t>352</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46" w:history="1">
        <w:r w:rsidRPr="00F149F6">
          <w:rPr>
            <w:rStyle w:val="Hyperlink"/>
            <w:noProof/>
            <w:lang w:val="sv-SE"/>
          </w:rPr>
          <w:t>30.06. cikk Független propulziós rendszerek</w:t>
        </w:r>
        <w:r>
          <w:rPr>
            <w:noProof/>
            <w:webHidden/>
          </w:rPr>
          <w:tab/>
        </w:r>
        <w:r>
          <w:rPr>
            <w:noProof/>
            <w:webHidden/>
          </w:rPr>
          <w:fldChar w:fldCharType="begin"/>
        </w:r>
        <w:r>
          <w:rPr>
            <w:noProof/>
            <w:webHidden/>
          </w:rPr>
          <w:instrText xml:space="preserve"> PAGEREF _Toc535854046 \h </w:instrText>
        </w:r>
        <w:r>
          <w:rPr>
            <w:noProof/>
            <w:webHidden/>
          </w:rPr>
        </w:r>
        <w:r>
          <w:rPr>
            <w:noProof/>
            <w:webHidden/>
          </w:rPr>
          <w:fldChar w:fldCharType="separate"/>
        </w:r>
        <w:r>
          <w:rPr>
            <w:noProof/>
            <w:webHidden/>
          </w:rPr>
          <w:t>353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47" w:history="1">
        <w:r w:rsidRPr="00F149F6">
          <w:rPr>
            <w:rStyle w:val="Hyperlink"/>
            <w:noProof/>
            <w:lang w:val="sv-SE"/>
          </w:rPr>
          <w:t>30.07. cikk Műszaki szolgálatok</w:t>
        </w:r>
        <w:r>
          <w:rPr>
            <w:noProof/>
            <w:webHidden/>
          </w:rPr>
          <w:tab/>
        </w:r>
        <w:r>
          <w:rPr>
            <w:noProof/>
            <w:webHidden/>
          </w:rPr>
          <w:fldChar w:fldCharType="begin"/>
        </w:r>
        <w:r>
          <w:rPr>
            <w:noProof/>
            <w:webHidden/>
          </w:rPr>
          <w:instrText xml:space="preserve"> PAGEREF _Toc535854047 \h </w:instrText>
        </w:r>
        <w:r>
          <w:rPr>
            <w:noProof/>
            <w:webHidden/>
          </w:rPr>
        </w:r>
        <w:r>
          <w:rPr>
            <w:noProof/>
            <w:webHidden/>
          </w:rPr>
          <w:fldChar w:fldCharType="separate"/>
        </w:r>
        <w:r>
          <w:rPr>
            <w:noProof/>
            <w:webHidden/>
          </w:rPr>
          <w:t>353</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48" w:history="1">
        <w:r w:rsidRPr="00F149F6">
          <w:rPr>
            <w:rStyle w:val="Hyperlink"/>
            <w:noProof/>
            <w:lang w:val="sv-SE"/>
          </w:rPr>
          <w:t>31. fejezet A minimális létszámú legénységgel közlekedő hajókra alkalmazandó külön rendelkezések</w:t>
        </w:r>
        <w:r>
          <w:rPr>
            <w:noProof/>
            <w:webHidden/>
          </w:rPr>
          <w:tab/>
        </w:r>
        <w:r>
          <w:rPr>
            <w:noProof/>
            <w:webHidden/>
          </w:rPr>
          <w:fldChar w:fldCharType="begin"/>
        </w:r>
        <w:r>
          <w:rPr>
            <w:noProof/>
            <w:webHidden/>
          </w:rPr>
          <w:instrText xml:space="preserve"> PAGEREF _Toc535854048 \h </w:instrText>
        </w:r>
        <w:r>
          <w:rPr>
            <w:noProof/>
            <w:webHidden/>
          </w:rPr>
        </w:r>
        <w:r>
          <w:rPr>
            <w:noProof/>
            <w:webHidden/>
          </w:rPr>
          <w:fldChar w:fldCharType="separate"/>
        </w:r>
        <w:r>
          <w:rPr>
            <w:noProof/>
            <w:webHidden/>
          </w:rPr>
          <w:t>355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49" w:history="1">
        <w:r w:rsidRPr="00F149F6">
          <w:rPr>
            <w:rStyle w:val="Hyperlink"/>
            <w:noProof/>
            <w:lang w:val="sv-SE"/>
          </w:rPr>
          <w:t>31.01. cikk A hajó felszerelése</w:t>
        </w:r>
        <w:r>
          <w:rPr>
            <w:noProof/>
            <w:webHidden/>
          </w:rPr>
          <w:tab/>
        </w:r>
        <w:r>
          <w:rPr>
            <w:noProof/>
            <w:webHidden/>
          </w:rPr>
          <w:fldChar w:fldCharType="begin"/>
        </w:r>
        <w:r>
          <w:rPr>
            <w:noProof/>
            <w:webHidden/>
          </w:rPr>
          <w:instrText xml:space="preserve"> PAGEREF _Toc535854049 \h </w:instrText>
        </w:r>
        <w:r>
          <w:rPr>
            <w:noProof/>
            <w:webHidden/>
          </w:rPr>
        </w:r>
        <w:r>
          <w:rPr>
            <w:noProof/>
            <w:webHidden/>
          </w:rPr>
          <w:fldChar w:fldCharType="separate"/>
        </w:r>
        <w:r>
          <w:rPr>
            <w:noProof/>
            <w:webHidden/>
          </w:rPr>
          <w:t>355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50" w:history="1">
        <w:r w:rsidRPr="00F149F6">
          <w:rPr>
            <w:rStyle w:val="Hyperlink"/>
            <w:noProof/>
            <w:lang w:val="sv-SE"/>
          </w:rPr>
          <w:t>31.02. cikk S1 standard</w:t>
        </w:r>
        <w:r>
          <w:rPr>
            <w:noProof/>
            <w:webHidden/>
          </w:rPr>
          <w:tab/>
        </w:r>
        <w:r>
          <w:rPr>
            <w:noProof/>
            <w:webHidden/>
          </w:rPr>
          <w:fldChar w:fldCharType="begin"/>
        </w:r>
        <w:r>
          <w:rPr>
            <w:noProof/>
            <w:webHidden/>
          </w:rPr>
          <w:instrText xml:space="preserve"> PAGEREF _Toc535854050 \h </w:instrText>
        </w:r>
        <w:r>
          <w:rPr>
            <w:noProof/>
            <w:webHidden/>
          </w:rPr>
        </w:r>
        <w:r>
          <w:rPr>
            <w:noProof/>
            <w:webHidden/>
          </w:rPr>
          <w:fldChar w:fldCharType="separate"/>
        </w:r>
        <w:r>
          <w:rPr>
            <w:noProof/>
            <w:webHidden/>
          </w:rPr>
          <w:t>355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51" w:history="1">
        <w:r w:rsidRPr="00F149F6">
          <w:rPr>
            <w:rStyle w:val="Hyperlink"/>
            <w:noProof/>
            <w:lang w:val="sv-SE"/>
          </w:rPr>
          <w:t>31.03. cikk S2 standard</w:t>
        </w:r>
        <w:r>
          <w:rPr>
            <w:noProof/>
            <w:webHidden/>
          </w:rPr>
          <w:tab/>
        </w:r>
        <w:r>
          <w:rPr>
            <w:noProof/>
            <w:webHidden/>
          </w:rPr>
          <w:fldChar w:fldCharType="begin"/>
        </w:r>
        <w:r>
          <w:rPr>
            <w:noProof/>
            <w:webHidden/>
          </w:rPr>
          <w:instrText xml:space="preserve"> PAGEREF _Toc535854051 \h </w:instrText>
        </w:r>
        <w:r>
          <w:rPr>
            <w:noProof/>
            <w:webHidden/>
          </w:rPr>
        </w:r>
        <w:r>
          <w:rPr>
            <w:noProof/>
            <w:webHidden/>
          </w:rPr>
          <w:fldChar w:fldCharType="separate"/>
        </w:r>
        <w:r>
          <w:rPr>
            <w:noProof/>
            <w:webHidden/>
          </w:rPr>
          <w:t>357</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4052" w:history="1">
        <w:r w:rsidRPr="00F149F6">
          <w:rPr>
            <w:rStyle w:val="Hyperlink"/>
            <w:noProof/>
            <w:lang w:val="sv-SE"/>
          </w:rPr>
          <w:t>IV. RÉSZ ÁTMENETI RENDELKEZÉSEK</w:t>
        </w:r>
        <w:r>
          <w:rPr>
            <w:noProof/>
            <w:webHidden/>
          </w:rPr>
          <w:tab/>
        </w:r>
        <w:r>
          <w:rPr>
            <w:noProof/>
            <w:webHidden/>
          </w:rPr>
          <w:fldChar w:fldCharType="begin"/>
        </w:r>
        <w:r>
          <w:rPr>
            <w:noProof/>
            <w:webHidden/>
          </w:rPr>
          <w:instrText xml:space="preserve"> PAGEREF _Toc535854052 \h </w:instrText>
        </w:r>
        <w:r>
          <w:rPr>
            <w:noProof/>
            <w:webHidden/>
          </w:rPr>
        </w:r>
        <w:r>
          <w:rPr>
            <w:noProof/>
            <w:webHidden/>
          </w:rPr>
          <w:fldChar w:fldCharType="separate"/>
        </w:r>
        <w:r>
          <w:rPr>
            <w:noProof/>
            <w:webHidden/>
          </w:rPr>
          <w:t>359</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53" w:history="1">
        <w:r w:rsidRPr="00F149F6">
          <w:rPr>
            <w:rStyle w:val="Hyperlink"/>
            <w:noProof/>
            <w:lang w:val="sv-SE"/>
          </w:rPr>
          <w:t>32. fejezet A Rajnán (R zóna) közlekedő vízi járművekre vonatkozó átmeneti rendelkezések</w:t>
        </w:r>
        <w:r>
          <w:rPr>
            <w:noProof/>
            <w:webHidden/>
          </w:rPr>
          <w:tab/>
        </w:r>
        <w:r>
          <w:rPr>
            <w:noProof/>
            <w:webHidden/>
          </w:rPr>
          <w:fldChar w:fldCharType="begin"/>
        </w:r>
        <w:r>
          <w:rPr>
            <w:noProof/>
            <w:webHidden/>
          </w:rPr>
          <w:instrText xml:space="preserve"> PAGEREF _Toc535854053 \h </w:instrText>
        </w:r>
        <w:r>
          <w:rPr>
            <w:noProof/>
            <w:webHidden/>
          </w:rPr>
        </w:r>
        <w:r>
          <w:rPr>
            <w:noProof/>
            <w:webHidden/>
          </w:rPr>
          <w:fldChar w:fldCharType="separate"/>
        </w:r>
        <w:r>
          <w:rPr>
            <w:noProof/>
            <w:webHidden/>
          </w:rPr>
          <w:t>359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54" w:history="1">
        <w:r w:rsidRPr="00F149F6">
          <w:rPr>
            <w:rStyle w:val="Hyperlink"/>
            <w:noProof/>
            <w:lang w:val="sv-SE"/>
          </w:rPr>
          <w:t>32.01. cikk</w:t>
        </w:r>
        <w:r>
          <w:rPr>
            <w:noProof/>
            <w:webHidden/>
          </w:rPr>
          <w:tab/>
        </w:r>
        <w:r>
          <w:rPr>
            <w:noProof/>
            <w:webHidden/>
          </w:rPr>
          <w:fldChar w:fldCharType="begin"/>
        </w:r>
        <w:r>
          <w:rPr>
            <w:noProof/>
            <w:webHidden/>
          </w:rPr>
          <w:instrText xml:space="preserve"> PAGEREF _Toc535854054 \h </w:instrText>
        </w:r>
        <w:r>
          <w:rPr>
            <w:noProof/>
            <w:webHidden/>
          </w:rPr>
        </w:r>
        <w:r>
          <w:rPr>
            <w:noProof/>
            <w:webHidden/>
          </w:rPr>
          <w:fldChar w:fldCharType="separate"/>
        </w:r>
        <w:r>
          <w:rPr>
            <w:noProof/>
            <w:webHidden/>
          </w:rPr>
          <w:t>359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55" w:history="1">
        <w:r w:rsidRPr="00F149F6">
          <w:rPr>
            <w:rStyle w:val="Hyperlink"/>
            <w:noProof/>
            <w:lang w:val="sv-SE"/>
          </w:rPr>
          <w:t>Az átmeneti rendelkezések alkalmazhatósága már üzemelő vízi járművekre</w:t>
        </w:r>
        <w:r>
          <w:rPr>
            <w:noProof/>
            <w:webHidden/>
          </w:rPr>
          <w:tab/>
        </w:r>
        <w:r>
          <w:rPr>
            <w:noProof/>
            <w:webHidden/>
          </w:rPr>
          <w:fldChar w:fldCharType="begin"/>
        </w:r>
        <w:r>
          <w:rPr>
            <w:noProof/>
            <w:webHidden/>
          </w:rPr>
          <w:instrText xml:space="preserve"> PAGEREF _Toc535854055 \h </w:instrText>
        </w:r>
        <w:r>
          <w:rPr>
            <w:noProof/>
            <w:webHidden/>
          </w:rPr>
        </w:r>
        <w:r>
          <w:rPr>
            <w:noProof/>
            <w:webHidden/>
          </w:rPr>
          <w:fldChar w:fldCharType="separate"/>
        </w:r>
        <w:r>
          <w:rPr>
            <w:noProof/>
            <w:webHidden/>
          </w:rPr>
          <w:t>359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56" w:history="1">
        <w:r w:rsidRPr="00F149F6">
          <w:rPr>
            <w:rStyle w:val="Hyperlink"/>
            <w:noProof/>
            <w:lang w:val="sv-SE"/>
          </w:rPr>
          <w:t>32.02. cikk</w:t>
        </w:r>
        <w:r>
          <w:rPr>
            <w:noProof/>
            <w:webHidden/>
          </w:rPr>
          <w:tab/>
        </w:r>
        <w:r>
          <w:rPr>
            <w:noProof/>
            <w:webHidden/>
          </w:rPr>
          <w:fldChar w:fldCharType="begin"/>
        </w:r>
        <w:r>
          <w:rPr>
            <w:noProof/>
            <w:webHidden/>
          </w:rPr>
          <w:instrText xml:space="preserve"> PAGEREF _Toc535854056 \h </w:instrText>
        </w:r>
        <w:r>
          <w:rPr>
            <w:noProof/>
            <w:webHidden/>
          </w:rPr>
        </w:r>
        <w:r>
          <w:rPr>
            <w:noProof/>
            <w:webHidden/>
          </w:rPr>
          <w:fldChar w:fldCharType="separate"/>
        </w:r>
        <w:r>
          <w:rPr>
            <w:noProof/>
            <w:webHidden/>
          </w:rPr>
          <w:t>359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57" w:history="1">
        <w:r w:rsidRPr="00F149F6">
          <w:rPr>
            <w:rStyle w:val="Hyperlink"/>
            <w:noProof/>
            <w:lang w:val="sv-SE"/>
          </w:rPr>
          <w:t>Már üzemelő vízi járművekre vonatkozó átmeneti rendelkezések</w:t>
        </w:r>
        <w:r>
          <w:rPr>
            <w:noProof/>
            <w:webHidden/>
          </w:rPr>
          <w:tab/>
        </w:r>
        <w:r>
          <w:rPr>
            <w:noProof/>
            <w:webHidden/>
          </w:rPr>
          <w:fldChar w:fldCharType="begin"/>
        </w:r>
        <w:r>
          <w:rPr>
            <w:noProof/>
            <w:webHidden/>
          </w:rPr>
          <w:instrText xml:space="preserve"> PAGEREF _Toc535854057 \h </w:instrText>
        </w:r>
        <w:r>
          <w:rPr>
            <w:noProof/>
            <w:webHidden/>
          </w:rPr>
        </w:r>
        <w:r>
          <w:rPr>
            <w:noProof/>
            <w:webHidden/>
          </w:rPr>
          <w:fldChar w:fldCharType="separate"/>
        </w:r>
        <w:r>
          <w:rPr>
            <w:noProof/>
            <w:webHidden/>
          </w:rPr>
          <w:t>359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58" w:history="1">
        <w:r w:rsidRPr="00F149F6">
          <w:rPr>
            <w:rStyle w:val="Hyperlink"/>
            <w:noProof/>
          </w:rPr>
          <w:t>32.03. cikk</w:t>
        </w:r>
        <w:r>
          <w:rPr>
            <w:noProof/>
            <w:webHidden/>
          </w:rPr>
          <w:tab/>
        </w:r>
        <w:r>
          <w:rPr>
            <w:noProof/>
            <w:webHidden/>
          </w:rPr>
          <w:fldChar w:fldCharType="begin"/>
        </w:r>
        <w:r>
          <w:rPr>
            <w:noProof/>
            <w:webHidden/>
          </w:rPr>
          <w:instrText xml:space="preserve"> PAGEREF _Toc535854058 \h </w:instrText>
        </w:r>
        <w:r>
          <w:rPr>
            <w:noProof/>
            <w:webHidden/>
          </w:rPr>
        </w:r>
        <w:r>
          <w:rPr>
            <w:noProof/>
            <w:webHidden/>
          </w:rPr>
          <w:fldChar w:fldCharType="separate"/>
        </w:r>
        <w:r>
          <w:rPr>
            <w:noProof/>
            <w:webHidden/>
          </w:rPr>
          <w:t>389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59" w:history="1">
        <w:r w:rsidRPr="00F149F6">
          <w:rPr>
            <w:rStyle w:val="Hyperlink"/>
            <w:noProof/>
          </w:rPr>
          <w:t>Azon vízi járművekre vonatkozó további átmeneti rendelkezések, amelyek gerincfektetése 1976. április 1-jén vagy az előtt történt</w:t>
        </w:r>
        <w:r>
          <w:rPr>
            <w:noProof/>
            <w:webHidden/>
          </w:rPr>
          <w:tab/>
        </w:r>
        <w:r>
          <w:rPr>
            <w:noProof/>
            <w:webHidden/>
          </w:rPr>
          <w:fldChar w:fldCharType="begin"/>
        </w:r>
        <w:r>
          <w:rPr>
            <w:noProof/>
            <w:webHidden/>
          </w:rPr>
          <w:instrText xml:space="preserve"> PAGEREF _Toc535854059 \h </w:instrText>
        </w:r>
        <w:r>
          <w:rPr>
            <w:noProof/>
            <w:webHidden/>
          </w:rPr>
        </w:r>
        <w:r>
          <w:rPr>
            <w:noProof/>
            <w:webHidden/>
          </w:rPr>
          <w:fldChar w:fldCharType="separate"/>
        </w:r>
        <w:r>
          <w:rPr>
            <w:noProof/>
            <w:webHidden/>
          </w:rPr>
          <w:t>389</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60" w:history="1">
        <w:r w:rsidRPr="00F149F6">
          <w:rPr>
            <w:rStyle w:val="Hyperlink"/>
            <w:noProof/>
          </w:rPr>
          <w:t>32.04. cikk</w:t>
        </w:r>
        <w:r>
          <w:rPr>
            <w:noProof/>
            <w:webHidden/>
          </w:rPr>
          <w:tab/>
        </w:r>
        <w:r>
          <w:rPr>
            <w:noProof/>
            <w:webHidden/>
          </w:rPr>
          <w:fldChar w:fldCharType="begin"/>
        </w:r>
        <w:r>
          <w:rPr>
            <w:noProof/>
            <w:webHidden/>
          </w:rPr>
          <w:instrText xml:space="preserve"> PAGEREF _Toc535854060 \h </w:instrText>
        </w:r>
        <w:r>
          <w:rPr>
            <w:noProof/>
            <w:webHidden/>
          </w:rPr>
        </w:r>
        <w:r>
          <w:rPr>
            <w:noProof/>
            <w:webHidden/>
          </w:rPr>
          <w:fldChar w:fldCharType="separate"/>
        </w:r>
        <w:r>
          <w:rPr>
            <w:noProof/>
            <w:webHidden/>
          </w:rPr>
          <w:t>393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61" w:history="1">
        <w:r w:rsidRPr="00F149F6">
          <w:rPr>
            <w:rStyle w:val="Hyperlink"/>
            <w:noProof/>
          </w:rPr>
          <w:t>Egyéb átmeneti rendelkezések</w:t>
        </w:r>
        <w:r>
          <w:rPr>
            <w:noProof/>
            <w:webHidden/>
          </w:rPr>
          <w:tab/>
        </w:r>
        <w:r>
          <w:rPr>
            <w:noProof/>
            <w:webHidden/>
          </w:rPr>
          <w:fldChar w:fldCharType="begin"/>
        </w:r>
        <w:r>
          <w:rPr>
            <w:noProof/>
            <w:webHidden/>
          </w:rPr>
          <w:instrText xml:space="preserve"> PAGEREF _Toc535854061 \h </w:instrText>
        </w:r>
        <w:r>
          <w:rPr>
            <w:noProof/>
            <w:webHidden/>
          </w:rPr>
        </w:r>
        <w:r>
          <w:rPr>
            <w:noProof/>
            <w:webHidden/>
          </w:rPr>
          <w:fldChar w:fldCharType="separate"/>
        </w:r>
        <w:r>
          <w:rPr>
            <w:noProof/>
            <w:webHidden/>
          </w:rPr>
          <w:t>393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62" w:history="1">
        <w:r w:rsidRPr="00F149F6">
          <w:rPr>
            <w:rStyle w:val="Hyperlink"/>
            <w:noProof/>
          </w:rPr>
          <w:t>32.05. cikk</w:t>
        </w:r>
        <w:r>
          <w:rPr>
            <w:noProof/>
            <w:webHidden/>
          </w:rPr>
          <w:tab/>
        </w:r>
        <w:r>
          <w:rPr>
            <w:noProof/>
            <w:webHidden/>
          </w:rPr>
          <w:fldChar w:fldCharType="begin"/>
        </w:r>
        <w:r>
          <w:rPr>
            <w:noProof/>
            <w:webHidden/>
          </w:rPr>
          <w:instrText xml:space="preserve"> PAGEREF _Toc535854062 \h </w:instrText>
        </w:r>
        <w:r>
          <w:rPr>
            <w:noProof/>
            <w:webHidden/>
          </w:rPr>
        </w:r>
        <w:r>
          <w:rPr>
            <w:noProof/>
            <w:webHidden/>
          </w:rPr>
          <w:fldChar w:fldCharType="separate"/>
        </w:r>
        <w:r>
          <w:rPr>
            <w:noProof/>
            <w:webHidden/>
          </w:rPr>
          <w:t>395</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63" w:history="1">
        <w:r w:rsidRPr="00F149F6">
          <w:rPr>
            <w:rStyle w:val="Hyperlink"/>
            <w:noProof/>
          </w:rPr>
          <w:t>A 32.01. cikk hatálya alá nem tartozó vízi járművekre vonatkozó átmeneti rendelkezések</w:t>
        </w:r>
        <w:r>
          <w:rPr>
            <w:noProof/>
            <w:webHidden/>
          </w:rPr>
          <w:tab/>
        </w:r>
        <w:r>
          <w:rPr>
            <w:noProof/>
            <w:webHidden/>
          </w:rPr>
          <w:fldChar w:fldCharType="begin"/>
        </w:r>
        <w:r>
          <w:rPr>
            <w:noProof/>
            <w:webHidden/>
          </w:rPr>
          <w:instrText xml:space="preserve"> PAGEREF _Toc535854063 \h </w:instrText>
        </w:r>
        <w:r>
          <w:rPr>
            <w:noProof/>
            <w:webHidden/>
          </w:rPr>
        </w:r>
        <w:r>
          <w:rPr>
            <w:noProof/>
            <w:webHidden/>
          </w:rPr>
          <w:fldChar w:fldCharType="separate"/>
        </w:r>
        <w:r>
          <w:rPr>
            <w:noProof/>
            <w:webHidden/>
          </w:rPr>
          <w:t>395</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64" w:history="1">
        <w:r w:rsidRPr="00F149F6">
          <w:rPr>
            <w:rStyle w:val="Hyperlink"/>
            <w:noProof/>
          </w:rPr>
          <w:t>33. fejezet A kizárólag a Rajnán (R zóna) kívül közlekedő vízi járművekre vonatkozó átmeneti rendelkezések</w:t>
        </w:r>
        <w:r>
          <w:rPr>
            <w:noProof/>
            <w:webHidden/>
          </w:rPr>
          <w:tab/>
        </w:r>
        <w:r>
          <w:rPr>
            <w:noProof/>
            <w:webHidden/>
          </w:rPr>
          <w:fldChar w:fldCharType="begin"/>
        </w:r>
        <w:r>
          <w:rPr>
            <w:noProof/>
            <w:webHidden/>
          </w:rPr>
          <w:instrText xml:space="preserve"> PAGEREF _Toc535854064 \h </w:instrText>
        </w:r>
        <w:r>
          <w:rPr>
            <w:noProof/>
            <w:webHidden/>
          </w:rPr>
        </w:r>
        <w:r>
          <w:rPr>
            <w:noProof/>
            <w:webHidden/>
          </w:rPr>
          <w:fldChar w:fldCharType="separate"/>
        </w:r>
        <w:r>
          <w:rPr>
            <w:noProof/>
            <w:webHidden/>
          </w:rPr>
          <w:t>418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65" w:history="1">
        <w:r w:rsidRPr="00F149F6">
          <w:rPr>
            <w:rStyle w:val="Hyperlink"/>
            <w:noProof/>
          </w:rPr>
          <w:t>33.01. cikk</w:t>
        </w:r>
        <w:r>
          <w:rPr>
            <w:noProof/>
            <w:webHidden/>
          </w:rPr>
          <w:tab/>
        </w:r>
        <w:r>
          <w:rPr>
            <w:noProof/>
            <w:webHidden/>
          </w:rPr>
          <w:fldChar w:fldCharType="begin"/>
        </w:r>
        <w:r>
          <w:rPr>
            <w:noProof/>
            <w:webHidden/>
          </w:rPr>
          <w:instrText xml:space="preserve"> PAGEREF _Toc535854065 \h </w:instrText>
        </w:r>
        <w:r>
          <w:rPr>
            <w:noProof/>
            <w:webHidden/>
          </w:rPr>
        </w:r>
        <w:r>
          <w:rPr>
            <w:noProof/>
            <w:webHidden/>
          </w:rPr>
          <w:fldChar w:fldCharType="separate"/>
        </w:r>
        <w:r>
          <w:rPr>
            <w:noProof/>
            <w:webHidden/>
          </w:rPr>
          <w:t>418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66" w:history="1">
        <w:r w:rsidRPr="00F149F6">
          <w:rPr>
            <w:rStyle w:val="Hyperlink"/>
            <w:noProof/>
          </w:rPr>
          <w:t>Az átmeneti rendelkezések alkalmazhatósága már üzemelő vízi járművekre</w:t>
        </w:r>
        <w:r>
          <w:rPr>
            <w:noProof/>
            <w:webHidden/>
          </w:rPr>
          <w:tab/>
        </w:r>
        <w:r>
          <w:rPr>
            <w:noProof/>
            <w:webHidden/>
          </w:rPr>
          <w:fldChar w:fldCharType="begin"/>
        </w:r>
        <w:r>
          <w:rPr>
            <w:noProof/>
            <w:webHidden/>
          </w:rPr>
          <w:instrText xml:space="preserve"> PAGEREF _Toc535854066 \h </w:instrText>
        </w:r>
        <w:r>
          <w:rPr>
            <w:noProof/>
            <w:webHidden/>
          </w:rPr>
        </w:r>
        <w:r>
          <w:rPr>
            <w:noProof/>
            <w:webHidden/>
          </w:rPr>
          <w:fldChar w:fldCharType="separate"/>
        </w:r>
        <w:r>
          <w:rPr>
            <w:noProof/>
            <w:webHidden/>
          </w:rPr>
          <w:t>418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67" w:history="1">
        <w:r w:rsidRPr="00F149F6">
          <w:rPr>
            <w:rStyle w:val="Hyperlink"/>
            <w:noProof/>
          </w:rPr>
          <w:t>33.02. cikk</w:t>
        </w:r>
        <w:r>
          <w:rPr>
            <w:noProof/>
            <w:webHidden/>
          </w:rPr>
          <w:tab/>
        </w:r>
        <w:r>
          <w:rPr>
            <w:noProof/>
            <w:webHidden/>
          </w:rPr>
          <w:fldChar w:fldCharType="begin"/>
        </w:r>
        <w:r>
          <w:rPr>
            <w:noProof/>
            <w:webHidden/>
          </w:rPr>
          <w:instrText xml:space="preserve"> PAGEREF _Toc535854067 \h </w:instrText>
        </w:r>
        <w:r>
          <w:rPr>
            <w:noProof/>
            <w:webHidden/>
          </w:rPr>
        </w:r>
        <w:r>
          <w:rPr>
            <w:noProof/>
            <w:webHidden/>
          </w:rPr>
          <w:fldChar w:fldCharType="separate"/>
        </w:r>
        <w:r>
          <w:rPr>
            <w:noProof/>
            <w:webHidden/>
          </w:rPr>
          <w:t>418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68" w:history="1">
        <w:r w:rsidRPr="00F149F6">
          <w:rPr>
            <w:rStyle w:val="Hyperlink"/>
            <w:noProof/>
          </w:rPr>
          <w:t>Már üzemelő vízi járművekre vonatkozó átmeneti rendelkezések</w:t>
        </w:r>
        <w:r>
          <w:rPr>
            <w:noProof/>
            <w:webHidden/>
          </w:rPr>
          <w:tab/>
        </w:r>
        <w:r>
          <w:rPr>
            <w:noProof/>
            <w:webHidden/>
          </w:rPr>
          <w:fldChar w:fldCharType="begin"/>
        </w:r>
        <w:r>
          <w:rPr>
            <w:noProof/>
            <w:webHidden/>
          </w:rPr>
          <w:instrText xml:space="preserve"> PAGEREF _Toc535854068 \h </w:instrText>
        </w:r>
        <w:r>
          <w:rPr>
            <w:noProof/>
            <w:webHidden/>
          </w:rPr>
        </w:r>
        <w:r>
          <w:rPr>
            <w:noProof/>
            <w:webHidden/>
          </w:rPr>
          <w:fldChar w:fldCharType="separate"/>
        </w:r>
        <w:r>
          <w:rPr>
            <w:noProof/>
            <w:webHidden/>
          </w:rPr>
          <w:t>418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69" w:history="1">
        <w:r w:rsidRPr="00F149F6">
          <w:rPr>
            <w:rStyle w:val="Hyperlink"/>
            <w:noProof/>
          </w:rPr>
          <w:t>33.03. cikk</w:t>
        </w:r>
        <w:r>
          <w:rPr>
            <w:noProof/>
            <w:webHidden/>
          </w:rPr>
          <w:tab/>
        </w:r>
        <w:r>
          <w:rPr>
            <w:noProof/>
            <w:webHidden/>
          </w:rPr>
          <w:fldChar w:fldCharType="begin"/>
        </w:r>
        <w:r>
          <w:rPr>
            <w:noProof/>
            <w:webHidden/>
          </w:rPr>
          <w:instrText xml:space="preserve"> PAGEREF _Toc535854069 \h </w:instrText>
        </w:r>
        <w:r>
          <w:rPr>
            <w:noProof/>
            <w:webHidden/>
          </w:rPr>
        </w:r>
        <w:r>
          <w:rPr>
            <w:noProof/>
            <w:webHidden/>
          </w:rPr>
          <w:fldChar w:fldCharType="separate"/>
        </w:r>
        <w:r>
          <w:rPr>
            <w:noProof/>
            <w:webHidden/>
          </w:rPr>
          <w:t>440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70" w:history="1">
        <w:r w:rsidRPr="00F149F6">
          <w:rPr>
            <w:rStyle w:val="Hyperlink"/>
            <w:noProof/>
          </w:rPr>
          <w:t>Azon vízi járművekre vonatkozó további átmeneti rendelkezések, amelyek gerincfektetése 1985. január 1-je előtt történt</w:t>
        </w:r>
        <w:r>
          <w:rPr>
            <w:noProof/>
            <w:webHidden/>
          </w:rPr>
          <w:tab/>
        </w:r>
        <w:r>
          <w:rPr>
            <w:noProof/>
            <w:webHidden/>
          </w:rPr>
          <w:fldChar w:fldCharType="begin"/>
        </w:r>
        <w:r>
          <w:rPr>
            <w:noProof/>
            <w:webHidden/>
          </w:rPr>
          <w:instrText xml:space="preserve"> PAGEREF _Toc535854070 \h </w:instrText>
        </w:r>
        <w:r>
          <w:rPr>
            <w:noProof/>
            <w:webHidden/>
          </w:rPr>
        </w:r>
        <w:r>
          <w:rPr>
            <w:noProof/>
            <w:webHidden/>
          </w:rPr>
          <w:fldChar w:fldCharType="separate"/>
        </w:r>
        <w:r>
          <w:rPr>
            <w:noProof/>
            <w:webHidden/>
          </w:rPr>
          <w:t>440</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4071" w:history="1">
        <w:r w:rsidRPr="00F149F6">
          <w:rPr>
            <w:rStyle w:val="Hyperlink"/>
            <w:noProof/>
          </w:rPr>
          <w:t>Az európai szabvány mellékletei</w:t>
        </w:r>
        <w:r>
          <w:rPr>
            <w:noProof/>
            <w:webHidden/>
          </w:rPr>
          <w:tab/>
        </w:r>
        <w:r>
          <w:rPr>
            <w:noProof/>
            <w:webHidden/>
          </w:rPr>
          <w:fldChar w:fldCharType="begin"/>
        </w:r>
        <w:r>
          <w:rPr>
            <w:noProof/>
            <w:webHidden/>
          </w:rPr>
          <w:instrText xml:space="preserve"> PAGEREF _Toc535854071 \h </w:instrText>
        </w:r>
        <w:r>
          <w:rPr>
            <w:noProof/>
            <w:webHidden/>
          </w:rPr>
        </w:r>
        <w:r>
          <w:rPr>
            <w:noProof/>
            <w:webHidden/>
          </w:rPr>
          <w:fldChar w:fldCharType="separate"/>
        </w:r>
        <w:r>
          <w:rPr>
            <w:noProof/>
            <w:webHidden/>
          </w:rPr>
          <w:t>444</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4072" w:history="1">
        <w:r w:rsidRPr="00F149F6">
          <w:rPr>
            <w:rStyle w:val="Hyperlink"/>
            <w:noProof/>
          </w:rPr>
          <w:t>I. RÉSZ HAJÓAZONOSÍTÁS ÉS -NYILVÁNTARTÁS</w:t>
        </w:r>
        <w:r>
          <w:rPr>
            <w:noProof/>
            <w:webHidden/>
          </w:rPr>
          <w:tab/>
        </w:r>
        <w:r>
          <w:rPr>
            <w:noProof/>
            <w:webHidden/>
          </w:rPr>
          <w:fldChar w:fldCharType="begin"/>
        </w:r>
        <w:r>
          <w:rPr>
            <w:noProof/>
            <w:webHidden/>
          </w:rPr>
          <w:instrText xml:space="preserve"> PAGEREF _Toc535854072 \h </w:instrText>
        </w:r>
        <w:r>
          <w:rPr>
            <w:noProof/>
            <w:webHidden/>
          </w:rPr>
        </w:r>
        <w:r>
          <w:rPr>
            <w:noProof/>
            <w:webHidden/>
          </w:rPr>
          <w:fldChar w:fldCharType="separate"/>
        </w:r>
        <w:r>
          <w:rPr>
            <w:noProof/>
            <w:webHidden/>
          </w:rPr>
          <w:t>446</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73" w:history="1">
        <w:r w:rsidRPr="00F149F6">
          <w:rPr>
            <w:rStyle w:val="Hyperlink"/>
            <w:noProof/>
          </w:rPr>
          <w:t>1. melléklet Az egyedi európai hajóazonosító szám (ENI-kód) mintája</w:t>
        </w:r>
        <w:r>
          <w:rPr>
            <w:noProof/>
            <w:webHidden/>
          </w:rPr>
          <w:tab/>
        </w:r>
        <w:r>
          <w:rPr>
            <w:noProof/>
            <w:webHidden/>
          </w:rPr>
          <w:fldChar w:fldCharType="begin"/>
        </w:r>
        <w:r>
          <w:rPr>
            <w:noProof/>
            <w:webHidden/>
          </w:rPr>
          <w:instrText xml:space="preserve"> PAGEREF _Toc535854073 \h </w:instrText>
        </w:r>
        <w:r>
          <w:rPr>
            <w:noProof/>
            <w:webHidden/>
          </w:rPr>
        </w:r>
        <w:r>
          <w:rPr>
            <w:noProof/>
            <w:webHidden/>
          </w:rPr>
          <w:fldChar w:fldCharType="separate"/>
        </w:r>
        <w:r>
          <w:rPr>
            <w:noProof/>
            <w:webHidden/>
          </w:rPr>
          <w:t>446</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74" w:history="1">
        <w:r w:rsidRPr="00F149F6">
          <w:rPr>
            <w:rStyle w:val="Hyperlink"/>
            <w:noProof/>
            <w:lang w:val="it-IT"/>
          </w:rPr>
          <w:t>2. melléklet A vízi jármű azonosítására szolgáló adatok</w:t>
        </w:r>
        <w:r>
          <w:rPr>
            <w:noProof/>
            <w:webHidden/>
          </w:rPr>
          <w:tab/>
        </w:r>
        <w:r>
          <w:rPr>
            <w:noProof/>
            <w:webHidden/>
          </w:rPr>
          <w:fldChar w:fldCharType="begin"/>
        </w:r>
        <w:r>
          <w:rPr>
            <w:noProof/>
            <w:webHidden/>
          </w:rPr>
          <w:instrText xml:space="preserve"> PAGEREF _Toc535854074 \h </w:instrText>
        </w:r>
        <w:r>
          <w:rPr>
            <w:noProof/>
            <w:webHidden/>
          </w:rPr>
        </w:r>
        <w:r>
          <w:rPr>
            <w:noProof/>
            <w:webHidden/>
          </w:rPr>
          <w:fldChar w:fldCharType="separate"/>
        </w:r>
        <w:r>
          <w:rPr>
            <w:noProof/>
            <w:webHidden/>
          </w:rPr>
          <w:t>450</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75" w:history="1">
        <w:r w:rsidRPr="00F149F6">
          <w:rPr>
            <w:rStyle w:val="Hyperlink"/>
            <w:noProof/>
            <w:lang w:val="it-IT"/>
          </w:rPr>
          <w:t>3. melléklet A belvízi hajóbizonyítványok mintái és a belvízi hajóbizonyítványok nyilvántartásának mintája</w:t>
        </w:r>
        <w:r>
          <w:rPr>
            <w:noProof/>
            <w:webHidden/>
          </w:rPr>
          <w:tab/>
        </w:r>
        <w:r>
          <w:rPr>
            <w:noProof/>
            <w:webHidden/>
          </w:rPr>
          <w:fldChar w:fldCharType="begin"/>
        </w:r>
        <w:r>
          <w:rPr>
            <w:noProof/>
            <w:webHidden/>
          </w:rPr>
          <w:instrText xml:space="preserve"> PAGEREF _Toc535854075 \h </w:instrText>
        </w:r>
        <w:r>
          <w:rPr>
            <w:noProof/>
            <w:webHidden/>
          </w:rPr>
        </w:r>
        <w:r>
          <w:rPr>
            <w:noProof/>
            <w:webHidden/>
          </w:rPr>
          <w:fldChar w:fldCharType="separate"/>
        </w:r>
        <w:r>
          <w:rPr>
            <w:noProof/>
            <w:webHidden/>
          </w:rPr>
          <w:t>453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76" w:history="1">
        <w:r w:rsidRPr="00F149F6">
          <w:rPr>
            <w:rStyle w:val="Hyperlink"/>
            <w:noProof/>
            <w:lang w:val="it-IT"/>
          </w:rPr>
          <w:t>I. szakasz</w:t>
        </w:r>
        <w:r>
          <w:rPr>
            <w:noProof/>
            <w:webHidden/>
          </w:rPr>
          <w:tab/>
        </w:r>
        <w:r>
          <w:rPr>
            <w:noProof/>
            <w:webHidden/>
          </w:rPr>
          <w:fldChar w:fldCharType="begin"/>
        </w:r>
        <w:r>
          <w:rPr>
            <w:noProof/>
            <w:webHidden/>
          </w:rPr>
          <w:instrText xml:space="preserve"> PAGEREF _Toc535854076 \h </w:instrText>
        </w:r>
        <w:r>
          <w:rPr>
            <w:noProof/>
            <w:webHidden/>
          </w:rPr>
        </w:r>
        <w:r>
          <w:rPr>
            <w:noProof/>
            <w:webHidden/>
          </w:rPr>
          <w:fldChar w:fldCharType="separate"/>
        </w:r>
        <w:r>
          <w:rPr>
            <w:noProof/>
            <w:webHidden/>
          </w:rPr>
          <w:t>453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77" w:history="1">
        <w:r w:rsidRPr="00F149F6">
          <w:rPr>
            <w:rStyle w:val="Hyperlink"/>
            <w:noProof/>
            <w:lang w:val="it-IT"/>
          </w:rPr>
          <w:t>A belvízi hajóbizonyítvány mintája</w:t>
        </w:r>
        <w:r>
          <w:rPr>
            <w:noProof/>
            <w:webHidden/>
          </w:rPr>
          <w:tab/>
        </w:r>
        <w:r>
          <w:rPr>
            <w:noProof/>
            <w:webHidden/>
          </w:rPr>
          <w:fldChar w:fldCharType="begin"/>
        </w:r>
        <w:r>
          <w:rPr>
            <w:noProof/>
            <w:webHidden/>
          </w:rPr>
          <w:instrText xml:space="preserve"> PAGEREF _Toc535854077 \h </w:instrText>
        </w:r>
        <w:r>
          <w:rPr>
            <w:noProof/>
            <w:webHidden/>
          </w:rPr>
        </w:r>
        <w:r>
          <w:rPr>
            <w:noProof/>
            <w:webHidden/>
          </w:rPr>
          <w:fldChar w:fldCharType="separate"/>
        </w:r>
        <w:r>
          <w:rPr>
            <w:noProof/>
            <w:webHidden/>
          </w:rPr>
          <w:t>453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78" w:history="1">
        <w:r w:rsidRPr="00F149F6">
          <w:rPr>
            <w:rStyle w:val="Hyperlink"/>
            <w:noProof/>
            <w:lang w:val="pt-PT"/>
          </w:rPr>
          <w:t>II. szakasz</w:t>
        </w:r>
        <w:r>
          <w:rPr>
            <w:noProof/>
            <w:webHidden/>
          </w:rPr>
          <w:tab/>
        </w:r>
        <w:r>
          <w:rPr>
            <w:noProof/>
            <w:webHidden/>
          </w:rPr>
          <w:fldChar w:fldCharType="begin"/>
        </w:r>
        <w:r>
          <w:rPr>
            <w:noProof/>
            <w:webHidden/>
          </w:rPr>
          <w:instrText xml:space="preserve"> PAGEREF _Toc535854078 \h </w:instrText>
        </w:r>
        <w:r>
          <w:rPr>
            <w:noProof/>
            <w:webHidden/>
          </w:rPr>
        </w:r>
        <w:r>
          <w:rPr>
            <w:noProof/>
            <w:webHidden/>
          </w:rPr>
          <w:fldChar w:fldCharType="separate"/>
        </w:r>
        <w:r>
          <w:rPr>
            <w:noProof/>
            <w:webHidden/>
          </w:rPr>
          <w:t>484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79" w:history="1">
        <w:r w:rsidRPr="00F149F6">
          <w:rPr>
            <w:rStyle w:val="Hyperlink"/>
            <w:noProof/>
            <w:lang w:val="pt-PT"/>
          </w:rPr>
          <w:t>Ideiglenes belvízi hajóbizonyítvány mintája</w:t>
        </w:r>
        <w:r>
          <w:rPr>
            <w:noProof/>
            <w:webHidden/>
          </w:rPr>
          <w:tab/>
        </w:r>
        <w:r>
          <w:rPr>
            <w:noProof/>
            <w:webHidden/>
          </w:rPr>
          <w:fldChar w:fldCharType="begin"/>
        </w:r>
        <w:r>
          <w:rPr>
            <w:noProof/>
            <w:webHidden/>
          </w:rPr>
          <w:instrText xml:space="preserve"> PAGEREF _Toc535854079 \h </w:instrText>
        </w:r>
        <w:r>
          <w:rPr>
            <w:noProof/>
            <w:webHidden/>
          </w:rPr>
        </w:r>
        <w:r>
          <w:rPr>
            <w:noProof/>
            <w:webHidden/>
          </w:rPr>
          <w:fldChar w:fldCharType="separate"/>
        </w:r>
        <w:r>
          <w:rPr>
            <w:noProof/>
            <w:webHidden/>
          </w:rPr>
          <w:t>484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80" w:history="1">
        <w:r w:rsidRPr="00F149F6">
          <w:rPr>
            <w:rStyle w:val="Hyperlink"/>
            <w:noProof/>
            <w:lang w:val="pt-PT"/>
          </w:rPr>
          <w:t>III. szakasz</w:t>
        </w:r>
        <w:r>
          <w:rPr>
            <w:noProof/>
            <w:webHidden/>
          </w:rPr>
          <w:tab/>
        </w:r>
        <w:r>
          <w:rPr>
            <w:noProof/>
            <w:webHidden/>
          </w:rPr>
          <w:fldChar w:fldCharType="begin"/>
        </w:r>
        <w:r>
          <w:rPr>
            <w:noProof/>
            <w:webHidden/>
          </w:rPr>
          <w:instrText xml:space="preserve"> PAGEREF _Toc535854080 \h </w:instrText>
        </w:r>
        <w:r>
          <w:rPr>
            <w:noProof/>
            <w:webHidden/>
          </w:rPr>
        </w:r>
        <w:r>
          <w:rPr>
            <w:noProof/>
            <w:webHidden/>
          </w:rPr>
          <w:fldChar w:fldCharType="separate"/>
        </w:r>
        <w:r>
          <w:rPr>
            <w:noProof/>
            <w:webHidden/>
          </w:rPr>
          <w:t>487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81" w:history="1">
        <w:r w:rsidRPr="00F149F6">
          <w:rPr>
            <w:rStyle w:val="Hyperlink"/>
            <w:noProof/>
            <w:lang w:val="pt-PT"/>
          </w:rPr>
          <w:t>Kiegészítő uniós belvízi hajóbizonyítvány mintája</w:t>
        </w:r>
        <w:r>
          <w:rPr>
            <w:noProof/>
            <w:webHidden/>
          </w:rPr>
          <w:tab/>
        </w:r>
        <w:r>
          <w:rPr>
            <w:noProof/>
            <w:webHidden/>
          </w:rPr>
          <w:fldChar w:fldCharType="begin"/>
        </w:r>
        <w:r>
          <w:rPr>
            <w:noProof/>
            <w:webHidden/>
          </w:rPr>
          <w:instrText xml:space="preserve"> PAGEREF _Toc535854081 \h </w:instrText>
        </w:r>
        <w:r>
          <w:rPr>
            <w:noProof/>
            <w:webHidden/>
          </w:rPr>
        </w:r>
        <w:r>
          <w:rPr>
            <w:noProof/>
            <w:webHidden/>
          </w:rPr>
          <w:fldChar w:fldCharType="separate"/>
        </w:r>
        <w:r>
          <w:rPr>
            <w:noProof/>
            <w:webHidden/>
          </w:rPr>
          <w:t>487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82" w:history="1">
        <w:r w:rsidRPr="00F149F6">
          <w:rPr>
            <w:rStyle w:val="Hyperlink"/>
            <w:noProof/>
            <w:lang w:val="fi-FI"/>
          </w:rPr>
          <w:t>IV. szakasz</w:t>
        </w:r>
        <w:r>
          <w:rPr>
            <w:noProof/>
            <w:webHidden/>
          </w:rPr>
          <w:tab/>
        </w:r>
        <w:r>
          <w:rPr>
            <w:noProof/>
            <w:webHidden/>
          </w:rPr>
          <w:fldChar w:fldCharType="begin"/>
        </w:r>
        <w:r>
          <w:rPr>
            <w:noProof/>
            <w:webHidden/>
          </w:rPr>
          <w:instrText xml:space="preserve"> PAGEREF _Toc535854082 \h </w:instrText>
        </w:r>
        <w:r>
          <w:rPr>
            <w:noProof/>
            <w:webHidden/>
          </w:rPr>
        </w:r>
        <w:r>
          <w:rPr>
            <w:noProof/>
            <w:webHidden/>
          </w:rPr>
          <w:fldChar w:fldCharType="separate"/>
        </w:r>
        <w:r>
          <w:rPr>
            <w:noProof/>
            <w:webHidden/>
          </w:rPr>
          <w:t>491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83" w:history="1">
        <w:r w:rsidRPr="00F149F6">
          <w:rPr>
            <w:rStyle w:val="Hyperlink"/>
            <w:noProof/>
            <w:lang w:val="fi-FI"/>
          </w:rPr>
          <w:t>A Rajnán közlekedő tengerjáró hajók részére kiállítandó hajóbizonyítvány mintája</w:t>
        </w:r>
        <w:r>
          <w:rPr>
            <w:noProof/>
            <w:webHidden/>
          </w:rPr>
          <w:tab/>
        </w:r>
        <w:r>
          <w:rPr>
            <w:noProof/>
            <w:webHidden/>
          </w:rPr>
          <w:fldChar w:fldCharType="begin"/>
        </w:r>
        <w:r>
          <w:rPr>
            <w:noProof/>
            <w:webHidden/>
          </w:rPr>
          <w:instrText xml:space="preserve"> PAGEREF _Toc535854083 \h </w:instrText>
        </w:r>
        <w:r>
          <w:rPr>
            <w:noProof/>
            <w:webHidden/>
          </w:rPr>
        </w:r>
        <w:r>
          <w:rPr>
            <w:noProof/>
            <w:webHidden/>
          </w:rPr>
          <w:fldChar w:fldCharType="separate"/>
        </w:r>
        <w:r>
          <w:rPr>
            <w:noProof/>
            <w:webHidden/>
          </w:rPr>
          <w:t>491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84" w:history="1">
        <w:r w:rsidRPr="00F149F6">
          <w:rPr>
            <w:rStyle w:val="Hyperlink"/>
            <w:noProof/>
            <w:lang w:val="fi-FI"/>
          </w:rPr>
          <w:t>V. szakasz</w:t>
        </w:r>
        <w:r>
          <w:rPr>
            <w:noProof/>
            <w:webHidden/>
          </w:rPr>
          <w:tab/>
        </w:r>
        <w:r>
          <w:rPr>
            <w:noProof/>
            <w:webHidden/>
          </w:rPr>
          <w:fldChar w:fldCharType="begin"/>
        </w:r>
        <w:r>
          <w:rPr>
            <w:noProof/>
            <w:webHidden/>
          </w:rPr>
          <w:instrText xml:space="preserve"> PAGEREF _Toc535854084 \h </w:instrText>
        </w:r>
        <w:r>
          <w:rPr>
            <w:noProof/>
            <w:webHidden/>
          </w:rPr>
        </w:r>
        <w:r>
          <w:rPr>
            <w:noProof/>
            <w:webHidden/>
          </w:rPr>
          <w:fldChar w:fldCharType="separate"/>
        </w:r>
        <w:r>
          <w:rPr>
            <w:noProof/>
            <w:webHidden/>
          </w:rPr>
          <w:t>494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85" w:history="1">
        <w:r w:rsidRPr="00F149F6">
          <w:rPr>
            <w:rStyle w:val="Hyperlink"/>
            <w:noProof/>
            <w:lang w:val="fi-FI"/>
          </w:rPr>
          <w:t>A belvízi hajóbizonyítvány tradicionális vízi járművekre vonatkozó mellékletének mintája (a 24. fejezetnek megfelelően)</w:t>
        </w:r>
        <w:r>
          <w:rPr>
            <w:noProof/>
            <w:webHidden/>
          </w:rPr>
          <w:tab/>
        </w:r>
        <w:r>
          <w:rPr>
            <w:noProof/>
            <w:webHidden/>
          </w:rPr>
          <w:fldChar w:fldCharType="begin"/>
        </w:r>
        <w:r>
          <w:rPr>
            <w:noProof/>
            <w:webHidden/>
          </w:rPr>
          <w:instrText xml:space="preserve"> PAGEREF _Toc535854085 \h </w:instrText>
        </w:r>
        <w:r>
          <w:rPr>
            <w:noProof/>
            <w:webHidden/>
          </w:rPr>
        </w:r>
        <w:r>
          <w:rPr>
            <w:noProof/>
            <w:webHidden/>
          </w:rPr>
          <w:fldChar w:fldCharType="separate"/>
        </w:r>
        <w:r>
          <w:rPr>
            <w:noProof/>
            <w:webHidden/>
          </w:rPr>
          <w:t>494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86" w:history="1">
        <w:r w:rsidRPr="00F149F6">
          <w:rPr>
            <w:rStyle w:val="Hyperlink"/>
            <w:noProof/>
            <w:lang w:val="pt-PT"/>
          </w:rPr>
          <w:t>VI. szakasz</w:t>
        </w:r>
        <w:r>
          <w:rPr>
            <w:noProof/>
            <w:webHidden/>
          </w:rPr>
          <w:tab/>
        </w:r>
        <w:r>
          <w:rPr>
            <w:noProof/>
            <w:webHidden/>
          </w:rPr>
          <w:fldChar w:fldCharType="begin"/>
        </w:r>
        <w:r>
          <w:rPr>
            <w:noProof/>
            <w:webHidden/>
          </w:rPr>
          <w:instrText xml:space="preserve"> PAGEREF _Toc535854086 \h </w:instrText>
        </w:r>
        <w:r>
          <w:rPr>
            <w:noProof/>
            <w:webHidden/>
          </w:rPr>
        </w:r>
        <w:r>
          <w:rPr>
            <w:noProof/>
            <w:webHidden/>
          </w:rPr>
          <w:fldChar w:fldCharType="separate"/>
        </w:r>
        <w:r>
          <w:rPr>
            <w:noProof/>
            <w:webHidden/>
          </w:rPr>
          <w:t>498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87" w:history="1">
        <w:r w:rsidRPr="00F149F6">
          <w:rPr>
            <w:rStyle w:val="Hyperlink"/>
            <w:noProof/>
            <w:lang w:val="pt-PT"/>
          </w:rPr>
          <w:t>A belvízi hajóbizonyítványok nyilvántartásának mintája</w:t>
        </w:r>
        <w:r>
          <w:rPr>
            <w:noProof/>
            <w:webHidden/>
          </w:rPr>
          <w:tab/>
        </w:r>
        <w:r>
          <w:rPr>
            <w:noProof/>
            <w:webHidden/>
          </w:rPr>
          <w:fldChar w:fldCharType="begin"/>
        </w:r>
        <w:r>
          <w:rPr>
            <w:noProof/>
            <w:webHidden/>
          </w:rPr>
          <w:instrText xml:space="preserve"> PAGEREF _Toc535854087 \h </w:instrText>
        </w:r>
        <w:r>
          <w:rPr>
            <w:noProof/>
            <w:webHidden/>
          </w:rPr>
        </w:r>
        <w:r>
          <w:rPr>
            <w:noProof/>
            <w:webHidden/>
          </w:rPr>
          <w:fldChar w:fldCharType="separate"/>
        </w:r>
        <w:r>
          <w:rPr>
            <w:noProof/>
            <w:webHidden/>
          </w:rPr>
          <w:t>498</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4088" w:history="1">
        <w:r w:rsidRPr="00F149F6">
          <w:rPr>
            <w:rStyle w:val="Hyperlink"/>
            <w:noProof/>
          </w:rPr>
          <w:t>II. RÉSZ A FEDÉLZETEN HASZNÁLT SPECIÁLIS BERENDEZÉSEKRE VONATKOZÓ KIEGÉSZÍTŐ KÖVETELMÉNYEK</w:t>
        </w:r>
        <w:r>
          <w:rPr>
            <w:noProof/>
            <w:webHidden/>
          </w:rPr>
          <w:tab/>
        </w:r>
        <w:r>
          <w:rPr>
            <w:noProof/>
            <w:webHidden/>
          </w:rPr>
          <w:fldChar w:fldCharType="begin"/>
        </w:r>
        <w:r>
          <w:rPr>
            <w:noProof/>
            <w:webHidden/>
          </w:rPr>
          <w:instrText xml:space="preserve"> PAGEREF _Toc535854088 \h </w:instrText>
        </w:r>
        <w:r>
          <w:rPr>
            <w:noProof/>
            <w:webHidden/>
          </w:rPr>
        </w:r>
        <w:r>
          <w:rPr>
            <w:noProof/>
            <w:webHidden/>
          </w:rPr>
          <w:fldChar w:fldCharType="separate"/>
        </w:r>
        <w:r>
          <w:rPr>
            <w:noProof/>
            <w:webHidden/>
          </w:rPr>
          <w:t>505</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89" w:history="1">
        <w:r w:rsidRPr="00F149F6">
          <w:rPr>
            <w:rStyle w:val="Hyperlink"/>
            <w:noProof/>
          </w:rPr>
          <w:t>4. melléklet Biztonsági jelzések</w:t>
        </w:r>
        <w:r>
          <w:rPr>
            <w:noProof/>
            <w:webHidden/>
          </w:rPr>
          <w:tab/>
        </w:r>
        <w:r>
          <w:rPr>
            <w:noProof/>
            <w:webHidden/>
          </w:rPr>
          <w:fldChar w:fldCharType="begin"/>
        </w:r>
        <w:r>
          <w:rPr>
            <w:noProof/>
            <w:webHidden/>
          </w:rPr>
          <w:instrText xml:space="preserve"> PAGEREF _Toc535854089 \h </w:instrText>
        </w:r>
        <w:r>
          <w:rPr>
            <w:noProof/>
            <w:webHidden/>
          </w:rPr>
        </w:r>
        <w:r>
          <w:rPr>
            <w:noProof/>
            <w:webHidden/>
          </w:rPr>
          <w:fldChar w:fldCharType="separate"/>
        </w:r>
        <w:r>
          <w:rPr>
            <w:noProof/>
            <w:webHidden/>
          </w:rPr>
          <w:t>505</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090" w:history="1">
        <w:r w:rsidRPr="00F149F6">
          <w:rPr>
            <w:rStyle w:val="Hyperlink"/>
            <w:noProof/>
          </w:rPr>
          <w:t>5. melléklet Navigációs és információs eszközök</w:t>
        </w:r>
        <w:r>
          <w:rPr>
            <w:noProof/>
            <w:webHidden/>
          </w:rPr>
          <w:tab/>
        </w:r>
        <w:r>
          <w:rPr>
            <w:noProof/>
            <w:webHidden/>
          </w:rPr>
          <w:fldChar w:fldCharType="begin"/>
        </w:r>
        <w:r>
          <w:rPr>
            <w:noProof/>
            <w:webHidden/>
          </w:rPr>
          <w:instrText xml:space="preserve"> PAGEREF _Toc535854090 \h </w:instrText>
        </w:r>
        <w:r>
          <w:rPr>
            <w:noProof/>
            <w:webHidden/>
          </w:rPr>
        </w:r>
        <w:r>
          <w:rPr>
            <w:noProof/>
            <w:webHidden/>
          </w:rPr>
          <w:fldChar w:fldCharType="separate"/>
        </w:r>
        <w:r>
          <w:rPr>
            <w:noProof/>
            <w:webHidden/>
          </w:rPr>
          <w:t>510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91" w:history="1">
        <w:r w:rsidRPr="00F149F6">
          <w:rPr>
            <w:rStyle w:val="Hyperlink"/>
            <w:noProof/>
          </w:rPr>
          <w:t>I. szakasz</w:t>
        </w:r>
        <w:r>
          <w:rPr>
            <w:noProof/>
            <w:webHidden/>
          </w:rPr>
          <w:tab/>
        </w:r>
        <w:r>
          <w:rPr>
            <w:noProof/>
            <w:webHidden/>
          </w:rPr>
          <w:fldChar w:fldCharType="begin"/>
        </w:r>
        <w:r>
          <w:rPr>
            <w:noProof/>
            <w:webHidden/>
          </w:rPr>
          <w:instrText xml:space="preserve"> PAGEREF _Toc535854091 \h </w:instrText>
        </w:r>
        <w:r>
          <w:rPr>
            <w:noProof/>
            <w:webHidden/>
          </w:rPr>
        </w:r>
        <w:r>
          <w:rPr>
            <w:noProof/>
            <w:webHidden/>
          </w:rPr>
          <w:fldChar w:fldCharType="separate"/>
        </w:r>
        <w:r>
          <w:rPr>
            <w:noProof/>
            <w:webHidden/>
          </w:rPr>
          <w:t>513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92" w:history="1">
        <w:r w:rsidRPr="00F149F6">
          <w:rPr>
            <w:rStyle w:val="Hyperlink"/>
            <w:noProof/>
          </w:rPr>
          <w:t>A belvízi hajók fedélzetén használt navigációs radarberendezésekre vonatkozó minimumkövetelmények és vizsgálati feltételek</w:t>
        </w:r>
        <w:r>
          <w:rPr>
            <w:noProof/>
            <w:webHidden/>
          </w:rPr>
          <w:tab/>
        </w:r>
        <w:r>
          <w:rPr>
            <w:noProof/>
            <w:webHidden/>
          </w:rPr>
          <w:fldChar w:fldCharType="begin"/>
        </w:r>
        <w:r>
          <w:rPr>
            <w:noProof/>
            <w:webHidden/>
          </w:rPr>
          <w:instrText xml:space="preserve"> PAGEREF _Toc535854092 \h </w:instrText>
        </w:r>
        <w:r>
          <w:rPr>
            <w:noProof/>
            <w:webHidden/>
          </w:rPr>
        </w:r>
        <w:r>
          <w:rPr>
            <w:noProof/>
            <w:webHidden/>
          </w:rPr>
          <w:fldChar w:fldCharType="separate"/>
        </w:r>
        <w:r>
          <w:rPr>
            <w:noProof/>
            <w:webHidden/>
          </w:rPr>
          <w:t>513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93" w:history="1">
        <w:r w:rsidRPr="00F149F6">
          <w:rPr>
            <w:rStyle w:val="Hyperlink"/>
            <w:noProof/>
          </w:rPr>
          <w:t>II. szakasz</w:t>
        </w:r>
        <w:r>
          <w:rPr>
            <w:noProof/>
            <w:webHidden/>
          </w:rPr>
          <w:tab/>
        </w:r>
        <w:r>
          <w:rPr>
            <w:noProof/>
            <w:webHidden/>
          </w:rPr>
          <w:fldChar w:fldCharType="begin"/>
        </w:r>
        <w:r>
          <w:rPr>
            <w:noProof/>
            <w:webHidden/>
          </w:rPr>
          <w:instrText xml:space="preserve"> PAGEREF _Toc535854093 \h </w:instrText>
        </w:r>
        <w:r>
          <w:rPr>
            <w:noProof/>
            <w:webHidden/>
          </w:rPr>
        </w:r>
        <w:r>
          <w:rPr>
            <w:noProof/>
            <w:webHidden/>
          </w:rPr>
          <w:fldChar w:fldCharType="separate"/>
        </w:r>
        <w:r>
          <w:rPr>
            <w:noProof/>
            <w:webHidden/>
          </w:rPr>
          <w:t>521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94" w:history="1">
        <w:r w:rsidRPr="00F149F6">
          <w:rPr>
            <w:rStyle w:val="Hyperlink"/>
            <w:noProof/>
          </w:rPr>
          <w:t>A belvízi hajók fedélzetén használt fordulási szögsebességjelzőkre vonatkozó minimumkövetelmények és vizsgálati feltételek</w:t>
        </w:r>
        <w:r>
          <w:rPr>
            <w:noProof/>
            <w:webHidden/>
          </w:rPr>
          <w:tab/>
        </w:r>
        <w:r>
          <w:rPr>
            <w:noProof/>
            <w:webHidden/>
          </w:rPr>
          <w:fldChar w:fldCharType="begin"/>
        </w:r>
        <w:r>
          <w:rPr>
            <w:noProof/>
            <w:webHidden/>
          </w:rPr>
          <w:instrText xml:space="preserve"> PAGEREF _Toc535854094 \h </w:instrText>
        </w:r>
        <w:r>
          <w:rPr>
            <w:noProof/>
            <w:webHidden/>
          </w:rPr>
        </w:r>
        <w:r>
          <w:rPr>
            <w:noProof/>
            <w:webHidden/>
          </w:rPr>
          <w:fldChar w:fldCharType="separate"/>
        </w:r>
        <w:r>
          <w:rPr>
            <w:noProof/>
            <w:webHidden/>
          </w:rPr>
          <w:t>521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95" w:history="1">
        <w:r w:rsidRPr="00F149F6">
          <w:rPr>
            <w:rStyle w:val="Hyperlink"/>
            <w:noProof/>
          </w:rPr>
          <w:t>III. szakasz</w:t>
        </w:r>
        <w:r>
          <w:rPr>
            <w:noProof/>
            <w:webHidden/>
          </w:rPr>
          <w:tab/>
        </w:r>
        <w:r>
          <w:rPr>
            <w:noProof/>
            <w:webHidden/>
          </w:rPr>
          <w:fldChar w:fldCharType="begin"/>
        </w:r>
        <w:r>
          <w:rPr>
            <w:noProof/>
            <w:webHidden/>
          </w:rPr>
          <w:instrText xml:space="preserve"> PAGEREF _Toc535854095 \h </w:instrText>
        </w:r>
        <w:r>
          <w:rPr>
            <w:noProof/>
            <w:webHidden/>
          </w:rPr>
        </w:r>
        <w:r>
          <w:rPr>
            <w:noProof/>
            <w:webHidden/>
          </w:rPr>
          <w:fldChar w:fldCharType="separate"/>
        </w:r>
        <w:r>
          <w:rPr>
            <w:noProof/>
            <w:webHidden/>
          </w:rPr>
          <w:t>540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96" w:history="1">
        <w:r w:rsidRPr="00F149F6">
          <w:rPr>
            <w:rStyle w:val="Hyperlink"/>
            <w:noProof/>
          </w:rPr>
          <w:t>A belvízi hajók fedélzetén használt navigációs radarberendezések és fordulási szögsebességjelzők beszerelésére és teljesítménypróbájára vonatkozó követelmények</w:t>
        </w:r>
        <w:r>
          <w:rPr>
            <w:noProof/>
            <w:webHidden/>
          </w:rPr>
          <w:tab/>
        </w:r>
        <w:r>
          <w:rPr>
            <w:noProof/>
            <w:webHidden/>
          </w:rPr>
          <w:fldChar w:fldCharType="begin"/>
        </w:r>
        <w:r>
          <w:rPr>
            <w:noProof/>
            <w:webHidden/>
          </w:rPr>
          <w:instrText xml:space="preserve"> PAGEREF _Toc535854096 \h </w:instrText>
        </w:r>
        <w:r>
          <w:rPr>
            <w:noProof/>
            <w:webHidden/>
          </w:rPr>
        </w:r>
        <w:r>
          <w:rPr>
            <w:noProof/>
            <w:webHidden/>
          </w:rPr>
          <w:fldChar w:fldCharType="separate"/>
        </w:r>
        <w:r>
          <w:rPr>
            <w:noProof/>
            <w:webHidden/>
          </w:rPr>
          <w:t>540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97" w:history="1">
        <w:r w:rsidRPr="00F149F6">
          <w:rPr>
            <w:rStyle w:val="Hyperlink"/>
            <w:noProof/>
            <w:lang w:val="pt-PT"/>
          </w:rPr>
          <w:t>IV. szakasz</w:t>
        </w:r>
        <w:r>
          <w:rPr>
            <w:noProof/>
            <w:webHidden/>
          </w:rPr>
          <w:tab/>
        </w:r>
        <w:r>
          <w:rPr>
            <w:noProof/>
            <w:webHidden/>
          </w:rPr>
          <w:fldChar w:fldCharType="begin"/>
        </w:r>
        <w:r>
          <w:rPr>
            <w:noProof/>
            <w:webHidden/>
          </w:rPr>
          <w:instrText xml:space="preserve"> PAGEREF _Toc535854097 \h </w:instrText>
        </w:r>
        <w:r>
          <w:rPr>
            <w:noProof/>
            <w:webHidden/>
          </w:rPr>
        </w:r>
        <w:r>
          <w:rPr>
            <w:noProof/>
            <w:webHidden/>
          </w:rPr>
          <w:fldChar w:fldCharType="separate"/>
        </w:r>
        <w:r>
          <w:rPr>
            <w:noProof/>
            <w:webHidden/>
          </w:rPr>
          <w:t>547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98" w:history="1">
        <w:r w:rsidRPr="00F149F6">
          <w:rPr>
            <w:rStyle w:val="Hyperlink"/>
            <w:noProof/>
            <w:lang w:val="pt-PT"/>
          </w:rPr>
          <w:t>A belvízi hajók fedélzetén használt belvízi AIS-berendezések beszerelésére és teljesítménypróbájára vonatkozó minimumkövetelmények és követelmények</w:t>
        </w:r>
        <w:r>
          <w:rPr>
            <w:noProof/>
            <w:webHidden/>
          </w:rPr>
          <w:tab/>
        </w:r>
        <w:r>
          <w:rPr>
            <w:noProof/>
            <w:webHidden/>
          </w:rPr>
          <w:fldChar w:fldCharType="begin"/>
        </w:r>
        <w:r>
          <w:rPr>
            <w:noProof/>
            <w:webHidden/>
          </w:rPr>
          <w:instrText xml:space="preserve"> PAGEREF _Toc535854098 \h </w:instrText>
        </w:r>
        <w:r>
          <w:rPr>
            <w:noProof/>
            <w:webHidden/>
          </w:rPr>
        </w:r>
        <w:r>
          <w:rPr>
            <w:noProof/>
            <w:webHidden/>
          </w:rPr>
          <w:fldChar w:fldCharType="separate"/>
        </w:r>
        <w:r>
          <w:rPr>
            <w:noProof/>
            <w:webHidden/>
          </w:rPr>
          <w:t>547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099" w:history="1">
        <w:r w:rsidRPr="00F149F6">
          <w:rPr>
            <w:rStyle w:val="Hyperlink"/>
            <w:noProof/>
            <w:lang w:val="pt-PT"/>
          </w:rPr>
          <w:t>V. szakasz</w:t>
        </w:r>
        <w:r>
          <w:rPr>
            <w:noProof/>
            <w:webHidden/>
          </w:rPr>
          <w:tab/>
        </w:r>
        <w:r>
          <w:rPr>
            <w:noProof/>
            <w:webHidden/>
          </w:rPr>
          <w:fldChar w:fldCharType="begin"/>
        </w:r>
        <w:r>
          <w:rPr>
            <w:noProof/>
            <w:webHidden/>
          </w:rPr>
          <w:instrText xml:space="preserve"> PAGEREF _Toc535854099 \h </w:instrText>
        </w:r>
        <w:r>
          <w:rPr>
            <w:noProof/>
            <w:webHidden/>
          </w:rPr>
        </w:r>
        <w:r>
          <w:rPr>
            <w:noProof/>
            <w:webHidden/>
          </w:rPr>
          <w:fldChar w:fldCharType="separate"/>
        </w:r>
        <w:r>
          <w:rPr>
            <w:noProof/>
            <w:webHidden/>
          </w:rPr>
          <w:t>551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00" w:history="1">
        <w:r w:rsidRPr="00F149F6">
          <w:rPr>
            <w:rStyle w:val="Hyperlink"/>
            <w:noProof/>
            <w:lang w:val="pt-PT"/>
          </w:rPr>
          <w:t>A belvízi hajók fedélzetén használt menetíró készülékek beszerelésére és teljesítménypróbájára vonatkozó minimumkövetelmények és követelmények</w:t>
        </w:r>
        <w:r>
          <w:rPr>
            <w:noProof/>
            <w:webHidden/>
          </w:rPr>
          <w:tab/>
        </w:r>
        <w:r>
          <w:rPr>
            <w:noProof/>
            <w:webHidden/>
          </w:rPr>
          <w:fldChar w:fldCharType="begin"/>
        </w:r>
        <w:r>
          <w:rPr>
            <w:noProof/>
            <w:webHidden/>
          </w:rPr>
          <w:instrText xml:space="preserve"> PAGEREF _Toc535854100 \h </w:instrText>
        </w:r>
        <w:r>
          <w:rPr>
            <w:noProof/>
            <w:webHidden/>
          </w:rPr>
        </w:r>
        <w:r>
          <w:rPr>
            <w:noProof/>
            <w:webHidden/>
          </w:rPr>
          <w:fldChar w:fldCharType="separate"/>
        </w:r>
        <w:r>
          <w:rPr>
            <w:noProof/>
            <w:webHidden/>
          </w:rPr>
          <w:t>551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01" w:history="1">
        <w:r w:rsidRPr="00F149F6">
          <w:rPr>
            <w:rStyle w:val="Hyperlink"/>
            <w:noProof/>
            <w:lang w:val="pt-PT"/>
          </w:rPr>
          <w:t>VI. szakasz</w:t>
        </w:r>
        <w:r>
          <w:rPr>
            <w:noProof/>
            <w:webHidden/>
          </w:rPr>
          <w:tab/>
        </w:r>
        <w:r>
          <w:rPr>
            <w:noProof/>
            <w:webHidden/>
          </w:rPr>
          <w:fldChar w:fldCharType="begin"/>
        </w:r>
        <w:r>
          <w:rPr>
            <w:noProof/>
            <w:webHidden/>
          </w:rPr>
          <w:instrText xml:space="preserve"> PAGEREF _Toc535854101 \h </w:instrText>
        </w:r>
        <w:r>
          <w:rPr>
            <w:noProof/>
            <w:webHidden/>
          </w:rPr>
        </w:r>
        <w:r>
          <w:rPr>
            <w:noProof/>
            <w:webHidden/>
          </w:rPr>
          <w:fldChar w:fldCharType="separate"/>
        </w:r>
        <w:r>
          <w:rPr>
            <w:noProof/>
            <w:webHidden/>
          </w:rPr>
          <w:t>557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02" w:history="1">
        <w:r w:rsidRPr="00F149F6">
          <w:rPr>
            <w:rStyle w:val="Hyperlink"/>
            <w:noProof/>
            <w:lang w:val="pt-PT"/>
          </w:rPr>
          <w:t>A belvízi hajók fedélzetén használt navigációs radarberendezések, fordulási szögsebességjelzők, belvízi AIS-berendezések és menetíró készülékek beszerelési és teljesítményigazolási bizonyítványa</w:t>
        </w:r>
        <w:r>
          <w:rPr>
            <w:noProof/>
            <w:webHidden/>
          </w:rPr>
          <w:tab/>
        </w:r>
        <w:r>
          <w:rPr>
            <w:noProof/>
            <w:webHidden/>
          </w:rPr>
          <w:fldChar w:fldCharType="begin"/>
        </w:r>
        <w:r>
          <w:rPr>
            <w:noProof/>
            <w:webHidden/>
          </w:rPr>
          <w:instrText xml:space="preserve"> PAGEREF _Toc535854102 \h </w:instrText>
        </w:r>
        <w:r>
          <w:rPr>
            <w:noProof/>
            <w:webHidden/>
          </w:rPr>
        </w:r>
        <w:r>
          <w:rPr>
            <w:noProof/>
            <w:webHidden/>
          </w:rPr>
          <w:fldChar w:fldCharType="separate"/>
        </w:r>
        <w:r>
          <w:rPr>
            <w:noProof/>
            <w:webHidden/>
          </w:rPr>
          <w:t>557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03" w:history="1">
        <w:r w:rsidRPr="00F149F6">
          <w:rPr>
            <w:rStyle w:val="Hyperlink"/>
            <w:noProof/>
          </w:rPr>
          <w:t>6. melléklet Motorparaméter-jegyzőkönyv</w:t>
        </w:r>
        <w:r>
          <w:rPr>
            <w:noProof/>
            <w:webHidden/>
          </w:rPr>
          <w:tab/>
        </w:r>
        <w:r>
          <w:rPr>
            <w:noProof/>
            <w:webHidden/>
          </w:rPr>
          <w:fldChar w:fldCharType="begin"/>
        </w:r>
        <w:r>
          <w:rPr>
            <w:noProof/>
            <w:webHidden/>
          </w:rPr>
          <w:instrText xml:space="preserve"> PAGEREF _Toc535854103 \h </w:instrText>
        </w:r>
        <w:r>
          <w:rPr>
            <w:noProof/>
            <w:webHidden/>
          </w:rPr>
        </w:r>
        <w:r>
          <w:rPr>
            <w:noProof/>
            <w:webHidden/>
          </w:rPr>
          <w:fldChar w:fldCharType="separate"/>
        </w:r>
        <w:r>
          <w:rPr>
            <w:noProof/>
            <w:webHidden/>
          </w:rPr>
          <w:t>560</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04" w:history="1">
        <w:r w:rsidRPr="00F149F6">
          <w:rPr>
            <w:rStyle w:val="Hyperlink"/>
            <w:noProof/>
          </w:rPr>
          <w:t>7. melléklet Fedélzeti szennyvízkezelő művek</w:t>
        </w:r>
        <w:r>
          <w:rPr>
            <w:noProof/>
            <w:webHidden/>
          </w:rPr>
          <w:tab/>
        </w:r>
        <w:r>
          <w:rPr>
            <w:noProof/>
            <w:webHidden/>
          </w:rPr>
          <w:fldChar w:fldCharType="begin"/>
        </w:r>
        <w:r>
          <w:rPr>
            <w:noProof/>
            <w:webHidden/>
          </w:rPr>
          <w:instrText xml:space="preserve"> PAGEREF _Toc535854104 \h </w:instrText>
        </w:r>
        <w:r>
          <w:rPr>
            <w:noProof/>
            <w:webHidden/>
          </w:rPr>
        </w:r>
        <w:r>
          <w:rPr>
            <w:noProof/>
            <w:webHidden/>
          </w:rPr>
          <w:fldChar w:fldCharType="separate"/>
        </w:r>
        <w:r>
          <w:rPr>
            <w:noProof/>
            <w:webHidden/>
          </w:rPr>
          <w:t>567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05" w:history="1">
        <w:r w:rsidRPr="00F149F6">
          <w:rPr>
            <w:rStyle w:val="Hyperlink"/>
            <w:noProof/>
          </w:rPr>
          <w:t>I. szakasz</w:t>
        </w:r>
        <w:r>
          <w:rPr>
            <w:noProof/>
            <w:webHidden/>
          </w:rPr>
          <w:tab/>
        </w:r>
        <w:r>
          <w:rPr>
            <w:noProof/>
            <w:webHidden/>
          </w:rPr>
          <w:fldChar w:fldCharType="begin"/>
        </w:r>
        <w:r>
          <w:rPr>
            <w:noProof/>
            <w:webHidden/>
          </w:rPr>
          <w:instrText xml:space="preserve"> PAGEREF _Toc535854105 \h </w:instrText>
        </w:r>
        <w:r>
          <w:rPr>
            <w:noProof/>
            <w:webHidden/>
          </w:rPr>
        </w:r>
        <w:r>
          <w:rPr>
            <w:noProof/>
            <w:webHidden/>
          </w:rPr>
          <w:fldChar w:fldCharType="separate"/>
        </w:r>
        <w:r>
          <w:rPr>
            <w:noProof/>
            <w:webHidden/>
          </w:rPr>
          <w:t>570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06" w:history="1">
        <w:r w:rsidRPr="00F149F6">
          <w:rPr>
            <w:rStyle w:val="Hyperlink"/>
            <w:noProof/>
          </w:rPr>
          <w:t>Kiegészítő rendelkezések</w:t>
        </w:r>
        <w:r>
          <w:rPr>
            <w:noProof/>
            <w:webHidden/>
          </w:rPr>
          <w:tab/>
        </w:r>
        <w:r>
          <w:rPr>
            <w:noProof/>
            <w:webHidden/>
          </w:rPr>
          <w:fldChar w:fldCharType="begin"/>
        </w:r>
        <w:r>
          <w:rPr>
            <w:noProof/>
            <w:webHidden/>
          </w:rPr>
          <w:instrText xml:space="preserve"> PAGEREF _Toc535854106 \h </w:instrText>
        </w:r>
        <w:r>
          <w:rPr>
            <w:noProof/>
            <w:webHidden/>
          </w:rPr>
        </w:r>
        <w:r>
          <w:rPr>
            <w:noProof/>
            <w:webHidden/>
          </w:rPr>
          <w:fldChar w:fldCharType="separate"/>
        </w:r>
        <w:r>
          <w:rPr>
            <w:noProof/>
            <w:webHidden/>
          </w:rPr>
          <w:t>570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07" w:history="1">
        <w:r w:rsidRPr="00F149F6">
          <w:rPr>
            <w:rStyle w:val="Hyperlink"/>
            <w:noProof/>
          </w:rPr>
          <w:t>II. szakasz</w:t>
        </w:r>
        <w:r>
          <w:rPr>
            <w:noProof/>
            <w:webHidden/>
          </w:rPr>
          <w:tab/>
        </w:r>
        <w:r>
          <w:rPr>
            <w:noProof/>
            <w:webHidden/>
          </w:rPr>
          <w:fldChar w:fldCharType="begin"/>
        </w:r>
        <w:r>
          <w:rPr>
            <w:noProof/>
            <w:webHidden/>
          </w:rPr>
          <w:instrText xml:space="preserve"> PAGEREF _Toc535854107 \h </w:instrText>
        </w:r>
        <w:r>
          <w:rPr>
            <w:noProof/>
            <w:webHidden/>
          </w:rPr>
        </w:r>
        <w:r>
          <w:rPr>
            <w:noProof/>
            <w:webHidden/>
          </w:rPr>
          <w:fldChar w:fldCharType="separate"/>
        </w:r>
        <w:r>
          <w:rPr>
            <w:noProof/>
            <w:webHidden/>
          </w:rPr>
          <w:t>577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08" w:history="1">
        <w:r w:rsidRPr="00F149F6">
          <w:rPr>
            <w:rStyle w:val="Hyperlink"/>
            <w:noProof/>
          </w:rPr>
          <w:t>... számú adatközlő lap a belvízi hajókon való rendszerbe állításra szánt fedélzeti szennyvízkezelő művek típusjóváhagyásához</w:t>
        </w:r>
        <w:r>
          <w:rPr>
            <w:noProof/>
            <w:webHidden/>
          </w:rPr>
          <w:tab/>
        </w:r>
        <w:r>
          <w:rPr>
            <w:noProof/>
            <w:webHidden/>
          </w:rPr>
          <w:fldChar w:fldCharType="begin"/>
        </w:r>
        <w:r>
          <w:rPr>
            <w:noProof/>
            <w:webHidden/>
          </w:rPr>
          <w:instrText xml:space="preserve"> PAGEREF _Toc535854108 \h </w:instrText>
        </w:r>
        <w:r>
          <w:rPr>
            <w:noProof/>
            <w:webHidden/>
          </w:rPr>
        </w:r>
        <w:r>
          <w:rPr>
            <w:noProof/>
            <w:webHidden/>
          </w:rPr>
          <w:fldChar w:fldCharType="separate"/>
        </w:r>
        <w:r>
          <w:rPr>
            <w:noProof/>
            <w:webHidden/>
          </w:rPr>
          <w:t>577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09" w:history="1">
        <w:r w:rsidRPr="00F149F6">
          <w:rPr>
            <w:rStyle w:val="Hyperlink"/>
            <w:noProof/>
            <w:lang w:val="sv-SE"/>
          </w:rPr>
          <w:t>III. szakasz</w:t>
        </w:r>
        <w:r>
          <w:rPr>
            <w:noProof/>
            <w:webHidden/>
          </w:rPr>
          <w:tab/>
        </w:r>
        <w:r>
          <w:rPr>
            <w:noProof/>
            <w:webHidden/>
          </w:rPr>
          <w:fldChar w:fldCharType="begin"/>
        </w:r>
        <w:r>
          <w:rPr>
            <w:noProof/>
            <w:webHidden/>
          </w:rPr>
          <w:instrText xml:space="preserve"> PAGEREF _Toc535854109 \h </w:instrText>
        </w:r>
        <w:r>
          <w:rPr>
            <w:noProof/>
            <w:webHidden/>
          </w:rPr>
        </w:r>
        <w:r>
          <w:rPr>
            <w:noProof/>
            <w:webHidden/>
          </w:rPr>
          <w:fldChar w:fldCharType="separate"/>
        </w:r>
        <w:r>
          <w:rPr>
            <w:noProof/>
            <w:webHidden/>
          </w:rPr>
          <w:t>581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10" w:history="1">
        <w:r w:rsidRPr="00F149F6">
          <w:rPr>
            <w:rStyle w:val="Hyperlink"/>
            <w:noProof/>
            <w:lang w:val="sv-SE"/>
          </w:rPr>
          <w:t>Típusbizonyítvány</w:t>
        </w:r>
        <w:r>
          <w:rPr>
            <w:noProof/>
            <w:webHidden/>
          </w:rPr>
          <w:tab/>
        </w:r>
        <w:r>
          <w:rPr>
            <w:noProof/>
            <w:webHidden/>
          </w:rPr>
          <w:fldChar w:fldCharType="begin"/>
        </w:r>
        <w:r>
          <w:rPr>
            <w:noProof/>
            <w:webHidden/>
          </w:rPr>
          <w:instrText xml:space="preserve"> PAGEREF _Toc535854110 \h </w:instrText>
        </w:r>
        <w:r>
          <w:rPr>
            <w:noProof/>
            <w:webHidden/>
          </w:rPr>
        </w:r>
        <w:r>
          <w:rPr>
            <w:noProof/>
            <w:webHidden/>
          </w:rPr>
          <w:fldChar w:fldCharType="separate"/>
        </w:r>
        <w:r>
          <w:rPr>
            <w:noProof/>
            <w:webHidden/>
          </w:rPr>
          <w:t>581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11" w:history="1">
        <w:r w:rsidRPr="00F149F6">
          <w:rPr>
            <w:rStyle w:val="Hyperlink"/>
            <w:noProof/>
          </w:rPr>
          <w:t>IV. szakasz</w:t>
        </w:r>
        <w:r>
          <w:rPr>
            <w:noProof/>
            <w:webHidden/>
          </w:rPr>
          <w:tab/>
        </w:r>
        <w:r>
          <w:rPr>
            <w:noProof/>
            <w:webHidden/>
          </w:rPr>
          <w:fldChar w:fldCharType="begin"/>
        </w:r>
        <w:r>
          <w:rPr>
            <w:noProof/>
            <w:webHidden/>
          </w:rPr>
          <w:instrText xml:space="preserve"> PAGEREF _Toc535854111 \h </w:instrText>
        </w:r>
        <w:r>
          <w:rPr>
            <w:noProof/>
            <w:webHidden/>
          </w:rPr>
        </w:r>
        <w:r>
          <w:rPr>
            <w:noProof/>
            <w:webHidden/>
          </w:rPr>
          <w:fldChar w:fldCharType="separate"/>
        </w:r>
        <w:r>
          <w:rPr>
            <w:noProof/>
            <w:webHidden/>
          </w:rPr>
          <w:t>591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12" w:history="1">
        <w:r w:rsidRPr="00F149F6">
          <w:rPr>
            <w:rStyle w:val="Hyperlink"/>
            <w:noProof/>
          </w:rPr>
          <w:t>A típusjóváhagyások számozása</w:t>
        </w:r>
        <w:r>
          <w:rPr>
            <w:noProof/>
            <w:webHidden/>
          </w:rPr>
          <w:tab/>
        </w:r>
        <w:r>
          <w:rPr>
            <w:noProof/>
            <w:webHidden/>
          </w:rPr>
          <w:fldChar w:fldCharType="begin"/>
        </w:r>
        <w:r>
          <w:rPr>
            <w:noProof/>
            <w:webHidden/>
          </w:rPr>
          <w:instrText xml:space="preserve"> PAGEREF _Toc535854112 \h </w:instrText>
        </w:r>
        <w:r>
          <w:rPr>
            <w:noProof/>
            <w:webHidden/>
          </w:rPr>
        </w:r>
        <w:r>
          <w:rPr>
            <w:noProof/>
            <w:webHidden/>
          </w:rPr>
          <w:fldChar w:fldCharType="separate"/>
        </w:r>
        <w:r>
          <w:rPr>
            <w:noProof/>
            <w:webHidden/>
          </w:rPr>
          <w:t>591</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13" w:history="1">
        <w:r w:rsidRPr="00F149F6">
          <w:rPr>
            <w:rStyle w:val="Hyperlink"/>
            <w:noProof/>
            <w:lang w:val="pt-PT"/>
          </w:rPr>
          <w:t>V. szakasz</w:t>
        </w:r>
        <w:r>
          <w:rPr>
            <w:noProof/>
            <w:webHidden/>
          </w:rPr>
          <w:tab/>
        </w:r>
        <w:r>
          <w:rPr>
            <w:noProof/>
            <w:webHidden/>
          </w:rPr>
          <w:fldChar w:fldCharType="begin"/>
        </w:r>
        <w:r>
          <w:rPr>
            <w:noProof/>
            <w:webHidden/>
          </w:rPr>
          <w:instrText xml:space="preserve"> PAGEREF _Toc535854113 \h </w:instrText>
        </w:r>
        <w:r>
          <w:rPr>
            <w:noProof/>
            <w:webHidden/>
          </w:rPr>
        </w:r>
        <w:r>
          <w:rPr>
            <w:noProof/>
            <w:webHidden/>
          </w:rPr>
          <w:fldChar w:fldCharType="separate"/>
        </w:r>
        <w:r>
          <w:rPr>
            <w:noProof/>
            <w:webHidden/>
          </w:rPr>
          <w:t>594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14" w:history="1">
        <w:r w:rsidRPr="00F149F6">
          <w:rPr>
            <w:rStyle w:val="Hyperlink"/>
            <w:noProof/>
            <w:lang w:val="pt-PT"/>
          </w:rPr>
          <w:t>Összefoglaló adatok a fedélzeti szennyvízkezelő művek típusaira vonatkozó típusjóváhagyásokról</w:t>
        </w:r>
        <w:r>
          <w:rPr>
            <w:noProof/>
            <w:webHidden/>
          </w:rPr>
          <w:tab/>
        </w:r>
        <w:r>
          <w:rPr>
            <w:noProof/>
            <w:webHidden/>
          </w:rPr>
          <w:fldChar w:fldCharType="begin"/>
        </w:r>
        <w:r>
          <w:rPr>
            <w:noProof/>
            <w:webHidden/>
          </w:rPr>
          <w:instrText xml:space="preserve"> PAGEREF _Toc535854114 \h </w:instrText>
        </w:r>
        <w:r>
          <w:rPr>
            <w:noProof/>
            <w:webHidden/>
          </w:rPr>
        </w:r>
        <w:r>
          <w:rPr>
            <w:noProof/>
            <w:webHidden/>
          </w:rPr>
          <w:fldChar w:fldCharType="separate"/>
        </w:r>
        <w:r>
          <w:rPr>
            <w:noProof/>
            <w:webHidden/>
          </w:rPr>
          <w:t>594</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15" w:history="1">
        <w:r w:rsidRPr="00F149F6">
          <w:rPr>
            <w:rStyle w:val="Hyperlink"/>
            <w:noProof/>
          </w:rPr>
          <w:t>VI. szakasz</w:t>
        </w:r>
        <w:r>
          <w:rPr>
            <w:noProof/>
            <w:webHidden/>
          </w:rPr>
          <w:tab/>
        </w:r>
        <w:r>
          <w:rPr>
            <w:noProof/>
            <w:webHidden/>
          </w:rPr>
          <w:fldChar w:fldCharType="begin"/>
        </w:r>
        <w:r>
          <w:rPr>
            <w:noProof/>
            <w:webHidden/>
          </w:rPr>
          <w:instrText xml:space="preserve"> PAGEREF _Toc535854115 \h </w:instrText>
        </w:r>
        <w:r>
          <w:rPr>
            <w:noProof/>
            <w:webHidden/>
          </w:rPr>
        </w:r>
        <w:r>
          <w:rPr>
            <w:noProof/>
            <w:webHidden/>
          </w:rPr>
          <w:fldChar w:fldCharType="separate"/>
        </w:r>
        <w:r>
          <w:rPr>
            <w:noProof/>
            <w:webHidden/>
          </w:rPr>
          <w:t>597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16" w:history="1">
        <w:r w:rsidRPr="00F149F6">
          <w:rPr>
            <w:rStyle w:val="Hyperlink"/>
            <w:noProof/>
          </w:rPr>
          <w:t>Összefoglaló adatok a legyártott fedélzeti szennyvízkezelő művekről</w:t>
        </w:r>
        <w:r>
          <w:rPr>
            <w:noProof/>
            <w:webHidden/>
          </w:rPr>
          <w:tab/>
        </w:r>
        <w:r>
          <w:rPr>
            <w:noProof/>
            <w:webHidden/>
          </w:rPr>
          <w:fldChar w:fldCharType="begin"/>
        </w:r>
        <w:r>
          <w:rPr>
            <w:noProof/>
            <w:webHidden/>
          </w:rPr>
          <w:instrText xml:space="preserve"> PAGEREF _Toc535854116 \h </w:instrText>
        </w:r>
        <w:r>
          <w:rPr>
            <w:noProof/>
            <w:webHidden/>
          </w:rPr>
        </w:r>
        <w:r>
          <w:rPr>
            <w:noProof/>
            <w:webHidden/>
          </w:rPr>
          <w:fldChar w:fldCharType="separate"/>
        </w:r>
        <w:r>
          <w:rPr>
            <w:noProof/>
            <w:webHidden/>
          </w:rPr>
          <w:t>597</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17" w:history="1">
        <w:r w:rsidRPr="00F149F6">
          <w:rPr>
            <w:rStyle w:val="Hyperlink"/>
            <w:noProof/>
          </w:rPr>
          <w:t>VII. szakasz</w:t>
        </w:r>
        <w:r>
          <w:rPr>
            <w:noProof/>
            <w:webHidden/>
          </w:rPr>
          <w:tab/>
        </w:r>
        <w:r>
          <w:rPr>
            <w:noProof/>
            <w:webHidden/>
          </w:rPr>
          <w:fldChar w:fldCharType="begin"/>
        </w:r>
        <w:r>
          <w:rPr>
            <w:noProof/>
            <w:webHidden/>
          </w:rPr>
          <w:instrText xml:space="preserve"> PAGEREF _Toc535854117 \h </w:instrText>
        </w:r>
        <w:r>
          <w:rPr>
            <w:noProof/>
            <w:webHidden/>
          </w:rPr>
        </w:r>
        <w:r>
          <w:rPr>
            <w:noProof/>
            <w:webHidden/>
          </w:rPr>
          <w:fldChar w:fldCharType="separate"/>
        </w:r>
        <w:r>
          <w:rPr>
            <w:noProof/>
            <w:webHidden/>
          </w:rPr>
          <w:t>600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18" w:history="1">
        <w:r w:rsidRPr="00F149F6">
          <w:rPr>
            <w:rStyle w:val="Hyperlink"/>
            <w:noProof/>
          </w:rPr>
          <w:t>Adatlap a típusjóváhagyással rendelkező fedélzeti szennyvízkezelő művekről</w:t>
        </w:r>
        <w:r>
          <w:rPr>
            <w:noProof/>
            <w:webHidden/>
          </w:rPr>
          <w:tab/>
        </w:r>
        <w:r>
          <w:rPr>
            <w:noProof/>
            <w:webHidden/>
          </w:rPr>
          <w:fldChar w:fldCharType="begin"/>
        </w:r>
        <w:r>
          <w:rPr>
            <w:noProof/>
            <w:webHidden/>
          </w:rPr>
          <w:instrText xml:space="preserve"> PAGEREF _Toc535854118 \h </w:instrText>
        </w:r>
        <w:r>
          <w:rPr>
            <w:noProof/>
            <w:webHidden/>
          </w:rPr>
        </w:r>
        <w:r>
          <w:rPr>
            <w:noProof/>
            <w:webHidden/>
          </w:rPr>
          <w:fldChar w:fldCharType="separate"/>
        </w:r>
        <w:r>
          <w:rPr>
            <w:noProof/>
            <w:webHidden/>
          </w:rPr>
          <w:t>600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19" w:history="1">
        <w:r w:rsidRPr="00F149F6">
          <w:rPr>
            <w:rStyle w:val="Hyperlink"/>
            <w:noProof/>
          </w:rPr>
          <w:t>VIII. szakasz</w:t>
        </w:r>
        <w:r>
          <w:rPr>
            <w:noProof/>
            <w:webHidden/>
          </w:rPr>
          <w:tab/>
        </w:r>
        <w:r>
          <w:rPr>
            <w:noProof/>
            <w:webHidden/>
          </w:rPr>
          <w:fldChar w:fldCharType="begin"/>
        </w:r>
        <w:r>
          <w:rPr>
            <w:noProof/>
            <w:webHidden/>
          </w:rPr>
          <w:instrText xml:space="preserve"> PAGEREF _Toc535854119 \h </w:instrText>
        </w:r>
        <w:r>
          <w:rPr>
            <w:noProof/>
            <w:webHidden/>
          </w:rPr>
        </w:r>
        <w:r>
          <w:rPr>
            <w:noProof/>
            <w:webHidden/>
          </w:rPr>
          <w:fldChar w:fldCharType="separate"/>
        </w:r>
        <w:r>
          <w:rPr>
            <w:noProof/>
            <w:webHidden/>
          </w:rPr>
          <w:t>603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20" w:history="1">
        <w:r w:rsidRPr="00F149F6">
          <w:rPr>
            <w:rStyle w:val="Hyperlink"/>
            <w:noProof/>
          </w:rPr>
          <w:t>A fedélzeti szennyvízkezelő mű paraméterjegyzéke a rendkívüli vizsgálathoz</w:t>
        </w:r>
        <w:r>
          <w:rPr>
            <w:noProof/>
            <w:webHidden/>
          </w:rPr>
          <w:tab/>
        </w:r>
        <w:r>
          <w:rPr>
            <w:noProof/>
            <w:webHidden/>
          </w:rPr>
          <w:fldChar w:fldCharType="begin"/>
        </w:r>
        <w:r>
          <w:rPr>
            <w:noProof/>
            <w:webHidden/>
          </w:rPr>
          <w:instrText xml:space="preserve"> PAGEREF _Toc535854120 \h </w:instrText>
        </w:r>
        <w:r>
          <w:rPr>
            <w:noProof/>
            <w:webHidden/>
          </w:rPr>
        </w:r>
        <w:r>
          <w:rPr>
            <w:noProof/>
            <w:webHidden/>
          </w:rPr>
          <w:fldChar w:fldCharType="separate"/>
        </w:r>
        <w:r>
          <w:rPr>
            <w:noProof/>
            <w:webHidden/>
          </w:rPr>
          <w:t>603</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21" w:history="1">
        <w:r w:rsidRPr="00F149F6">
          <w:rPr>
            <w:rStyle w:val="Hyperlink"/>
            <w:noProof/>
          </w:rPr>
          <w:t>IX. szakasz</w:t>
        </w:r>
        <w:r>
          <w:rPr>
            <w:noProof/>
            <w:webHidden/>
          </w:rPr>
          <w:tab/>
        </w:r>
        <w:r>
          <w:rPr>
            <w:noProof/>
            <w:webHidden/>
          </w:rPr>
          <w:fldChar w:fldCharType="begin"/>
        </w:r>
        <w:r>
          <w:rPr>
            <w:noProof/>
            <w:webHidden/>
          </w:rPr>
          <w:instrText xml:space="preserve"> PAGEREF _Toc535854121 \h </w:instrText>
        </w:r>
        <w:r>
          <w:rPr>
            <w:noProof/>
            <w:webHidden/>
          </w:rPr>
        </w:r>
        <w:r>
          <w:rPr>
            <w:noProof/>
            <w:webHidden/>
          </w:rPr>
          <w:fldChar w:fldCharType="separate"/>
        </w:r>
        <w:r>
          <w:rPr>
            <w:noProof/>
            <w:webHidden/>
          </w:rPr>
          <w:t>610</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22" w:history="1">
        <w:r w:rsidRPr="00F149F6">
          <w:rPr>
            <w:rStyle w:val="Hyperlink"/>
            <w:noProof/>
          </w:rPr>
          <w:t>Vizsgálati eljárás</w:t>
        </w:r>
        <w:r>
          <w:rPr>
            <w:noProof/>
            <w:webHidden/>
          </w:rPr>
          <w:tab/>
        </w:r>
        <w:r>
          <w:rPr>
            <w:noProof/>
            <w:webHidden/>
          </w:rPr>
          <w:fldChar w:fldCharType="begin"/>
        </w:r>
        <w:r>
          <w:rPr>
            <w:noProof/>
            <w:webHidden/>
          </w:rPr>
          <w:instrText xml:space="preserve"> PAGEREF _Toc535854122 \h </w:instrText>
        </w:r>
        <w:r>
          <w:rPr>
            <w:noProof/>
            <w:webHidden/>
          </w:rPr>
        </w:r>
        <w:r>
          <w:rPr>
            <w:noProof/>
            <w:webHidden/>
          </w:rPr>
          <w:fldChar w:fldCharType="separate"/>
        </w:r>
        <w:r>
          <w:rPr>
            <w:noProof/>
            <w:webHidden/>
          </w:rPr>
          <w:t>610</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23" w:history="1">
        <w:r w:rsidRPr="00F149F6">
          <w:rPr>
            <w:rStyle w:val="Hyperlink"/>
            <w:noProof/>
          </w:rPr>
          <w:t>8. melléklet Az 55 °C vagy annál alacsonyabb lobbanáspontú tüzelőanyaggal üzemelő vízi járművekre vonatkozó kiegészítő rendelkezések</w:t>
        </w:r>
        <w:r>
          <w:rPr>
            <w:noProof/>
            <w:webHidden/>
          </w:rPr>
          <w:tab/>
        </w:r>
        <w:r>
          <w:rPr>
            <w:noProof/>
            <w:webHidden/>
          </w:rPr>
          <w:fldChar w:fldCharType="begin"/>
        </w:r>
        <w:r>
          <w:rPr>
            <w:noProof/>
            <w:webHidden/>
          </w:rPr>
          <w:instrText xml:space="preserve"> PAGEREF _Toc535854123 \h </w:instrText>
        </w:r>
        <w:r>
          <w:rPr>
            <w:noProof/>
            <w:webHidden/>
          </w:rPr>
        </w:r>
        <w:r>
          <w:rPr>
            <w:noProof/>
            <w:webHidden/>
          </w:rPr>
          <w:fldChar w:fldCharType="separate"/>
        </w:r>
        <w:r>
          <w:rPr>
            <w:noProof/>
            <w:webHidden/>
          </w:rPr>
          <w:t>628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24" w:history="1">
        <w:r w:rsidRPr="00F149F6">
          <w:rPr>
            <w:rStyle w:val="Hyperlink"/>
            <w:noProof/>
          </w:rPr>
          <w:t>I. szakasz</w:t>
        </w:r>
        <w:r>
          <w:rPr>
            <w:noProof/>
            <w:webHidden/>
          </w:rPr>
          <w:tab/>
        </w:r>
        <w:r>
          <w:rPr>
            <w:noProof/>
            <w:webHidden/>
          </w:rPr>
          <w:fldChar w:fldCharType="begin"/>
        </w:r>
        <w:r>
          <w:rPr>
            <w:noProof/>
            <w:webHidden/>
          </w:rPr>
          <w:instrText xml:space="preserve"> PAGEREF _Toc535854124 \h </w:instrText>
        </w:r>
        <w:r>
          <w:rPr>
            <w:noProof/>
            <w:webHidden/>
          </w:rPr>
        </w:r>
        <w:r>
          <w:rPr>
            <w:noProof/>
            <w:webHidden/>
          </w:rPr>
          <w:fldChar w:fldCharType="separate"/>
        </w:r>
        <w:r>
          <w:rPr>
            <w:noProof/>
            <w:webHidden/>
          </w:rPr>
          <w:t>628</w:t>
        </w:r>
        <w:r>
          <w:rPr>
            <w:noProof/>
            <w:webHidden/>
          </w:rPr>
          <w:fldChar w:fldCharType="end"/>
        </w:r>
      </w:hyperlink>
    </w:p>
    <w:p w:rsidR="003142CA" w:rsidRDefault="003142CA">
      <w:pPr>
        <w:pStyle w:val="TOC3"/>
        <w:rPr>
          <w:rFonts w:asciiTheme="minorHAnsi" w:eastAsiaTheme="minorEastAsia" w:hAnsiTheme="minorHAnsi" w:cstheme="minorBidi"/>
          <w:i w:val="0"/>
          <w:iCs w:val="0"/>
          <w:noProof/>
          <w:sz w:val="22"/>
          <w:szCs w:val="22"/>
          <w:lang w:val="en-GB" w:eastAsia="en-GB" w:bidi="ar-SA"/>
        </w:rPr>
      </w:pPr>
      <w:hyperlink w:anchor="_Toc535854125" w:history="1">
        <w:r w:rsidRPr="00F149F6">
          <w:rPr>
            <w:rStyle w:val="Hyperlink"/>
            <w:noProof/>
          </w:rPr>
          <w:t>Cseppfolyósított földgáz (LNG)</w:t>
        </w:r>
        <w:r>
          <w:rPr>
            <w:noProof/>
            <w:webHidden/>
          </w:rPr>
          <w:tab/>
        </w:r>
        <w:r>
          <w:rPr>
            <w:noProof/>
            <w:webHidden/>
          </w:rPr>
          <w:fldChar w:fldCharType="begin"/>
        </w:r>
        <w:r>
          <w:rPr>
            <w:noProof/>
            <w:webHidden/>
          </w:rPr>
          <w:instrText xml:space="preserve"> PAGEREF _Toc535854125 \h </w:instrText>
        </w:r>
        <w:r>
          <w:rPr>
            <w:noProof/>
            <w:webHidden/>
          </w:rPr>
        </w:r>
        <w:r>
          <w:rPr>
            <w:noProof/>
            <w:webHidden/>
          </w:rPr>
          <w:fldChar w:fldCharType="separate"/>
        </w:r>
        <w:r>
          <w:rPr>
            <w:noProof/>
            <w:webHidden/>
          </w:rPr>
          <w:t>628</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4126" w:history="1">
        <w:r w:rsidRPr="00F149F6">
          <w:rPr>
            <w:rStyle w:val="Hyperlink"/>
            <w:noProof/>
            <w:lang w:val="sv-SE"/>
          </w:rPr>
          <w:t>A műszaki szabvány alkalmazására vonatkozó utasítások</w:t>
        </w:r>
        <w:r>
          <w:rPr>
            <w:noProof/>
            <w:webHidden/>
          </w:rPr>
          <w:tab/>
        </w:r>
        <w:r>
          <w:rPr>
            <w:noProof/>
            <w:webHidden/>
          </w:rPr>
          <w:fldChar w:fldCharType="begin"/>
        </w:r>
        <w:r>
          <w:rPr>
            <w:noProof/>
            <w:webHidden/>
          </w:rPr>
          <w:instrText xml:space="preserve"> PAGEREF _Toc535854126 \h </w:instrText>
        </w:r>
        <w:r>
          <w:rPr>
            <w:noProof/>
            <w:webHidden/>
          </w:rPr>
        </w:r>
        <w:r>
          <w:rPr>
            <w:noProof/>
            <w:webHidden/>
          </w:rPr>
          <w:fldChar w:fldCharType="separate"/>
        </w:r>
        <w:r>
          <w:rPr>
            <w:noProof/>
            <w:webHidden/>
          </w:rPr>
          <w:t>397</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4127" w:history="1">
        <w:r w:rsidRPr="00F149F6">
          <w:rPr>
            <w:rStyle w:val="Hyperlink"/>
            <w:noProof/>
            <w:lang w:val="sv-SE"/>
          </w:rPr>
          <w:t>I. RÉSZ ÁLTALÁNOS RÉSZ</w:t>
        </w:r>
        <w:r>
          <w:rPr>
            <w:noProof/>
            <w:webHidden/>
          </w:rPr>
          <w:tab/>
        </w:r>
        <w:r>
          <w:rPr>
            <w:noProof/>
            <w:webHidden/>
          </w:rPr>
          <w:fldChar w:fldCharType="begin"/>
        </w:r>
        <w:r>
          <w:rPr>
            <w:noProof/>
            <w:webHidden/>
          </w:rPr>
          <w:instrText xml:space="preserve"> PAGEREF _Toc535854127 \h </w:instrText>
        </w:r>
        <w:r>
          <w:rPr>
            <w:noProof/>
            <w:webHidden/>
          </w:rPr>
        </w:r>
        <w:r>
          <w:rPr>
            <w:noProof/>
            <w:webHidden/>
          </w:rPr>
          <w:fldChar w:fldCharType="separate"/>
        </w:r>
        <w:r>
          <w:rPr>
            <w:noProof/>
            <w:webHidden/>
          </w:rPr>
          <w:t>399</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28" w:history="1">
        <w:r w:rsidRPr="00F149F6">
          <w:rPr>
            <w:rStyle w:val="Hyperlink"/>
            <w:noProof/>
            <w:lang w:val="sv-SE"/>
          </w:rPr>
          <w:t>ESI-I-1 A belvízi hajóbizonyítvány kitöltése</w:t>
        </w:r>
        <w:r>
          <w:rPr>
            <w:noProof/>
            <w:webHidden/>
          </w:rPr>
          <w:tab/>
        </w:r>
        <w:r>
          <w:rPr>
            <w:noProof/>
            <w:webHidden/>
          </w:rPr>
          <w:fldChar w:fldCharType="begin"/>
        </w:r>
        <w:r>
          <w:rPr>
            <w:noProof/>
            <w:webHidden/>
          </w:rPr>
          <w:instrText xml:space="preserve"> PAGEREF _Toc535854128 \h </w:instrText>
        </w:r>
        <w:r>
          <w:rPr>
            <w:noProof/>
            <w:webHidden/>
          </w:rPr>
        </w:r>
        <w:r>
          <w:rPr>
            <w:noProof/>
            <w:webHidden/>
          </w:rPr>
          <w:fldChar w:fldCharType="separate"/>
        </w:r>
        <w:r>
          <w:rPr>
            <w:noProof/>
            <w:webHidden/>
          </w:rPr>
          <w:t>399</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29" w:history="1">
        <w:r w:rsidRPr="00F149F6">
          <w:rPr>
            <w:rStyle w:val="Hyperlink"/>
            <w:noProof/>
            <w:lang w:val="pt-PT"/>
          </w:rPr>
          <w:t>ESI-I-2 Szakértők és hozzáértő személyek</w:t>
        </w:r>
        <w:r>
          <w:rPr>
            <w:noProof/>
            <w:webHidden/>
          </w:rPr>
          <w:tab/>
        </w:r>
        <w:r>
          <w:rPr>
            <w:noProof/>
            <w:webHidden/>
          </w:rPr>
          <w:fldChar w:fldCharType="begin"/>
        </w:r>
        <w:r>
          <w:rPr>
            <w:noProof/>
            <w:webHidden/>
          </w:rPr>
          <w:instrText xml:space="preserve"> PAGEREF _Toc535854129 \h </w:instrText>
        </w:r>
        <w:r>
          <w:rPr>
            <w:noProof/>
            <w:webHidden/>
          </w:rPr>
        </w:r>
        <w:r>
          <w:rPr>
            <w:noProof/>
            <w:webHidden/>
          </w:rPr>
          <w:fldChar w:fldCharType="separate"/>
        </w:r>
        <w:r>
          <w:rPr>
            <w:noProof/>
            <w:webHidden/>
          </w:rPr>
          <w:t>410</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4130" w:history="1">
        <w:r w:rsidRPr="00F149F6">
          <w:rPr>
            <w:rStyle w:val="Hyperlink"/>
            <w:noProof/>
          </w:rPr>
          <w:t>II. RÉSZ HAJÓÉPÍTÉS, A HAJÓK FELSZERELÉSE ÉS BERENDEZÉSEI</w:t>
        </w:r>
        <w:r>
          <w:rPr>
            <w:noProof/>
            <w:webHidden/>
          </w:rPr>
          <w:tab/>
        </w:r>
        <w:r>
          <w:rPr>
            <w:noProof/>
            <w:webHidden/>
          </w:rPr>
          <w:fldChar w:fldCharType="begin"/>
        </w:r>
        <w:r>
          <w:rPr>
            <w:noProof/>
            <w:webHidden/>
          </w:rPr>
          <w:instrText xml:space="preserve"> PAGEREF _Toc535854130 \h </w:instrText>
        </w:r>
        <w:r>
          <w:rPr>
            <w:noProof/>
            <w:webHidden/>
          </w:rPr>
        </w:r>
        <w:r>
          <w:rPr>
            <w:noProof/>
            <w:webHidden/>
          </w:rPr>
          <w:fldChar w:fldCharType="separate"/>
        </w:r>
        <w:r>
          <w:rPr>
            <w:noProof/>
            <w:webHidden/>
          </w:rPr>
          <w:t>414</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31" w:history="1">
        <w:r w:rsidRPr="00F149F6">
          <w:rPr>
            <w:rStyle w:val="Hyperlink"/>
            <w:noProof/>
          </w:rPr>
          <w:t>ESI-II-1 Az uszályok legkisebb hajótestvastagsága</w:t>
        </w:r>
        <w:r>
          <w:rPr>
            <w:noProof/>
            <w:webHidden/>
          </w:rPr>
          <w:tab/>
        </w:r>
        <w:r>
          <w:rPr>
            <w:noProof/>
            <w:webHidden/>
          </w:rPr>
          <w:fldChar w:fldCharType="begin"/>
        </w:r>
        <w:r>
          <w:rPr>
            <w:noProof/>
            <w:webHidden/>
          </w:rPr>
          <w:instrText xml:space="preserve"> PAGEREF _Toc535854131 \h </w:instrText>
        </w:r>
        <w:r>
          <w:rPr>
            <w:noProof/>
            <w:webHidden/>
          </w:rPr>
        </w:r>
        <w:r>
          <w:rPr>
            <w:noProof/>
            <w:webHidden/>
          </w:rPr>
          <w:fldChar w:fldCharType="separate"/>
        </w:r>
        <w:r>
          <w:rPr>
            <w:noProof/>
            <w:webHidden/>
          </w:rPr>
          <w:t>414</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32" w:history="1">
        <w:r w:rsidRPr="00F149F6">
          <w:rPr>
            <w:rStyle w:val="Hyperlink"/>
            <w:noProof/>
          </w:rPr>
          <w:t>ESI-II-2 Vastagítólemezek felszerelése a hajótestre</w:t>
        </w:r>
        <w:r>
          <w:rPr>
            <w:noProof/>
            <w:webHidden/>
          </w:rPr>
          <w:tab/>
        </w:r>
        <w:r>
          <w:rPr>
            <w:noProof/>
            <w:webHidden/>
          </w:rPr>
          <w:fldChar w:fldCharType="begin"/>
        </w:r>
        <w:r>
          <w:rPr>
            <w:noProof/>
            <w:webHidden/>
          </w:rPr>
          <w:instrText xml:space="preserve"> PAGEREF _Toc535854132 \h </w:instrText>
        </w:r>
        <w:r>
          <w:rPr>
            <w:noProof/>
            <w:webHidden/>
          </w:rPr>
        </w:r>
        <w:r>
          <w:rPr>
            <w:noProof/>
            <w:webHidden/>
          </w:rPr>
          <w:fldChar w:fldCharType="separate"/>
        </w:r>
        <w:r>
          <w:rPr>
            <w:noProof/>
            <w:webHidden/>
          </w:rPr>
          <w:t>416</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33" w:history="1">
        <w:r w:rsidRPr="00F149F6">
          <w:rPr>
            <w:rStyle w:val="Hyperlink"/>
            <w:noProof/>
          </w:rPr>
          <w:t>ESI-II-3 Előírt maximális előremeneti sebesség, megállási és hátrameneti képesség</w:t>
        </w:r>
        <w:r>
          <w:rPr>
            <w:noProof/>
            <w:webHidden/>
          </w:rPr>
          <w:tab/>
        </w:r>
        <w:r>
          <w:rPr>
            <w:noProof/>
            <w:webHidden/>
          </w:rPr>
          <w:fldChar w:fldCharType="begin"/>
        </w:r>
        <w:r>
          <w:rPr>
            <w:noProof/>
            <w:webHidden/>
          </w:rPr>
          <w:instrText xml:space="preserve"> PAGEREF _Toc535854133 \h </w:instrText>
        </w:r>
        <w:r>
          <w:rPr>
            <w:noProof/>
            <w:webHidden/>
          </w:rPr>
        </w:r>
        <w:r>
          <w:rPr>
            <w:noProof/>
            <w:webHidden/>
          </w:rPr>
          <w:fldChar w:fldCharType="separate"/>
        </w:r>
        <w:r>
          <w:rPr>
            <w:noProof/>
            <w:webHidden/>
          </w:rPr>
          <w:t>420</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34" w:history="1">
        <w:r w:rsidRPr="00F149F6">
          <w:rPr>
            <w:rStyle w:val="Hyperlink"/>
            <w:noProof/>
          </w:rPr>
          <w:t>ESI-II-4 Kitérési képesség és fordulási képesség</w:t>
        </w:r>
        <w:r>
          <w:rPr>
            <w:noProof/>
            <w:webHidden/>
          </w:rPr>
          <w:tab/>
        </w:r>
        <w:r>
          <w:rPr>
            <w:noProof/>
            <w:webHidden/>
          </w:rPr>
          <w:fldChar w:fldCharType="begin"/>
        </w:r>
        <w:r>
          <w:rPr>
            <w:noProof/>
            <w:webHidden/>
          </w:rPr>
          <w:instrText xml:space="preserve"> PAGEREF _Toc535854134 \h </w:instrText>
        </w:r>
        <w:r>
          <w:rPr>
            <w:noProof/>
            <w:webHidden/>
          </w:rPr>
        </w:r>
        <w:r>
          <w:rPr>
            <w:noProof/>
            <w:webHidden/>
          </w:rPr>
          <w:fldChar w:fldCharType="separate"/>
        </w:r>
        <w:r>
          <w:rPr>
            <w:noProof/>
            <w:webHidden/>
          </w:rPr>
          <w:t>461</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35" w:history="1">
        <w:r w:rsidRPr="00F149F6">
          <w:rPr>
            <w:rStyle w:val="Hyperlink"/>
            <w:noProof/>
          </w:rPr>
          <w:t>ESI-II-5 Zajmérések</w:t>
        </w:r>
        <w:r>
          <w:rPr>
            <w:noProof/>
            <w:webHidden/>
          </w:rPr>
          <w:tab/>
        </w:r>
        <w:r>
          <w:rPr>
            <w:noProof/>
            <w:webHidden/>
          </w:rPr>
          <w:fldChar w:fldCharType="begin"/>
        </w:r>
        <w:r>
          <w:rPr>
            <w:noProof/>
            <w:webHidden/>
          </w:rPr>
          <w:instrText xml:space="preserve"> PAGEREF _Toc535854135 \h </w:instrText>
        </w:r>
        <w:r>
          <w:rPr>
            <w:noProof/>
            <w:webHidden/>
          </w:rPr>
        </w:r>
        <w:r>
          <w:rPr>
            <w:noProof/>
            <w:webHidden/>
          </w:rPr>
          <w:fldChar w:fldCharType="separate"/>
        </w:r>
        <w:r>
          <w:rPr>
            <w:noProof/>
            <w:webHidden/>
          </w:rPr>
          <w:t>469</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36" w:history="1">
        <w:r w:rsidRPr="00F149F6">
          <w:rPr>
            <w:rStyle w:val="Hyperlink"/>
            <w:noProof/>
          </w:rPr>
          <w:t>ESI-II-6 A korlátozott látótér ellenőrzésére szolgáló megfelelő segédeszközök</w:t>
        </w:r>
        <w:r>
          <w:rPr>
            <w:noProof/>
            <w:webHidden/>
          </w:rPr>
          <w:tab/>
        </w:r>
        <w:r>
          <w:rPr>
            <w:noProof/>
            <w:webHidden/>
          </w:rPr>
          <w:fldChar w:fldCharType="begin"/>
        </w:r>
        <w:r>
          <w:rPr>
            <w:noProof/>
            <w:webHidden/>
          </w:rPr>
          <w:instrText xml:space="preserve"> PAGEREF _Toc535854136 \h </w:instrText>
        </w:r>
        <w:r>
          <w:rPr>
            <w:noProof/>
            <w:webHidden/>
          </w:rPr>
        </w:r>
        <w:r>
          <w:rPr>
            <w:noProof/>
            <w:webHidden/>
          </w:rPr>
          <w:fldChar w:fldCharType="separate"/>
        </w:r>
        <w:r>
          <w:rPr>
            <w:noProof/>
            <w:webHidden/>
          </w:rPr>
          <w:t>476</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37" w:history="1">
        <w:r w:rsidRPr="00F149F6">
          <w:rPr>
            <w:rStyle w:val="Hyperlink"/>
            <w:noProof/>
          </w:rPr>
          <w:t>ESI-II-7 Fáradtolajgyűjtő berendezések</w:t>
        </w:r>
        <w:r>
          <w:rPr>
            <w:noProof/>
            <w:webHidden/>
          </w:rPr>
          <w:tab/>
        </w:r>
        <w:r>
          <w:rPr>
            <w:noProof/>
            <w:webHidden/>
          </w:rPr>
          <w:fldChar w:fldCharType="begin"/>
        </w:r>
        <w:r>
          <w:rPr>
            <w:noProof/>
            <w:webHidden/>
          </w:rPr>
          <w:instrText xml:space="preserve"> PAGEREF _Toc535854137 \h </w:instrText>
        </w:r>
        <w:r>
          <w:rPr>
            <w:noProof/>
            <w:webHidden/>
          </w:rPr>
        </w:r>
        <w:r>
          <w:rPr>
            <w:noProof/>
            <w:webHidden/>
          </w:rPr>
          <w:fldChar w:fldCharType="separate"/>
        </w:r>
        <w:r>
          <w:rPr>
            <w:noProof/>
            <w:webHidden/>
          </w:rPr>
          <w:t>487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38" w:history="1">
        <w:r w:rsidRPr="00F149F6">
          <w:rPr>
            <w:rStyle w:val="Hyperlink"/>
            <w:noProof/>
          </w:rPr>
          <w:t>ESI-II-8 (Üres)</w:t>
        </w:r>
        <w:r>
          <w:rPr>
            <w:noProof/>
            <w:webHidden/>
          </w:rPr>
          <w:tab/>
        </w:r>
        <w:r>
          <w:rPr>
            <w:noProof/>
            <w:webHidden/>
          </w:rPr>
          <w:fldChar w:fldCharType="begin"/>
        </w:r>
        <w:r>
          <w:rPr>
            <w:noProof/>
            <w:webHidden/>
          </w:rPr>
          <w:instrText xml:space="preserve"> PAGEREF _Toc535854138 \h </w:instrText>
        </w:r>
        <w:r>
          <w:rPr>
            <w:noProof/>
            <w:webHidden/>
          </w:rPr>
        </w:r>
        <w:r>
          <w:rPr>
            <w:noProof/>
            <w:webHidden/>
          </w:rPr>
          <w:fldChar w:fldCharType="separate"/>
        </w:r>
        <w:r>
          <w:rPr>
            <w:noProof/>
            <w:webHidden/>
          </w:rPr>
          <w:t>489</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39" w:history="1">
        <w:r w:rsidRPr="00F149F6">
          <w:rPr>
            <w:rStyle w:val="Hyperlink"/>
            <w:noProof/>
          </w:rPr>
          <w:t>ESI-II-9 Csökkentett tömegű különleges horgonyok</w:t>
        </w:r>
        <w:r>
          <w:rPr>
            <w:noProof/>
            <w:webHidden/>
          </w:rPr>
          <w:tab/>
        </w:r>
        <w:r>
          <w:rPr>
            <w:noProof/>
            <w:webHidden/>
          </w:rPr>
          <w:fldChar w:fldCharType="begin"/>
        </w:r>
        <w:r>
          <w:rPr>
            <w:noProof/>
            <w:webHidden/>
          </w:rPr>
          <w:instrText xml:space="preserve"> PAGEREF _Toc535854139 \h </w:instrText>
        </w:r>
        <w:r>
          <w:rPr>
            <w:noProof/>
            <w:webHidden/>
          </w:rPr>
        </w:r>
        <w:r>
          <w:rPr>
            <w:noProof/>
            <w:webHidden/>
          </w:rPr>
          <w:fldChar w:fldCharType="separate"/>
        </w:r>
        <w:r>
          <w:rPr>
            <w:noProof/>
            <w:webHidden/>
          </w:rPr>
          <w:t>491</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40" w:history="1">
        <w:r w:rsidRPr="00F149F6">
          <w:rPr>
            <w:rStyle w:val="Hyperlink"/>
            <w:noProof/>
          </w:rPr>
          <w:t>ESI-II-10 Automatikus, vízpermettel oltó túlnyomásos berendezések</w:t>
        </w:r>
        <w:r>
          <w:rPr>
            <w:noProof/>
            <w:webHidden/>
          </w:rPr>
          <w:tab/>
        </w:r>
        <w:r>
          <w:rPr>
            <w:noProof/>
            <w:webHidden/>
          </w:rPr>
          <w:fldChar w:fldCharType="begin"/>
        </w:r>
        <w:r>
          <w:rPr>
            <w:noProof/>
            <w:webHidden/>
          </w:rPr>
          <w:instrText xml:space="preserve"> PAGEREF _Toc535854140 \h </w:instrText>
        </w:r>
        <w:r>
          <w:rPr>
            <w:noProof/>
            <w:webHidden/>
          </w:rPr>
        </w:r>
        <w:r>
          <w:rPr>
            <w:noProof/>
            <w:webHidden/>
          </w:rPr>
          <w:fldChar w:fldCharType="separate"/>
        </w:r>
        <w:r>
          <w:rPr>
            <w:noProof/>
            <w:webHidden/>
          </w:rPr>
          <w:t>500</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41" w:history="1">
        <w:r w:rsidRPr="00F149F6">
          <w:rPr>
            <w:rStyle w:val="Hyperlink"/>
            <w:noProof/>
          </w:rPr>
          <w:t>ESI-II-11 A hajó saját erejéből megvalósuló kormányozhatósága</w:t>
        </w:r>
        <w:r>
          <w:rPr>
            <w:noProof/>
            <w:webHidden/>
          </w:rPr>
          <w:tab/>
        </w:r>
        <w:r>
          <w:rPr>
            <w:noProof/>
            <w:webHidden/>
          </w:rPr>
          <w:fldChar w:fldCharType="begin"/>
        </w:r>
        <w:r>
          <w:rPr>
            <w:noProof/>
            <w:webHidden/>
          </w:rPr>
          <w:instrText xml:space="preserve"> PAGEREF _Toc535854141 \h </w:instrText>
        </w:r>
        <w:r>
          <w:rPr>
            <w:noProof/>
            <w:webHidden/>
          </w:rPr>
        </w:r>
        <w:r>
          <w:rPr>
            <w:noProof/>
            <w:webHidden/>
          </w:rPr>
          <w:fldChar w:fldCharType="separate"/>
        </w:r>
        <w:r>
          <w:rPr>
            <w:noProof/>
            <w:webHidden/>
          </w:rPr>
          <w:t>503</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42" w:history="1">
        <w:r w:rsidRPr="00F149F6">
          <w:rPr>
            <w:rStyle w:val="Hyperlink"/>
            <w:noProof/>
          </w:rPr>
          <w:t>ESI-II-12 Megfelelő tűzriasztó rendszer</w:t>
        </w:r>
        <w:r>
          <w:rPr>
            <w:noProof/>
            <w:webHidden/>
          </w:rPr>
          <w:tab/>
        </w:r>
        <w:r>
          <w:rPr>
            <w:noProof/>
            <w:webHidden/>
          </w:rPr>
          <w:fldChar w:fldCharType="begin"/>
        </w:r>
        <w:r>
          <w:rPr>
            <w:noProof/>
            <w:webHidden/>
          </w:rPr>
          <w:instrText xml:space="preserve"> PAGEREF _Toc535854142 \h </w:instrText>
        </w:r>
        <w:r>
          <w:rPr>
            <w:noProof/>
            <w:webHidden/>
          </w:rPr>
        </w:r>
        <w:r>
          <w:rPr>
            <w:noProof/>
            <w:webHidden/>
          </w:rPr>
          <w:fldChar w:fldCharType="separate"/>
        </w:r>
        <w:r>
          <w:rPr>
            <w:noProof/>
            <w:webHidden/>
          </w:rPr>
          <w:t>505</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43" w:history="1">
        <w:r w:rsidRPr="00F149F6">
          <w:rPr>
            <w:rStyle w:val="Hyperlink"/>
            <w:noProof/>
          </w:rPr>
          <w:t>ESI-II-13 (Üres)</w:t>
        </w:r>
        <w:r>
          <w:rPr>
            <w:noProof/>
            <w:webHidden/>
          </w:rPr>
          <w:tab/>
        </w:r>
        <w:r>
          <w:rPr>
            <w:noProof/>
            <w:webHidden/>
          </w:rPr>
          <w:fldChar w:fldCharType="begin"/>
        </w:r>
        <w:r>
          <w:rPr>
            <w:noProof/>
            <w:webHidden/>
          </w:rPr>
          <w:instrText xml:space="preserve"> PAGEREF _Toc535854143 \h </w:instrText>
        </w:r>
        <w:r>
          <w:rPr>
            <w:noProof/>
            <w:webHidden/>
          </w:rPr>
        </w:r>
        <w:r>
          <w:rPr>
            <w:noProof/>
            <w:webHidden/>
          </w:rPr>
          <w:fldChar w:fldCharType="separate"/>
        </w:r>
        <w:r>
          <w:rPr>
            <w:noProof/>
            <w:webHidden/>
          </w:rPr>
          <w:t>515</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4144" w:history="1">
        <w:r w:rsidRPr="00F149F6">
          <w:rPr>
            <w:rStyle w:val="Hyperlink"/>
            <w:noProof/>
          </w:rPr>
          <w:t>III. RÉSZ KÜLÖN RENDELKEZÉSEK</w:t>
        </w:r>
        <w:r>
          <w:rPr>
            <w:noProof/>
            <w:webHidden/>
          </w:rPr>
          <w:tab/>
        </w:r>
        <w:r>
          <w:rPr>
            <w:noProof/>
            <w:webHidden/>
          </w:rPr>
          <w:fldChar w:fldCharType="begin"/>
        </w:r>
        <w:r>
          <w:rPr>
            <w:noProof/>
            <w:webHidden/>
          </w:rPr>
          <w:instrText xml:space="preserve"> PAGEREF _Toc535854144 \h </w:instrText>
        </w:r>
        <w:r>
          <w:rPr>
            <w:noProof/>
            <w:webHidden/>
          </w:rPr>
        </w:r>
        <w:r>
          <w:rPr>
            <w:noProof/>
            <w:webHidden/>
          </w:rPr>
          <w:fldChar w:fldCharType="separate"/>
        </w:r>
        <w:r>
          <w:rPr>
            <w:noProof/>
            <w:webHidden/>
          </w:rPr>
          <w:t>517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45" w:history="1">
        <w:r w:rsidRPr="00F149F6">
          <w:rPr>
            <w:rStyle w:val="Hyperlink"/>
            <w:noProof/>
          </w:rPr>
          <w:t>ESI-III-1 A 19. fejezet követelményeinek alkalmazása</w:t>
        </w:r>
        <w:r>
          <w:rPr>
            <w:noProof/>
            <w:webHidden/>
          </w:rPr>
          <w:tab/>
        </w:r>
        <w:r>
          <w:rPr>
            <w:noProof/>
            <w:webHidden/>
          </w:rPr>
          <w:fldChar w:fldCharType="begin"/>
        </w:r>
        <w:r>
          <w:rPr>
            <w:noProof/>
            <w:webHidden/>
          </w:rPr>
          <w:instrText xml:space="preserve"> PAGEREF _Toc535854145 \h </w:instrText>
        </w:r>
        <w:r>
          <w:rPr>
            <w:noProof/>
            <w:webHidden/>
          </w:rPr>
        </w:r>
        <w:r>
          <w:rPr>
            <w:noProof/>
            <w:webHidden/>
          </w:rPr>
          <w:fldChar w:fldCharType="separate"/>
        </w:r>
        <w:r>
          <w:rPr>
            <w:noProof/>
            <w:webHidden/>
          </w:rPr>
          <w:t>517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46" w:history="1">
        <w:r w:rsidRPr="00F149F6">
          <w:rPr>
            <w:rStyle w:val="Hyperlink"/>
            <w:noProof/>
          </w:rPr>
          <w:t>ESI-III-2 Csökkent mozgásképességű személyek különleges biztonsági szükségletei</w:t>
        </w:r>
        <w:r>
          <w:rPr>
            <w:noProof/>
            <w:webHidden/>
          </w:rPr>
          <w:tab/>
        </w:r>
        <w:r>
          <w:rPr>
            <w:noProof/>
            <w:webHidden/>
          </w:rPr>
          <w:fldChar w:fldCharType="begin"/>
        </w:r>
        <w:r>
          <w:rPr>
            <w:noProof/>
            <w:webHidden/>
          </w:rPr>
          <w:instrText xml:space="preserve"> PAGEREF _Toc535854146 \h </w:instrText>
        </w:r>
        <w:r>
          <w:rPr>
            <w:noProof/>
            <w:webHidden/>
          </w:rPr>
        </w:r>
        <w:r>
          <w:rPr>
            <w:noProof/>
            <w:webHidden/>
          </w:rPr>
          <w:fldChar w:fldCharType="separate"/>
        </w:r>
        <w:r>
          <w:rPr>
            <w:noProof/>
            <w:webHidden/>
          </w:rPr>
          <w:t>520</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47" w:history="1">
        <w:r w:rsidRPr="00F149F6">
          <w:rPr>
            <w:rStyle w:val="Hyperlink"/>
            <w:noProof/>
          </w:rPr>
          <w:t>ESI-III-3 A vízmentes ablakok szilárdsága</w:t>
        </w:r>
        <w:r>
          <w:rPr>
            <w:noProof/>
            <w:webHidden/>
          </w:rPr>
          <w:tab/>
        </w:r>
        <w:r>
          <w:rPr>
            <w:noProof/>
            <w:webHidden/>
          </w:rPr>
          <w:fldChar w:fldCharType="begin"/>
        </w:r>
        <w:r>
          <w:rPr>
            <w:noProof/>
            <w:webHidden/>
          </w:rPr>
          <w:instrText xml:space="preserve"> PAGEREF _Toc535854147 \h </w:instrText>
        </w:r>
        <w:r>
          <w:rPr>
            <w:noProof/>
            <w:webHidden/>
          </w:rPr>
        </w:r>
        <w:r>
          <w:rPr>
            <w:noProof/>
            <w:webHidden/>
          </w:rPr>
          <w:fldChar w:fldCharType="separate"/>
        </w:r>
        <w:r>
          <w:rPr>
            <w:noProof/>
            <w:webHidden/>
          </w:rPr>
          <w:t>527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48" w:history="1">
        <w:r w:rsidRPr="00F149F6">
          <w:rPr>
            <w:rStyle w:val="Hyperlink"/>
            <w:noProof/>
          </w:rPr>
          <w:t>ESI-III-4 Biztonsági útvonal-kijelölő rendszer</w:t>
        </w:r>
        <w:r>
          <w:rPr>
            <w:noProof/>
            <w:webHidden/>
          </w:rPr>
          <w:tab/>
        </w:r>
        <w:r>
          <w:rPr>
            <w:noProof/>
            <w:webHidden/>
          </w:rPr>
          <w:fldChar w:fldCharType="begin"/>
        </w:r>
        <w:r>
          <w:rPr>
            <w:noProof/>
            <w:webHidden/>
          </w:rPr>
          <w:instrText xml:space="preserve"> PAGEREF _Toc535854148 \h </w:instrText>
        </w:r>
        <w:r>
          <w:rPr>
            <w:noProof/>
            <w:webHidden/>
          </w:rPr>
        </w:r>
        <w:r>
          <w:rPr>
            <w:noProof/>
            <w:webHidden/>
          </w:rPr>
          <w:fldChar w:fldCharType="separate"/>
        </w:r>
        <w:r>
          <w:rPr>
            <w:noProof/>
            <w:webHidden/>
          </w:rPr>
          <w:t>530</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49" w:history="1">
        <w:r w:rsidRPr="00F149F6">
          <w:rPr>
            <w:rStyle w:val="Hyperlink"/>
            <w:noProof/>
          </w:rPr>
          <w:t>ESI-III-5 Megfelelő gázriasztó berendezések</w:t>
        </w:r>
        <w:r>
          <w:rPr>
            <w:noProof/>
            <w:webHidden/>
          </w:rPr>
          <w:tab/>
        </w:r>
        <w:r>
          <w:rPr>
            <w:noProof/>
            <w:webHidden/>
          </w:rPr>
          <w:fldChar w:fldCharType="begin"/>
        </w:r>
        <w:r>
          <w:rPr>
            <w:noProof/>
            <w:webHidden/>
          </w:rPr>
          <w:instrText xml:space="preserve"> PAGEREF _Toc535854149 \h </w:instrText>
        </w:r>
        <w:r>
          <w:rPr>
            <w:noProof/>
            <w:webHidden/>
          </w:rPr>
        </w:r>
        <w:r>
          <w:rPr>
            <w:noProof/>
            <w:webHidden/>
          </w:rPr>
          <w:fldChar w:fldCharType="separate"/>
        </w:r>
        <w:r>
          <w:rPr>
            <w:noProof/>
            <w:webHidden/>
          </w:rPr>
          <w:t>537</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50" w:history="1">
        <w:r w:rsidRPr="00F149F6">
          <w:rPr>
            <w:rStyle w:val="Hyperlink"/>
            <w:noProof/>
            <w:lang w:val="pt-PT"/>
          </w:rPr>
          <w:t>ESI-III-6 A merev összeállítás továbbítására alkalmas és a merev összeállításban továbbítható vízi járművek csatolórendszerei és csatolóeszközei</w:t>
        </w:r>
        <w:r>
          <w:rPr>
            <w:noProof/>
            <w:webHidden/>
          </w:rPr>
          <w:tab/>
        </w:r>
        <w:r>
          <w:rPr>
            <w:noProof/>
            <w:webHidden/>
          </w:rPr>
          <w:fldChar w:fldCharType="begin"/>
        </w:r>
        <w:r>
          <w:rPr>
            <w:noProof/>
            <w:webHidden/>
          </w:rPr>
          <w:instrText xml:space="preserve"> PAGEREF _Toc535854150 \h </w:instrText>
        </w:r>
        <w:r>
          <w:rPr>
            <w:noProof/>
            <w:webHidden/>
          </w:rPr>
        </w:r>
        <w:r>
          <w:rPr>
            <w:noProof/>
            <w:webHidden/>
          </w:rPr>
          <w:fldChar w:fldCharType="separate"/>
        </w:r>
        <w:r>
          <w:rPr>
            <w:noProof/>
            <w:webHidden/>
          </w:rPr>
          <w:t>544</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51" w:history="1">
        <w:r w:rsidRPr="00F149F6">
          <w:rPr>
            <w:rStyle w:val="Hyperlink"/>
            <w:noProof/>
          </w:rPr>
          <w:t>ESI-III-7 Tüzelőanyag-tartályok az úszó munkagépeken</w:t>
        </w:r>
        <w:r>
          <w:rPr>
            <w:noProof/>
            <w:webHidden/>
          </w:rPr>
          <w:tab/>
        </w:r>
        <w:r>
          <w:rPr>
            <w:noProof/>
            <w:webHidden/>
          </w:rPr>
          <w:fldChar w:fldCharType="begin"/>
        </w:r>
        <w:r>
          <w:rPr>
            <w:noProof/>
            <w:webHidden/>
          </w:rPr>
          <w:instrText xml:space="preserve"> PAGEREF _Toc535854151 \h </w:instrText>
        </w:r>
        <w:r>
          <w:rPr>
            <w:noProof/>
            <w:webHidden/>
          </w:rPr>
        </w:r>
        <w:r>
          <w:rPr>
            <w:noProof/>
            <w:webHidden/>
          </w:rPr>
          <w:fldChar w:fldCharType="separate"/>
        </w:r>
        <w:r>
          <w:rPr>
            <w:noProof/>
            <w:webHidden/>
          </w:rPr>
          <w:t>551</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52" w:history="1">
        <w:r w:rsidRPr="00F149F6">
          <w:rPr>
            <w:rStyle w:val="Hyperlink"/>
            <w:noProof/>
          </w:rPr>
          <w:t>ESI-III-8 Kedvtelési célú vízi jármű</w:t>
        </w:r>
        <w:r>
          <w:rPr>
            <w:noProof/>
            <w:webHidden/>
          </w:rPr>
          <w:tab/>
        </w:r>
        <w:r>
          <w:rPr>
            <w:noProof/>
            <w:webHidden/>
          </w:rPr>
          <w:fldChar w:fldCharType="begin"/>
        </w:r>
        <w:r>
          <w:rPr>
            <w:noProof/>
            <w:webHidden/>
          </w:rPr>
          <w:instrText xml:space="preserve"> PAGEREF _Toc535854152 \h </w:instrText>
        </w:r>
        <w:r>
          <w:rPr>
            <w:noProof/>
            <w:webHidden/>
          </w:rPr>
        </w:r>
        <w:r>
          <w:rPr>
            <w:noProof/>
            <w:webHidden/>
          </w:rPr>
          <w:fldChar w:fldCharType="separate"/>
        </w:r>
        <w:r>
          <w:rPr>
            <w:noProof/>
            <w:webHidden/>
          </w:rPr>
          <w:t>553</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53" w:history="1">
        <w:r w:rsidRPr="00F149F6">
          <w:rPr>
            <w:rStyle w:val="Hyperlink"/>
            <w:noProof/>
            <w:lang w:val="es-ES"/>
          </w:rPr>
          <w:t>ESI-III-9 A hajórészek leválasztás utáni úszóképességének, hosszanti úszáshelyzetének (trimmjének) és stabilitásának igazolása</w:t>
        </w:r>
        <w:r>
          <w:rPr>
            <w:noProof/>
            <w:webHidden/>
          </w:rPr>
          <w:tab/>
        </w:r>
        <w:r>
          <w:rPr>
            <w:noProof/>
            <w:webHidden/>
          </w:rPr>
          <w:fldChar w:fldCharType="begin"/>
        </w:r>
        <w:r>
          <w:rPr>
            <w:noProof/>
            <w:webHidden/>
          </w:rPr>
          <w:instrText xml:space="preserve"> PAGEREF _Toc535854153 \h </w:instrText>
        </w:r>
        <w:r>
          <w:rPr>
            <w:noProof/>
            <w:webHidden/>
          </w:rPr>
        </w:r>
        <w:r>
          <w:rPr>
            <w:noProof/>
            <w:webHidden/>
          </w:rPr>
          <w:fldChar w:fldCharType="separate"/>
        </w:r>
        <w:r>
          <w:rPr>
            <w:noProof/>
            <w:webHidden/>
          </w:rPr>
          <w:t>555</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54" w:history="1">
        <w:r w:rsidRPr="00F149F6">
          <w:rPr>
            <w:rStyle w:val="Hyperlink"/>
            <w:noProof/>
          </w:rPr>
          <w:t>ESI-III-10 Az S1 vagy S2 standard szerint üzemelő hajók felszerelése</w:t>
        </w:r>
        <w:r>
          <w:rPr>
            <w:noProof/>
            <w:webHidden/>
          </w:rPr>
          <w:tab/>
        </w:r>
        <w:r>
          <w:rPr>
            <w:noProof/>
            <w:webHidden/>
          </w:rPr>
          <w:fldChar w:fldCharType="begin"/>
        </w:r>
        <w:r>
          <w:rPr>
            <w:noProof/>
            <w:webHidden/>
          </w:rPr>
          <w:instrText xml:space="preserve"> PAGEREF _Toc535854154 \h </w:instrText>
        </w:r>
        <w:r>
          <w:rPr>
            <w:noProof/>
            <w:webHidden/>
          </w:rPr>
        </w:r>
        <w:r>
          <w:rPr>
            <w:noProof/>
            <w:webHidden/>
          </w:rPr>
          <w:fldChar w:fldCharType="separate"/>
        </w:r>
        <w:r>
          <w:rPr>
            <w:noProof/>
            <w:webHidden/>
          </w:rPr>
          <w:t>557</w:t>
        </w:r>
        <w:r>
          <w:rPr>
            <w:noProof/>
            <w:webHidden/>
          </w:rPr>
          <w:fldChar w:fldCharType="end"/>
        </w:r>
      </w:hyperlink>
    </w:p>
    <w:p w:rsidR="003142CA" w:rsidRDefault="003142CA">
      <w:pPr>
        <w:pStyle w:val="TOC1"/>
        <w:rPr>
          <w:rFonts w:asciiTheme="minorHAnsi" w:eastAsiaTheme="minorEastAsia" w:hAnsiTheme="minorHAnsi" w:cstheme="minorBidi"/>
          <w:b w:val="0"/>
          <w:bCs w:val="0"/>
          <w:caps w:val="0"/>
          <w:noProof/>
          <w:sz w:val="22"/>
          <w:szCs w:val="22"/>
          <w:lang w:val="en-GB" w:eastAsia="en-GB" w:bidi="ar-SA"/>
        </w:rPr>
      </w:pPr>
      <w:hyperlink w:anchor="_Toc535854155" w:history="1">
        <w:r w:rsidRPr="00F149F6">
          <w:rPr>
            <w:rStyle w:val="Hyperlink"/>
            <w:noProof/>
            <w:lang w:val="pt-PT"/>
          </w:rPr>
          <w:t>IV. RÉSZ ÁTMENETI RENDELKEZÉSEK</w:t>
        </w:r>
        <w:r>
          <w:rPr>
            <w:noProof/>
            <w:webHidden/>
          </w:rPr>
          <w:tab/>
        </w:r>
        <w:r>
          <w:rPr>
            <w:noProof/>
            <w:webHidden/>
          </w:rPr>
          <w:fldChar w:fldCharType="begin"/>
        </w:r>
        <w:r>
          <w:rPr>
            <w:noProof/>
            <w:webHidden/>
          </w:rPr>
          <w:instrText xml:space="preserve"> PAGEREF _Toc535854155 \h </w:instrText>
        </w:r>
        <w:r>
          <w:rPr>
            <w:noProof/>
            <w:webHidden/>
          </w:rPr>
        </w:r>
        <w:r>
          <w:rPr>
            <w:noProof/>
            <w:webHidden/>
          </w:rPr>
          <w:fldChar w:fldCharType="separate"/>
        </w:r>
        <w:r>
          <w:rPr>
            <w:noProof/>
            <w:webHidden/>
          </w:rPr>
          <w:t>564</w:t>
        </w:r>
        <w:r>
          <w:rPr>
            <w:noProof/>
            <w:webHidden/>
          </w:rPr>
          <w:fldChar w:fldCharType="end"/>
        </w:r>
      </w:hyperlink>
    </w:p>
    <w:p w:rsidR="003142CA" w:rsidRDefault="003142CA">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54156" w:history="1">
        <w:r w:rsidRPr="00F149F6">
          <w:rPr>
            <w:rStyle w:val="Hyperlink"/>
            <w:noProof/>
            <w:lang w:val="pt-PT"/>
          </w:rPr>
          <w:t>ESI-IV-1 Átmeneti rendelkezések alkalmazása</w:t>
        </w:r>
        <w:r>
          <w:rPr>
            <w:noProof/>
            <w:webHidden/>
          </w:rPr>
          <w:tab/>
        </w:r>
        <w:r>
          <w:rPr>
            <w:noProof/>
            <w:webHidden/>
          </w:rPr>
          <w:fldChar w:fldCharType="begin"/>
        </w:r>
        <w:r>
          <w:rPr>
            <w:noProof/>
            <w:webHidden/>
          </w:rPr>
          <w:instrText xml:space="preserve"> PAGEREF _Toc535854156 \h </w:instrText>
        </w:r>
        <w:r>
          <w:rPr>
            <w:noProof/>
            <w:webHidden/>
          </w:rPr>
        </w:r>
        <w:r>
          <w:rPr>
            <w:noProof/>
            <w:webHidden/>
          </w:rPr>
          <w:fldChar w:fldCharType="separate"/>
        </w:r>
        <w:r>
          <w:rPr>
            <w:noProof/>
            <w:webHidden/>
          </w:rPr>
          <w:t>564</w:t>
        </w:r>
        <w:r>
          <w:rPr>
            <w:noProof/>
            <w:webHidden/>
          </w:rPr>
          <w:fldChar w:fldCharType="end"/>
        </w:r>
      </w:hyperlink>
    </w:p>
    <w:p w:rsidR="00F66D1B" w:rsidRDefault="00F125EF">
      <w:pPr>
        <w:pStyle w:val="TOC2"/>
        <w:tabs>
          <w:tab w:val="right" w:leader="dot" w:pos="9060"/>
        </w:tabs>
        <w:spacing w:line="240" w:lineRule="atLeast"/>
        <w:ind w:right="709"/>
        <w:rPr>
          <w:rFonts w:asciiTheme="minorHAnsi" w:eastAsiaTheme="minorEastAsia" w:hAnsiTheme="minorHAnsi" w:cs="Arial"/>
          <w:smallCaps w:val="0"/>
          <w:noProof/>
          <w:sz w:val="22"/>
        </w:rPr>
      </w:pPr>
      <w:r>
        <w:rPr>
          <w:rFonts w:cs="Arial"/>
        </w:rPr>
        <w:fldChar w:fldCharType="end"/>
      </w:r>
    </w:p>
    <w:p w:rsidR="00FE7BE7" w:rsidRPr="00C903F8" w:rsidRDefault="00FE7BE7" w:rsidP="005F5F39">
      <w:pPr>
        <w:rPr>
          <w:rFonts w:cs="Arial"/>
          <w:szCs w:val="20"/>
        </w:rPr>
      </w:pPr>
    </w:p>
    <w:p w:rsidR="00C8674F" w:rsidRPr="00C903F8" w:rsidRDefault="00C8674F" w:rsidP="00E1027C">
      <w:pPr>
        <w:spacing w:line="240" w:lineRule="atLeast"/>
        <w:rPr>
          <w:rFonts w:cs="Arial"/>
          <w:szCs w:val="20"/>
        </w:rPr>
      </w:pPr>
    </w:p>
    <w:p w:rsidR="00731F7D" w:rsidRPr="00C903F8" w:rsidRDefault="00731F7D" w:rsidP="00E1027C">
      <w:pPr>
        <w:spacing w:line="240" w:lineRule="atLeast"/>
        <w:rPr>
          <w:rFonts w:cs="Arial"/>
          <w:szCs w:val="20"/>
        </w:rPr>
        <w:sectPr w:rsidR="00731F7D" w:rsidRPr="00C903F8" w:rsidSect="006327E3">
          <w:headerReference w:type="default" r:id="rId13"/>
          <w:footerReference w:type="default" r:id="rId14"/>
          <w:headerReference w:type="first" r:id="rId15"/>
          <w:footerReference w:type="first" r:id="rId16"/>
          <w:footnotePr>
            <w:numRestart w:val="eachPage"/>
          </w:footnotePr>
          <w:pgSz w:w="11906" w:h="16838" w:code="9"/>
          <w:pgMar w:top="1418" w:right="1418" w:bottom="1418" w:left="1418" w:header="709" w:footer="709" w:gutter="0"/>
          <w:pgNumType w:fmt="lowerRoman"/>
          <w:cols w:space="709"/>
          <w:titlePg/>
          <w:docGrid w:linePitch="326"/>
        </w:sectPr>
      </w:pPr>
    </w:p>
    <w:p w:rsidR="00360D41" w:rsidRPr="00C903F8" w:rsidRDefault="00360D41" w:rsidP="004B2505">
      <w:pPr>
        <w:pStyle w:val="ES-Titre1"/>
      </w:pPr>
      <w:bookmarkStart w:id="1" w:name="_Toc384624875"/>
      <w:bookmarkStart w:id="2" w:name="_Toc491854002"/>
      <w:bookmarkStart w:id="3" w:name="_Toc535853781"/>
      <w:r>
        <w:t>I. RÉSZ</w:t>
      </w:r>
      <w:r>
        <w:br/>
      </w:r>
      <w:bookmarkEnd w:id="1"/>
      <w:r>
        <w:t>ÁLTALÁNOS R</w:t>
      </w:r>
      <w:bookmarkEnd w:id="2"/>
      <w:r w:rsidR="0003171D">
        <w:t>ÉSZ</w:t>
      </w:r>
      <w:bookmarkEnd w:id="3"/>
    </w:p>
    <w:p w:rsidR="00A2046F" w:rsidRPr="00C903F8" w:rsidRDefault="00A2046F" w:rsidP="00A2046F">
      <w:pPr>
        <w:pStyle w:val="ESch"/>
        <w:tabs>
          <w:tab w:val="left" w:pos="2325"/>
        </w:tabs>
      </w:pPr>
      <w:bookmarkStart w:id="4" w:name="_Toc384624876"/>
    </w:p>
    <w:p w:rsidR="00360D41" w:rsidRPr="00C903F8" w:rsidRDefault="00DE4417" w:rsidP="00B267B5">
      <w:pPr>
        <w:pStyle w:val="ES-Titre2"/>
        <w:pageBreakBefore w:val="0"/>
      </w:pPr>
      <w:bookmarkStart w:id="5" w:name="_Toc491854003"/>
      <w:bookmarkStart w:id="6" w:name="_Toc535853782"/>
      <w:r>
        <w:t>1. fejezet</w:t>
      </w:r>
      <w:r>
        <w:br/>
      </w:r>
      <w:bookmarkEnd w:id="4"/>
      <w:r>
        <w:t>Általános rendelkezések</w:t>
      </w:r>
      <w:bookmarkEnd w:id="5"/>
      <w:bookmarkEnd w:id="6"/>
    </w:p>
    <w:p w:rsidR="004B2505" w:rsidRPr="00C903F8" w:rsidRDefault="004B2505" w:rsidP="00E1027C">
      <w:pPr>
        <w:pStyle w:val="ES-Titre3"/>
        <w:spacing w:line="240" w:lineRule="atLeast"/>
      </w:pPr>
      <w:bookmarkStart w:id="7" w:name="_Toc384624877"/>
    </w:p>
    <w:p w:rsidR="00360D41" w:rsidRPr="00C903F8" w:rsidRDefault="00360D41" w:rsidP="00E1027C">
      <w:pPr>
        <w:pStyle w:val="ES-Titre3"/>
        <w:spacing w:line="240" w:lineRule="atLeast"/>
        <w:rPr>
          <w:i/>
        </w:rPr>
      </w:pPr>
      <w:bookmarkStart w:id="8" w:name="_Toc491854004"/>
      <w:bookmarkStart w:id="9" w:name="_Toc535853783"/>
      <w:r>
        <w:t>1.01. cikk</w:t>
      </w:r>
      <w:r>
        <w:br/>
      </w:r>
      <w:r>
        <w:rPr>
          <w:i/>
        </w:rPr>
        <w:t>F</w:t>
      </w:r>
      <w:bookmarkEnd w:id="7"/>
      <w:r>
        <w:rPr>
          <w:i/>
        </w:rPr>
        <w:t>ogalommeghatározások</w:t>
      </w:r>
      <w:bookmarkEnd w:id="8"/>
      <w:bookmarkEnd w:id="9"/>
    </w:p>
    <w:p w:rsidR="004B2505" w:rsidRPr="00C903F8" w:rsidRDefault="004B2505" w:rsidP="00E1027C">
      <w:pPr>
        <w:spacing w:line="240" w:lineRule="atLeast"/>
        <w:rPr>
          <w:noProof/>
          <w:snapToGrid w:val="0"/>
        </w:rPr>
      </w:pPr>
    </w:p>
    <w:p w:rsidR="00DE4417" w:rsidRPr="00C903F8" w:rsidRDefault="00DE4417" w:rsidP="009A1D30">
      <w:pPr>
        <w:rPr>
          <w:rFonts w:cs="Arial"/>
          <w:szCs w:val="20"/>
        </w:rPr>
      </w:pPr>
      <w:r>
        <w:t>E szabvány alkalmazásában:</w:t>
      </w:r>
    </w:p>
    <w:p w:rsidR="00DE4417" w:rsidRPr="00C903F8" w:rsidRDefault="00DE4417" w:rsidP="009A1D30">
      <w:pPr>
        <w:rPr>
          <w:rFonts w:cs="Arial"/>
          <w:b/>
          <w:color w:val="000000"/>
          <w:szCs w:val="20"/>
        </w:rPr>
      </w:pPr>
    </w:p>
    <w:p w:rsidR="00151656" w:rsidRPr="00C903F8" w:rsidRDefault="00151656" w:rsidP="00151656">
      <w:pPr>
        <w:pStyle w:val="ESchgras"/>
      </w:pPr>
      <w:r>
        <w:t>1.</w:t>
      </w:r>
      <w:r>
        <w:tab/>
        <w:t>Vízi járművek típusai</w:t>
      </w:r>
    </w:p>
    <w:p w:rsidR="00511BF6" w:rsidRPr="00C903F8" w:rsidRDefault="00511BF6" w:rsidP="00391A9D">
      <w:pPr>
        <w:pStyle w:val="ESch"/>
        <w:tabs>
          <w:tab w:val="left" w:pos="2325"/>
        </w:tabs>
      </w:pPr>
    </w:p>
    <w:p w:rsidR="00DE4417" w:rsidRPr="00C903F8" w:rsidRDefault="00DE4417" w:rsidP="00511BF6">
      <w:pPr>
        <w:pStyle w:val="ESch"/>
      </w:pPr>
      <w:r>
        <w:t>1.1.</w:t>
      </w:r>
      <w:r>
        <w:tab/>
        <w:t>„vízi jármű”: hajó vagy úszó munkagép;</w:t>
      </w:r>
    </w:p>
    <w:p w:rsidR="009A1D30" w:rsidRPr="00C903F8" w:rsidRDefault="009A1D30" w:rsidP="00511BF6">
      <w:pPr>
        <w:pStyle w:val="ESch"/>
        <w:rPr>
          <w:rFonts w:cs="Arial"/>
          <w:szCs w:val="20"/>
        </w:rPr>
      </w:pPr>
    </w:p>
    <w:p w:rsidR="00DE4417" w:rsidRPr="00C903F8" w:rsidRDefault="00DE4417" w:rsidP="00511BF6">
      <w:pPr>
        <w:pStyle w:val="ESch"/>
      </w:pPr>
      <w:r>
        <w:t>1.2.</w:t>
      </w:r>
      <w:r>
        <w:tab/>
        <w:t>„hajó”: belvízi hajó vagy tengerjáró hajó;</w:t>
      </w:r>
    </w:p>
    <w:p w:rsidR="009A1D30" w:rsidRPr="00C903F8" w:rsidRDefault="009A1D30" w:rsidP="00511BF6">
      <w:pPr>
        <w:pStyle w:val="ESch"/>
        <w:rPr>
          <w:rFonts w:cs="Arial"/>
          <w:szCs w:val="20"/>
        </w:rPr>
      </w:pPr>
    </w:p>
    <w:p w:rsidR="00DE4417" w:rsidRPr="00C903F8" w:rsidRDefault="00DE4417" w:rsidP="00511BF6">
      <w:pPr>
        <w:pStyle w:val="ESch"/>
      </w:pPr>
      <w:r>
        <w:t>1.3.</w:t>
      </w:r>
      <w:r>
        <w:tab/>
        <w:t>„belvízi hajó”: kizárólag vagy főként belvízi utakon történő közlekedésre tervezett hajó;</w:t>
      </w:r>
    </w:p>
    <w:p w:rsidR="009A1D30" w:rsidRPr="00C903F8" w:rsidRDefault="009A1D30" w:rsidP="00511BF6">
      <w:pPr>
        <w:pStyle w:val="ESch"/>
        <w:rPr>
          <w:rFonts w:cs="Arial"/>
          <w:szCs w:val="20"/>
        </w:rPr>
      </w:pPr>
    </w:p>
    <w:p w:rsidR="00DE4417" w:rsidRPr="00C903F8" w:rsidRDefault="00DE4417" w:rsidP="00511BF6">
      <w:pPr>
        <w:pStyle w:val="ESch"/>
      </w:pPr>
      <w:r>
        <w:t>1.4.</w:t>
      </w:r>
      <w:r>
        <w:tab/>
        <w:t>„tengerjáró hajó”: elsősorban tengeren történő közlekedésre vagy part menti hajózásra tervezett és jóváhagyott hajó;</w:t>
      </w:r>
    </w:p>
    <w:p w:rsidR="009A1D30" w:rsidRPr="00C903F8" w:rsidRDefault="009A1D30" w:rsidP="00511BF6">
      <w:pPr>
        <w:pStyle w:val="ESch"/>
        <w:rPr>
          <w:rFonts w:cs="Arial"/>
          <w:szCs w:val="20"/>
        </w:rPr>
      </w:pPr>
    </w:p>
    <w:p w:rsidR="00DE4417" w:rsidRPr="00836164" w:rsidRDefault="00DE4417" w:rsidP="00511BF6">
      <w:pPr>
        <w:pStyle w:val="ESch"/>
      </w:pPr>
      <w:r>
        <w:t>1.5.</w:t>
      </w:r>
      <w:r>
        <w:tab/>
        <w:t>„önjáró hajó”: önjáró szárazáru-szállító hajó vagy önjáró tartályhajó;</w:t>
      </w:r>
    </w:p>
    <w:p w:rsidR="009A1D30" w:rsidRPr="00836164" w:rsidRDefault="009A1D30" w:rsidP="00511BF6">
      <w:pPr>
        <w:pStyle w:val="ESch"/>
        <w:rPr>
          <w:rFonts w:cs="Arial"/>
          <w:szCs w:val="20"/>
        </w:rPr>
      </w:pPr>
    </w:p>
    <w:p w:rsidR="00DE4417" w:rsidRPr="00C903F8" w:rsidRDefault="00DE4417" w:rsidP="00511BF6">
      <w:pPr>
        <w:pStyle w:val="ESch"/>
      </w:pPr>
      <w:r>
        <w:t>1.6.</w:t>
      </w:r>
      <w:r>
        <w:tab/>
        <w:t>„önjáró tartályhajó”: beépített tartályokban történő áruszállításra tervezett hajó, amely saját géperejével, önállóan képes közlekedni;</w:t>
      </w:r>
    </w:p>
    <w:p w:rsidR="00B267B5" w:rsidRPr="00C903F8" w:rsidRDefault="00B267B5" w:rsidP="00511BF6">
      <w:pPr>
        <w:pStyle w:val="ESch"/>
        <w:rPr>
          <w:rFonts w:cs="Arial"/>
          <w:szCs w:val="20"/>
        </w:rPr>
      </w:pPr>
    </w:p>
    <w:p w:rsidR="00DE4417" w:rsidRPr="00C903F8" w:rsidRDefault="00DE4417" w:rsidP="00511BF6">
      <w:pPr>
        <w:pStyle w:val="ESch"/>
      </w:pPr>
      <w:r>
        <w:t>1.7.</w:t>
      </w:r>
      <w:r>
        <w:tab/>
        <w:t>„önjáró szárazáru-szállító hajó”: áruszállításra tervezett hajó, amely saját géperejével, önállóan képes közlekedni, és nem önjáró tartályhajó;</w:t>
      </w:r>
    </w:p>
    <w:p w:rsidR="009A1D30" w:rsidRPr="00C903F8" w:rsidRDefault="009A1D30" w:rsidP="00511BF6">
      <w:pPr>
        <w:pStyle w:val="ESch"/>
        <w:rPr>
          <w:rFonts w:cs="Arial"/>
          <w:szCs w:val="20"/>
        </w:rPr>
      </w:pPr>
    </w:p>
    <w:p w:rsidR="00DE4417" w:rsidRPr="00C903F8" w:rsidRDefault="00DE4417" w:rsidP="00511BF6">
      <w:pPr>
        <w:pStyle w:val="ESch"/>
        <w:rPr>
          <w:rFonts w:cs="Arial"/>
          <w:szCs w:val="20"/>
        </w:rPr>
      </w:pPr>
      <w:r>
        <w:t>1.8.</w:t>
      </w:r>
      <w:r>
        <w:tab/>
        <w:t>„csatornajáró uszály”: belvízi hajó, amelynek hosszúsága nem haladja meg a 38,5 métert, szélessége pedig az 5,05 métert;</w:t>
      </w:r>
    </w:p>
    <w:p w:rsidR="009A1D30" w:rsidRPr="00C903F8" w:rsidRDefault="009A1D30" w:rsidP="00511BF6">
      <w:pPr>
        <w:pStyle w:val="ESch"/>
      </w:pPr>
    </w:p>
    <w:p w:rsidR="00DE4417" w:rsidRPr="00C903F8" w:rsidRDefault="00DE4417" w:rsidP="00511BF6">
      <w:pPr>
        <w:pStyle w:val="ESch"/>
      </w:pPr>
      <w:r>
        <w:t>1.9.</w:t>
      </w:r>
      <w:r>
        <w:tab/>
        <w:t>„vontatóhajó”: kifejezetten vontatási műveletek végrehajtására épített hajó;</w:t>
      </w:r>
    </w:p>
    <w:p w:rsidR="009A1D30" w:rsidRPr="00C903F8" w:rsidRDefault="009A1D30" w:rsidP="00511BF6">
      <w:pPr>
        <w:pStyle w:val="ESch"/>
        <w:rPr>
          <w:rFonts w:cs="Arial"/>
          <w:szCs w:val="20"/>
        </w:rPr>
      </w:pPr>
    </w:p>
    <w:p w:rsidR="00DE4417" w:rsidRPr="00C903F8" w:rsidRDefault="00DE4417" w:rsidP="00511BF6">
      <w:pPr>
        <w:pStyle w:val="ESch"/>
      </w:pPr>
      <w:r>
        <w:t>1.10.</w:t>
      </w:r>
      <w:r>
        <w:tab/>
        <w:t>„tolóhajó”: kifejezetten tolt kötelék továbbítására épített hajó;</w:t>
      </w:r>
    </w:p>
    <w:p w:rsidR="009A1D30" w:rsidRPr="00C903F8" w:rsidRDefault="009A1D30" w:rsidP="00511BF6">
      <w:pPr>
        <w:pStyle w:val="ESch"/>
        <w:rPr>
          <w:rFonts w:cs="Arial"/>
          <w:szCs w:val="20"/>
        </w:rPr>
      </w:pPr>
    </w:p>
    <w:p w:rsidR="00DE4417" w:rsidRPr="00C903F8" w:rsidRDefault="00DE4417" w:rsidP="00511BF6">
      <w:pPr>
        <w:pStyle w:val="ESch"/>
      </w:pPr>
      <w:r>
        <w:t>1.11.</w:t>
      </w:r>
      <w:r>
        <w:tab/>
        <w:t>„uszály”: szárazáru-szállító uszály vagy tartályuszály;</w:t>
      </w:r>
    </w:p>
    <w:p w:rsidR="009A1D30" w:rsidRPr="00C903F8" w:rsidRDefault="009A1D30" w:rsidP="00511BF6">
      <w:pPr>
        <w:pStyle w:val="ESch"/>
        <w:rPr>
          <w:rFonts w:cs="Arial"/>
          <w:szCs w:val="20"/>
        </w:rPr>
      </w:pPr>
    </w:p>
    <w:p w:rsidR="00DE4417" w:rsidRPr="00C903F8" w:rsidRDefault="00DE4417" w:rsidP="00511BF6">
      <w:pPr>
        <w:pStyle w:val="ESch"/>
      </w:pPr>
      <w:r>
        <w:t>1.12.</w:t>
      </w:r>
      <w:r>
        <w:tab/>
        <w:t>„tartályuszály”: beépített tartályokban történő áruszállításra tervezett és vontatás általi továbbításra épített hajó, saját géperő nélkül, vagy csak annyi géperővel, amely korlátozott helyváltoztatást tesz lehetővé;</w:t>
      </w:r>
    </w:p>
    <w:p w:rsidR="009A1D30" w:rsidRPr="00C903F8" w:rsidRDefault="009A1D30" w:rsidP="00511BF6">
      <w:pPr>
        <w:pStyle w:val="ESch"/>
        <w:rPr>
          <w:rFonts w:cs="Arial"/>
          <w:szCs w:val="20"/>
        </w:rPr>
      </w:pPr>
    </w:p>
    <w:p w:rsidR="00DE4417" w:rsidRPr="00C903F8" w:rsidRDefault="00DE4417" w:rsidP="00511BF6">
      <w:pPr>
        <w:pStyle w:val="ESch"/>
      </w:pPr>
      <w:r>
        <w:t>1.13.</w:t>
      </w:r>
      <w:r>
        <w:tab/>
        <w:t>„szárazáru-szállító uszály”: áruszállításra tervezett és vontatás általi továbbításra épített, tartályuszálytól eltérő hajó, saját géperő nélkül, vagy csak annyi géperővel, amely korlátozott helyváltoztatást tesz lehetővé;</w:t>
      </w:r>
    </w:p>
    <w:p w:rsidR="009A1D30" w:rsidRPr="00C903F8" w:rsidRDefault="009A1D30" w:rsidP="00511BF6">
      <w:pPr>
        <w:pStyle w:val="ESch"/>
        <w:rPr>
          <w:rFonts w:cs="Arial"/>
          <w:szCs w:val="20"/>
        </w:rPr>
      </w:pPr>
    </w:p>
    <w:p w:rsidR="00DE4417" w:rsidRPr="00C903F8" w:rsidRDefault="00DE4417" w:rsidP="00511BF6">
      <w:pPr>
        <w:pStyle w:val="ESch"/>
        <w:rPr>
          <w:rFonts w:cs="Arial"/>
          <w:szCs w:val="20"/>
        </w:rPr>
      </w:pPr>
      <w:r>
        <w:t>1.14.</w:t>
      </w:r>
      <w:r>
        <w:tab/>
        <w:t>„bárka”: tartálybárka, szárazáru-szállító bárka vagy hajón szállítható bárka;</w:t>
      </w:r>
    </w:p>
    <w:p w:rsidR="009A1D30" w:rsidRPr="00C903F8" w:rsidRDefault="009A1D30" w:rsidP="00511BF6">
      <w:pPr>
        <w:pStyle w:val="ESch"/>
        <w:rPr>
          <w:rFonts w:cs="Arial"/>
          <w:szCs w:val="20"/>
        </w:rPr>
      </w:pPr>
    </w:p>
    <w:p w:rsidR="009A1D30" w:rsidRPr="00C903F8" w:rsidRDefault="009A1D30" w:rsidP="00511BF6">
      <w:pPr>
        <w:pStyle w:val="ESch"/>
        <w:rPr>
          <w:rFonts w:cs="Arial"/>
          <w:szCs w:val="20"/>
        </w:rPr>
      </w:pPr>
      <w:r>
        <w:br w:type="page"/>
      </w:r>
    </w:p>
    <w:p w:rsidR="00DE4417" w:rsidRPr="00C903F8" w:rsidRDefault="00DE4417" w:rsidP="00511BF6">
      <w:pPr>
        <w:pStyle w:val="ESch"/>
      </w:pPr>
      <w:r>
        <w:t>1.15.</w:t>
      </w:r>
      <w:r>
        <w:tab/>
        <w:t>„tartálybárka”: beépített tartályokban történő áruszállításra tervezett és tolás általi továbbításra épített vagy erre a célra átalakított hajó, saját géperő nélkül, vagy csak annyi géperővel, amely korlátozott helyváltoztatást tesz lehetővé, amikor a bárka nem része tolt köteléknek;</w:t>
      </w:r>
    </w:p>
    <w:p w:rsidR="009A1D30" w:rsidRPr="00C903F8" w:rsidRDefault="009A1D30" w:rsidP="00511BF6">
      <w:pPr>
        <w:pStyle w:val="ESch"/>
        <w:rPr>
          <w:rFonts w:cs="Arial"/>
          <w:szCs w:val="20"/>
        </w:rPr>
      </w:pPr>
    </w:p>
    <w:p w:rsidR="00DE4417" w:rsidRPr="00C903F8" w:rsidRDefault="00DE4417" w:rsidP="00511BF6">
      <w:pPr>
        <w:pStyle w:val="ESch"/>
      </w:pPr>
      <w:r>
        <w:t>1.16.</w:t>
      </w:r>
      <w:r>
        <w:tab/>
        <w:t>„szárazáru-szállító bárka”: áruszállításra tervezett és tolás általi továbbításra épített vagy erre a célra átalakított, tartálybárkától eltérő hajó, saját géperő nélkül, vagy csak annyi géperővel, amely korlátozott helyváltoztatást tesz lehetővé, amikor a bárka nem része tolt köteléknek;</w:t>
      </w:r>
    </w:p>
    <w:p w:rsidR="009A1D30" w:rsidRPr="00C903F8" w:rsidRDefault="009A1D30" w:rsidP="00511BF6">
      <w:pPr>
        <w:pStyle w:val="ESch"/>
        <w:rPr>
          <w:rFonts w:cs="Arial"/>
          <w:szCs w:val="20"/>
        </w:rPr>
      </w:pPr>
    </w:p>
    <w:p w:rsidR="00DE4417" w:rsidRPr="00C903F8" w:rsidRDefault="00DE4417" w:rsidP="00511BF6">
      <w:pPr>
        <w:pStyle w:val="ESch"/>
      </w:pPr>
      <w:r>
        <w:t>1.17.</w:t>
      </w:r>
      <w:r>
        <w:tab/>
        <w:t>„hajón szállítható bárka”: tengerjáró hajók fedélzetén történő szállításra és belvízi utakon való közlekedésre épített bárka;</w:t>
      </w:r>
    </w:p>
    <w:p w:rsidR="009A1D30" w:rsidRPr="00C903F8" w:rsidRDefault="009A1D30" w:rsidP="00511BF6">
      <w:pPr>
        <w:pStyle w:val="ESch"/>
        <w:rPr>
          <w:rFonts w:cs="Arial"/>
          <w:szCs w:val="20"/>
        </w:rPr>
      </w:pPr>
    </w:p>
    <w:p w:rsidR="00DE4417" w:rsidRPr="00C903F8" w:rsidRDefault="00DE4417" w:rsidP="00511BF6">
      <w:pPr>
        <w:pStyle w:val="ESch"/>
      </w:pPr>
      <w:r>
        <w:t>1.18.</w:t>
      </w:r>
      <w:r>
        <w:tab/>
        <w:t>„személyhajó”: 12-nél több utas szállítására épített és berendezett, egynapos utazásra alkalmas hajó vagy kabinos hajó;</w:t>
      </w:r>
    </w:p>
    <w:p w:rsidR="009A1D30" w:rsidRPr="00C903F8" w:rsidRDefault="009A1D30" w:rsidP="00511BF6">
      <w:pPr>
        <w:pStyle w:val="ESch"/>
        <w:rPr>
          <w:rFonts w:cs="Arial"/>
          <w:szCs w:val="20"/>
        </w:rPr>
      </w:pPr>
    </w:p>
    <w:p w:rsidR="00DE4417" w:rsidRPr="00C903F8" w:rsidRDefault="00DE4417" w:rsidP="00511BF6">
      <w:pPr>
        <w:pStyle w:val="ESch"/>
      </w:pPr>
      <w:r>
        <w:t>1.19.</w:t>
      </w:r>
      <w:r>
        <w:tab/>
        <w:t>„vitorlás személyhajó”: vitorlával való meghajtásra is alkalmas módon épített és felszerelt személyhajó;</w:t>
      </w:r>
    </w:p>
    <w:p w:rsidR="009A1D30" w:rsidRPr="00C903F8" w:rsidRDefault="009A1D30" w:rsidP="00511BF6">
      <w:pPr>
        <w:pStyle w:val="ESch"/>
        <w:rPr>
          <w:rFonts w:cs="Arial"/>
          <w:szCs w:val="20"/>
        </w:rPr>
      </w:pPr>
    </w:p>
    <w:p w:rsidR="00DE4417" w:rsidRPr="00C903F8" w:rsidRDefault="00DE4417" w:rsidP="00511BF6">
      <w:pPr>
        <w:pStyle w:val="ESch"/>
      </w:pPr>
      <w:r>
        <w:t>1.20.</w:t>
      </w:r>
      <w:r>
        <w:tab/>
        <w:t>„egynapos utazásra alkalmas hajó”: utashálókabinok nélküli személyhajó;</w:t>
      </w:r>
    </w:p>
    <w:p w:rsidR="009A1D30" w:rsidRPr="00C903F8" w:rsidRDefault="009A1D30" w:rsidP="00511BF6">
      <w:pPr>
        <w:pStyle w:val="ESch"/>
        <w:rPr>
          <w:rFonts w:cs="Arial"/>
          <w:szCs w:val="20"/>
        </w:rPr>
      </w:pPr>
    </w:p>
    <w:p w:rsidR="00DE4417" w:rsidRPr="00C903F8" w:rsidRDefault="00DE4417" w:rsidP="00511BF6">
      <w:pPr>
        <w:pStyle w:val="ESch"/>
      </w:pPr>
      <w:r>
        <w:t>1.21.</w:t>
      </w:r>
      <w:r>
        <w:tab/>
        <w:t>„kabinos hajó”: utashálókabinokkal rendelkező személyhajó;</w:t>
      </w:r>
    </w:p>
    <w:p w:rsidR="009A1D30" w:rsidRPr="00C903F8" w:rsidRDefault="009A1D30" w:rsidP="00511BF6">
      <w:pPr>
        <w:pStyle w:val="ESch"/>
        <w:rPr>
          <w:rFonts w:cs="Arial"/>
          <w:szCs w:val="20"/>
        </w:rPr>
      </w:pPr>
    </w:p>
    <w:p w:rsidR="00DE4417" w:rsidRPr="00C903F8" w:rsidRDefault="00DE4417" w:rsidP="00511BF6">
      <w:pPr>
        <w:pStyle w:val="ESch"/>
      </w:pPr>
      <w:r>
        <w:t>1.22.</w:t>
      </w:r>
      <w:r>
        <w:tab/>
        <w:t>„gyorsjáratú hajó”: 40 km/h-nál nagyobb vízhez viszonyított sebességre képes önjáró hajó;</w:t>
      </w:r>
    </w:p>
    <w:p w:rsidR="009A1D30" w:rsidRPr="00C903F8" w:rsidRDefault="009A1D30" w:rsidP="00511BF6">
      <w:pPr>
        <w:pStyle w:val="ESch"/>
        <w:rPr>
          <w:rFonts w:cs="Arial"/>
          <w:szCs w:val="20"/>
        </w:rPr>
      </w:pPr>
    </w:p>
    <w:p w:rsidR="00DE4417" w:rsidRPr="00C903F8" w:rsidRDefault="009A1D30" w:rsidP="00511BF6">
      <w:pPr>
        <w:pStyle w:val="ESch"/>
      </w:pPr>
      <w:r>
        <w:t>1.23.</w:t>
      </w:r>
      <w:r>
        <w:tab/>
        <w:t>„úszó munkagép”: munkagéppel, pl. daruval, kotrógéppel, cölöpverővel, elevátorral rendelkező úszó létesítmény;</w:t>
      </w:r>
    </w:p>
    <w:p w:rsidR="009A1D30" w:rsidRPr="00C903F8" w:rsidRDefault="009A1D30" w:rsidP="00511BF6">
      <w:pPr>
        <w:pStyle w:val="ESch"/>
        <w:rPr>
          <w:rFonts w:cs="Arial"/>
          <w:szCs w:val="20"/>
        </w:rPr>
      </w:pPr>
    </w:p>
    <w:p w:rsidR="00DE4417" w:rsidRPr="00C903F8" w:rsidRDefault="00DE4417" w:rsidP="00511BF6">
      <w:pPr>
        <w:pStyle w:val="ESch"/>
      </w:pPr>
      <w:r>
        <w:t>1.24.</w:t>
      </w:r>
      <w:r>
        <w:tab/>
        <w:t>„munkaterületen használt vízi jármű”: munkaterületen való használatra megfelelően épített és felszerelt hajó, pl. lecsapolóbárka, fenékürítős vagy pontonbárka, ponton vagy kőlerakó hajó;</w:t>
      </w:r>
    </w:p>
    <w:p w:rsidR="009A1D30" w:rsidRPr="00C903F8" w:rsidRDefault="009A1D30" w:rsidP="00511BF6">
      <w:pPr>
        <w:pStyle w:val="ESch"/>
        <w:rPr>
          <w:rFonts w:cs="Arial"/>
          <w:szCs w:val="20"/>
        </w:rPr>
      </w:pPr>
    </w:p>
    <w:p w:rsidR="00DE4417" w:rsidRPr="00C903F8" w:rsidRDefault="00DE4417" w:rsidP="00511BF6">
      <w:pPr>
        <w:pStyle w:val="ESch"/>
      </w:pPr>
      <w:r>
        <w:t>1.25.</w:t>
      </w:r>
      <w:r>
        <w:tab/>
        <w:t>„kedvtelési célú vízi jármű”: személyhajótól eltérő, sportolási vagy pihenési célra tervezett hajó;</w:t>
      </w:r>
    </w:p>
    <w:p w:rsidR="009A1D30" w:rsidRPr="00C903F8" w:rsidRDefault="009A1D30" w:rsidP="00511BF6">
      <w:pPr>
        <w:pStyle w:val="ESch"/>
        <w:rPr>
          <w:rFonts w:cs="Arial"/>
          <w:szCs w:val="20"/>
        </w:rPr>
      </w:pPr>
    </w:p>
    <w:p w:rsidR="00DE4417" w:rsidRPr="00C903F8" w:rsidRDefault="00DE4417" w:rsidP="00511BF6">
      <w:pPr>
        <w:pStyle w:val="ESch"/>
      </w:pPr>
      <w:r>
        <w:t>1.26.</w:t>
      </w:r>
      <w:r>
        <w:tab/>
        <w:t>„szolgálati csónak”: szállításra, mentésre, helyreállításra és munkavégzésre alkalmas csónak;</w:t>
      </w:r>
    </w:p>
    <w:p w:rsidR="009A1D30" w:rsidRPr="00C903F8" w:rsidRDefault="009A1D30" w:rsidP="00511BF6">
      <w:pPr>
        <w:pStyle w:val="ESch"/>
        <w:rPr>
          <w:rFonts w:cs="Arial"/>
          <w:szCs w:val="20"/>
        </w:rPr>
      </w:pPr>
    </w:p>
    <w:p w:rsidR="00DE4417" w:rsidRPr="00C903F8" w:rsidRDefault="00DE4417" w:rsidP="00511BF6">
      <w:pPr>
        <w:pStyle w:val="ESch"/>
      </w:pPr>
      <w:r>
        <w:t>1.27.</w:t>
      </w:r>
      <w:r>
        <w:tab/>
        <w:t>„úszómű”: helyváltoztatásra általában nem szolgáló úszó létesítmény (pl. fürdőhajó, úszódokk, kikötőponton, csónakház);</w:t>
      </w:r>
    </w:p>
    <w:p w:rsidR="009A1D30" w:rsidRPr="00C903F8" w:rsidRDefault="009A1D30" w:rsidP="00511BF6">
      <w:pPr>
        <w:pStyle w:val="ESch"/>
        <w:rPr>
          <w:rFonts w:cs="Arial"/>
          <w:szCs w:val="20"/>
        </w:rPr>
      </w:pPr>
    </w:p>
    <w:p w:rsidR="00DE4417" w:rsidRPr="00C903F8" w:rsidRDefault="00DE4417" w:rsidP="00511BF6">
      <w:pPr>
        <w:pStyle w:val="ESch"/>
      </w:pPr>
      <w:r>
        <w:t>1.28.</w:t>
      </w:r>
      <w:r>
        <w:tab/>
        <w:t>„egyéb úszólétesítmény”: tutaj vagy más, hajózásra alkalmas struktúra, tárgy vagy összeállítás, amely nem hajó, úszó munkagép vagy úszómű;</w:t>
      </w:r>
    </w:p>
    <w:p w:rsidR="009A1D30" w:rsidRDefault="009A1D30" w:rsidP="00511BF6">
      <w:pPr>
        <w:pStyle w:val="ESch"/>
        <w:rPr>
          <w:rFonts w:cs="Arial"/>
          <w:b/>
          <w:szCs w:val="20"/>
        </w:rPr>
      </w:pPr>
    </w:p>
    <w:p w:rsidR="00881510" w:rsidRPr="003B0440" w:rsidRDefault="00881510" w:rsidP="00511BF6">
      <w:pPr>
        <w:pStyle w:val="ESch"/>
      </w:pPr>
      <w:r>
        <w:t>1.29.</w:t>
      </w:r>
      <w:r>
        <w:tab/>
        <w:t>„tradicionális vízi jármű”: olyan vízi jármű, amelyet kora, műszaki jellege vagy felépítése, ritkasága, a tengerészeti hagyományok vagy a tradicionális belvízi hajózási technikák megőrzésével kapcsolatos jelentősége, illetve egy adott korszakkal kapcsolatos történelmi jelentősége miatt érdemes megőrizni, és amelyet különösen bemutatási célból üzemeltetnek, vagy egy ilyen vízi jármű másolata;</w:t>
      </w:r>
    </w:p>
    <w:p w:rsidR="00881510" w:rsidRPr="003B0440" w:rsidRDefault="00881510" w:rsidP="00511BF6">
      <w:pPr>
        <w:pStyle w:val="ESch"/>
      </w:pPr>
    </w:p>
    <w:p w:rsidR="00881510" w:rsidRPr="003B0440" w:rsidRDefault="00881510" w:rsidP="00881510">
      <w:pPr>
        <w:pStyle w:val="ESch"/>
      </w:pPr>
      <w:r>
        <w:t>1.30.</w:t>
      </w:r>
      <w:r>
        <w:tab/>
        <w:t>„tradicionális vízi jármű másolata”: olyan vízi jármű, amelyet tervek vagy sablonok alapján nagyrészt eredeti anyagokból, megfelelő építési módszer alkalmazásával tradicionális vízi jármű gyanánt építettek.</w:t>
      </w:r>
    </w:p>
    <w:p w:rsidR="00881510" w:rsidRPr="00C903F8" w:rsidRDefault="00881510" w:rsidP="00511BF6">
      <w:pPr>
        <w:pStyle w:val="ESch"/>
        <w:rPr>
          <w:rFonts w:cs="Arial"/>
          <w:b/>
          <w:szCs w:val="20"/>
        </w:rPr>
      </w:pPr>
    </w:p>
    <w:p w:rsidR="003B0440" w:rsidRDefault="003B0440">
      <w:pPr>
        <w:rPr>
          <w:rFonts w:cs="Arial"/>
          <w:b/>
          <w:szCs w:val="20"/>
        </w:rPr>
      </w:pPr>
      <w:r>
        <w:br w:type="page"/>
      </w:r>
    </w:p>
    <w:p w:rsidR="009A1D30" w:rsidRPr="00C903F8" w:rsidRDefault="009A1D30" w:rsidP="00511BF6">
      <w:pPr>
        <w:pStyle w:val="ESch"/>
        <w:rPr>
          <w:rFonts w:cs="Arial"/>
          <w:b/>
          <w:szCs w:val="20"/>
        </w:rPr>
      </w:pPr>
    </w:p>
    <w:p w:rsidR="00DE4417" w:rsidRPr="00C903F8" w:rsidRDefault="00DE4417" w:rsidP="00511BF6">
      <w:pPr>
        <w:pStyle w:val="ESch"/>
      </w:pPr>
      <w:r>
        <w:rPr>
          <w:b/>
        </w:rPr>
        <w:t>2.</w:t>
      </w:r>
      <w:r>
        <w:tab/>
      </w:r>
      <w:r>
        <w:rPr>
          <w:b/>
        </w:rPr>
        <w:t>Vízijármű-összeállítások</w:t>
      </w:r>
    </w:p>
    <w:p w:rsidR="009A1D30" w:rsidRPr="00C903F8" w:rsidRDefault="009A1D30" w:rsidP="00511BF6">
      <w:pPr>
        <w:pStyle w:val="ESch"/>
        <w:rPr>
          <w:rFonts w:cs="Arial"/>
          <w:szCs w:val="20"/>
        </w:rPr>
      </w:pPr>
    </w:p>
    <w:p w:rsidR="00DE4417" w:rsidRPr="00C903F8" w:rsidRDefault="00DE4417" w:rsidP="00511BF6">
      <w:pPr>
        <w:pStyle w:val="ESch"/>
      </w:pPr>
      <w:r>
        <w:t>2.1.</w:t>
      </w:r>
      <w:r>
        <w:tab/>
        <w:t>„kötelék”: vízi járművek merev vagy vontatott köteléke;</w:t>
      </w:r>
    </w:p>
    <w:p w:rsidR="009A1D30" w:rsidRPr="00C903F8" w:rsidRDefault="009A1D30" w:rsidP="00511BF6">
      <w:pPr>
        <w:pStyle w:val="ESch"/>
        <w:rPr>
          <w:rFonts w:cs="Arial"/>
          <w:szCs w:val="20"/>
        </w:rPr>
      </w:pPr>
    </w:p>
    <w:p w:rsidR="00DE4417" w:rsidRPr="00C903F8" w:rsidRDefault="00DE4417" w:rsidP="00511BF6">
      <w:pPr>
        <w:pStyle w:val="ESch"/>
        <w:rPr>
          <w:rFonts w:cs="Arial"/>
          <w:szCs w:val="20"/>
        </w:rPr>
      </w:pPr>
      <w:r>
        <w:t>2.2.</w:t>
      </w:r>
      <w:r>
        <w:tab/>
        <w:t>„alakzat”: a kötelék összeállításának módja;</w:t>
      </w:r>
    </w:p>
    <w:p w:rsidR="009A1D30" w:rsidRPr="00C903F8" w:rsidRDefault="009A1D30" w:rsidP="00511BF6">
      <w:pPr>
        <w:pStyle w:val="ESch"/>
        <w:rPr>
          <w:rFonts w:cs="Arial"/>
          <w:szCs w:val="20"/>
        </w:rPr>
      </w:pPr>
    </w:p>
    <w:p w:rsidR="00DE4417" w:rsidRPr="00C903F8" w:rsidRDefault="00DE4417" w:rsidP="00511BF6">
      <w:pPr>
        <w:pStyle w:val="ESch"/>
      </w:pPr>
      <w:r>
        <w:t>2.3.</w:t>
      </w:r>
      <w:r>
        <w:tab/>
        <w:t>„merev kötelék”: tolt kötelék vagy mellévett alakzat;</w:t>
      </w:r>
    </w:p>
    <w:p w:rsidR="009A1D30" w:rsidRPr="00C903F8" w:rsidRDefault="009A1D30" w:rsidP="00511BF6">
      <w:pPr>
        <w:pStyle w:val="ESch"/>
        <w:rPr>
          <w:rFonts w:cs="Arial"/>
          <w:szCs w:val="20"/>
        </w:rPr>
      </w:pPr>
    </w:p>
    <w:p w:rsidR="00DE4417" w:rsidRPr="00C903F8" w:rsidRDefault="00DE4417" w:rsidP="00511BF6">
      <w:pPr>
        <w:pStyle w:val="ESch"/>
      </w:pPr>
      <w:r>
        <w:t>2.4.</w:t>
      </w:r>
      <w:r>
        <w:tab/>
        <w:t xml:space="preserve">„tolt kötelék”: vízi járművek olyan merev összeállítása, amelyben legalább az egyik vízi jármű a kötelék meghajtásához energiát biztosító vízi jármű(vek) – azaz a tolóhajó(k) – előtt helyezkedik el; az egy tolóhajóból és egy tolt vízi járműből álló kötelék, amelynek </w:t>
      </w:r>
      <w:r w:rsidR="00101A80">
        <w:t>csatolási módja</w:t>
      </w:r>
      <w:r>
        <w:t xml:space="preserve"> lehetővé teszi a</w:t>
      </w:r>
      <w:r w:rsidR="00842442">
        <w:t xml:space="preserve"> vezérelt</w:t>
      </w:r>
      <w:r>
        <w:t xml:space="preserve"> </w:t>
      </w:r>
      <w:r w:rsidR="00101A80">
        <w:t>kihajlást</w:t>
      </w:r>
      <w:r>
        <w:t>, szintén merev alakzatnak minősül;</w:t>
      </w:r>
    </w:p>
    <w:p w:rsidR="009A1D30" w:rsidRPr="00C903F8" w:rsidRDefault="009A1D30" w:rsidP="00511BF6">
      <w:pPr>
        <w:pStyle w:val="ESch"/>
        <w:rPr>
          <w:rFonts w:cs="Arial"/>
          <w:szCs w:val="20"/>
        </w:rPr>
      </w:pPr>
    </w:p>
    <w:p w:rsidR="00DE4417" w:rsidRPr="00C903F8" w:rsidRDefault="00DE4417" w:rsidP="00511BF6">
      <w:pPr>
        <w:pStyle w:val="ESch"/>
      </w:pPr>
      <w:r>
        <w:t>2.5.</w:t>
      </w:r>
      <w:r>
        <w:tab/>
        <w:t>„mellévett alakzat”: vízi járművek merev összeállítása, amelyben egyik jármű sem kerül az összeállítást meghajtó jármű elé;</w:t>
      </w:r>
    </w:p>
    <w:p w:rsidR="009A1D30" w:rsidRPr="00C903F8" w:rsidRDefault="009A1D30" w:rsidP="00511BF6">
      <w:pPr>
        <w:pStyle w:val="ESch"/>
        <w:rPr>
          <w:rFonts w:cs="Arial"/>
          <w:szCs w:val="20"/>
        </w:rPr>
      </w:pPr>
    </w:p>
    <w:p w:rsidR="00DE4417" w:rsidRPr="00C903F8" w:rsidRDefault="00DE4417" w:rsidP="00511BF6">
      <w:pPr>
        <w:pStyle w:val="ESch"/>
      </w:pPr>
      <w:r>
        <w:t>2.6.</w:t>
      </w:r>
      <w:r>
        <w:tab/>
        <w:t>„vontatott kötelék”: egy vagy több vízi járműből, úszóműből vagy egyéb úszólétesítményből álló összeállítás, amelyet a kötelék részét képező egy vagy több önjáró vízi jármű vontat.</w:t>
      </w:r>
    </w:p>
    <w:p w:rsidR="009A1D30" w:rsidRPr="00C903F8" w:rsidRDefault="009A1D30" w:rsidP="00511BF6">
      <w:pPr>
        <w:pStyle w:val="ESch"/>
        <w:rPr>
          <w:rFonts w:cs="Arial"/>
          <w:b/>
          <w:szCs w:val="20"/>
        </w:rPr>
      </w:pPr>
    </w:p>
    <w:p w:rsidR="009A1D30" w:rsidRPr="00C903F8" w:rsidRDefault="009A1D30" w:rsidP="00511BF6">
      <w:pPr>
        <w:pStyle w:val="ESch"/>
        <w:rPr>
          <w:rFonts w:cs="Arial"/>
          <w:b/>
          <w:szCs w:val="20"/>
        </w:rPr>
      </w:pPr>
    </w:p>
    <w:p w:rsidR="00DE4417" w:rsidRPr="00C903F8" w:rsidRDefault="00DE4417" w:rsidP="00511BF6">
      <w:pPr>
        <w:pStyle w:val="ESch"/>
        <w:rPr>
          <w:b/>
        </w:rPr>
      </w:pPr>
      <w:r>
        <w:rPr>
          <w:b/>
        </w:rPr>
        <w:t>3.</w:t>
      </w:r>
      <w:r>
        <w:tab/>
      </w:r>
      <w:r>
        <w:rPr>
          <w:b/>
        </w:rPr>
        <w:t>A fedélzeten található területek</w:t>
      </w:r>
    </w:p>
    <w:p w:rsidR="009A1D30" w:rsidRPr="00C903F8" w:rsidRDefault="009A1D30" w:rsidP="00511BF6">
      <w:pPr>
        <w:pStyle w:val="ESch"/>
        <w:rPr>
          <w:rFonts w:cs="Arial"/>
          <w:szCs w:val="20"/>
        </w:rPr>
      </w:pPr>
    </w:p>
    <w:p w:rsidR="00DE4417" w:rsidRPr="00C903F8" w:rsidRDefault="00DE4417" w:rsidP="00511BF6">
      <w:pPr>
        <w:pStyle w:val="ESch"/>
      </w:pPr>
      <w:r>
        <w:t>3.1.</w:t>
      </w:r>
      <w:r>
        <w:tab/>
        <w:t>„főgéptér”: az a hely, ahol a meghajtómotorok fel vannak szerelve;</w:t>
      </w:r>
    </w:p>
    <w:p w:rsidR="009A1D30" w:rsidRPr="00C903F8" w:rsidRDefault="009A1D30" w:rsidP="00511BF6">
      <w:pPr>
        <w:pStyle w:val="ESch"/>
        <w:rPr>
          <w:rFonts w:cs="Arial"/>
          <w:szCs w:val="20"/>
        </w:rPr>
      </w:pPr>
    </w:p>
    <w:p w:rsidR="00DE4417" w:rsidRPr="00F125EF" w:rsidRDefault="00DE4417" w:rsidP="00511BF6">
      <w:pPr>
        <w:pStyle w:val="ESch"/>
        <w:rPr>
          <w:lang w:val="es-ES"/>
        </w:rPr>
      </w:pPr>
      <w:r w:rsidRPr="00F125EF">
        <w:rPr>
          <w:lang w:val="es-ES"/>
        </w:rPr>
        <w:t>3.2.</w:t>
      </w:r>
      <w:r w:rsidRPr="00F125EF">
        <w:rPr>
          <w:lang w:val="es-ES"/>
        </w:rPr>
        <w:tab/>
        <w:t>„géptér”: az a hely, ahol a belső égésű motorok fel vannak szerelve;</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3.3.</w:t>
      </w:r>
      <w:r w:rsidRPr="00F125EF">
        <w:rPr>
          <w:lang w:val="es-ES"/>
        </w:rPr>
        <w:tab/>
        <w:t>„kazántér”: az a hely, ahol a gőz előállítására vagy a termikus folyadék melegítésére tervezett, üzemanyaggal működő berendezés található;</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3.4.</w:t>
      </w:r>
      <w:r w:rsidRPr="00F125EF">
        <w:rPr>
          <w:lang w:val="es-ES"/>
        </w:rPr>
        <w:tab/>
        <w:t>„elektromos kiszolgáló helyiség”: az elektromos propulziós rendszer komponenseinek, például elektromos kapcsolószekrényeknek vagy elektromotoroknak az elhelyezésére szolgáló helyiség, amely nem főgéptér vagy géptér;</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3.5.</w:t>
      </w:r>
      <w:r w:rsidRPr="00F125EF">
        <w:rPr>
          <w:lang w:val="es-ES"/>
        </w:rPr>
        <w:tab/>
        <w:t>„zárt felépítmény”: a fedélzethez tartósan és vízmentesen kapcsolódó vízmentes, merev falú, összefüggő merev építmény;</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3.6.</w:t>
      </w:r>
      <w:r w:rsidRPr="00F125EF">
        <w:rPr>
          <w:lang w:val="es-ES"/>
        </w:rPr>
        <w:tab/>
        <w:t>„kormányállás”: az a hely, ahol a hajó vezetéséhez szükséges valamennyi vezérlő és ellenőrző műszer található;</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3.7.</w:t>
      </w:r>
      <w:r w:rsidRPr="00F125EF">
        <w:rPr>
          <w:lang w:val="es-ES"/>
        </w:rPr>
        <w:tab/>
        <w:t>„lakótér”: a szokásosan a hajón élő személyek általi használatra szolgáló hely, beleértve a konyhákat, raktárhelyiségeket, WC-ket, mosdókat, mosóhelyiségeket és átjárókat, de nem beleértve a kormányállást;</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3.8.</w:t>
      </w:r>
      <w:r w:rsidRPr="00F125EF">
        <w:rPr>
          <w:lang w:val="es-ES"/>
        </w:rPr>
        <w:tab/>
        <w:t>„utastér”: az utasok általi használatra szolgáló fedélzeti helyiségek, valamint zárt terek, például társalgók, irodák, üzletek, fodrászüzletek, szárítóhelyiségek, mosóhelyiségek, szaunák, WC-k, mosdók, átjárók, összekötő folyosók és fallal nem körülzárt lépcsők;</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3.9.</w:t>
      </w:r>
      <w:r w:rsidRPr="00F125EF">
        <w:rPr>
          <w:lang w:val="es-ES"/>
        </w:rPr>
        <w:tab/>
        <w:t>„vezérlőközpont”: kormányállás; az a hely, ahol a vészhelyzeti energiaellátó berendezés vagy annak részei találhatók; vagy az a központ, ahol a kiszolgáló személyzet vagy a legénység tagjai állandó szolgálatot teljesítenek, például tűzriasztó berendezések, ajtó-távvezérlők vagy tűzvédelmi csappantyúk közelében;</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3.10.</w:t>
      </w:r>
      <w:r w:rsidRPr="00F125EF">
        <w:rPr>
          <w:lang w:val="es-ES"/>
        </w:rPr>
        <w:tab/>
        <w:t>„lépcsőház”: belső lépcső vagy lift aknája;</w:t>
      </w:r>
    </w:p>
    <w:p w:rsidR="009A1D30" w:rsidRPr="00F125EF" w:rsidRDefault="009A1D30" w:rsidP="00511BF6">
      <w:pPr>
        <w:pStyle w:val="ESch"/>
        <w:rPr>
          <w:rFonts w:cs="Arial"/>
          <w:szCs w:val="20"/>
          <w:lang w:val="es-ES"/>
        </w:rPr>
      </w:pPr>
    </w:p>
    <w:p w:rsidR="003B0440" w:rsidRPr="00F125EF" w:rsidRDefault="003B0440">
      <w:pPr>
        <w:rPr>
          <w:rFonts w:cs="Arial"/>
          <w:szCs w:val="20"/>
          <w:lang w:val="es-ES"/>
        </w:rPr>
      </w:pPr>
      <w:r w:rsidRPr="00F125EF">
        <w:rPr>
          <w:lang w:val="es-ES"/>
        </w:rPr>
        <w:br w:type="page"/>
      </w:r>
    </w:p>
    <w:p w:rsidR="003B0440" w:rsidRPr="00F125EF" w:rsidRDefault="003B0440" w:rsidP="00511BF6">
      <w:pPr>
        <w:pStyle w:val="ESch"/>
        <w:rPr>
          <w:rFonts w:cs="Arial"/>
          <w:szCs w:val="20"/>
          <w:lang w:val="es-ES"/>
        </w:rPr>
      </w:pPr>
    </w:p>
    <w:p w:rsidR="00DE4417" w:rsidRPr="00F125EF" w:rsidRDefault="00DE4417" w:rsidP="00511BF6">
      <w:pPr>
        <w:pStyle w:val="ESch"/>
        <w:rPr>
          <w:rFonts w:cs="Arial"/>
          <w:szCs w:val="20"/>
          <w:lang w:val="es-ES"/>
        </w:rPr>
      </w:pPr>
      <w:r w:rsidRPr="00F125EF">
        <w:rPr>
          <w:lang w:val="es-ES"/>
        </w:rPr>
        <w:t>3.11.</w:t>
      </w:r>
      <w:r w:rsidRPr="00F125EF">
        <w:rPr>
          <w:lang w:val="es-ES"/>
        </w:rPr>
        <w:tab/>
        <w:t>„társalgó”: a lakótér vagy az utastér egyik helyisége. Személyhajóknál a konyha nem minősül társalgónak;</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3.12.</w:t>
      </w:r>
      <w:r w:rsidRPr="00F125EF">
        <w:rPr>
          <w:lang w:val="es-ES"/>
        </w:rPr>
        <w:tab/>
        <w:t>„konyha”: tűzhellyel vagy más hasonló főzőberendezéssel felszerelt helyiség;</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3.13.</w:t>
      </w:r>
      <w:r w:rsidRPr="00F125EF">
        <w:rPr>
          <w:lang w:val="es-ES"/>
        </w:rPr>
        <w:tab/>
        <w:t>„raktárhelyiség”: gyúlékony folyadékok tárolására használt helyiség vagy a készletek tárolására használt olyan helyiség, amelynek területe meghaladja a 4 m</w:t>
      </w:r>
      <w:r w:rsidRPr="00F125EF">
        <w:rPr>
          <w:vertAlign w:val="superscript"/>
          <w:lang w:val="es-ES"/>
        </w:rPr>
        <w:t>2</w:t>
      </w:r>
      <w:r w:rsidRPr="00F125EF">
        <w:rPr>
          <w:lang w:val="es-ES"/>
        </w:rPr>
        <w:t>-t;</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3.14.</w:t>
      </w:r>
      <w:r w:rsidRPr="00F125EF">
        <w:rPr>
          <w:lang w:val="es-ES"/>
        </w:rPr>
        <w:tab/>
        <w:t>„rakománytér”: a hajó azon része, amelyet elölről és hátulról nyílásfedéllel nyitható és zárható válaszfalak határolnak, és amely csomagolt vagy ömlesztett áru tárolására, illetve a hajótest részét nem képező tartályok elhelyezésére szolgál;</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3.15.</w:t>
      </w:r>
      <w:r w:rsidRPr="00F125EF">
        <w:rPr>
          <w:lang w:val="es-ES"/>
        </w:rPr>
        <w:tab/>
        <w:t>„beépített tartály”: a hajóhoz kapcsolódó tartály, amelynek falait vagy maga a hajótest alkotja, vagy a hajótesttől elkülönülő borítás;</w:t>
      </w:r>
    </w:p>
    <w:p w:rsidR="009A1D30" w:rsidRPr="00F125EF" w:rsidRDefault="009A1D30" w:rsidP="00511BF6">
      <w:pPr>
        <w:pStyle w:val="ESch"/>
        <w:rPr>
          <w:rFonts w:cs="Arial"/>
          <w:szCs w:val="20"/>
          <w:lang w:val="es-ES"/>
        </w:rPr>
      </w:pPr>
    </w:p>
    <w:p w:rsidR="00DE4417" w:rsidRPr="00F125EF" w:rsidRDefault="00D71B1A" w:rsidP="00511BF6">
      <w:pPr>
        <w:pStyle w:val="ESch"/>
        <w:rPr>
          <w:lang w:val="es-ES"/>
        </w:rPr>
      </w:pPr>
      <w:r w:rsidRPr="00F125EF">
        <w:rPr>
          <w:lang w:val="es-ES"/>
        </w:rPr>
        <w:t>3.16.</w:t>
      </w:r>
      <w:r w:rsidRPr="00F125EF">
        <w:rPr>
          <w:lang w:val="es-ES"/>
        </w:rPr>
        <w:tab/>
        <w:t>„munkaállomás”: az a hely, ahol a legénység tagjai munkájukat végzik, beleértve a feljáróhidat, az árbócdarut és a szolgálati csónakot;</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3.17.</w:t>
      </w:r>
      <w:r w:rsidRPr="00F125EF">
        <w:rPr>
          <w:lang w:val="es-ES"/>
        </w:rPr>
        <w:tab/>
        <w:t>„átjáró”: személyek és áruk szokásos áthaladására szolgáló hely;</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3.18.</w:t>
      </w:r>
      <w:r w:rsidRPr="00F125EF">
        <w:rPr>
          <w:lang w:val="es-ES"/>
        </w:rPr>
        <w:tab/>
        <w:t xml:space="preserve">„biztonsági tér”: kívülről a hajótest síkjával párhuzamosan, a legnagyobb merülés síkjában 1/5 </w:t>
      </w:r>
      <m:oMath>
        <m:r>
          <w:rPr>
            <w:rFonts w:ascii="Cambria Math" w:hAnsi="Cambria Math" w:cs="Arial"/>
            <w:szCs w:val="20"/>
          </w:rPr>
          <m:t>B</m:t>
        </m:r>
        <m:r>
          <w:rPr>
            <w:rFonts w:ascii="Cambria Math" w:eastAsia="Calibri" w:hAnsi="Cambria Math" w:cs="Arial"/>
            <w:noProof/>
            <w:snapToGrid w:val="0"/>
            <w:color w:val="000000"/>
            <w:position w:val="-6"/>
            <w:sz w:val="14"/>
            <w:szCs w:val="20"/>
          </w:rPr>
          <m:t>WL</m:t>
        </m:r>
      </m:oMath>
      <w:r w:rsidRPr="00F125EF">
        <w:rPr>
          <w:lang w:val="es-ES"/>
        </w:rPr>
        <w:t xml:space="preserve"> távolságra futó függőleges felülettel határolt tér;</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3.19.</w:t>
      </w:r>
      <w:r w:rsidRPr="00F125EF">
        <w:rPr>
          <w:lang w:val="es-ES"/>
        </w:rPr>
        <w:tab/>
        <w:t>„gyülekezőhelyek”: a hajó különlegesen védett területei, ahol a személyek veszély esetén gyülekeznek;</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3.20.</w:t>
      </w:r>
      <w:r w:rsidRPr="00F125EF">
        <w:rPr>
          <w:lang w:val="es-ES"/>
        </w:rPr>
        <w:tab/>
        <w:t>„evakuálási területek”: a hajón lévő gyülekezőhelyeknek az a része, ahonnan a személyek evakuálását el lehet végezni;</w:t>
      </w:r>
    </w:p>
    <w:p w:rsidR="009A1D30" w:rsidRPr="00F125EF" w:rsidRDefault="009A1D30" w:rsidP="00511BF6">
      <w:pPr>
        <w:pStyle w:val="ESch"/>
        <w:rPr>
          <w:rFonts w:cs="Arial"/>
          <w:b/>
          <w:szCs w:val="20"/>
          <w:lang w:val="es-ES"/>
        </w:rPr>
      </w:pPr>
    </w:p>
    <w:p w:rsidR="00BF3595" w:rsidRPr="00F125EF" w:rsidRDefault="00BF3595" w:rsidP="00BF3595">
      <w:pPr>
        <w:pStyle w:val="ESch"/>
        <w:spacing w:line="220" w:lineRule="atLeast"/>
        <w:rPr>
          <w:lang w:val="es-ES"/>
        </w:rPr>
      </w:pPr>
      <w:r w:rsidRPr="00F125EF">
        <w:rPr>
          <w:lang w:val="es-ES"/>
        </w:rPr>
        <w:t>3.21.</w:t>
      </w:r>
      <w:r w:rsidRPr="00F125EF">
        <w:rPr>
          <w:lang w:val="es-ES"/>
        </w:rPr>
        <w:tab/>
        <w:t>„robbanásveszélyes légkör”: gyúlékony gáz, gőz, por, rost vagy illanó részecske formáját öltő anyagok és levegő keveréke, amely normál légköri viszonyok mellett gyújtást követően önfenntartó lángterjedést tesz lehetővé;</w:t>
      </w:r>
    </w:p>
    <w:p w:rsidR="00BF3595" w:rsidRPr="00F125EF" w:rsidRDefault="00BF3595" w:rsidP="00BF3595">
      <w:pPr>
        <w:pStyle w:val="ESch"/>
        <w:rPr>
          <w:lang w:val="es-ES"/>
        </w:rPr>
      </w:pPr>
    </w:p>
    <w:p w:rsidR="00BF3595" w:rsidRPr="00F125EF" w:rsidRDefault="00BF3595" w:rsidP="00BF3595">
      <w:pPr>
        <w:pStyle w:val="ESch"/>
        <w:rPr>
          <w:lang w:val="es-ES"/>
        </w:rPr>
      </w:pPr>
      <w:r w:rsidRPr="00F125EF">
        <w:rPr>
          <w:lang w:val="es-ES"/>
        </w:rPr>
        <w:t>3.22.</w:t>
      </w:r>
      <w:r w:rsidRPr="00F125EF">
        <w:rPr>
          <w:lang w:val="es-ES"/>
        </w:rPr>
        <w:tab/>
        <w:t>„veszélyes terület”: olyan terület, ahol robbanásveszélyes gázok fordulnak elő vagy fordulhatnak elő olyan mennyiségben, amely különleges óvintézkedések előírását teszi szükségessé a berendezések gyártására, telepítésére és használatára vonatkozóan;</w:t>
      </w:r>
    </w:p>
    <w:p w:rsidR="00BF3595" w:rsidRPr="00F125EF" w:rsidRDefault="00BF3595" w:rsidP="00BF3595">
      <w:pPr>
        <w:pStyle w:val="ESch"/>
        <w:rPr>
          <w:lang w:val="es-ES"/>
        </w:rPr>
      </w:pPr>
    </w:p>
    <w:p w:rsidR="00BF3595" w:rsidRPr="00F125EF" w:rsidRDefault="00BF3595" w:rsidP="00BF3595">
      <w:pPr>
        <w:adjustRightInd w:val="0"/>
        <w:ind w:left="567" w:hanging="567"/>
        <w:rPr>
          <w:rFonts w:cs="Arial"/>
          <w:szCs w:val="20"/>
          <w:lang w:val="es-ES"/>
        </w:rPr>
      </w:pPr>
      <w:r w:rsidRPr="00F125EF">
        <w:rPr>
          <w:lang w:val="es-ES"/>
        </w:rPr>
        <w:t>3.23.</w:t>
      </w:r>
      <w:r w:rsidRPr="00F125EF">
        <w:rPr>
          <w:lang w:val="es-ES"/>
        </w:rPr>
        <w:tab/>
        <w:t>„zónák”: a veszélyes terület besorolása a robbanásveszélyes légkör előfordulási gyakorisága és tartóssága alapján;</w:t>
      </w:r>
    </w:p>
    <w:p w:rsidR="00BF3595" w:rsidRPr="00F125EF" w:rsidRDefault="00BF3595" w:rsidP="00E46F58">
      <w:pPr>
        <w:pStyle w:val="ESch"/>
        <w:rPr>
          <w:lang w:val="es-ES"/>
        </w:rPr>
      </w:pPr>
    </w:p>
    <w:p w:rsidR="00BF3595" w:rsidRPr="00F125EF" w:rsidRDefault="00D52D91" w:rsidP="00E46F58">
      <w:pPr>
        <w:pStyle w:val="ESchpar"/>
        <w:rPr>
          <w:lang w:val="es-ES"/>
        </w:rPr>
      </w:pPr>
      <w:r w:rsidRPr="00F125EF">
        <w:rPr>
          <w:lang w:val="es-ES"/>
        </w:rPr>
        <w:t>„0. zóna”: olyan területek, ahol folyamatosan, hosszabb időn keresztül vagy gyakran robbanásveszélyes légkör fordul elő;</w:t>
      </w:r>
    </w:p>
    <w:p w:rsidR="00BF3595" w:rsidRPr="00F125EF" w:rsidRDefault="00BF3595" w:rsidP="00E46F58">
      <w:pPr>
        <w:pStyle w:val="ESch"/>
        <w:rPr>
          <w:lang w:val="es-ES"/>
        </w:rPr>
      </w:pPr>
    </w:p>
    <w:p w:rsidR="00BF3595" w:rsidRPr="00F125EF" w:rsidRDefault="00D52D91" w:rsidP="00E46F58">
      <w:pPr>
        <w:pStyle w:val="ESchpar"/>
        <w:rPr>
          <w:lang w:val="es-ES"/>
        </w:rPr>
      </w:pPr>
      <w:r w:rsidRPr="00F125EF">
        <w:rPr>
          <w:lang w:val="es-ES"/>
        </w:rPr>
        <w:t>„1. zóna”: olyan területek, ahol szokásos üzemi körülmények mellett valószínű a robbanásveszélyes légkör alkalmankénti előfordulása;</w:t>
      </w:r>
    </w:p>
    <w:p w:rsidR="00BF3595" w:rsidRPr="00F125EF" w:rsidRDefault="00BF3595" w:rsidP="00E46F58">
      <w:pPr>
        <w:pStyle w:val="ESch"/>
        <w:rPr>
          <w:lang w:val="es-ES"/>
        </w:rPr>
      </w:pPr>
    </w:p>
    <w:p w:rsidR="00BF3595" w:rsidRPr="00F125EF" w:rsidRDefault="00D52D91" w:rsidP="00E46F58">
      <w:pPr>
        <w:pStyle w:val="ESchpar"/>
        <w:rPr>
          <w:lang w:val="es-ES"/>
        </w:rPr>
      </w:pPr>
      <w:r w:rsidRPr="00F125EF">
        <w:rPr>
          <w:lang w:val="es-ES"/>
        </w:rPr>
        <w:t>„2. zóna”: olyan területek, ahol szokásos üzemi körülmények mellett nem valószínű robbanásveszélyes légkör előfordulása, és ha mégis előfordul, akkor is csak rövid ideig áll fenn. Ezek a területek magukban foglalják az 1. zónával közvetlenül szomszédos területeket is, amelyeket nem választanak el egymástól gázzáró módon;</w:t>
      </w:r>
    </w:p>
    <w:p w:rsidR="00BF3595" w:rsidRPr="00F125EF" w:rsidRDefault="00BF3595" w:rsidP="00E46F58">
      <w:pPr>
        <w:pStyle w:val="ESch"/>
        <w:rPr>
          <w:lang w:val="es-ES"/>
        </w:rPr>
      </w:pPr>
    </w:p>
    <w:p w:rsidR="008D24FF" w:rsidRPr="00F125EF" w:rsidRDefault="008D24FF">
      <w:pPr>
        <w:rPr>
          <w:lang w:val="es-ES"/>
        </w:rPr>
      </w:pPr>
      <w:r w:rsidRPr="00F125EF">
        <w:rPr>
          <w:lang w:val="es-ES"/>
        </w:rPr>
        <w:br w:type="page"/>
      </w:r>
    </w:p>
    <w:p w:rsidR="008D24FF" w:rsidRPr="00F125EF" w:rsidRDefault="008D24FF" w:rsidP="00E46F58">
      <w:pPr>
        <w:pStyle w:val="ESch"/>
        <w:rPr>
          <w:lang w:val="es-ES"/>
        </w:rPr>
      </w:pPr>
    </w:p>
    <w:p w:rsidR="00BF3595" w:rsidRPr="00F125EF" w:rsidRDefault="00BF3595" w:rsidP="00BF3595">
      <w:pPr>
        <w:pStyle w:val="ESch"/>
        <w:rPr>
          <w:strike/>
          <w:lang w:val="es-ES"/>
        </w:rPr>
      </w:pPr>
      <w:r w:rsidRPr="00F125EF">
        <w:rPr>
          <w:lang w:val="es-ES"/>
        </w:rPr>
        <w:t>3.24.</w:t>
      </w:r>
      <w:r w:rsidRPr="00F125EF">
        <w:rPr>
          <w:lang w:val="es-ES"/>
        </w:rPr>
        <w:tab/>
        <w:t>„hitelesített biztonsági típusú elektromos berendezés”:</w:t>
      </w:r>
      <w:r w:rsidRPr="00F125EF">
        <w:rPr>
          <w:rStyle w:val="FootnoteReference"/>
          <w:lang w:val="es-ES"/>
        </w:rPr>
        <w:t xml:space="preserve"> </w:t>
      </w:r>
      <w:r w:rsidRPr="00F125EF">
        <w:rPr>
          <w:lang w:val="es-ES"/>
        </w:rPr>
        <w:t>olyan elektromos berendezés, amelyet a robbanásveszélyes légkörben való biztonságos működés tekintetében az illetékes hatóság megvizsgált és jóváhagyott.</w:t>
      </w:r>
    </w:p>
    <w:p w:rsidR="009A1D30" w:rsidRPr="00F125EF" w:rsidRDefault="009A1D30" w:rsidP="00E46F58">
      <w:pPr>
        <w:pStyle w:val="ESch"/>
        <w:rPr>
          <w:lang w:val="es-ES"/>
        </w:rPr>
      </w:pPr>
    </w:p>
    <w:p w:rsidR="00BF3595" w:rsidRPr="00F125EF" w:rsidRDefault="00BF3595" w:rsidP="008D24FF">
      <w:pPr>
        <w:pStyle w:val="ESch"/>
        <w:rPr>
          <w:lang w:val="es-ES"/>
        </w:rPr>
      </w:pPr>
    </w:p>
    <w:p w:rsidR="00DE4417" w:rsidRPr="00F125EF" w:rsidRDefault="00DE4417" w:rsidP="00511BF6">
      <w:pPr>
        <w:pStyle w:val="ESch"/>
        <w:rPr>
          <w:lang w:val="es-ES"/>
        </w:rPr>
      </w:pPr>
      <w:r w:rsidRPr="00F125EF">
        <w:rPr>
          <w:b/>
          <w:lang w:val="es-ES"/>
        </w:rPr>
        <w:t>4.</w:t>
      </w:r>
      <w:r w:rsidRPr="00F125EF">
        <w:rPr>
          <w:lang w:val="es-ES"/>
        </w:rPr>
        <w:tab/>
      </w:r>
      <w:r w:rsidRPr="00F125EF">
        <w:rPr>
          <w:b/>
          <w:lang w:val="es-ES"/>
        </w:rPr>
        <w:t>Hajógépészeti kifejezések</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4.1.</w:t>
      </w:r>
      <w:r w:rsidRPr="00F125EF">
        <w:rPr>
          <w:lang w:val="es-ES"/>
        </w:rPr>
        <w:tab/>
        <w:t>„a legnagyobb merülés síkja”: a vízi jármű megengedett legnagyobb merüléséhez tartozó vízvonal síkja;</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4.2.</w:t>
      </w:r>
      <w:r w:rsidRPr="00F125EF">
        <w:rPr>
          <w:lang w:val="es-ES"/>
        </w:rPr>
        <w:tab/>
        <w:t>„biztonsági távolság”: a legnagyobb merülés síkja és az ezzel párhuzamos azon sík közötti távolság, amelyik azon a legmélyebb ponton halad át, amely felett a hajó már nem tekinthető vízmentesnek;</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4.3.</w:t>
      </w:r>
      <w:r w:rsidRPr="00F125EF">
        <w:rPr>
          <w:lang w:val="es-ES"/>
        </w:rPr>
        <w:tab/>
        <w:t>„fennmaradó biztonsági távolság”: a hajó megdőlésekor a rendelkezésre álló függőleges távolság a vízszint és a bemerült oldal azon legalsó pontja között, amelyen túl a hajó már nem tekinthető vízmentesnek;</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4.4.</w:t>
      </w:r>
      <w:r w:rsidRPr="00F125EF">
        <w:rPr>
          <w:lang w:val="es-ES"/>
        </w:rPr>
        <w:tab/>
        <w:t>„szabadoldal” vagy „</w:t>
      </w:r>
      <m:oMath>
        <m:r>
          <w:rPr>
            <w:rFonts w:ascii="Cambria Math" w:hAnsi="Cambria Math" w:cs="Arial"/>
            <w:szCs w:val="20"/>
          </w:rPr>
          <m:t>F</m:t>
        </m:r>
      </m:oMath>
      <w:r w:rsidRPr="00F125EF">
        <w:rPr>
          <w:lang w:val="es-ES"/>
        </w:rPr>
        <w:t>”: a legnagyobb merülés síkja és az ezzel párhuzamos azon sík közötti távolság, amely az oldalperem legalacsonyabb pontján vagy – oldalperem hiányában – a hajó oldala felső élének legalacsonyabb pontján halad át;</w:t>
      </w:r>
    </w:p>
    <w:p w:rsidR="009A1D30" w:rsidRPr="00F125EF" w:rsidRDefault="009A1D30" w:rsidP="00511BF6">
      <w:pPr>
        <w:pStyle w:val="ESch"/>
        <w:rPr>
          <w:rFonts w:cs="Arial"/>
          <w:szCs w:val="20"/>
          <w:lang w:val="es-ES"/>
        </w:rPr>
      </w:pPr>
    </w:p>
    <w:p w:rsidR="00DE4417" w:rsidRPr="00F125EF" w:rsidRDefault="00DE4417" w:rsidP="00511BF6">
      <w:pPr>
        <w:pStyle w:val="ESch"/>
        <w:rPr>
          <w:rFonts w:cs="Arial"/>
          <w:szCs w:val="20"/>
          <w:lang w:val="es-ES"/>
        </w:rPr>
      </w:pPr>
      <w:r w:rsidRPr="00F125EF">
        <w:rPr>
          <w:lang w:val="es-ES"/>
        </w:rPr>
        <w:t>4.5.</w:t>
      </w:r>
      <w:r w:rsidRPr="00F125EF">
        <w:rPr>
          <w:lang w:val="es-ES"/>
        </w:rPr>
        <w:tab/>
        <w:t>„fennmaradó szabadoldal”: a hajó megdőlésekor a rendelkezésre álló függőleges távolság a vízszint és a fedélzetnek a bemerült oldal azon legalsó pontjánál lévő felső felülete között, illetve ha nincs fedélzet, a hajó rögzített oldala felső felületének legalsó pontja között;</w:t>
      </w:r>
    </w:p>
    <w:p w:rsidR="008D2FD5" w:rsidRPr="00F125EF" w:rsidRDefault="008D2FD5" w:rsidP="00511BF6">
      <w:pPr>
        <w:pStyle w:val="ESch"/>
        <w:rPr>
          <w:rFonts w:cs="Arial"/>
          <w:szCs w:val="20"/>
          <w:lang w:val="es-ES"/>
        </w:rPr>
      </w:pPr>
    </w:p>
    <w:p w:rsidR="00DE4417" w:rsidRPr="00F125EF" w:rsidRDefault="00DE4417" w:rsidP="00511BF6">
      <w:pPr>
        <w:pStyle w:val="ESch"/>
        <w:rPr>
          <w:lang w:val="es-ES"/>
        </w:rPr>
      </w:pPr>
      <w:r w:rsidRPr="00F125EF">
        <w:rPr>
          <w:lang w:val="es-ES"/>
        </w:rPr>
        <w:t>4.6.</w:t>
      </w:r>
      <w:r w:rsidRPr="00F125EF">
        <w:rPr>
          <w:lang w:val="es-ES"/>
        </w:rPr>
        <w:tab/>
        <w:t>„biztonsági peremvonal”: képzeletbeli vonal az oldallemezelésen a válaszfalfedélzet alatt legalább 10 cm-rel és az oldallemezelés legalacsonyabb nem vízmentes pontja alatt legalább 10 cm-rel. Válaszfalfedélzet híján az a vonal, amely legalább 10 cm-rel az alatt a legalsó vonal alatt van, ameddig a külső lemezelés vízmentes;</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4.7.</w:t>
      </w:r>
      <w:r w:rsidRPr="00F125EF">
        <w:rPr>
          <w:lang w:val="es-ES"/>
        </w:rPr>
        <w:tab/>
        <w:t>„vízkiszorítási térfogat” vagy „</w:t>
      </w:r>
      <m:oMath>
        <m:r>
          <w:rPr>
            <w:rFonts w:ascii="Cambria Math" w:hAnsi="Cambria Math" w:cs="Arial"/>
            <w:szCs w:val="20"/>
            <w:lang w:val="es-ES"/>
          </w:rPr>
          <m:t>∀</m:t>
        </m:r>
      </m:oMath>
      <w:r w:rsidRPr="00F125EF">
        <w:rPr>
          <w:lang w:val="es-ES"/>
        </w:rPr>
        <w:t>”: a hajó bemerült térfogata m³-ben;</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4.8.</w:t>
      </w:r>
      <w:r w:rsidRPr="00F125EF">
        <w:rPr>
          <w:lang w:val="es-ES"/>
        </w:rPr>
        <w:tab/>
        <w:t>„vízkiszorítási tömeg” vagy „</w:t>
      </w:r>
      <m:oMath>
        <m:r>
          <w:rPr>
            <w:rFonts w:ascii="Cambria Math" w:hAnsi="Cambria Math" w:cs="Arial"/>
            <w:szCs w:val="20"/>
            <w:lang w:val="es-ES"/>
          </w:rPr>
          <m:t>∆</m:t>
        </m:r>
      </m:oMath>
      <w:r w:rsidRPr="00F125EF">
        <w:rPr>
          <w:lang w:val="es-ES"/>
        </w:rPr>
        <w:t>”: a hajó teljes tömege tonnában, a rakományt beleértve;</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4.9.</w:t>
      </w:r>
      <w:r w:rsidRPr="00F125EF">
        <w:rPr>
          <w:lang w:val="es-ES"/>
        </w:rPr>
        <w:tab/>
        <w:t>„teltségi fok” vagy „</w:t>
      </w:r>
      <m:oMath>
        <m:sSub>
          <m:sSubPr>
            <m:ctrlPr>
              <w:rPr>
                <w:rFonts w:ascii="Cambria Math" w:hAnsi="Cambria Math" w:cs="Arial"/>
                <w:i/>
                <w:noProof/>
                <w:sz w:val="18"/>
                <w:szCs w:val="18"/>
              </w:rPr>
            </m:ctrlPr>
          </m:sSubPr>
          <m:e>
            <m:r>
              <w:rPr>
                <w:rFonts w:ascii="Cambria Math" w:hAnsi="Cambria Math" w:cs="Arial"/>
                <w:noProof/>
                <w:sz w:val="18"/>
                <w:szCs w:val="18"/>
              </w:rPr>
              <m:t>C</m:t>
            </m:r>
          </m:e>
          <m:sub>
            <m:r>
              <w:rPr>
                <w:rFonts w:ascii="Cambria Math" w:hAnsi="Cambria Math" w:cs="Arial"/>
                <w:noProof/>
                <w:sz w:val="18"/>
                <w:szCs w:val="18"/>
              </w:rPr>
              <m:t>B</m:t>
            </m:r>
          </m:sub>
        </m:sSub>
      </m:oMath>
      <w:r w:rsidRPr="00F125EF">
        <w:rPr>
          <w:lang w:val="es-ES"/>
        </w:rPr>
        <w:t xml:space="preserve">”: a vízkiszorítási térfogat és az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F125EF">
        <w:rPr>
          <w:lang w:val="es-ES"/>
        </w:rPr>
        <w:t xml:space="preserve"> hosszúság, a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WL</m:t>
            </m:r>
          </m:sub>
        </m:sSub>
      </m:oMath>
      <w:r w:rsidRPr="00F125EF">
        <w:rPr>
          <w:lang w:val="es-ES"/>
        </w:rPr>
        <w:t xml:space="preserve"> szélesség és a </w:t>
      </w:r>
      <m:oMath>
        <m:r>
          <w:rPr>
            <w:rFonts w:ascii="Cambria Math" w:hAnsi="Cambria Math" w:cs="Arial"/>
            <w:szCs w:val="20"/>
          </w:rPr>
          <m:t>T</m:t>
        </m:r>
      </m:oMath>
      <w:r w:rsidRPr="00F125EF">
        <w:rPr>
          <w:lang w:val="es-ES"/>
        </w:rPr>
        <w:t xml:space="preserve"> merülés szorzatának hányadosa;</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4.10.</w:t>
      </w:r>
      <w:r w:rsidRPr="00F125EF">
        <w:rPr>
          <w:lang w:val="es-ES"/>
        </w:rPr>
        <w:tab/>
        <w:t>„víz feletti oldalsík” vagy „</w:t>
      </w:r>
      <m:oMath>
        <m:sSub>
          <m:sSubPr>
            <m:ctrlPr>
              <w:rPr>
                <w:rFonts w:ascii="Cambria Math" w:hAnsi="Cambria Math" w:cs="Arial"/>
                <w:i/>
                <w:noProof/>
                <w:sz w:val="18"/>
                <w:szCs w:val="18"/>
              </w:rPr>
            </m:ctrlPr>
          </m:sSubPr>
          <m:e>
            <m:r>
              <w:rPr>
                <w:rFonts w:ascii="Cambria Math" w:hAnsi="Cambria Math" w:cs="Arial"/>
                <w:noProof/>
                <w:sz w:val="18"/>
                <w:szCs w:val="18"/>
              </w:rPr>
              <m:t>A</m:t>
            </m:r>
          </m:e>
          <m:sub>
            <m:r>
              <w:rPr>
                <w:rFonts w:ascii="Cambria Math" w:hAnsi="Cambria Math" w:cs="Arial"/>
                <w:noProof/>
                <w:sz w:val="18"/>
                <w:szCs w:val="18"/>
              </w:rPr>
              <m:t>V</m:t>
            </m:r>
          </m:sub>
        </m:sSub>
      </m:oMath>
      <w:r w:rsidRPr="00F125EF">
        <w:rPr>
          <w:lang w:val="es-ES"/>
        </w:rPr>
        <w:t>”: a hajó vízszint feletti oldalsíkja m</w:t>
      </w:r>
      <w:r w:rsidRPr="00F125EF">
        <w:rPr>
          <w:vertAlign w:val="superscript"/>
          <w:lang w:val="es-ES"/>
        </w:rPr>
        <w:t>2</w:t>
      </w:r>
      <w:r w:rsidRPr="00F125EF">
        <w:rPr>
          <w:lang w:val="es-ES"/>
        </w:rPr>
        <w:t>-ben;</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4.11.</w:t>
      </w:r>
      <w:r w:rsidRPr="00F125EF">
        <w:rPr>
          <w:lang w:val="es-ES"/>
        </w:rPr>
        <w:tab/>
        <w:t>„válaszfalfedélzet”: az a fedélzet, amelyhez a szükséges vízmentes válaszfalak illeszkednek, és amelytől a szabadoldalt mérik;</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4.12.</w:t>
      </w:r>
      <w:r w:rsidRPr="00F125EF">
        <w:rPr>
          <w:lang w:val="es-ES"/>
        </w:rPr>
        <w:tab/>
        <w:t>„válaszfal”: adott magasságú, általában függőleges fal, amely szakaszokra osztja a hajót, és amelyet a hajófenék, a lemezelés vagy más válaszfalak határolnak;</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4.13.</w:t>
      </w:r>
      <w:r w:rsidRPr="00F125EF">
        <w:rPr>
          <w:lang w:val="es-ES"/>
        </w:rPr>
        <w:tab/>
        <w:t>„keresztirányú válaszfal”: a hajó egyik oldalától a másikig nyúló válaszfal;</w:t>
      </w:r>
    </w:p>
    <w:p w:rsidR="009A1D30" w:rsidRPr="00F125EF" w:rsidRDefault="009A1D30" w:rsidP="00511BF6">
      <w:pPr>
        <w:pStyle w:val="ESch"/>
        <w:rPr>
          <w:rFonts w:cs="Arial"/>
          <w:szCs w:val="20"/>
          <w:lang w:val="es-ES"/>
        </w:rPr>
      </w:pPr>
    </w:p>
    <w:p w:rsidR="00DE4417" w:rsidRPr="00F125EF" w:rsidRDefault="00DE4417" w:rsidP="00511BF6">
      <w:pPr>
        <w:pStyle w:val="ESch"/>
        <w:rPr>
          <w:lang w:val="es-ES"/>
        </w:rPr>
      </w:pPr>
      <w:r w:rsidRPr="00F125EF">
        <w:rPr>
          <w:lang w:val="es-ES"/>
        </w:rPr>
        <w:t>4.14.</w:t>
      </w:r>
      <w:r w:rsidRPr="00F125EF">
        <w:rPr>
          <w:lang w:val="es-ES"/>
        </w:rPr>
        <w:tab/>
        <w:t>„fal”: általában függőleges elválasztó felület;</w:t>
      </w:r>
    </w:p>
    <w:p w:rsidR="009A1D30" w:rsidRPr="00F125EF" w:rsidRDefault="009A1D30" w:rsidP="00511BF6">
      <w:pPr>
        <w:pStyle w:val="ESch"/>
        <w:rPr>
          <w:rFonts w:cs="Arial"/>
          <w:szCs w:val="20"/>
          <w:lang w:val="es-ES"/>
        </w:rPr>
      </w:pPr>
    </w:p>
    <w:p w:rsidR="00DE4417" w:rsidRPr="00F125EF" w:rsidRDefault="00DE4417" w:rsidP="00511BF6">
      <w:pPr>
        <w:pStyle w:val="ESch"/>
        <w:rPr>
          <w:lang w:val="pt-PT"/>
        </w:rPr>
      </w:pPr>
      <w:r w:rsidRPr="00F125EF">
        <w:rPr>
          <w:lang w:val="pt-PT"/>
        </w:rPr>
        <w:t>4.15.</w:t>
      </w:r>
      <w:r w:rsidRPr="00F125EF">
        <w:rPr>
          <w:lang w:val="pt-PT"/>
        </w:rPr>
        <w:tab/>
        <w:t>„térelválasztó fal”: nem vízmentes fal;</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4.16.</w:t>
      </w:r>
      <w:r w:rsidRPr="00F125EF">
        <w:rPr>
          <w:lang w:val="pt-PT"/>
        </w:rPr>
        <w:tab/>
        <w:t>„hosszúság” vagy „</w:t>
      </w:r>
      <m:oMath>
        <m:r>
          <w:rPr>
            <w:rFonts w:ascii="Cambria Math" w:hAnsi="Cambria Math" w:cs="Arial"/>
            <w:szCs w:val="20"/>
          </w:rPr>
          <m:t>L</m:t>
        </m:r>
      </m:oMath>
      <w:r w:rsidRPr="00F125EF">
        <w:rPr>
          <w:lang w:val="pt-PT"/>
        </w:rPr>
        <w:t>”: a hajótest maximális hosszúsága méterben, a kormánylapátot és az orrárbócot nem számítva;</w:t>
      </w:r>
    </w:p>
    <w:p w:rsidR="009A1D30" w:rsidRPr="00F125EF" w:rsidRDefault="009A1D30" w:rsidP="00511BF6">
      <w:pPr>
        <w:pStyle w:val="ESch"/>
        <w:rPr>
          <w:rFonts w:cs="Arial"/>
          <w:szCs w:val="20"/>
          <w:lang w:val="pt-PT"/>
        </w:rPr>
      </w:pPr>
    </w:p>
    <w:p w:rsidR="008D24FF" w:rsidRPr="00F125EF" w:rsidRDefault="008D24FF">
      <w:pPr>
        <w:rPr>
          <w:rFonts w:cs="Arial"/>
          <w:szCs w:val="20"/>
          <w:lang w:val="pt-PT"/>
        </w:rPr>
      </w:pPr>
      <w:r w:rsidRPr="00F125EF">
        <w:rPr>
          <w:lang w:val="pt-PT"/>
        </w:rPr>
        <w:br w:type="page"/>
      </w:r>
    </w:p>
    <w:p w:rsidR="008D24FF" w:rsidRPr="00F125EF" w:rsidRDefault="008D24FF" w:rsidP="00511BF6">
      <w:pPr>
        <w:pStyle w:val="ESch"/>
        <w:rPr>
          <w:rFonts w:cs="Arial"/>
          <w:szCs w:val="20"/>
          <w:lang w:val="pt-PT"/>
        </w:rPr>
      </w:pPr>
    </w:p>
    <w:p w:rsidR="00DE4417" w:rsidRPr="00F125EF" w:rsidRDefault="00DE4417" w:rsidP="00511BF6">
      <w:pPr>
        <w:pStyle w:val="ESch"/>
        <w:rPr>
          <w:lang w:val="pt-PT"/>
        </w:rPr>
      </w:pPr>
      <w:r w:rsidRPr="00F125EF">
        <w:rPr>
          <w:lang w:val="pt-PT"/>
        </w:rPr>
        <w:t>4.17.</w:t>
      </w:r>
      <w:r w:rsidRPr="00F125EF">
        <w:rPr>
          <w:lang w:val="pt-PT"/>
        </w:rPr>
        <w:tab/>
        <w:t>„teljes hosszúság” vagy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OA</m:t>
            </m:r>
          </m:sub>
        </m:sSub>
      </m:oMath>
      <w:r w:rsidRPr="00F125EF">
        <w:rPr>
          <w:lang w:val="pt-PT"/>
        </w:rPr>
        <w:t>”: a vízi jármű maximális hosszúsága méterben, beleértve az összes rögzített felszerelést, például a kormányberendezés vagy az energiaellátó berendezés részeit, mechanikus vagy hasonló eszközöket;</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4.18.</w:t>
      </w:r>
      <w:r w:rsidRPr="00F125EF">
        <w:rPr>
          <w:lang w:val="pt-PT"/>
        </w:rPr>
        <w:tab/>
        <w:t>„a vízvonal hosszúsága” vagy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F125EF">
        <w:rPr>
          <w:lang w:val="pt-PT"/>
        </w:rPr>
        <w:t>”: a hajótest hosszúsága méterben a legnagyobb merülés síkjában mérve;</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4.19.</w:t>
      </w:r>
      <w:r w:rsidRPr="00F125EF">
        <w:rPr>
          <w:lang w:val="pt-PT"/>
        </w:rPr>
        <w:tab/>
        <w:t>„szélesség” vagy „</w:t>
      </w:r>
      <m:oMath>
        <m:r>
          <w:rPr>
            <w:rFonts w:ascii="Cambria Math" w:hAnsi="Cambria Math" w:cs="Arial"/>
            <w:szCs w:val="20"/>
          </w:rPr>
          <m:t>B</m:t>
        </m:r>
      </m:oMath>
      <w:r w:rsidRPr="00F125EF">
        <w:rPr>
          <w:lang w:val="pt-PT"/>
        </w:rPr>
        <w:t>”: a hajótest maximális szélessége méterben, az oldallemezelés külső szélénél mérve (a hajókerekeket, a dörzssíneket és hasonlókat nem számítva);</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4.20.</w:t>
      </w:r>
      <w:r w:rsidRPr="00F125EF">
        <w:rPr>
          <w:lang w:val="pt-PT"/>
        </w:rPr>
        <w:tab/>
        <w:t>„szabad szélesség” vagy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OA</m:t>
            </m:r>
          </m:sub>
        </m:sSub>
      </m:oMath>
      <w:r w:rsidRPr="00F125EF">
        <w:rPr>
          <w:lang w:val="pt-PT"/>
        </w:rPr>
        <w:t>”: a vízi jármű maximális szélessége méterben, beleértve az összes rögzített berendezést, például a hajókerekeket, a dörzssíneket, a mechanikus vagy hasonló eszközöket;</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4.21.</w:t>
      </w:r>
      <w:r w:rsidRPr="00F125EF">
        <w:rPr>
          <w:lang w:val="pt-PT"/>
        </w:rPr>
        <w:tab/>
        <w:t>„a vízvonal szélessége” vagy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WL</m:t>
            </m:r>
          </m:sub>
        </m:sSub>
      </m:oMath>
      <w:r w:rsidRPr="00F125EF">
        <w:rPr>
          <w:lang w:val="pt-PT"/>
        </w:rPr>
        <w:t>”: a hajótest szélessége méterben, az oldallemezelés külső szélétől a legnagyobb merülés síkjában mérve;</w:t>
      </w:r>
    </w:p>
    <w:p w:rsidR="009A1D30" w:rsidRPr="00F125EF" w:rsidRDefault="009A1D30" w:rsidP="00511BF6">
      <w:pPr>
        <w:pStyle w:val="ESch"/>
        <w:rPr>
          <w:rFonts w:cs="Arial"/>
          <w:szCs w:val="20"/>
          <w:lang w:val="pt-PT"/>
        </w:rPr>
      </w:pPr>
    </w:p>
    <w:p w:rsidR="00DE4417" w:rsidRPr="00F125EF" w:rsidRDefault="00DE4417" w:rsidP="00511BF6">
      <w:pPr>
        <w:pStyle w:val="ESch"/>
        <w:rPr>
          <w:rFonts w:cs="Arial"/>
          <w:szCs w:val="20"/>
          <w:lang w:val="pt-PT"/>
        </w:rPr>
      </w:pPr>
      <w:r w:rsidRPr="00F125EF">
        <w:rPr>
          <w:lang w:val="pt-PT"/>
        </w:rPr>
        <w:t>4.22.</w:t>
      </w:r>
      <w:r w:rsidRPr="00F125EF">
        <w:rPr>
          <w:lang w:val="pt-PT"/>
        </w:rPr>
        <w:tab/>
        <w:t>„magasság” vagy „</w:t>
      </w:r>
      <m:oMath>
        <m:r>
          <w:rPr>
            <w:rFonts w:ascii="Cambria Math" w:hAnsi="Cambria Math" w:cs="Arial"/>
            <w:szCs w:val="20"/>
          </w:rPr>
          <m:t>H</m:t>
        </m:r>
      </m:oMath>
      <w:r w:rsidRPr="00F125EF">
        <w:rPr>
          <w:lang w:val="pt-PT"/>
        </w:rPr>
        <w:t>”: a hajótest legalsó pontja vagy a hajógerinc és a fedélzet legalsó pontja között, a hajó oldalán mért legrövidebb függőleges távolság méterben;</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4.23.</w:t>
      </w:r>
      <w:r w:rsidRPr="00F125EF">
        <w:rPr>
          <w:lang w:val="pt-PT"/>
        </w:rPr>
        <w:tab/>
        <w:t>„merülés” vagy „</w:t>
      </w:r>
      <m:oMath>
        <m:r>
          <w:rPr>
            <w:rFonts w:ascii="Cambria Math" w:hAnsi="Cambria Math" w:cs="Arial"/>
            <w:szCs w:val="20"/>
          </w:rPr>
          <m:t>T</m:t>
        </m:r>
      </m:oMath>
      <w:r w:rsidRPr="00F125EF">
        <w:rPr>
          <w:lang w:val="pt-PT"/>
        </w:rPr>
        <w:t>”: a hajótest legalsó pontja (a gerinc és a rögzített szerelvények figyelembevétele nélkül) és a legnagyobb merülési vonal között mért függőleges távolság méterben;</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4.24.</w:t>
      </w:r>
      <w:r w:rsidRPr="00F125EF">
        <w:rPr>
          <w:lang w:val="pt-PT"/>
        </w:rPr>
        <w:tab/>
        <w:t>„teljes merülés” vagy „</w:t>
      </w:r>
      <m:oMath>
        <m:sSub>
          <m:sSubPr>
            <m:ctrlPr>
              <w:rPr>
                <w:rFonts w:ascii="Cambria Math" w:hAnsi="Cambria Math" w:cs="Arial"/>
                <w:i/>
                <w:noProof/>
                <w:sz w:val="18"/>
                <w:szCs w:val="18"/>
              </w:rPr>
            </m:ctrlPr>
          </m:sSubPr>
          <m:e>
            <m:r>
              <w:rPr>
                <w:rFonts w:ascii="Cambria Math" w:hAnsi="Cambria Math" w:cs="Arial"/>
                <w:noProof/>
                <w:sz w:val="18"/>
                <w:szCs w:val="18"/>
              </w:rPr>
              <m:t>T</m:t>
            </m:r>
          </m:e>
          <m:sub>
            <m:r>
              <w:rPr>
                <w:rFonts w:ascii="Cambria Math" w:hAnsi="Cambria Math" w:cs="Arial"/>
                <w:noProof/>
                <w:sz w:val="18"/>
                <w:szCs w:val="18"/>
              </w:rPr>
              <m:t>OA</m:t>
            </m:r>
          </m:sub>
        </m:sSub>
      </m:oMath>
      <w:r w:rsidRPr="00F125EF">
        <w:rPr>
          <w:lang w:val="pt-PT"/>
        </w:rPr>
        <w:t>”: a hajótest legalsó pontja (a gerinc és a rögzített szerelvények figyelembevételével) és a legnagyobb merülési vonal között mért függőleges távolság méterben;</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4.25.</w:t>
      </w:r>
      <w:r w:rsidRPr="00F125EF">
        <w:rPr>
          <w:lang w:val="pt-PT"/>
        </w:rPr>
        <w:tab/>
        <w:t>„mellső függély”: a hajótest és a legnagyobb merülési sík metszési vonalának elülső pontjában húzott függőleges vonal;</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4.26.</w:t>
      </w:r>
      <w:r w:rsidRPr="00F125EF">
        <w:rPr>
          <w:lang w:val="pt-PT"/>
        </w:rPr>
        <w:tab/>
        <w:t>„az oldalfedélzet szabad szélessége”: az oldalfedélzet oldalán a nyíláskeret legkiugróbb részén áthaladó függőleges vonal és az oldalfedélzet külső oldalán lévő csúszásvédő (védőkorlát, lábvédő korlát) belső széle közötti távolság.</w:t>
      </w:r>
    </w:p>
    <w:p w:rsidR="009A1D30" w:rsidRPr="00F125EF" w:rsidRDefault="009A1D30" w:rsidP="00511BF6">
      <w:pPr>
        <w:pStyle w:val="ESch"/>
        <w:rPr>
          <w:rFonts w:cs="Arial"/>
          <w:szCs w:val="20"/>
          <w:lang w:val="pt-PT"/>
        </w:rPr>
      </w:pPr>
    </w:p>
    <w:p w:rsidR="00850AFF" w:rsidRPr="00F125EF" w:rsidRDefault="00850AFF" w:rsidP="00511BF6">
      <w:pPr>
        <w:pStyle w:val="ESch"/>
        <w:rPr>
          <w:rFonts w:cs="Arial"/>
          <w:szCs w:val="20"/>
          <w:lang w:val="pt-PT"/>
        </w:rPr>
      </w:pPr>
    </w:p>
    <w:p w:rsidR="00DE4417" w:rsidRPr="00F125EF" w:rsidRDefault="00DE4417" w:rsidP="00511BF6">
      <w:pPr>
        <w:pStyle w:val="ESch"/>
        <w:rPr>
          <w:lang w:val="pt-PT"/>
        </w:rPr>
      </w:pPr>
      <w:r w:rsidRPr="00F125EF">
        <w:rPr>
          <w:b/>
          <w:lang w:val="pt-PT"/>
        </w:rPr>
        <w:t>5.</w:t>
      </w:r>
      <w:r w:rsidRPr="00F125EF">
        <w:rPr>
          <w:lang w:val="pt-PT"/>
        </w:rPr>
        <w:tab/>
      </w:r>
      <w:r w:rsidRPr="00F125EF">
        <w:rPr>
          <w:b/>
          <w:lang w:val="pt-PT"/>
        </w:rPr>
        <w:t>Kormányberendezés</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5.1.</w:t>
      </w:r>
      <w:r w:rsidRPr="00F125EF">
        <w:rPr>
          <w:lang w:val="pt-PT"/>
        </w:rPr>
        <w:tab/>
        <w:t>„kormányberendezés”: a hajó kormányzásához, és az 5. fejezet szerinti műveletképesség biztosításához szükséges valamennyi berendezés;</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5.2.</w:t>
      </w:r>
      <w:r w:rsidRPr="00F125EF">
        <w:rPr>
          <w:lang w:val="pt-PT"/>
        </w:rPr>
        <w:tab/>
        <w:t>„kormánylapát”: a kormánylapát vagy kormánylapátok a kormányszárral, beleértve a kormányívet és a kormánygéppel való összekötés elemeit;</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5.3.</w:t>
      </w:r>
      <w:r w:rsidRPr="00F125EF">
        <w:rPr>
          <w:lang w:val="pt-PT"/>
        </w:rPr>
        <w:tab/>
        <w:t>„kormánygép”: a kormányberendezés azon része, amely a kormánylapát mozgását előidézi;</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5.4.</w:t>
      </w:r>
      <w:r w:rsidRPr="00F125EF">
        <w:rPr>
          <w:lang w:val="pt-PT"/>
        </w:rPr>
        <w:tab/>
        <w:t>„meghajtóegység”: a kormánygép meghajtásáért felelő, az energiaforrás és a kormánygép közötti berendezés;</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5.5.</w:t>
      </w:r>
      <w:r w:rsidRPr="00F125EF">
        <w:rPr>
          <w:lang w:val="pt-PT"/>
        </w:rPr>
        <w:tab/>
        <w:t>(Üres)</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5.6.</w:t>
      </w:r>
      <w:r w:rsidRPr="00F125EF">
        <w:rPr>
          <w:lang w:val="pt-PT"/>
        </w:rPr>
        <w:tab/>
        <w:t>„kormányvezérlés”: a kormányhajtás vezérlését szolgáló részegységek és áramkörök;</w:t>
      </w:r>
    </w:p>
    <w:p w:rsidR="009A1D30" w:rsidRPr="00F125EF" w:rsidRDefault="009A1D30" w:rsidP="00511BF6">
      <w:pPr>
        <w:pStyle w:val="ESch"/>
        <w:rPr>
          <w:rFonts w:cs="Arial"/>
          <w:szCs w:val="20"/>
          <w:lang w:val="pt-PT"/>
        </w:rPr>
      </w:pPr>
    </w:p>
    <w:p w:rsidR="008D24FF" w:rsidRPr="00F125EF" w:rsidRDefault="008D24FF">
      <w:pPr>
        <w:rPr>
          <w:rFonts w:cs="Arial"/>
          <w:szCs w:val="20"/>
          <w:lang w:val="pt-PT"/>
        </w:rPr>
      </w:pPr>
      <w:r w:rsidRPr="00F125EF">
        <w:rPr>
          <w:lang w:val="pt-PT"/>
        </w:rPr>
        <w:br w:type="page"/>
      </w:r>
    </w:p>
    <w:p w:rsidR="008D24FF" w:rsidRPr="00F125EF" w:rsidRDefault="008D24FF" w:rsidP="00511BF6">
      <w:pPr>
        <w:pStyle w:val="ESch"/>
        <w:rPr>
          <w:rFonts w:cs="Arial"/>
          <w:szCs w:val="20"/>
          <w:lang w:val="pt-PT"/>
        </w:rPr>
      </w:pPr>
    </w:p>
    <w:p w:rsidR="00DE4417" w:rsidRPr="00F125EF" w:rsidRDefault="00DE4417" w:rsidP="00511BF6">
      <w:pPr>
        <w:pStyle w:val="ESch"/>
        <w:rPr>
          <w:lang w:val="pt-PT"/>
        </w:rPr>
      </w:pPr>
      <w:r w:rsidRPr="00F125EF">
        <w:rPr>
          <w:lang w:val="pt-PT"/>
        </w:rPr>
        <w:t>5.7.</w:t>
      </w:r>
      <w:r w:rsidRPr="00F125EF">
        <w:rPr>
          <w:lang w:val="pt-PT"/>
        </w:rPr>
        <w:tab/>
        <w:t>„a kormánygép meghajtóegysége”: a kormánygép meghajtóegysége, ennek vezérlése és energiaforrása;</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5.8.</w:t>
      </w:r>
      <w:r w:rsidRPr="00F125EF">
        <w:rPr>
          <w:lang w:val="pt-PT"/>
        </w:rPr>
        <w:tab/>
        <w:t>„kézi meghajtás”: az a rendszer, amelyben a kormánylapát mozgását a kormánykerék kézi mozgatása idézi elő mechanikai áttétellel, minden további energiaforrás nélkül;</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5.9.</w:t>
      </w:r>
      <w:r w:rsidRPr="00F125EF">
        <w:rPr>
          <w:lang w:val="pt-PT"/>
        </w:rPr>
        <w:tab/>
        <w:t>„kézi működtetésű hidraulikus meghajtás”: kézi vezérléssel működésbe hozott hidraulikus meghajtás;</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5.10.</w:t>
      </w:r>
      <w:r w:rsidRPr="00F125EF">
        <w:rPr>
          <w:lang w:val="pt-PT"/>
        </w:rPr>
        <w:tab/>
        <w:t>„fordulási szögsebesség-szabályzó”: a hajó adott fordulási szögsebességét az előre kiválasztott értékek szerint automatikusan előidéző és fenntartó berendezés;</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5.11.</w:t>
      </w:r>
      <w:r w:rsidRPr="00F125EF">
        <w:rPr>
          <w:lang w:val="pt-PT"/>
        </w:rPr>
        <w:tab/>
        <w:t>„egyszemélyes radarhajózásra kialakított kormányállás”: olyan módon berendezett kormányállás, hogy radarhajózás esetén egy személy vezethesse a hajót.</w:t>
      </w:r>
    </w:p>
    <w:p w:rsidR="009A1D30" w:rsidRPr="00F125EF" w:rsidRDefault="009A1D30" w:rsidP="008D24FF">
      <w:pPr>
        <w:pStyle w:val="ESch"/>
        <w:rPr>
          <w:lang w:val="pt-PT"/>
        </w:rPr>
      </w:pPr>
    </w:p>
    <w:p w:rsidR="008D24FF" w:rsidRPr="00F125EF" w:rsidRDefault="008D24FF" w:rsidP="008D24FF">
      <w:pPr>
        <w:pStyle w:val="ESch"/>
        <w:rPr>
          <w:lang w:val="pt-PT"/>
        </w:rPr>
      </w:pPr>
    </w:p>
    <w:p w:rsidR="00DE4417" w:rsidRPr="00F125EF" w:rsidRDefault="00DE4417" w:rsidP="00511BF6">
      <w:pPr>
        <w:pStyle w:val="ESch"/>
        <w:rPr>
          <w:b/>
          <w:lang w:val="pt-PT"/>
        </w:rPr>
      </w:pPr>
      <w:r w:rsidRPr="00F125EF">
        <w:rPr>
          <w:b/>
          <w:lang w:val="pt-PT"/>
        </w:rPr>
        <w:t>6.</w:t>
      </w:r>
      <w:r w:rsidRPr="00F125EF">
        <w:rPr>
          <w:lang w:val="pt-PT"/>
        </w:rPr>
        <w:tab/>
      </w:r>
      <w:r w:rsidRPr="00F125EF">
        <w:rPr>
          <w:b/>
          <w:lang w:val="pt-PT"/>
        </w:rPr>
        <w:t>Szerkezeti elemek és anyagok jellemzői</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6.1.</w:t>
      </w:r>
      <w:r w:rsidRPr="00F125EF">
        <w:rPr>
          <w:lang w:val="pt-PT"/>
        </w:rPr>
        <w:tab/>
        <w:t>„vízmentes”: a víz behatolását megakadályozó módon beszerelt szerkezeti elem vagy eszköz jellemzője;</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6.2.</w:t>
      </w:r>
      <w:r w:rsidRPr="00F125EF">
        <w:rPr>
          <w:lang w:val="pt-PT"/>
        </w:rPr>
        <w:tab/>
        <w:t>„fröccsenővíz- és időjárásálló”: olyan módon beszerelt szerkezeti elem vagy eszköz jellemzője, amely rendes körülmények között csak elhanyagolható mennyiségű víz behatolását teszi lehetővé;</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6.3.</w:t>
      </w:r>
      <w:r w:rsidRPr="00F125EF">
        <w:rPr>
          <w:lang w:val="pt-PT"/>
        </w:rPr>
        <w:tab/>
        <w:t>„gázzáró”: a gáz és gőz behatolását megakadályozó módon beszerelt szerkezeti elem vagy eszköz jellemzője;</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6.4.</w:t>
      </w:r>
      <w:r w:rsidRPr="00F125EF">
        <w:rPr>
          <w:lang w:val="pt-PT"/>
        </w:rPr>
        <w:tab/>
        <w:t>„éghetetlen”: olyan anyag jellemzője, amely nem ég és nem képez gyúlékony gőzöket olyan mennyiségben, hogy azok kb. 750 °C-ra hevítve öngyulladók legyenek;</w:t>
      </w:r>
    </w:p>
    <w:p w:rsidR="009A1D30" w:rsidRPr="00F125EF" w:rsidRDefault="009A1D30" w:rsidP="00511BF6">
      <w:pPr>
        <w:pStyle w:val="ESch"/>
        <w:rPr>
          <w:rFonts w:cs="Arial"/>
          <w:szCs w:val="20"/>
          <w:lang w:val="pt-PT"/>
        </w:rPr>
      </w:pPr>
    </w:p>
    <w:p w:rsidR="00DE4417" w:rsidRPr="00F125EF" w:rsidRDefault="00DE4417" w:rsidP="00511BF6">
      <w:pPr>
        <w:pStyle w:val="ESch"/>
        <w:rPr>
          <w:lang w:val="pt-PT"/>
        </w:rPr>
      </w:pPr>
      <w:r w:rsidRPr="00F125EF">
        <w:rPr>
          <w:lang w:val="pt-PT"/>
        </w:rPr>
        <w:t>6.5.</w:t>
      </w:r>
      <w:r w:rsidRPr="00F125EF">
        <w:rPr>
          <w:lang w:val="pt-PT"/>
        </w:rPr>
        <w:tab/>
        <w:t>„égésgátló”: olyan anyag jellemzője, amely nem könnyen fog tüzet, vagy amelynek felülete legalább korlátozza a lángok terjedését, a 19.11. cikk 1. bekezdésének c) pontjában említett vizsgálati eljárás szerint;</w:t>
      </w:r>
    </w:p>
    <w:p w:rsidR="009A1D30" w:rsidRPr="00F125EF" w:rsidRDefault="009A1D30" w:rsidP="00511BF6">
      <w:pPr>
        <w:pStyle w:val="ESch"/>
        <w:rPr>
          <w:rFonts w:cs="Arial"/>
          <w:szCs w:val="20"/>
          <w:lang w:val="pt-PT"/>
        </w:rPr>
      </w:pPr>
    </w:p>
    <w:p w:rsidR="00BF3595" w:rsidRPr="00F125EF" w:rsidRDefault="00BF3595" w:rsidP="00BF3595">
      <w:pPr>
        <w:pStyle w:val="ESch"/>
        <w:rPr>
          <w:lang w:val="pt-PT"/>
        </w:rPr>
      </w:pPr>
      <w:r w:rsidRPr="00F125EF">
        <w:rPr>
          <w:lang w:val="pt-PT"/>
        </w:rPr>
        <w:t>6.6.</w:t>
      </w:r>
      <w:r w:rsidRPr="00F125EF">
        <w:rPr>
          <w:lang w:val="pt-PT"/>
        </w:rPr>
        <w:tab/>
        <w:t>„önoltó”: az égő anyag azon jellemzője, hogy a gyújtóforrás eltávolítása után rövid időn belül magától elalszik, azaz nem ég tovább;</w:t>
      </w:r>
    </w:p>
    <w:p w:rsidR="00BF3595" w:rsidRPr="00F125EF" w:rsidRDefault="00BF3595" w:rsidP="00BF3595">
      <w:pPr>
        <w:pStyle w:val="ESch"/>
        <w:ind w:left="0" w:firstLine="0"/>
        <w:rPr>
          <w:rFonts w:cs="Arial"/>
          <w:szCs w:val="20"/>
          <w:lang w:val="pt-PT"/>
        </w:rPr>
      </w:pPr>
    </w:p>
    <w:p w:rsidR="00DE4417" w:rsidRPr="00F125EF" w:rsidRDefault="00BF3595" w:rsidP="00511BF6">
      <w:pPr>
        <w:pStyle w:val="ESch"/>
        <w:rPr>
          <w:lang w:val="pt-PT"/>
        </w:rPr>
      </w:pPr>
      <w:r w:rsidRPr="00F125EF">
        <w:rPr>
          <w:lang w:val="pt-PT"/>
        </w:rPr>
        <w:t>6.7.</w:t>
      </w:r>
      <w:r w:rsidRPr="00F125EF">
        <w:rPr>
          <w:lang w:val="pt-PT"/>
        </w:rPr>
        <w:tab/>
        <w:t>„tűzállóság”: a szerkezeti elemek és eszközök azon jellemzője, amelyet a 19.11. cikk 1. bekezdésének d) pontja szerinti vizsgálati eljárás tanúsít;</w:t>
      </w:r>
    </w:p>
    <w:p w:rsidR="009A1D30" w:rsidRPr="00F125EF" w:rsidRDefault="009A1D30" w:rsidP="00511BF6">
      <w:pPr>
        <w:pStyle w:val="ESch"/>
        <w:rPr>
          <w:rFonts w:cs="Arial"/>
          <w:szCs w:val="20"/>
          <w:lang w:val="pt-PT"/>
        </w:rPr>
      </w:pPr>
    </w:p>
    <w:p w:rsidR="00DE4417" w:rsidRPr="00F125EF" w:rsidRDefault="00BF3595" w:rsidP="00511BF6">
      <w:pPr>
        <w:pStyle w:val="ESch"/>
        <w:rPr>
          <w:rFonts w:cs="Arial"/>
          <w:szCs w:val="20"/>
          <w:lang w:val="pt-PT"/>
        </w:rPr>
      </w:pPr>
      <w:r w:rsidRPr="00F125EF">
        <w:rPr>
          <w:lang w:val="pt-PT"/>
        </w:rPr>
        <w:t>6.8.</w:t>
      </w:r>
      <w:r w:rsidRPr="00F125EF">
        <w:rPr>
          <w:lang w:val="pt-PT"/>
        </w:rPr>
        <w:tab/>
        <w:t>„tűzállósági vizsgálati eljárások szabályzata”: a tűzállósági vizsgálati eljárások alkalmazására vonatkozó nemzetközi szabályzat (FTP-szabályzat) a Nemzetközi Tengerészeti Szervezet (IMO) Tengerészeti Biztonsági Bizottságának MSC.307(88) határozata</w:t>
      </w:r>
      <w:r>
        <w:rPr>
          <w:vertAlign w:val="superscript"/>
        </w:rPr>
        <w:footnoteReference w:id="1"/>
      </w:r>
      <w:r w:rsidRPr="00F125EF">
        <w:rPr>
          <w:lang w:val="pt-PT"/>
        </w:rPr>
        <w:t xml:space="preserve"> értelmében.</w:t>
      </w:r>
    </w:p>
    <w:p w:rsidR="009A1D30" w:rsidRPr="00F125EF" w:rsidRDefault="009A1D30" w:rsidP="00511BF6">
      <w:pPr>
        <w:pStyle w:val="ESch"/>
        <w:rPr>
          <w:rFonts w:cs="Arial"/>
          <w:szCs w:val="20"/>
          <w:lang w:val="pt-PT"/>
        </w:rPr>
      </w:pPr>
    </w:p>
    <w:p w:rsidR="009A1D30" w:rsidRPr="00F125EF" w:rsidRDefault="009A1D30" w:rsidP="00511BF6">
      <w:pPr>
        <w:pStyle w:val="ESch"/>
        <w:rPr>
          <w:rFonts w:cs="Arial"/>
          <w:szCs w:val="20"/>
          <w:lang w:val="pt-PT"/>
        </w:rPr>
      </w:pPr>
    </w:p>
    <w:p w:rsidR="009A1D30" w:rsidRPr="00F125EF" w:rsidRDefault="009A1D30" w:rsidP="00511BF6">
      <w:pPr>
        <w:pStyle w:val="ESch"/>
        <w:rPr>
          <w:lang w:val="pt-PT"/>
        </w:rPr>
      </w:pPr>
      <w:r w:rsidRPr="00F125EF">
        <w:rPr>
          <w:b/>
          <w:lang w:val="pt-PT"/>
        </w:rPr>
        <w:t>7.</w:t>
      </w:r>
      <w:r w:rsidRPr="00F125EF">
        <w:rPr>
          <w:lang w:val="pt-PT"/>
        </w:rPr>
        <w:tab/>
      </w:r>
      <w:r w:rsidRPr="00F125EF">
        <w:rPr>
          <w:b/>
          <w:lang w:val="pt-PT"/>
        </w:rPr>
        <w:t>Jelzőfények, navigációs és információs eszközök</w:t>
      </w:r>
    </w:p>
    <w:p w:rsidR="009A1D30" w:rsidRPr="00F125EF" w:rsidRDefault="009A1D30" w:rsidP="00511BF6">
      <w:pPr>
        <w:pStyle w:val="ESch"/>
        <w:rPr>
          <w:rFonts w:cs="Arial"/>
          <w:szCs w:val="20"/>
          <w:lang w:val="pt-PT"/>
        </w:rPr>
      </w:pPr>
    </w:p>
    <w:p w:rsidR="009A1D30" w:rsidRPr="00F125EF" w:rsidRDefault="009A1D30" w:rsidP="003B0440">
      <w:pPr>
        <w:pStyle w:val="ESch"/>
        <w:rPr>
          <w:lang w:val="pt-PT"/>
        </w:rPr>
      </w:pPr>
      <w:r w:rsidRPr="00F125EF">
        <w:rPr>
          <w:lang w:val="pt-PT"/>
        </w:rPr>
        <w:t>7.1.</w:t>
      </w:r>
      <w:r w:rsidRPr="00F125EF">
        <w:rPr>
          <w:lang w:val="pt-PT"/>
        </w:rPr>
        <w:tab/>
        <w:t>„jelzőfény”: a navigációs fények közül a hajók jelzésére szolgáló fény;</w:t>
      </w:r>
    </w:p>
    <w:p w:rsidR="009A1D30" w:rsidRPr="00F125EF" w:rsidRDefault="009A1D30" w:rsidP="00511BF6">
      <w:pPr>
        <w:pStyle w:val="ESch"/>
        <w:rPr>
          <w:rFonts w:cs="Arial"/>
          <w:szCs w:val="20"/>
          <w:lang w:val="pt-PT"/>
        </w:rPr>
      </w:pPr>
    </w:p>
    <w:p w:rsidR="009A1D30" w:rsidRPr="00F125EF" w:rsidRDefault="009A1D30" w:rsidP="00511BF6">
      <w:pPr>
        <w:pStyle w:val="ESch"/>
        <w:rPr>
          <w:lang w:val="pt-PT"/>
        </w:rPr>
      </w:pPr>
      <w:r w:rsidRPr="00F125EF">
        <w:rPr>
          <w:lang w:val="pt-PT"/>
        </w:rPr>
        <w:t>7.2.</w:t>
      </w:r>
      <w:r w:rsidRPr="00F125EF">
        <w:rPr>
          <w:lang w:val="pt-PT"/>
        </w:rPr>
        <w:tab/>
        <w:t>„fényjelzés”: az optikai vagy akusztikai jelzéseket kiegészítő fény;</w:t>
      </w:r>
    </w:p>
    <w:p w:rsidR="009A1D30" w:rsidRPr="00F125EF" w:rsidRDefault="009A1D30" w:rsidP="00511BF6">
      <w:pPr>
        <w:pStyle w:val="ESch"/>
        <w:rPr>
          <w:rFonts w:cs="Arial"/>
          <w:szCs w:val="20"/>
          <w:lang w:val="pt-PT"/>
        </w:rPr>
      </w:pPr>
    </w:p>
    <w:p w:rsidR="008D24FF" w:rsidRPr="00F125EF" w:rsidRDefault="008D24FF">
      <w:pPr>
        <w:rPr>
          <w:rFonts w:cs="Arial"/>
          <w:szCs w:val="20"/>
          <w:lang w:val="pt-PT"/>
        </w:rPr>
      </w:pPr>
      <w:r w:rsidRPr="00F125EF">
        <w:rPr>
          <w:lang w:val="pt-PT"/>
        </w:rPr>
        <w:br w:type="page"/>
      </w:r>
    </w:p>
    <w:p w:rsidR="008D24FF" w:rsidRPr="00F125EF" w:rsidRDefault="008D24FF" w:rsidP="00511BF6">
      <w:pPr>
        <w:pStyle w:val="ESch"/>
        <w:rPr>
          <w:rFonts w:cs="Arial"/>
          <w:szCs w:val="20"/>
          <w:lang w:val="pt-PT"/>
        </w:rPr>
      </w:pPr>
    </w:p>
    <w:p w:rsidR="009A1D30" w:rsidRPr="00F125EF" w:rsidRDefault="009A1D30" w:rsidP="003B0440">
      <w:pPr>
        <w:pStyle w:val="ESch"/>
        <w:rPr>
          <w:lang w:val="pt-PT"/>
        </w:rPr>
      </w:pPr>
      <w:r w:rsidRPr="00F125EF">
        <w:rPr>
          <w:lang w:val="pt-PT"/>
        </w:rPr>
        <w:t>7.3.</w:t>
      </w:r>
      <w:r w:rsidRPr="00F125EF">
        <w:rPr>
          <w:lang w:val="pt-PT"/>
        </w:rPr>
        <w:tab/>
        <w:t>„navigációs radarberendezés”: a környezet és a forgalom felderítését és megjelenítését szolgáló elektronikus navigációs segédeszköz;</w:t>
      </w:r>
    </w:p>
    <w:p w:rsidR="009A1D30" w:rsidRPr="00F125EF" w:rsidRDefault="009A1D30" w:rsidP="00511BF6">
      <w:pPr>
        <w:pStyle w:val="ESch"/>
        <w:rPr>
          <w:rFonts w:cs="Arial"/>
          <w:szCs w:val="20"/>
          <w:lang w:val="pt-PT"/>
        </w:rPr>
      </w:pPr>
    </w:p>
    <w:p w:rsidR="009A1D30" w:rsidRPr="00F125EF" w:rsidRDefault="009A1D30" w:rsidP="00511BF6">
      <w:pPr>
        <w:pStyle w:val="ESch"/>
        <w:rPr>
          <w:lang w:val="pt-PT"/>
        </w:rPr>
      </w:pPr>
      <w:r w:rsidRPr="00F125EF">
        <w:rPr>
          <w:lang w:val="pt-PT"/>
        </w:rPr>
        <w:t>7.4.</w:t>
      </w:r>
      <w:r w:rsidRPr="00F125EF">
        <w:rPr>
          <w:lang w:val="pt-PT"/>
        </w:rPr>
        <w:tab/>
        <w:t>„belvízi ECDIS”: a mindenkori belvízi ECDIS-szabvány szerint alkalmazott, belvízi hajózási térképek és kapcsolódó információk megjelenítésére szolgáló elektronikus rendszer, amely védett elektronikus belvízi hajózási térképekből kiválasztott információkat, valamint opcionálisan a vízi jármű más érzékelőiből származó információkat jelenít meg;</w:t>
      </w:r>
    </w:p>
    <w:p w:rsidR="009A1D30" w:rsidRPr="00F125EF" w:rsidRDefault="009A1D30" w:rsidP="00511BF6">
      <w:pPr>
        <w:pStyle w:val="ESch"/>
        <w:rPr>
          <w:rFonts w:cs="Arial"/>
          <w:szCs w:val="20"/>
          <w:lang w:val="pt-PT"/>
        </w:rPr>
      </w:pPr>
    </w:p>
    <w:p w:rsidR="009A1D30" w:rsidRPr="00F125EF" w:rsidRDefault="009A1D30" w:rsidP="00511BF6">
      <w:pPr>
        <w:pStyle w:val="ESch"/>
        <w:rPr>
          <w:lang w:val="pt-PT"/>
        </w:rPr>
      </w:pPr>
      <w:r w:rsidRPr="00F125EF">
        <w:rPr>
          <w:lang w:val="pt-PT"/>
        </w:rPr>
        <w:t>7.5.</w:t>
      </w:r>
      <w:r w:rsidRPr="00F125EF">
        <w:rPr>
          <w:lang w:val="pt-PT"/>
        </w:rPr>
        <w:tab/>
        <w:t>„belvízi ECDIS-berendezés”: belvízi hajózási térképek megjelenítésére szolgáló elektronikus berendezés, amely kétféle módban üzemelhet: információs módban és navigációs módban;</w:t>
      </w:r>
    </w:p>
    <w:p w:rsidR="009A1D30" w:rsidRPr="00F125EF" w:rsidRDefault="009A1D30" w:rsidP="00511BF6">
      <w:pPr>
        <w:pStyle w:val="ESch"/>
        <w:rPr>
          <w:rFonts w:cs="Arial"/>
          <w:szCs w:val="20"/>
          <w:lang w:val="pt-PT"/>
        </w:rPr>
      </w:pPr>
    </w:p>
    <w:p w:rsidR="009A1D30" w:rsidRPr="00F125EF" w:rsidRDefault="009A1D30" w:rsidP="00511BF6">
      <w:pPr>
        <w:pStyle w:val="ESch"/>
        <w:rPr>
          <w:lang w:val="pt-PT"/>
        </w:rPr>
      </w:pPr>
      <w:r w:rsidRPr="00F125EF">
        <w:rPr>
          <w:lang w:val="pt-PT"/>
        </w:rPr>
        <w:t>7.6.</w:t>
      </w:r>
      <w:r w:rsidRPr="00F125EF">
        <w:rPr>
          <w:lang w:val="pt-PT"/>
        </w:rPr>
        <w:tab/>
        <w:t>„információs mód”: a belvízi ECDIS csak információs célokra történő használata radarkép-rávetítés nélkül;</w:t>
      </w:r>
    </w:p>
    <w:p w:rsidR="009A1D30" w:rsidRPr="00F125EF" w:rsidRDefault="009A1D30" w:rsidP="00511BF6">
      <w:pPr>
        <w:pStyle w:val="ESch"/>
        <w:rPr>
          <w:rFonts w:cs="Arial"/>
          <w:szCs w:val="20"/>
          <w:lang w:val="pt-PT"/>
        </w:rPr>
      </w:pPr>
    </w:p>
    <w:p w:rsidR="009A1D30" w:rsidRPr="00F125EF" w:rsidRDefault="009A1D30" w:rsidP="00511BF6">
      <w:pPr>
        <w:pStyle w:val="ESch"/>
        <w:rPr>
          <w:rFonts w:cs="Arial"/>
          <w:szCs w:val="20"/>
          <w:lang w:val="pt-PT"/>
        </w:rPr>
      </w:pPr>
      <w:r w:rsidRPr="00F125EF">
        <w:rPr>
          <w:lang w:val="pt-PT"/>
        </w:rPr>
        <w:t>7.7.</w:t>
      </w:r>
      <w:r w:rsidRPr="00F125EF">
        <w:rPr>
          <w:lang w:val="pt-PT"/>
        </w:rPr>
        <w:tab/>
        <w:t>„navigációs mód”: a belvízi ECDIS vízijármű-navigálásra történő használata radarkép-rávetítéssel;</w:t>
      </w:r>
    </w:p>
    <w:p w:rsidR="009A1D30" w:rsidRPr="00F125EF" w:rsidRDefault="009A1D30" w:rsidP="00511BF6">
      <w:pPr>
        <w:pStyle w:val="ESch"/>
        <w:rPr>
          <w:rFonts w:cs="Arial"/>
          <w:szCs w:val="20"/>
          <w:lang w:val="pt-PT"/>
        </w:rPr>
      </w:pPr>
    </w:p>
    <w:p w:rsidR="009A1D30" w:rsidRPr="00F125EF" w:rsidRDefault="009A1D30" w:rsidP="003B0440">
      <w:pPr>
        <w:pStyle w:val="ESch"/>
        <w:rPr>
          <w:color w:val="000000"/>
          <w:lang w:val="pt-PT"/>
        </w:rPr>
      </w:pPr>
      <w:r w:rsidRPr="00F125EF">
        <w:rPr>
          <w:lang w:val="pt-PT"/>
        </w:rPr>
        <w:t>7.8.</w:t>
      </w:r>
      <w:r w:rsidRPr="00F125EF">
        <w:rPr>
          <w:lang w:val="pt-PT"/>
        </w:rPr>
        <w:tab/>
        <w:t>„belvízi AIS-berendezés”: egy hajó felszereléséhez tartozó, a mindenkori VTT-szabvány szerint használt berendezés;</w:t>
      </w:r>
    </w:p>
    <w:p w:rsidR="009A1D30" w:rsidRPr="00F125EF" w:rsidRDefault="009A1D30" w:rsidP="00511BF6">
      <w:pPr>
        <w:pStyle w:val="ESch"/>
        <w:rPr>
          <w:rFonts w:cs="Arial"/>
          <w:color w:val="000000"/>
          <w:szCs w:val="20"/>
          <w:lang w:val="pt-PT"/>
        </w:rPr>
      </w:pPr>
    </w:p>
    <w:p w:rsidR="00881510" w:rsidRPr="00F125EF" w:rsidRDefault="008D24FF" w:rsidP="00881510">
      <w:pPr>
        <w:adjustRightInd w:val="0"/>
        <w:ind w:left="567" w:hanging="567"/>
        <w:rPr>
          <w:lang w:val="pt-PT"/>
        </w:rPr>
      </w:pPr>
      <w:r w:rsidRPr="005711FA">
        <w:rPr>
          <w:lang w:val="pt-PT"/>
        </w:rPr>
        <w:t>7.9.</w:t>
      </w:r>
      <w:r w:rsidRPr="00F125EF">
        <w:rPr>
          <w:lang w:val="pt-PT"/>
        </w:rPr>
        <w:tab/>
      </w:r>
      <w:r w:rsidRPr="00F125EF">
        <w:rPr>
          <w:rFonts w:ascii="ArialMT" w:hAnsi="ArialMT"/>
          <w:spacing w:val="-2"/>
          <w:lang w:val="pt-PT"/>
        </w:rPr>
        <w:t>„</w:t>
      </w:r>
      <w:r w:rsidRPr="00F125EF">
        <w:rPr>
          <w:lang w:val="pt-PT"/>
        </w:rPr>
        <w:t>VTT-szabvány”: a hajó-helyzetmegállapító és -nyomonkövető rendszerekre vonatkozó belvízi hajózási CCNR-szabvány 1.2 kiadása</w:t>
      </w:r>
      <w:r w:rsidRPr="00F125EF">
        <w:rPr>
          <w:lang w:val="pt-PT"/>
        </w:rPr>
        <w:footnoteReference w:id="2"/>
      </w:r>
      <w:r w:rsidRPr="00F125EF">
        <w:rPr>
          <w:lang w:val="pt-PT"/>
        </w:rPr>
        <w:t xml:space="preserve"> vagy a 689/2012/EU végrehajtási rendeletben</w:t>
      </w:r>
      <w:r w:rsidRPr="00F125EF">
        <w:rPr>
          <w:lang w:val="pt-PT"/>
        </w:rPr>
        <w:footnoteReference w:id="3"/>
      </w:r>
      <w:r w:rsidRPr="00F125EF">
        <w:rPr>
          <w:lang w:val="pt-PT"/>
        </w:rPr>
        <w:t xml:space="preserve"> meghatározott műszaki előírások;</w:t>
      </w:r>
    </w:p>
    <w:p w:rsidR="00881510" w:rsidRPr="00F125EF" w:rsidRDefault="00881510" w:rsidP="00881510">
      <w:pPr>
        <w:adjustRightInd w:val="0"/>
        <w:ind w:left="567" w:hanging="567"/>
        <w:rPr>
          <w:rFonts w:ascii="ArialMT" w:eastAsiaTheme="minorEastAsia" w:hAnsi="ArialMT" w:cs="ArialMT"/>
          <w:szCs w:val="20"/>
          <w:lang w:val="pt-PT"/>
        </w:rPr>
      </w:pPr>
    </w:p>
    <w:p w:rsidR="00881510" w:rsidRPr="00F125EF" w:rsidRDefault="008D24FF" w:rsidP="00F125EF">
      <w:pPr>
        <w:pStyle w:val="ESch"/>
        <w:rPr>
          <w:lang w:val="pt-PT"/>
        </w:rPr>
      </w:pPr>
      <w:r w:rsidRPr="005711FA">
        <w:rPr>
          <w:lang w:val="pt-PT"/>
        </w:rPr>
        <w:t>7.10.</w:t>
      </w:r>
      <w:r w:rsidRPr="00F125EF">
        <w:rPr>
          <w:lang w:val="pt-PT"/>
        </w:rPr>
        <w:tab/>
        <w:t>„belvízi ECDIS-szabvány”:</w:t>
      </w:r>
      <w:r w:rsidRPr="00F125EF">
        <w:rPr>
          <w:rFonts w:ascii="ArialMT" w:hAnsi="ArialMT"/>
          <w:lang w:val="pt-PT"/>
        </w:rPr>
        <w:t xml:space="preserve"> </w:t>
      </w:r>
      <w:r w:rsidRPr="00F125EF">
        <w:rPr>
          <w:lang w:val="pt-PT"/>
        </w:rPr>
        <w:t>a CCNR belvízi elektronikus térképmegjelenítő és információs rendszerre vonatkozó szabványának 2.3 kiadása</w:t>
      </w:r>
      <w:r w:rsidRPr="00F125EF">
        <w:rPr>
          <w:lang w:val="pt-PT"/>
        </w:rPr>
        <w:footnoteReference w:id="4"/>
      </w:r>
      <w:r w:rsidRPr="00F125EF">
        <w:rPr>
          <w:lang w:val="pt-PT"/>
        </w:rPr>
        <w:t xml:space="preserve"> vagy a 909/2013/EU végrehajtási rendeletben</w:t>
      </w:r>
      <w:r w:rsidRPr="00F125EF">
        <w:rPr>
          <w:lang w:val="pt-PT"/>
        </w:rPr>
        <w:footnoteReference w:id="5"/>
      </w:r>
      <w:r w:rsidRPr="00F125EF">
        <w:rPr>
          <w:lang w:val="pt-PT"/>
        </w:rPr>
        <w:t xml:space="preserve"> meghatározott műszaki előírások;</w:t>
      </w:r>
    </w:p>
    <w:p w:rsidR="00FA4437" w:rsidRPr="00F125EF" w:rsidRDefault="00FA4437" w:rsidP="00F125EF">
      <w:pPr>
        <w:pStyle w:val="ESch"/>
        <w:rPr>
          <w:lang w:val="pt-PT"/>
        </w:rPr>
      </w:pPr>
    </w:p>
    <w:p w:rsidR="00FA4437" w:rsidRPr="00F125EF" w:rsidRDefault="00FA4437" w:rsidP="003B0440">
      <w:pPr>
        <w:pStyle w:val="ESch"/>
        <w:rPr>
          <w:lang w:val="pt-PT"/>
        </w:rPr>
      </w:pPr>
      <w:r w:rsidRPr="00F125EF">
        <w:rPr>
          <w:lang w:val="pt-PT"/>
        </w:rPr>
        <w:t>7.11.</w:t>
      </w:r>
      <w:r w:rsidRPr="00F125EF">
        <w:rPr>
          <w:lang w:val="pt-PT"/>
        </w:rPr>
        <w:tab/>
        <w:t>„belvízi AIS vizsgálati szabvány”: a belvízi AIS-berendedésekre vonatkozó CESNI vizsgálati szabvány 2.0 kiadása</w:t>
      </w:r>
      <w:r>
        <w:rPr>
          <w:vertAlign w:val="superscript"/>
        </w:rPr>
        <w:footnoteReference w:id="6"/>
      </w:r>
      <w:r w:rsidRPr="00F125EF">
        <w:rPr>
          <w:lang w:val="pt-PT"/>
        </w:rPr>
        <w:t>.</w:t>
      </w:r>
    </w:p>
    <w:p w:rsidR="008D24FF" w:rsidRPr="00F125EF" w:rsidRDefault="008D24FF" w:rsidP="00511BF6">
      <w:pPr>
        <w:pStyle w:val="ESch"/>
        <w:rPr>
          <w:lang w:val="pt-PT"/>
        </w:rPr>
      </w:pPr>
    </w:p>
    <w:p w:rsidR="003971A3" w:rsidRPr="00F125EF" w:rsidRDefault="003971A3" w:rsidP="00511BF6">
      <w:pPr>
        <w:pStyle w:val="ESch"/>
        <w:rPr>
          <w:lang w:val="pt-PT"/>
        </w:rPr>
      </w:pPr>
    </w:p>
    <w:p w:rsidR="009A1D30" w:rsidRPr="00F125EF" w:rsidRDefault="009A1D30" w:rsidP="00511BF6">
      <w:pPr>
        <w:pStyle w:val="ESch"/>
        <w:rPr>
          <w:rFonts w:cs="Arial"/>
          <w:b/>
          <w:color w:val="000000"/>
          <w:szCs w:val="20"/>
          <w:lang w:val="pt-PT"/>
        </w:rPr>
      </w:pPr>
      <w:r w:rsidRPr="00F125EF">
        <w:rPr>
          <w:b/>
          <w:color w:val="000000"/>
          <w:lang w:val="pt-PT"/>
        </w:rPr>
        <w:t>8.</w:t>
      </w:r>
      <w:r w:rsidRPr="00F125EF">
        <w:rPr>
          <w:lang w:val="pt-PT"/>
        </w:rPr>
        <w:tab/>
      </w:r>
      <w:r w:rsidRPr="00F125EF">
        <w:rPr>
          <w:b/>
          <w:color w:val="000000"/>
          <w:lang w:val="pt-PT"/>
        </w:rPr>
        <w:t>Motorok</w:t>
      </w:r>
    </w:p>
    <w:p w:rsidR="00E61447" w:rsidRPr="00F125EF" w:rsidRDefault="00E61447" w:rsidP="00511BF6">
      <w:pPr>
        <w:pStyle w:val="ESch"/>
        <w:rPr>
          <w:rFonts w:cs="Arial"/>
          <w:color w:val="000000"/>
          <w:szCs w:val="20"/>
          <w:lang w:val="pt-PT"/>
        </w:rPr>
      </w:pPr>
    </w:p>
    <w:p w:rsidR="0087027F" w:rsidRPr="00F125EF" w:rsidRDefault="0087027F" w:rsidP="00AE3F86">
      <w:pPr>
        <w:pStyle w:val="ESch"/>
        <w:ind w:firstLine="0"/>
        <w:rPr>
          <w:color w:val="000000"/>
          <w:lang w:val="pt-PT"/>
        </w:rPr>
      </w:pPr>
      <w:r w:rsidRPr="00F125EF">
        <w:rPr>
          <w:color w:val="000000"/>
          <w:lang w:val="pt-PT"/>
        </w:rPr>
        <w:t>(Üres)</w:t>
      </w:r>
    </w:p>
    <w:p w:rsidR="009A1D30" w:rsidRPr="00F125EF" w:rsidRDefault="009A1D30" w:rsidP="00511BF6">
      <w:pPr>
        <w:pStyle w:val="ESch"/>
        <w:rPr>
          <w:lang w:val="pt-PT"/>
        </w:rPr>
      </w:pPr>
    </w:p>
    <w:p w:rsidR="006971A7" w:rsidRPr="00F125EF" w:rsidRDefault="006971A7" w:rsidP="00511BF6">
      <w:pPr>
        <w:pStyle w:val="ESch"/>
        <w:rPr>
          <w:lang w:val="pt-PT"/>
        </w:rPr>
      </w:pPr>
    </w:p>
    <w:p w:rsidR="008D2FD5" w:rsidRPr="00F125EF" w:rsidRDefault="008D2FD5" w:rsidP="00511BF6">
      <w:pPr>
        <w:pStyle w:val="ESch"/>
        <w:rPr>
          <w:b/>
          <w:lang w:val="pt-PT"/>
        </w:rPr>
      </w:pPr>
      <w:r w:rsidRPr="00F125EF">
        <w:rPr>
          <w:b/>
          <w:lang w:val="pt-PT"/>
        </w:rPr>
        <w:t>9.</w:t>
      </w:r>
      <w:r w:rsidRPr="00F125EF">
        <w:rPr>
          <w:lang w:val="pt-PT"/>
        </w:rPr>
        <w:tab/>
      </w:r>
      <w:r w:rsidRPr="00F125EF">
        <w:rPr>
          <w:b/>
          <w:lang w:val="pt-PT"/>
        </w:rPr>
        <w:t>Fedélzeti szennyvízkezelő művek</w:t>
      </w:r>
    </w:p>
    <w:p w:rsidR="0087027F" w:rsidRPr="00F125EF" w:rsidRDefault="0087027F" w:rsidP="008D24FF">
      <w:pPr>
        <w:pStyle w:val="ESch"/>
        <w:rPr>
          <w:lang w:val="pt-PT"/>
        </w:rPr>
      </w:pPr>
    </w:p>
    <w:p w:rsidR="0087027F" w:rsidRPr="00F125EF" w:rsidRDefault="0087027F" w:rsidP="00AE3F86">
      <w:pPr>
        <w:pStyle w:val="ESch"/>
        <w:ind w:firstLine="0"/>
        <w:rPr>
          <w:rFonts w:cs="Arial"/>
          <w:color w:val="000000"/>
          <w:szCs w:val="20"/>
          <w:lang w:val="pt-PT"/>
        </w:rPr>
      </w:pPr>
      <w:r w:rsidRPr="00F125EF">
        <w:rPr>
          <w:color w:val="000000"/>
          <w:lang w:val="pt-PT"/>
        </w:rPr>
        <w:t>(Üres)</w:t>
      </w:r>
    </w:p>
    <w:p w:rsidR="00197F7A" w:rsidRPr="00F125EF" w:rsidRDefault="00197F7A" w:rsidP="00511BF6">
      <w:pPr>
        <w:pStyle w:val="ESch"/>
        <w:rPr>
          <w:lang w:val="pt-PT"/>
        </w:rPr>
      </w:pPr>
    </w:p>
    <w:p w:rsidR="008D24FF" w:rsidRPr="00F125EF" w:rsidRDefault="008D24FF">
      <w:pPr>
        <w:rPr>
          <w:lang w:val="pt-PT"/>
        </w:rPr>
      </w:pPr>
      <w:r w:rsidRPr="00F125EF">
        <w:rPr>
          <w:lang w:val="pt-PT"/>
        </w:rPr>
        <w:br w:type="page"/>
      </w:r>
    </w:p>
    <w:p w:rsidR="006971A7" w:rsidRPr="00F125EF" w:rsidRDefault="006971A7" w:rsidP="00511BF6">
      <w:pPr>
        <w:pStyle w:val="ESch"/>
        <w:rPr>
          <w:lang w:val="pt-PT"/>
        </w:rPr>
      </w:pPr>
    </w:p>
    <w:p w:rsidR="00E61447" w:rsidRPr="00F125EF" w:rsidRDefault="00E61447" w:rsidP="00E61447">
      <w:pPr>
        <w:pStyle w:val="ESch"/>
        <w:rPr>
          <w:lang w:val="pt-PT"/>
        </w:rPr>
      </w:pPr>
      <w:r w:rsidRPr="00F125EF">
        <w:rPr>
          <w:b/>
          <w:lang w:val="pt-PT"/>
        </w:rPr>
        <w:t>10.</w:t>
      </w:r>
      <w:r w:rsidRPr="00F125EF">
        <w:rPr>
          <w:lang w:val="pt-PT"/>
        </w:rPr>
        <w:tab/>
      </w:r>
      <w:r w:rsidRPr="00F125EF">
        <w:rPr>
          <w:b/>
          <w:lang w:val="pt-PT"/>
        </w:rPr>
        <w:t>Hajóosztályozó társaságok, szakértők és hozzáértő személyek</w:t>
      </w:r>
    </w:p>
    <w:p w:rsidR="00E61447" w:rsidRPr="00F125EF" w:rsidRDefault="00E61447" w:rsidP="00E61447">
      <w:pPr>
        <w:pStyle w:val="ESch"/>
        <w:rPr>
          <w:rFonts w:cs="Arial"/>
          <w:szCs w:val="20"/>
          <w:lang w:val="pt-PT"/>
        </w:rPr>
      </w:pPr>
    </w:p>
    <w:p w:rsidR="00E61447" w:rsidRPr="00F125EF" w:rsidRDefault="00E61447" w:rsidP="00E61447">
      <w:pPr>
        <w:pStyle w:val="ESch"/>
        <w:rPr>
          <w:lang w:val="pt-PT"/>
        </w:rPr>
      </w:pPr>
      <w:r w:rsidRPr="00F125EF">
        <w:rPr>
          <w:lang w:val="pt-PT"/>
        </w:rPr>
        <w:t>10.1.</w:t>
      </w:r>
      <w:r w:rsidRPr="00F125EF">
        <w:rPr>
          <w:lang w:val="pt-PT"/>
        </w:rPr>
        <w:tab/>
        <w:t>„elismert hajóosztályozó társaság”: a CCNR-, illetve EU-eljárásoknak megfelelően elismert hajóosztályozó társaság;</w:t>
      </w:r>
    </w:p>
    <w:p w:rsidR="00E61447" w:rsidRPr="00F125EF" w:rsidRDefault="00E61447" w:rsidP="00E61447">
      <w:pPr>
        <w:pStyle w:val="ESch"/>
        <w:rPr>
          <w:rFonts w:cs="Arial"/>
          <w:szCs w:val="20"/>
          <w:lang w:val="pt-PT"/>
        </w:rPr>
      </w:pPr>
    </w:p>
    <w:p w:rsidR="00E61447" w:rsidRPr="00F125EF" w:rsidRDefault="00E61447" w:rsidP="00E61447">
      <w:pPr>
        <w:pStyle w:val="ESch"/>
        <w:rPr>
          <w:lang w:val="pt-PT"/>
        </w:rPr>
      </w:pPr>
      <w:r w:rsidRPr="00F125EF">
        <w:rPr>
          <w:lang w:val="pt-PT"/>
        </w:rPr>
        <w:t>10.2.</w:t>
      </w:r>
      <w:r w:rsidRPr="00F125EF">
        <w:rPr>
          <w:lang w:val="pt-PT"/>
        </w:rPr>
        <w:tab/>
        <w:t>„legfelső osztály”: a legmagasabb osztály, amelybe olyan hajó sorolható be, amelyben:</w:t>
      </w:r>
    </w:p>
    <w:p w:rsidR="00E61447" w:rsidRPr="00F125EF" w:rsidRDefault="00E61447" w:rsidP="00E61447">
      <w:pPr>
        <w:pStyle w:val="ESlet"/>
        <w:rPr>
          <w:lang w:val="pt-PT"/>
        </w:rPr>
      </w:pPr>
      <w:r w:rsidRPr="00F125EF">
        <w:rPr>
          <w:lang w:val="pt-PT"/>
        </w:rPr>
        <w:t>-</w:t>
      </w:r>
      <w:r w:rsidRPr="00F125EF">
        <w:rPr>
          <w:lang w:val="pt-PT"/>
        </w:rPr>
        <w:tab/>
        <w:t>a hajótest – beleértve a kormánygépet és a manőverezési apparátust, valamint a horgonyokat és horgonyláncokat is – megfelel az elismert hajóosztályozó társaság által megállapított szabályoknak, és annak felügyelete alatt épült és került tesztelésre;</w:t>
      </w:r>
    </w:p>
    <w:p w:rsidR="00E61447" w:rsidRPr="00F125EF" w:rsidRDefault="00E61447" w:rsidP="00E61447">
      <w:pPr>
        <w:pStyle w:val="ESlet"/>
        <w:rPr>
          <w:lang w:val="pt-PT"/>
        </w:rPr>
      </w:pPr>
      <w:r w:rsidRPr="00F125EF">
        <w:rPr>
          <w:lang w:val="pt-PT"/>
        </w:rPr>
        <w:t>-</w:t>
      </w:r>
      <w:r w:rsidRPr="00F125EF">
        <w:rPr>
          <w:lang w:val="pt-PT"/>
        </w:rPr>
        <w:tab/>
        <w:t>a propulziós rendszereket, valamint a hajófedélzeti szolgáltatásokhoz szükséges segédmotorokat, mechanikus és elektromos berendezéseket a hajóosztályozó társaság szabályainak megfelelően gyártották és tesztelték, és annak felügyelete alatt építették be; továbbá az egység egésze megfelelőnek minősült a beépítés utáni vizsgálaton;</w:t>
      </w:r>
    </w:p>
    <w:p w:rsidR="00E61447" w:rsidRPr="00F125EF" w:rsidRDefault="00E61447" w:rsidP="00E61447">
      <w:pPr>
        <w:pStyle w:val="ESch"/>
        <w:rPr>
          <w:lang w:val="pt-PT"/>
        </w:rPr>
      </w:pPr>
    </w:p>
    <w:p w:rsidR="00E61447" w:rsidRPr="00F125EF" w:rsidRDefault="00E61447" w:rsidP="00E61447">
      <w:pPr>
        <w:pStyle w:val="ESch"/>
        <w:rPr>
          <w:rFonts w:cs="Arial"/>
          <w:szCs w:val="20"/>
          <w:lang w:val="pt-PT"/>
        </w:rPr>
      </w:pPr>
      <w:r w:rsidRPr="00F125EF">
        <w:rPr>
          <w:lang w:val="pt-PT"/>
        </w:rPr>
        <w:t>10.3.</w:t>
      </w:r>
      <w:r w:rsidRPr="00F125EF">
        <w:rPr>
          <w:lang w:val="pt-PT"/>
        </w:rPr>
        <w:tab/>
        <w:t>„szakértő”: az illetékes hatóság vagy egy felhatalmazott intézmény által elismert személy, aki szakképesítése és szakmai tapasztalata alapján megfelelő szaktudással rendelkezik egy adott területen, tökéletesen ismeri a vonatkozó jogszabályokat és az általánosan elfogadott műszaki szabályokat (pl. EN szabványokat, vonatkozó jogszabályokat, műszaki előírásokat), továbbá képes az adott rendszereket és berendezéseket megvizsgálni és azokról szakértői értékelést készíteni;</w:t>
      </w:r>
    </w:p>
    <w:p w:rsidR="00E61447" w:rsidRPr="00F125EF" w:rsidRDefault="00E61447" w:rsidP="00E61447">
      <w:pPr>
        <w:pStyle w:val="ESch"/>
        <w:rPr>
          <w:lang w:val="pt-PT"/>
        </w:rPr>
      </w:pPr>
    </w:p>
    <w:p w:rsidR="00E61447" w:rsidRPr="00F125EF" w:rsidRDefault="00E61447" w:rsidP="00E61447">
      <w:pPr>
        <w:pStyle w:val="ESch"/>
        <w:rPr>
          <w:lang w:val="pt-PT"/>
        </w:rPr>
      </w:pPr>
      <w:r w:rsidRPr="00F125EF">
        <w:rPr>
          <w:lang w:val="pt-PT"/>
        </w:rPr>
        <w:t>10.4.</w:t>
      </w:r>
      <w:r w:rsidRPr="00F125EF">
        <w:rPr>
          <w:lang w:val="pt-PT"/>
        </w:rPr>
        <w:tab/>
        <w:t>„hozzáértő személy”: olyan személy, aki szakképesítése és szakmai tapasztalata alapján megfelelő tudást szerzett egy adott területen, és kellően ismeri a vonatkozó jogszabályokat és az általánosan elfogadott műszaki szabályokat (pl. EN szabványokat, vonatkozó jogszabályokat, műszaki előírásokat) ahhoz, hogy fel tudja mérni az adott rendszerek és berendezések üzembiztonságát.</w:t>
      </w:r>
    </w:p>
    <w:p w:rsidR="00E61447" w:rsidRPr="00F125EF" w:rsidRDefault="00E61447" w:rsidP="00080F6D">
      <w:pPr>
        <w:pStyle w:val="ESch"/>
        <w:rPr>
          <w:lang w:val="pt-PT"/>
        </w:rPr>
      </w:pPr>
    </w:p>
    <w:p w:rsidR="00BF3595" w:rsidRPr="00F125EF" w:rsidRDefault="00BF3595" w:rsidP="00080F6D">
      <w:pPr>
        <w:pStyle w:val="ESch"/>
        <w:rPr>
          <w:lang w:val="pt-PT"/>
        </w:rPr>
      </w:pPr>
    </w:p>
    <w:p w:rsidR="00BF3595" w:rsidRPr="00F125EF" w:rsidRDefault="00BF3595" w:rsidP="00BF3595">
      <w:pPr>
        <w:pStyle w:val="ESch"/>
        <w:rPr>
          <w:b/>
          <w:bCs/>
          <w:iCs/>
          <w:lang w:val="pt-PT"/>
        </w:rPr>
      </w:pPr>
      <w:r w:rsidRPr="00F125EF">
        <w:rPr>
          <w:b/>
          <w:lang w:val="pt-PT"/>
        </w:rPr>
        <w:t>11.</w:t>
      </w:r>
      <w:r w:rsidRPr="00F125EF">
        <w:rPr>
          <w:lang w:val="pt-PT"/>
        </w:rPr>
        <w:tab/>
      </w:r>
      <w:r w:rsidRPr="00F125EF">
        <w:rPr>
          <w:b/>
          <w:lang w:val="pt-PT"/>
        </w:rPr>
        <w:t>Elektromos rendszerek, berendezések és propulziós rendszerek</w:t>
      </w:r>
    </w:p>
    <w:p w:rsidR="00BF3595" w:rsidRPr="00F125EF" w:rsidRDefault="00BF3595" w:rsidP="00080F6D">
      <w:pPr>
        <w:pStyle w:val="ESch"/>
        <w:rPr>
          <w:lang w:val="pt-PT"/>
        </w:rPr>
      </w:pPr>
    </w:p>
    <w:p w:rsidR="00BF3595" w:rsidRPr="00F125EF" w:rsidRDefault="00BF3595" w:rsidP="00BF3595">
      <w:pPr>
        <w:pStyle w:val="ESch"/>
        <w:rPr>
          <w:lang w:val="pt-PT"/>
        </w:rPr>
      </w:pPr>
      <w:r w:rsidRPr="00F125EF">
        <w:rPr>
          <w:lang w:val="pt-PT"/>
        </w:rPr>
        <w:t>11.1.</w:t>
      </w:r>
      <w:r w:rsidRPr="00F125EF">
        <w:rPr>
          <w:lang w:val="pt-PT"/>
        </w:rPr>
        <w:tab/>
        <w:t>„energiaforrás”: hasznosenergia-termelésre szolgáló energiahordozó vagy energiaátalakító. A kormányszerkezetek propulziós rendszerei esetében a kormány meghajtóegységének és a kormánygépnek az energiaellátása, amelyről egy fedélzeti hálózat, szárazelem, akkumulátor vagy belső égésű motor gondoskodik;</w:t>
      </w:r>
    </w:p>
    <w:p w:rsidR="00BF3595" w:rsidRPr="00F125EF" w:rsidRDefault="00BF3595" w:rsidP="00BF3595">
      <w:pPr>
        <w:pStyle w:val="ESch"/>
        <w:rPr>
          <w:lang w:val="pt-PT"/>
        </w:rPr>
      </w:pPr>
    </w:p>
    <w:p w:rsidR="00BF3595" w:rsidRPr="00F125EF" w:rsidRDefault="00BF3595" w:rsidP="00BF3595">
      <w:pPr>
        <w:pStyle w:val="ESch"/>
        <w:rPr>
          <w:lang w:val="pt-PT"/>
        </w:rPr>
      </w:pPr>
      <w:r w:rsidRPr="00F125EF">
        <w:rPr>
          <w:lang w:val="pt-PT"/>
        </w:rPr>
        <w:t>11.2.</w:t>
      </w:r>
      <w:r w:rsidRPr="00F125EF">
        <w:rPr>
          <w:lang w:val="pt-PT"/>
        </w:rPr>
        <w:tab/>
        <w:t>„áramforrás”: olyan energiaforrás, amelyből villamos áram nyerhető;</w:t>
      </w:r>
    </w:p>
    <w:p w:rsidR="00BF3595" w:rsidRPr="00F125EF" w:rsidRDefault="00BF3595" w:rsidP="00BF3595">
      <w:pPr>
        <w:pStyle w:val="ESch"/>
        <w:rPr>
          <w:lang w:val="pt-PT"/>
        </w:rPr>
      </w:pPr>
    </w:p>
    <w:p w:rsidR="00BF3595" w:rsidRPr="00F125EF" w:rsidRDefault="00BF3595" w:rsidP="00BF3595">
      <w:pPr>
        <w:pStyle w:val="ESch"/>
        <w:rPr>
          <w:lang w:val="pt-PT"/>
        </w:rPr>
      </w:pPr>
      <w:r w:rsidRPr="00F125EF">
        <w:rPr>
          <w:lang w:val="pt-PT"/>
        </w:rPr>
        <w:t>11.3.</w:t>
      </w:r>
      <w:r w:rsidRPr="00F125EF">
        <w:rPr>
          <w:lang w:val="pt-PT"/>
        </w:rPr>
        <w:tab/>
        <w:t>„akkumulátor”: elektrokémiai elven működő, újratölthető villamosenergia-tároló berendezés;</w:t>
      </w:r>
    </w:p>
    <w:p w:rsidR="00BF3595" w:rsidRPr="00F125EF" w:rsidRDefault="00BF3595" w:rsidP="00BF3595">
      <w:pPr>
        <w:pStyle w:val="ESch"/>
        <w:rPr>
          <w:lang w:val="pt-PT"/>
        </w:rPr>
      </w:pPr>
    </w:p>
    <w:p w:rsidR="00BF3595" w:rsidRPr="00F125EF" w:rsidRDefault="00BF3595" w:rsidP="00BF3595">
      <w:pPr>
        <w:pStyle w:val="ESch"/>
        <w:rPr>
          <w:lang w:val="pt-PT"/>
        </w:rPr>
      </w:pPr>
      <w:r w:rsidRPr="00F125EF">
        <w:rPr>
          <w:lang w:val="pt-PT"/>
        </w:rPr>
        <w:t>11.4.</w:t>
      </w:r>
      <w:r w:rsidRPr="00F125EF">
        <w:rPr>
          <w:lang w:val="pt-PT"/>
        </w:rPr>
        <w:tab/>
        <w:t>„szárazelem”: elektrokémiai elven működő, nem újratölthető villamosenergia-tároló berendezés;</w:t>
      </w:r>
    </w:p>
    <w:p w:rsidR="00ED26E0" w:rsidRPr="00F125EF" w:rsidRDefault="00ED26E0" w:rsidP="00080F6D">
      <w:pPr>
        <w:pStyle w:val="ESch"/>
        <w:rPr>
          <w:lang w:val="pt-PT"/>
        </w:rPr>
      </w:pPr>
    </w:p>
    <w:p w:rsidR="001851F8" w:rsidRPr="00F125EF" w:rsidRDefault="00BF3595" w:rsidP="003971A3">
      <w:pPr>
        <w:pStyle w:val="ESch"/>
        <w:rPr>
          <w:rFonts w:eastAsia="Calibri"/>
          <w:highlight w:val="lightGray"/>
          <w:lang w:val="pt-PT"/>
        </w:rPr>
      </w:pPr>
      <w:r w:rsidRPr="00F125EF">
        <w:rPr>
          <w:lang w:val="pt-PT"/>
        </w:rPr>
        <w:t>11.5.</w:t>
      </w:r>
      <w:r w:rsidRPr="00F125EF">
        <w:rPr>
          <w:lang w:val="pt-PT"/>
        </w:rPr>
        <w:tab/>
        <w:t>„teljesítményelektronikai átalakító”: elektronikus berendezések kapcsolásával villamos energiát átalakító eszköz, készülék, berendezés vagy készülékegyüttes, vagy az ezeket magában foglaló rendszer.</w:t>
      </w:r>
    </w:p>
    <w:p w:rsidR="001851F8" w:rsidRPr="00F125EF" w:rsidRDefault="001851F8">
      <w:pPr>
        <w:rPr>
          <w:rFonts w:eastAsia="Calibri"/>
          <w:lang w:val="pt-PT"/>
        </w:rPr>
      </w:pPr>
    </w:p>
    <w:p w:rsidR="003971A3" w:rsidRPr="00F125EF" w:rsidRDefault="003971A3">
      <w:pPr>
        <w:rPr>
          <w:lang w:val="pt-PT"/>
        </w:rPr>
      </w:pPr>
      <w:r w:rsidRPr="00F125EF">
        <w:rPr>
          <w:lang w:val="pt-PT"/>
        </w:rPr>
        <w:br w:type="page"/>
      </w:r>
    </w:p>
    <w:p w:rsidR="00BF3595" w:rsidRPr="00F125EF" w:rsidRDefault="00BF3595" w:rsidP="00080F6D">
      <w:pPr>
        <w:pStyle w:val="ESch"/>
        <w:rPr>
          <w:lang w:val="pt-PT"/>
        </w:rPr>
      </w:pPr>
    </w:p>
    <w:p w:rsidR="00DE4417" w:rsidRPr="00F125EF" w:rsidRDefault="00DE4417" w:rsidP="00511BF6">
      <w:pPr>
        <w:pStyle w:val="ESch"/>
        <w:rPr>
          <w:b/>
          <w:color w:val="000000"/>
          <w:lang w:val="pt-PT"/>
        </w:rPr>
      </w:pPr>
      <w:r w:rsidRPr="00F125EF">
        <w:rPr>
          <w:b/>
          <w:color w:val="000000"/>
          <w:lang w:val="pt-PT"/>
        </w:rPr>
        <w:t>12.</w:t>
      </w:r>
      <w:r w:rsidRPr="00F125EF">
        <w:rPr>
          <w:lang w:val="pt-PT"/>
        </w:rPr>
        <w:tab/>
      </w:r>
      <w:r w:rsidRPr="00F125EF">
        <w:rPr>
          <w:b/>
          <w:color w:val="000000"/>
          <w:lang w:val="pt-PT"/>
        </w:rPr>
        <w:t>Egyéb kifejezések</w:t>
      </w:r>
    </w:p>
    <w:p w:rsidR="00DE4417" w:rsidRPr="00F125EF" w:rsidRDefault="00DE4417" w:rsidP="00511BF6">
      <w:pPr>
        <w:pStyle w:val="ESch"/>
        <w:rPr>
          <w:lang w:val="pt-PT"/>
        </w:rPr>
      </w:pPr>
    </w:p>
    <w:p w:rsidR="00DE4417" w:rsidRPr="00F125EF" w:rsidRDefault="00DE4417" w:rsidP="00511BF6">
      <w:pPr>
        <w:pStyle w:val="ESch"/>
        <w:rPr>
          <w:lang w:val="pt-PT"/>
        </w:rPr>
      </w:pPr>
      <w:r w:rsidRPr="00F125EF">
        <w:rPr>
          <w:lang w:val="pt-PT"/>
        </w:rPr>
        <w:t>12.1.</w:t>
      </w:r>
      <w:r w:rsidRPr="00F125EF">
        <w:rPr>
          <w:lang w:val="pt-PT"/>
        </w:rPr>
        <w:tab/>
        <w:t>„kiszolgáló személyzet”: egy személyhajó azon alkalmazottai, akik nem tagjai a legénységnek;</w:t>
      </w:r>
    </w:p>
    <w:p w:rsidR="00D71B1A" w:rsidRPr="00F125EF" w:rsidRDefault="00D71B1A" w:rsidP="00511BF6">
      <w:pPr>
        <w:pStyle w:val="ESch"/>
        <w:rPr>
          <w:rFonts w:cs="Arial"/>
          <w:szCs w:val="20"/>
          <w:lang w:val="pt-PT"/>
        </w:rPr>
      </w:pPr>
    </w:p>
    <w:p w:rsidR="00ED26E0" w:rsidRPr="00F125EF" w:rsidRDefault="00DE4417" w:rsidP="00FA4437">
      <w:pPr>
        <w:pStyle w:val="ESch"/>
        <w:rPr>
          <w:lang w:val="pt-PT"/>
        </w:rPr>
      </w:pPr>
      <w:r w:rsidRPr="00F125EF">
        <w:rPr>
          <w:lang w:val="pt-PT"/>
        </w:rPr>
        <w:t>12.2.</w:t>
      </w:r>
      <w:r w:rsidRPr="00F125EF">
        <w:rPr>
          <w:lang w:val="pt-PT"/>
        </w:rPr>
        <w:tab/>
        <w:t>„csökkent mozgásképességű személyek”: a tömegközlekedési eszközök használata során különleges nehézségekkel szembesülő személyek, például az idősek és a fogyatékossággal élő személyek, valamint az érzékszervi fogyatékossággal élők, a kerekesszékben ülők, a terhes nők és a kisgyermekeket kísérők;</w:t>
      </w:r>
    </w:p>
    <w:p w:rsidR="00ED26E0" w:rsidRPr="00F125EF" w:rsidRDefault="00ED26E0" w:rsidP="00511BF6">
      <w:pPr>
        <w:pStyle w:val="ESch"/>
        <w:rPr>
          <w:rFonts w:cs="Arial"/>
          <w:szCs w:val="20"/>
          <w:lang w:val="pt-PT"/>
        </w:rPr>
      </w:pPr>
    </w:p>
    <w:p w:rsidR="00DE4417" w:rsidRPr="00F125EF" w:rsidRDefault="00DE4417" w:rsidP="00511BF6">
      <w:pPr>
        <w:pStyle w:val="ESch"/>
        <w:rPr>
          <w:lang w:val="pt-PT"/>
        </w:rPr>
      </w:pPr>
      <w:r w:rsidRPr="00F125EF">
        <w:rPr>
          <w:lang w:val="pt-PT"/>
        </w:rPr>
        <w:t>12.3.</w:t>
      </w:r>
      <w:r w:rsidRPr="00F125EF">
        <w:rPr>
          <w:lang w:val="pt-PT"/>
        </w:rPr>
        <w:tab/>
        <w:t>„ADN”: a Veszélyes Áruk Nemzetközi Belvízi Szállításáról szóló Európai Megállapodás (ADN) hatályos változatához csatolt szabályzat;</w:t>
      </w:r>
    </w:p>
    <w:p w:rsidR="00D71B1A" w:rsidRPr="00F125EF" w:rsidRDefault="00D71B1A" w:rsidP="00511BF6">
      <w:pPr>
        <w:pStyle w:val="ESch"/>
        <w:rPr>
          <w:rFonts w:cs="Arial"/>
          <w:szCs w:val="20"/>
          <w:lang w:val="pt-PT"/>
        </w:rPr>
      </w:pPr>
    </w:p>
    <w:p w:rsidR="00DE4417" w:rsidRPr="00F125EF" w:rsidRDefault="00DE4417" w:rsidP="00511BF6">
      <w:pPr>
        <w:pStyle w:val="ESch"/>
        <w:rPr>
          <w:lang w:val="pt-PT"/>
        </w:rPr>
      </w:pPr>
      <w:r w:rsidRPr="00F125EF">
        <w:rPr>
          <w:lang w:val="pt-PT"/>
        </w:rPr>
        <w:t>12.4.</w:t>
      </w:r>
      <w:r w:rsidRPr="00F125EF">
        <w:rPr>
          <w:lang w:val="pt-PT"/>
        </w:rPr>
        <w:tab/>
        <w:t>„belvízi hajóbizonyítvány”: az illetékes hatóság által kiállított uniós belvízi hajóbizonyítvány vagy rajnai hajóellenőrzési tanúsítvány, amely igazolja a műszaki követelményeknek való megfelelést.</w:t>
      </w:r>
    </w:p>
    <w:p w:rsidR="00DE4417" w:rsidRPr="00F125EF" w:rsidRDefault="00DE4417" w:rsidP="00511BF6">
      <w:pPr>
        <w:pStyle w:val="ESch"/>
        <w:rPr>
          <w:lang w:val="pt-PT"/>
        </w:rPr>
      </w:pPr>
    </w:p>
    <w:p w:rsidR="005849A9" w:rsidRPr="00F125EF" w:rsidRDefault="005849A9" w:rsidP="00511BF6">
      <w:pPr>
        <w:pStyle w:val="ESch"/>
        <w:rPr>
          <w:lang w:val="pt-PT"/>
        </w:rPr>
      </w:pPr>
    </w:p>
    <w:p w:rsidR="00DE4417" w:rsidRPr="00F125EF" w:rsidRDefault="00DE4417" w:rsidP="00D71B1A">
      <w:pPr>
        <w:pStyle w:val="ES-Titre3"/>
        <w:rPr>
          <w:sz w:val="20"/>
          <w:lang w:val="pt-PT"/>
        </w:rPr>
      </w:pPr>
      <w:bookmarkStart w:id="10" w:name="_Toc491854005"/>
      <w:bookmarkStart w:id="11" w:name="_Toc535853784"/>
      <w:r w:rsidRPr="00F125EF">
        <w:rPr>
          <w:lang w:val="pt-PT"/>
        </w:rPr>
        <w:t>1.02. cikk</w:t>
      </w:r>
      <w:r w:rsidRPr="00F125EF">
        <w:rPr>
          <w:lang w:val="pt-PT"/>
        </w:rPr>
        <w:br/>
      </w:r>
      <w:r w:rsidRPr="00F125EF">
        <w:rPr>
          <w:i/>
          <w:lang w:val="pt-PT"/>
        </w:rPr>
        <w:t>Az e szabvány alkalmazására vonatkozó utasítások</w:t>
      </w:r>
      <w:bookmarkEnd w:id="10"/>
      <w:bookmarkEnd w:id="11"/>
    </w:p>
    <w:p w:rsidR="00D71B1A" w:rsidRPr="00F125EF" w:rsidRDefault="00D71B1A" w:rsidP="00DE4417">
      <w:pPr>
        <w:rPr>
          <w:rFonts w:cs="Arial"/>
          <w:szCs w:val="20"/>
          <w:lang w:val="pt-PT"/>
        </w:rPr>
      </w:pPr>
    </w:p>
    <w:p w:rsidR="00DE4417" w:rsidRPr="00F125EF" w:rsidRDefault="00DE4417" w:rsidP="00DE4417">
      <w:pPr>
        <w:rPr>
          <w:rFonts w:cs="Arial"/>
          <w:szCs w:val="20"/>
          <w:lang w:val="pt-PT"/>
        </w:rPr>
      </w:pPr>
      <w:r w:rsidRPr="00F125EF">
        <w:rPr>
          <w:lang w:val="pt-PT"/>
        </w:rPr>
        <w:t xml:space="preserve">Az e szabványhoz mellékelt utasítások a szabvány alkalmazásának megkönnyítését és egységesítését szolgálják. </w:t>
      </w:r>
    </w:p>
    <w:p w:rsidR="00AE58CD" w:rsidRPr="00F125EF" w:rsidRDefault="00AE58CD" w:rsidP="00E630F7">
      <w:pPr>
        <w:spacing w:line="240" w:lineRule="atLeast"/>
        <w:rPr>
          <w:lang w:val="pt-PT"/>
        </w:rPr>
      </w:pPr>
    </w:p>
    <w:p w:rsidR="00AE58CD" w:rsidRPr="00F125EF" w:rsidRDefault="00AE58CD" w:rsidP="00E630F7">
      <w:pPr>
        <w:spacing w:line="240" w:lineRule="atLeast"/>
        <w:rPr>
          <w:lang w:val="pt-PT"/>
        </w:rPr>
      </w:pPr>
    </w:p>
    <w:p w:rsidR="001E33AF" w:rsidRPr="00F125EF" w:rsidRDefault="001E33AF" w:rsidP="00E1027C">
      <w:pPr>
        <w:spacing w:line="240" w:lineRule="atLeast"/>
        <w:rPr>
          <w:lang w:val="pt-PT"/>
        </w:rPr>
      </w:pPr>
    </w:p>
    <w:p w:rsidR="00CA6E56" w:rsidRPr="00166EA9" w:rsidRDefault="00CA6E56" w:rsidP="00CA6E56">
      <w:pPr>
        <w:pStyle w:val="ES-Titre2"/>
        <w:rPr>
          <w:lang w:val="pt-PT"/>
        </w:rPr>
      </w:pPr>
      <w:bookmarkStart w:id="12" w:name="_Toc491854006"/>
      <w:bookmarkStart w:id="13" w:name="_Toc535853785"/>
      <w:r w:rsidRPr="00166EA9">
        <w:rPr>
          <w:lang w:val="pt-PT"/>
        </w:rPr>
        <w:t>2. fejezet</w:t>
      </w:r>
      <w:r w:rsidRPr="00166EA9">
        <w:rPr>
          <w:lang w:val="pt-PT"/>
        </w:rPr>
        <w:br/>
        <w:t>Eljárás</w:t>
      </w:r>
      <w:bookmarkEnd w:id="12"/>
      <w:bookmarkEnd w:id="13"/>
    </w:p>
    <w:p w:rsidR="00AE3F86" w:rsidRPr="00F125EF" w:rsidRDefault="00AE3F86" w:rsidP="00E1027C">
      <w:pPr>
        <w:spacing w:line="240" w:lineRule="atLeast"/>
        <w:rPr>
          <w:lang w:val="pt-PT"/>
        </w:rPr>
      </w:pPr>
    </w:p>
    <w:p w:rsidR="00F935C7" w:rsidRPr="00F125EF" w:rsidRDefault="00F935C7" w:rsidP="00F935C7">
      <w:pPr>
        <w:spacing w:line="240" w:lineRule="atLeast"/>
        <w:jc w:val="center"/>
        <w:rPr>
          <w:lang w:val="pt-PT"/>
        </w:rPr>
      </w:pPr>
      <w:r w:rsidRPr="00F125EF">
        <w:rPr>
          <w:lang w:val="pt-PT"/>
        </w:rPr>
        <w:t>(Üres)</w:t>
      </w:r>
    </w:p>
    <w:p w:rsidR="006971A7" w:rsidRPr="00F125EF" w:rsidRDefault="006971A7" w:rsidP="00F935C7">
      <w:pPr>
        <w:spacing w:line="240" w:lineRule="atLeast"/>
        <w:jc w:val="center"/>
        <w:rPr>
          <w:lang w:val="pt-PT"/>
        </w:rPr>
      </w:pPr>
    </w:p>
    <w:p w:rsidR="006971A7" w:rsidRPr="00F125EF" w:rsidRDefault="006971A7" w:rsidP="00F935C7">
      <w:pPr>
        <w:spacing w:line="240" w:lineRule="atLeast"/>
        <w:jc w:val="center"/>
        <w:rPr>
          <w:lang w:val="pt-PT"/>
        </w:rPr>
      </w:pPr>
    </w:p>
    <w:p w:rsidR="006971A7" w:rsidRPr="00F125EF" w:rsidRDefault="006971A7" w:rsidP="00F935C7">
      <w:pPr>
        <w:spacing w:line="240" w:lineRule="atLeast"/>
        <w:jc w:val="center"/>
        <w:rPr>
          <w:lang w:val="pt-PT"/>
        </w:rPr>
      </w:pPr>
    </w:p>
    <w:p w:rsidR="006971A7" w:rsidRPr="00F125EF" w:rsidRDefault="006971A7" w:rsidP="00F935C7">
      <w:pPr>
        <w:spacing w:line="240" w:lineRule="atLeast"/>
        <w:jc w:val="center"/>
        <w:rPr>
          <w:lang w:val="pt-PT"/>
        </w:rPr>
      </w:pPr>
    </w:p>
    <w:p w:rsidR="006D6907" w:rsidRPr="00F125EF" w:rsidRDefault="006D6907" w:rsidP="00F935C7">
      <w:pPr>
        <w:spacing w:line="240" w:lineRule="atLeast"/>
        <w:jc w:val="center"/>
        <w:rPr>
          <w:lang w:val="pt-PT"/>
        </w:rPr>
      </w:pPr>
      <w:r w:rsidRPr="00F125EF">
        <w:rPr>
          <w:lang w:val="pt-PT"/>
        </w:rPr>
        <w:br w:type="page"/>
      </w:r>
    </w:p>
    <w:p w:rsidR="006971A7" w:rsidRPr="00F125EF" w:rsidRDefault="006971A7" w:rsidP="00F935C7">
      <w:pPr>
        <w:spacing w:line="240" w:lineRule="atLeast"/>
        <w:jc w:val="center"/>
        <w:rPr>
          <w:lang w:val="pt-PT"/>
        </w:rPr>
      </w:pPr>
    </w:p>
    <w:p w:rsidR="00AE3F86" w:rsidRPr="00F125EF" w:rsidRDefault="00AE3F86" w:rsidP="00F935C7">
      <w:pPr>
        <w:spacing w:line="240" w:lineRule="atLeast"/>
        <w:jc w:val="center"/>
        <w:rPr>
          <w:lang w:val="pt-PT"/>
        </w:rPr>
      </w:pPr>
    </w:p>
    <w:p w:rsidR="00AE3F86" w:rsidRPr="00F125EF" w:rsidRDefault="00AE3F86" w:rsidP="00F935C7">
      <w:pPr>
        <w:spacing w:line="240" w:lineRule="atLeast"/>
        <w:jc w:val="center"/>
        <w:rPr>
          <w:lang w:val="pt-PT"/>
        </w:rPr>
        <w:sectPr w:rsidR="00AE3F86" w:rsidRPr="00F125EF" w:rsidSect="0010389F">
          <w:headerReference w:type="default" r:id="rId17"/>
          <w:headerReference w:type="first" r:id="rId18"/>
          <w:footnotePr>
            <w:numRestart w:val="eachPage"/>
          </w:footnotePr>
          <w:pgSz w:w="11906" w:h="16838" w:code="9"/>
          <w:pgMar w:top="1418" w:right="1418" w:bottom="1418" w:left="1418" w:header="709" w:footer="709" w:gutter="0"/>
          <w:pgNumType w:start="1"/>
          <w:cols w:space="709"/>
          <w:titlePg/>
          <w:docGrid w:linePitch="272"/>
        </w:sectPr>
      </w:pPr>
    </w:p>
    <w:p w:rsidR="00436930" w:rsidRPr="00166EA9" w:rsidRDefault="00D71B1A" w:rsidP="00887B58">
      <w:pPr>
        <w:pStyle w:val="ES-Titre1"/>
        <w:rPr>
          <w:lang w:val="pt-PT"/>
        </w:rPr>
      </w:pPr>
      <w:bookmarkStart w:id="14" w:name="_Toc491854007"/>
      <w:bookmarkStart w:id="15" w:name="_Toc535853786"/>
      <w:r w:rsidRPr="00166EA9">
        <w:rPr>
          <w:lang w:val="pt-PT"/>
        </w:rPr>
        <w:t>II. RÉSZ</w:t>
      </w:r>
      <w:r w:rsidRPr="00166EA9">
        <w:rPr>
          <w:lang w:val="pt-PT"/>
        </w:rPr>
        <w:br/>
        <w:t>A HAJÓK ÉPÍTÉSÉRE, FELSZERELÉSÉRE ÉS BERENDEZÉSEIRE VONATKOZÓ RENDELKEZÉSEK</w:t>
      </w:r>
      <w:bookmarkEnd w:id="14"/>
      <w:bookmarkEnd w:id="15"/>
    </w:p>
    <w:p w:rsidR="00887B58" w:rsidRPr="00166EA9" w:rsidRDefault="00887B58" w:rsidP="00887B58">
      <w:pPr>
        <w:pStyle w:val="ES-Titre2"/>
        <w:pageBreakBefore w:val="0"/>
        <w:rPr>
          <w:lang w:val="pt-PT"/>
        </w:rPr>
      </w:pPr>
    </w:p>
    <w:p w:rsidR="00436930" w:rsidRPr="00166EA9" w:rsidRDefault="00436930" w:rsidP="00887B58">
      <w:pPr>
        <w:pStyle w:val="ES-Titre2"/>
        <w:pageBreakBefore w:val="0"/>
        <w:rPr>
          <w:lang w:val="pt-PT"/>
        </w:rPr>
      </w:pPr>
      <w:bookmarkStart w:id="16" w:name="_Toc491854008"/>
      <w:bookmarkStart w:id="17" w:name="_Toc535853787"/>
      <w:r w:rsidRPr="00166EA9">
        <w:rPr>
          <w:lang w:val="pt-PT"/>
        </w:rPr>
        <w:t>3. fejezet</w:t>
      </w:r>
      <w:r w:rsidRPr="00166EA9">
        <w:rPr>
          <w:lang w:val="pt-PT"/>
        </w:rPr>
        <w:br/>
        <w:t>Hajóépítési követelmények</w:t>
      </w:r>
      <w:bookmarkEnd w:id="16"/>
      <w:bookmarkEnd w:id="17"/>
    </w:p>
    <w:p w:rsidR="00887B58" w:rsidRPr="00166EA9" w:rsidRDefault="00887B58" w:rsidP="00887B58">
      <w:pPr>
        <w:pStyle w:val="ES-Titre3"/>
        <w:spacing w:line="240" w:lineRule="atLeast"/>
        <w:rPr>
          <w:lang w:val="pt-PT"/>
        </w:rPr>
      </w:pPr>
    </w:p>
    <w:p w:rsidR="003F616C" w:rsidRPr="00166EA9" w:rsidRDefault="003F616C" w:rsidP="003F616C">
      <w:pPr>
        <w:pStyle w:val="ES-Titre3"/>
        <w:rPr>
          <w:lang w:val="pt-PT"/>
        </w:rPr>
      </w:pPr>
      <w:bookmarkStart w:id="18" w:name="_Toc491854009"/>
      <w:bookmarkStart w:id="19" w:name="_Toc535853788"/>
      <w:r w:rsidRPr="00166EA9">
        <w:rPr>
          <w:lang w:val="pt-PT"/>
        </w:rPr>
        <w:t>3.01. cikk</w:t>
      </w:r>
      <w:r w:rsidRPr="00166EA9">
        <w:rPr>
          <w:lang w:val="pt-PT"/>
        </w:rPr>
        <w:br/>
      </w:r>
      <w:r w:rsidRPr="00166EA9">
        <w:rPr>
          <w:i/>
          <w:lang w:val="pt-PT"/>
        </w:rPr>
        <w:t>Alapszabályok</w:t>
      </w:r>
      <w:bookmarkEnd w:id="18"/>
      <w:bookmarkEnd w:id="19"/>
    </w:p>
    <w:p w:rsidR="003F616C" w:rsidRPr="00166EA9" w:rsidRDefault="003F616C" w:rsidP="003F616C">
      <w:pPr>
        <w:rPr>
          <w:rFonts w:cs="Arial"/>
          <w:szCs w:val="20"/>
          <w:lang w:val="pt-PT"/>
        </w:rPr>
      </w:pPr>
    </w:p>
    <w:p w:rsidR="003F616C" w:rsidRPr="00166EA9" w:rsidRDefault="003F616C" w:rsidP="003F616C">
      <w:pPr>
        <w:rPr>
          <w:rFonts w:cs="Arial"/>
          <w:szCs w:val="20"/>
          <w:lang w:val="pt-PT"/>
        </w:rPr>
      </w:pPr>
      <w:r w:rsidRPr="00166EA9">
        <w:rPr>
          <w:lang w:val="pt-PT"/>
        </w:rPr>
        <w:t>A hajókat a helyes hajóépítési gyakorlat szerint kell megépíteni.</w:t>
      </w:r>
    </w:p>
    <w:p w:rsidR="003F616C" w:rsidRPr="00166EA9" w:rsidRDefault="003F616C" w:rsidP="003F616C">
      <w:pPr>
        <w:rPr>
          <w:rFonts w:cs="Arial"/>
          <w:szCs w:val="20"/>
          <w:lang w:val="pt-PT"/>
        </w:rPr>
      </w:pPr>
    </w:p>
    <w:p w:rsidR="003F616C" w:rsidRPr="00166EA9" w:rsidRDefault="003F616C" w:rsidP="003F616C">
      <w:pPr>
        <w:rPr>
          <w:rFonts w:cs="Arial"/>
          <w:szCs w:val="20"/>
          <w:lang w:val="pt-PT"/>
        </w:rPr>
      </w:pPr>
    </w:p>
    <w:p w:rsidR="003F616C" w:rsidRPr="00166EA9" w:rsidRDefault="003F616C" w:rsidP="003F616C">
      <w:pPr>
        <w:pStyle w:val="ES-Titre3"/>
        <w:rPr>
          <w:lang w:val="pt-PT"/>
        </w:rPr>
      </w:pPr>
      <w:bookmarkStart w:id="20" w:name="_Toc491854010"/>
      <w:bookmarkStart w:id="21" w:name="_Toc535853789"/>
      <w:r w:rsidRPr="00166EA9">
        <w:rPr>
          <w:lang w:val="pt-PT"/>
        </w:rPr>
        <w:t>3.02. cikk</w:t>
      </w:r>
      <w:r w:rsidRPr="00166EA9">
        <w:rPr>
          <w:lang w:val="pt-PT"/>
        </w:rPr>
        <w:br/>
      </w:r>
      <w:r w:rsidRPr="00166EA9">
        <w:rPr>
          <w:i/>
          <w:lang w:val="pt-PT"/>
        </w:rPr>
        <w:t>Szilárdság és stabilitás</w:t>
      </w:r>
      <w:bookmarkEnd w:id="20"/>
      <w:bookmarkEnd w:id="21"/>
    </w:p>
    <w:p w:rsidR="003F616C" w:rsidRPr="00166EA9" w:rsidRDefault="003F616C" w:rsidP="003F616C">
      <w:pPr>
        <w:rPr>
          <w:rFonts w:cs="Arial"/>
          <w:szCs w:val="20"/>
          <w:lang w:val="pt-PT"/>
        </w:rPr>
      </w:pPr>
    </w:p>
    <w:p w:rsidR="003F616C" w:rsidRPr="00166EA9" w:rsidRDefault="00511BF6" w:rsidP="00511BF6">
      <w:pPr>
        <w:pStyle w:val="ESch"/>
        <w:rPr>
          <w:lang w:val="pt-PT"/>
        </w:rPr>
      </w:pPr>
      <w:r w:rsidRPr="00166EA9">
        <w:rPr>
          <w:lang w:val="pt-PT"/>
        </w:rPr>
        <w:t>1.</w:t>
      </w:r>
      <w:r w:rsidRPr="00166EA9">
        <w:rPr>
          <w:lang w:val="pt-PT"/>
        </w:rPr>
        <w:tab/>
        <w:t>A hajótestnek megfelelő szilárdsággal kell rendelkeznie, hogy ellenálljon minden olyan igénybevételnek, amely szokásos körülmények között éri.</w:t>
      </w:r>
    </w:p>
    <w:p w:rsidR="003F616C" w:rsidRPr="00166EA9" w:rsidRDefault="005C7859" w:rsidP="00511BF6">
      <w:pPr>
        <w:pStyle w:val="ESlet"/>
        <w:rPr>
          <w:lang w:val="pt-PT"/>
        </w:rPr>
      </w:pPr>
      <w:r w:rsidRPr="00166EA9">
        <w:rPr>
          <w:lang w:val="pt-PT"/>
        </w:rPr>
        <w:t>a)</w:t>
      </w:r>
      <w:r w:rsidRPr="00166EA9">
        <w:rPr>
          <w:lang w:val="pt-PT"/>
        </w:rPr>
        <w:tab/>
        <w:t>Új építésű hajók esetében, vagy abban az esetben, ha a hajó szilárdságát érintő nagyobb átalakítások történnek, a megfelelő szilárdságot a tervezési számításokon alapuló bizonyíték bemutatásával kell igazolni. Ez az igazolás nem követelmény elismert hajóosztályozó társaság osztályozási tanúsítványának vagy igazolásának benyújtása esetén.</w:t>
      </w:r>
    </w:p>
    <w:p w:rsidR="003F616C" w:rsidRPr="00166EA9" w:rsidRDefault="005C7859" w:rsidP="00511BF6">
      <w:pPr>
        <w:pStyle w:val="ESlet"/>
        <w:rPr>
          <w:rFonts w:cs="Arial"/>
          <w:szCs w:val="20"/>
          <w:lang w:val="pt-PT"/>
        </w:rPr>
      </w:pPr>
      <w:r w:rsidRPr="00166EA9">
        <w:rPr>
          <w:lang w:val="pt-PT"/>
        </w:rPr>
        <w:t>b)</w:t>
      </w:r>
      <w:r w:rsidRPr="00166EA9">
        <w:rPr>
          <w:lang w:val="pt-PT"/>
        </w:rPr>
        <w:tab/>
        <w:t xml:space="preserve">Időszakos </w:t>
      </w:r>
      <w:r w:rsidR="0092642D">
        <w:rPr>
          <w:lang w:val="pt-PT"/>
        </w:rPr>
        <w:t xml:space="preserve">vizsgálat </w:t>
      </w:r>
      <w:r w:rsidRPr="00166EA9">
        <w:rPr>
          <w:lang w:val="pt-PT"/>
        </w:rPr>
        <w:t>során az acélból készült hajók fenék-, medersor- és oldallemezelésének minimális vastagsága nem lehet kisebb, mint a következő képletekkel kiszámolt értékek közül a nagyobbik:</w:t>
      </w:r>
    </w:p>
    <w:p w:rsidR="00767591" w:rsidRPr="00166EA9" w:rsidRDefault="00767591" w:rsidP="00A31E1B">
      <w:pPr>
        <w:spacing w:before="60"/>
        <w:ind w:left="1417"/>
        <w:rPr>
          <w:lang w:val="pt-PT"/>
        </w:rPr>
      </w:pPr>
      <w:r w:rsidRPr="00166EA9">
        <w:rPr>
          <w:lang w:val="pt-PT"/>
        </w:rPr>
        <w:t>1.</w:t>
      </w:r>
      <w:r w:rsidRPr="00166EA9">
        <w:rPr>
          <w:lang w:val="pt-PT"/>
        </w:rPr>
        <w:tab/>
        <w:t xml:space="preserve">40 méternél hosszabb hajóknál: </w:t>
      </w:r>
      <m:oMath>
        <m:sSub>
          <m:sSubPr>
            <m:ctrlPr>
              <w:rPr>
                <w:rFonts w:ascii="Cambria Math" w:hAnsi="Cambria Math" w:cs="Arial"/>
                <w:i/>
                <w:szCs w:val="20"/>
              </w:rPr>
            </m:ctrlPr>
          </m:sSubPr>
          <m:e>
            <m:r>
              <w:rPr>
                <w:rFonts w:ascii="Cambria Math" w:hAnsi="Cambria Math" w:cs="Arial"/>
                <w:szCs w:val="20"/>
              </w:rPr>
              <m:t>t</m:t>
            </m:r>
          </m:e>
          <m:sub>
            <m:r>
              <w:rPr>
                <w:rFonts w:ascii="Cambria Math" w:hAnsi="Cambria Math" w:cs="Arial"/>
                <w:szCs w:val="20"/>
              </w:rPr>
              <m:t>min</m:t>
            </m:r>
          </m:sub>
        </m:sSub>
        <m:r>
          <w:rPr>
            <w:rFonts w:ascii="Cambria Math" w:hAnsi="Cambria Math" w:cs="Arial"/>
            <w:szCs w:val="20"/>
            <w:lang w:val="pt-PT"/>
          </w:rPr>
          <m:t>=</m:t>
        </m:r>
        <m:r>
          <w:rPr>
            <w:rFonts w:ascii="Cambria Math" w:hAnsi="Cambria Math" w:cs="Arial"/>
            <w:szCs w:val="20"/>
          </w:rPr>
          <m:t>f</m:t>
        </m:r>
        <m:r>
          <w:rPr>
            <w:rFonts w:ascii="Cambria Math" w:hAnsi="Cambria Math" w:cs="Arial"/>
            <w:szCs w:val="20"/>
            <w:lang w:val="pt-PT"/>
          </w:rPr>
          <m:t xml:space="preserve"> ∙</m:t>
        </m:r>
        <m:r>
          <w:rPr>
            <w:rFonts w:ascii="Cambria Math" w:hAnsi="Cambria Math" w:cs="Arial"/>
            <w:szCs w:val="20"/>
          </w:rPr>
          <m:t>b</m:t>
        </m:r>
        <m:r>
          <w:rPr>
            <w:rFonts w:ascii="Cambria Math" w:hAnsi="Cambria Math" w:cs="Arial"/>
            <w:szCs w:val="20"/>
            <w:lang w:val="pt-PT"/>
          </w:rPr>
          <m:t xml:space="preserve"> ∙</m:t>
        </m:r>
        <m:r>
          <w:rPr>
            <w:rFonts w:ascii="Cambria Math" w:hAnsi="Cambria Math" w:cs="Arial"/>
            <w:szCs w:val="20"/>
          </w:rPr>
          <m:t>c</m:t>
        </m:r>
        <m:r>
          <w:rPr>
            <w:rFonts w:ascii="Cambria Math" w:hAnsi="Cambria Math" w:cs="Arial"/>
            <w:szCs w:val="20"/>
            <w:lang w:val="pt-PT"/>
          </w:rPr>
          <m:t xml:space="preserve"> </m:t>
        </m:r>
        <m:d>
          <m:dPr>
            <m:ctrlPr>
              <w:rPr>
                <w:rFonts w:ascii="Cambria Math" w:hAnsi="Cambria Math" w:cs="Arial"/>
                <w:i/>
                <w:szCs w:val="20"/>
              </w:rPr>
            </m:ctrlPr>
          </m:dPr>
          <m:e>
            <m:r>
              <w:rPr>
                <w:rFonts w:ascii="Cambria Math" w:hAnsi="Cambria Math" w:cs="Arial"/>
                <w:szCs w:val="20"/>
                <w:lang w:val="pt-PT"/>
              </w:rPr>
              <m:t xml:space="preserve">2,3+0,04 </m:t>
            </m:r>
            <m:r>
              <w:rPr>
                <w:rFonts w:ascii="Cambria Math" w:hAnsi="Cambria Math" w:cs="Arial"/>
                <w:szCs w:val="20"/>
              </w:rPr>
              <m:t>L</m:t>
            </m:r>
          </m:e>
        </m:d>
        <m:d>
          <m:dPr>
            <m:begChr m:val="["/>
            <m:endChr m:val="]"/>
            <m:ctrlPr>
              <w:rPr>
                <w:rFonts w:ascii="Cambria Math" w:hAnsi="Cambria Math" w:cs="Arial"/>
                <w:i/>
                <w:szCs w:val="20"/>
              </w:rPr>
            </m:ctrlPr>
          </m:dPr>
          <m:e>
            <m:r>
              <w:rPr>
                <w:rFonts w:ascii="Cambria Math" w:hAnsi="Cambria Math" w:cs="Arial"/>
                <w:szCs w:val="20"/>
              </w:rPr>
              <m:t>mm</m:t>
            </m:r>
          </m:e>
        </m:d>
        <m:r>
          <w:rPr>
            <w:rFonts w:ascii="Cambria Math" w:hAnsi="Cambria Math" w:cs="Arial"/>
            <w:szCs w:val="20"/>
            <w:lang w:val="pt-PT"/>
          </w:rPr>
          <m:t>;</m:t>
        </m:r>
      </m:oMath>
    </w:p>
    <w:p w:rsidR="00767591" w:rsidRPr="00166EA9" w:rsidRDefault="00767591" w:rsidP="00767591">
      <w:pPr>
        <w:spacing w:before="60" w:line="240" w:lineRule="atLeast"/>
        <w:ind w:left="1418"/>
        <w:rPr>
          <w:rFonts w:eastAsia="Calibri"/>
          <w:lang w:val="pt-PT"/>
        </w:rPr>
      </w:pPr>
      <w:r w:rsidRPr="00166EA9">
        <w:rPr>
          <w:lang w:val="pt-PT"/>
        </w:rPr>
        <w:t xml:space="preserve">40 méter hosszúságot nem meghaladó hajóknál: </w:t>
      </w:r>
      <m:oMath>
        <m:sSub>
          <m:sSubPr>
            <m:ctrlPr>
              <w:rPr>
                <w:rFonts w:ascii="Cambria Math" w:hAnsi="Cambria Math" w:cs="Arial"/>
                <w:i/>
                <w:szCs w:val="20"/>
              </w:rPr>
            </m:ctrlPr>
          </m:sSubPr>
          <m:e>
            <m:r>
              <w:rPr>
                <w:rFonts w:ascii="Cambria Math" w:hAnsi="Cambria Math" w:cs="Arial"/>
                <w:szCs w:val="20"/>
              </w:rPr>
              <m:t>t</m:t>
            </m:r>
          </m:e>
          <m:sub>
            <m:r>
              <w:rPr>
                <w:rFonts w:ascii="Cambria Math" w:hAnsi="Cambria Math" w:cs="Arial"/>
                <w:szCs w:val="20"/>
              </w:rPr>
              <m:t>min</m:t>
            </m:r>
          </m:sub>
        </m:sSub>
        <m:r>
          <w:rPr>
            <w:rFonts w:ascii="Cambria Math" w:hAnsi="Cambria Math" w:cs="Arial"/>
            <w:szCs w:val="20"/>
            <w:lang w:val="pt-PT"/>
          </w:rPr>
          <m:t>=</m:t>
        </m:r>
        <m:r>
          <w:rPr>
            <w:rFonts w:ascii="Cambria Math" w:hAnsi="Cambria Math" w:cs="Arial"/>
            <w:szCs w:val="20"/>
          </w:rPr>
          <m:t>f</m:t>
        </m:r>
        <m:r>
          <w:rPr>
            <w:rFonts w:ascii="Cambria Math" w:hAnsi="Cambria Math" w:cs="Arial"/>
            <w:szCs w:val="20"/>
            <w:lang w:val="pt-PT"/>
          </w:rPr>
          <m:t xml:space="preserve"> ∙</m:t>
        </m:r>
        <m:r>
          <w:rPr>
            <w:rFonts w:ascii="Cambria Math" w:hAnsi="Cambria Math" w:cs="Arial"/>
            <w:szCs w:val="20"/>
          </w:rPr>
          <m:t>b</m:t>
        </m:r>
        <m:r>
          <w:rPr>
            <w:rFonts w:ascii="Cambria Math" w:hAnsi="Cambria Math" w:cs="Arial"/>
            <w:szCs w:val="20"/>
            <w:lang w:val="pt-PT"/>
          </w:rPr>
          <m:t xml:space="preserve"> ∙</m:t>
        </m:r>
        <m:r>
          <w:rPr>
            <w:rFonts w:ascii="Cambria Math" w:hAnsi="Cambria Math" w:cs="Arial"/>
            <w:szCs w:val="20"/>
          </w:rPr>
          <m:t>c</m:t>
        </m:r>
        <m:r>
          <w:rPr>
            <w:rFonts w:ascii="Cambria Math" w:hAnsi="Cambria Math" w:cs="Arial"/>
            <w:szCs w:val="20"/>
            <w:lang w:val="pt-PT"/>
          </w:rPr>
          <m:t xml:space="preserve"> </m:t>
        </m:r>
        <m:d>
          <m:dPr>
            <m:ctrlPr>
              <w:rPr>
                <w:rFonts w:ascii="Cambria Math" w:hAnsi="Cambria Math" w:cs="Arial"/>
                <w:i/>
                <w:szCs w:val="20"/>
              </w:rPr>
            </m:ctrlPr>
          </m:dPr>
          <m:e>
            <m:r>
              <w:rPr>
                <w:rFonts w:ascii="Cambria Math" w:hAnsi="Cambria Math" w:cs="Arial"/>
                <w:szCs w:val="20"/>
                <w:lang w:val="pt-PT"/>
              </w:rPr>
              <m:t xml:space="preserve">1,5+0,06 </m:t>
            </m:r>
            <m:r>
              <w:rPr>
                <w:rFonts w:ascii="Cambria Math" w:hAnsi="Cambria Math" w:cs="Arial"/>
                <w:szCs w:val="20"/>
              </w:rPr>
              <m:t>L</m:t>
            </m:r>
          </m:e>
        </m:d>
        <m:d>
          <m:dPr>
            <m:begChr m:val="["/>
            <m:endChr m:val="]"/>
            <m:ctrlPr>
              <w:rPr>
                <w:rFonts w:ascii="Cambria Math" w:hAnsi="Cambria Math" w:cs="Arial"/>
                <w:i/>
                <w:szCs w:val="20"/>
              </w:rPr>
            </m:ctrlPr>
          </m:dPr>
          <m:e>
            <m:r>
              <w:rPr>
                <w:rFonts w:ascii="Cambria Math" w:hAnsi="Cambria Math" w:cs="Arial"/>
                <w:szCs w:val="20"/>
              </w:rPr>
              <m:t>mm</m:t>
            </m:r>
          </m:e>
        </m:d>
        <m:r>
          <w:rPr>
            <w:rFonts w:ascii="Cambria Math" w:hAnsi="Cambria Math" w:cs="Arial"/>
            <w:szCs w:val="20"/>
            <w:lang w:val="pt-PT"/>
          </w:rPr>
          <m:t xml:space="preserve">, </m:t>
        </m:r>
      </m:oMath>
      <w:r w:rsidRPr="00166EA9">
        <w:rPr>
          <w:lang w:val="pt-PT"/>
        </w:rPr>
        <w:t>, de legalább 3,00 m.</w:t>
      </w:r>
    </w:p>
    <w:p w:rsidR="00767591" w:rsidRPr="00166EA9" w:rsidRDefault="00767591" w:rsidP="00767591">
      <w:pPr>
        <w:spacing w:before="60" w:line="240" w:lineRule="atLeast"/>
        <w:ind w:left="1418"/>
        <w:rPr>
          <w:rFonts w:eastAsia="Calibri"/>
          <w:lang w:val="pt-PT"/>
        </w:rPr>
      </w:pPr>
      <w:r w:rsidRPr="00166EA9">
        <w:rPr>
          <w:lang w:val="pt-PT"/>
        </w:rPr>
        <w:t>2.</w:t>
      </w:r>
      <w:r w:rsidRPr="00166EA9">
        <w:rPr>
          <w:lang w:val="pt-PT"/>
        </w:rPr>
        <w:tab/>
      </w:r>
      <m:oMath>
        <m:r>
          <w:rPr>
            <w:rFonts w:ascii="Cambria Math" w:eastAsia="Calibri" w:hAnsi="Cambria Math"/>
          </w:rPr>
          <m:t>t</m:t>
        </m:r>
        <m:r>
          <w:rPr>
            <w:rFonts w:ascii="Cambria Math" w:eastAsia="Calibri" w:hAnsi="Cambria Math"/>
            <w:noProof/>
            <w:snapToGrid w:val="0"/>
            <w:color w:val="000000"/>
            <w:position w:val="-6"/>
            <w:sz w:val="14"/>
          </w:rPr>
          <m:t>min</m:t>
        </m:r>
        <m:r>
          <w:rPr>
            <w:rFonts w:ascii="Cambria Math" w:eastAsia="Calibri" w:hAnsi="Cambria Math"/>
            <w:lang w:val="pt-PT"/>
          </w:rPr>
          <m:t xml:space="preserve"> = 0,005 ∙ </m:t>
        </m:r>
        <m:r>
          <w:rPr>
            <w:rFonts w:ascii="Cambria Math" w:eastAsia="Calibri" w:hAnsi="Cambria Math"/>
          </w:rPr>
          <m:t>a</m:t>
        </m:r>
        <m:r>
          <w:rPr>
            <w:rFonts w:ascii="Cambria Math" w:eastAsia="Calibri" w:hAnsi="Cambria Math"/>
            <w:lang w:val="pt-PT"/>
          </w:rPr>
          <m:t xml:space="preserve"> </m:t>
        </m:r>
        <m:r>
          <m:rPr>
            <m:sty m:val="p"/>
          </m:rPr>
          <w:rPr>
            <w:rFonts w:ascii="Cambria Math" w:eastAsia="Calibri" w:hAnsi="Cambria Math"/>
            <w:noProof/>
          </w:rPr>
          <w:drawing>
            <wp:inline distT="0" distB="0" distL="0" distR="0" wp14:anchorId="4BF64571" wp14:editId="41D2E6ED">
              <wp:extent cx="273050" cy="27305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inline>
          </w:drawing>
        </m:r>
        <m:r>
          <w:rPr>
            <w:rFonts w:ascii="Cambria Math" w:eastAsia="Calibri" w:hAnsi="Cambria Math"/>
            <w:lang w:val="pt-PT"/>
          </w:rPr>
          <m:t xml:space="preserve"> [</m:t>
        </m:r>
        <m:r>
          <w:rPr>
            <w:rFonts w:ascii="Cambria Math" w:eastAsia="Calibri" w:hAnsi="Cambria Math"/>
          </w:rPr>
          <m:t>mm</m:t>
        </m:r>
        <m:r>
          <w:rPr>
            <w:rFonts w:ascii="Cambria Math" w:eastAsia="Calibri" w:hAnsi="Cambria Math"/>
            <w:lang w:val="pt-PT"/>
          </w:rPr>
          <m:t>].</m:t>
        </m:r>
      </m:oMath>
    </w:p>
    <w:p w:rsidR="00767591" w:rsidRPr="00166EA9" w:rsidRDefault="00767591" w:rsidP="00767591">
      <w:pPr>
        <w:rPr>
          <w:lang w:val="pt-PT"/>
        </w:rPr>
      </w:pPr>
    </w:p>
    <w:p w:rsidR="003F616C" w:rsidRPr="00166EA9" w:rsidRDefault="003F616C" w:rsidP="00767591">
      <w:pPr>
        <w:ind w:left="1417"/>
        <w:rPr>
          <w:lang w:val="pt-PT"/>
        </w:rPr>
      </w:pPr>
      <w:r w:rsidRPr="00166EA9">
        <w:rPr>
          <w:lang w:val="pt-PT"/>
        </w:rPr>
        <w:t>ahol:</w:t>
      </w:r>
    </w:p>
    <w:p w:rsidR="003F616C" w:rsidRPr="00166EA9" w:rsidRDefault="00431542" w:rsidP="00511BF6">
      <w:pPr>
        <w:tabs>
          <w:tab w:val="left" w:pos="1418"/>
          <w:tab w:val="left" w:pos="1843"/>
        </w:tabs>
        <w:spacing w:before="60" w:line="240" w:lineRule="atLeast"/>
        <w:ind w:left="1843" w:hanging="850"/>
        <w:rPr>
          <w:rFonts w:eastAsia="Calibri"/>
          <w:lang w:val="pt-PT"/>
        </w:rPr>
      </w:pPr>
      <m:oMath>
        <m:r>
          <w:rPr>
            <w:rFonts w:ascii="Cambria Math" w:eastAsia="Calibri" w:hAnsi="Cambria Math"/>
          </w:rPr>
          <m:t>a</m:t>
        </m:r>
      </m:oMath>
      <w:r w:rsidRPr="00166EA9">
        <w:rPr>
          <w:lang w:val="pt-PT"/>
        </w:rPr>
        <w:tab/>
        <w:t>=</w:t>
      </w:r>
      <w:r w:rsidRPr="00166EA9">
        <w:rPr>
          <w:lang w:val="pt-PT"/>
        </w:rPr>
        <w:tab/>
        <w:t>bordaköz (mm);</w:t>
      </w:r>
    </w:p>
    <w:p w:rsidR="003F616C" w:rsidRPr="00166EA9" w:rsidRDefault="00431542" w:rsidP="00511BF6">
      <w:pPr>
        <w:tabs>
          <w:tab w:val="left" w:pos="1418"/>
          <w:tab w:val="left" w:pos="1843"/>
        </w:tabs>
        <w:spacing w:before="60" w:line="240" w:lineRule="atLeast"/>
        <w:ind w:left="1843" w:hanging="850"/>
        <w:rPr>
          <w:rFonts w:eastAsia="Calibri"/>
          <w:lang w:val="pt-PT"/>
        </w:rPr>
      </w:pPr>
      <m:oMath>
        <m:r>
          <w:rPr>
            <w:rFonts w:ascii="Cambria Math" w:eastAsia="Calibri" w:hAnsi="Cambria Math"/>
          </w:rPr>
          <m:t>f</m:t>
        </m:r>
      </m:oMath>
      <w:r w:rsidRPr="00166EA9">
        <w:rPr>
          <w:lang w:val="pt-PT"/>
        </w:rPr>
        <w:tab/>
        <w:t>=</w:t>
      </w:r>
      <w:r w:rsidRPr="00166EA9">
        <w:rPr>
          <w:lang w:val="pt-PT"/>
        </w:rPr>
        <w:tab/>
        <w:t>bordaköztényező</w:t>
      </w:r>
    </w:p>
    <w:p w:rsidR="00767591" w:rsidRPr="00166EA9" w:rsidRDefault="00731F17" w:rsidP="00511BF6">
      <w:pPr>
        <w:tabs>
          <w:tab w:val="left" w:pos="2268"/>
        </w:tabs>
        <w:spacing w:before="60" w:line="240" w:lineRule="atLeast"/>
        <w:ind w:left="2694" w:hanging="851"/>
        <w:rPr>
          <w:rFonts w:eastAsia="Calibri"/>
          <w:lang w:val="pt-PT"/>
        </w:rPr>
      </w:pPr>
      <m:oMath>
        <m:r>
          <w:rPr>
            <w:rFonts w:ascii="Cambria Math" w:eastAsia="Calibri" w:hAnsi="Cambria Math"/>
          </w:rPr>
          <m:t>f</m:t>
        </m:r>
        <m:r>
          <w:rPr>
            <w:rFonts w:ascii="Cambria Math" w:eastAsia="Calibri" w:hAnsi="Cambria Math"/>
            <w:lang w:val="pt-PT"/>
          </w:rPr>
          <m:t xml:space="preserve"> = 1</m:t>
        </m:r>
      </m:oMath>
      <w:r w:rsidRPr="00166EA9">
        <w:rPr>
          <w:lang w:val="pt-PT"/>
        </w:rPr>
        <w:t xml:space="preserve"> , ha </w:t>
      </w:r>
      <m:oMath>
        <m:r>
          <w:rPr>
            <w:rFonts w:ascii="Cambria Math" w:eastAsia="Calibri" w:hAnsi="Cambria Math"/>
          </w:rPr>
          <m:t>a</m:t>
        </m:r>
        <m:r>
          <w:rPr>
            <w:rFonts w:ascii="Cambria Math" w:eastAsia="Calibri" w:hAnsi="Cambria Math"/>
            <w:lang w:val="pt-PT"/>
          </w:rPr>
          <m:t xml:space="preserve"> ≤500 </m:t>
        </m:r>
        <m:r>
          <w:rPr>
            <w:rFonts w:ascii="Cambria Math" w:eastAsia="Calibri" w:hAnsi="Cambria Math"/>
          </w:rPr>
          <m:t>mm</m:t>
        </m:r>
        <m:r>
          <w:rPr>
            <w:rFonts w:ascii="Cambria Math" w:eastAsia="Calibri" w:hAnsi="Cambria Math"/>
            <w:lang w:val="pt-PT"/>
          </w:rPr>
          <m:t>,</m:t>
        </m:r>
      </m:oMath>
      <w:r w:rsidRPr="00166EA9">
        <w:rPr>
          <w:lang w:val="pt-PT"/>
        </w:rPr>
        <w:t xml:space="preserve"> </w:t>
      </w:r>
    </w:p>
    <w:p w:rsidR="003F616C" w:rsidRPr="00F125EF" w:rsidRDefault="00731F17" w:rsidP="00511BF6">
      <w:pPr>
        <w:tabs>
          <w:tab w:val="left" w:pos="2268"/>
        </w:tabs>
        <w:spacing w:before="60" w:line="240" w:lineRule="atLeast"/>
        <w:ind w:left="2694" w:hanging="851"/>
        <w:rPr>
          <w:rFonts w:eastAsia="Calibri"/>
          <w:lang w:val="es-ES"/>
        </w:rPr>
      </w:pPr>
      <m:oMath>
        <m:r>
          <w:rPr>
            <w:rFonts w:ascii="Cambria Math" w:eastAsia="Calibri" w:hAnsi="Cambria Math"/>
          </w:rPr>
          <m:t>f</m:t>
        </m:r>
        <m:r>
          <w:rPr>
            <w:rFonts w:ascii="Cambria Math" w:eastAsia="Calibri" w:hAnsi="Cambria Math"/>
            <w:lang w:val="es-ES"/>
          </w:rPr>
          <m:t>= 1 + 0,0013 (</m:t>
        </m:r>
        <m:r>
          <w:rPr>
            <w:rFonts w:ascii="Cambria Math" w:eastAsia="Calibri" w:hAnsi="Cambria Math"/>
          </w:rPr>
          <m:t>a</m:t>
        </m:r>
        <m:r>
          <w:rPr>
            <w:rFonts w:ascii="Cambria Math" w:eastAsia="Calibri" w:hAnsi="Cambria Math"/>
            <w:lang w:val="es-ES"/>
          </w:rPr>
          <m:t xml:space="preserve"> - 500)</m:t>
        </m:r>
      </m:oMath>
      <w:r w:rsidRPr="00F125EF">
        <w:rPr>
          <w:lang w:val="es-ES"/>
        </w:rPr>
        <w:t xml:space="preserve"> , ha </w:t>
      </w:r>
      <m:oMath>
        <m:r>
          <w:rPr>
            <w:rFonts w:ascii="Cambria Math" w:eastAsia="Calibri" w:hAnsi="Cambria Math"/>
          </w:rPr>
          <m:t>a</m:t>
        </m:r>
        <m:r>
          <w:rPr>
            <w:rFonts w:ascii="Cambria Math" w:eastAsia="Calibri" w:hAnsi="Cambria Math"/>
            <w:lang w:val="es-ES"/>
          </w:rPr>
          <m:t xml:space="preserve"> &gt; 500 </m:t>
        </m:r>
        <m:r>
          <w:rPr>
            <w:rFonts w:ascii="Cambria Math" w:eastAsia="Calibri" w:hAnsi="Cambria Math"/>
          </w:rPr>
          <m:t>mm</m:t>
        </m:r>
        <m:r>
          <w:rPr>
            <w:rFonts w:ascii="Cambria Math" w:eastAsia="Calibri" w:hAnsi="Cambria Math"/>
            <w:lang w:val="es-ES"/>
          </w:rPr>
          <m:t>;</m:t>
        </m:r>
      </m:oMath>
    </w:p>
    <w:p w:rsidR="003F616C" w:rsidRPr="00F125EF" w:rsidRDefault="00431542" w:rsidP="00511BF6">
      <w:pPr>
        <w:tabs>
          <w:tab w:val="left" w:pos="1418"/>
          <w:tab w:val="left" w:pos="1843"/>
        </w:tabs>
        <w:spacing w:before="60" w:line="240" w:lineRule="atLeast"/>
        <w:ind w:left="1843" w:hanging="850"/>
        <w:rPr>
          <w:rFonts w:eastAsia="Calibri"/>
          <w:lang w:val="es-ES"/>
        </w:rPr>
      </w:pPr>
      <m:oMath>
        <m:r>
          <w:rPr>
            <w:rFonts w:ascii="Cambria Math" w:eastAsia="Calibri" w:hAnsi="Cambria Math"/>
          </w:rPr>
          <m:t>b</m:t>
        </m:r>
      </m:oMath>
      <w:r w:rsidRPr="00F125EF">
        <w:rPr>
          <w:lang w:val="es-ES"/>
        </w:rPr>
        <w:tab/>
        <w:t>=</w:t>
      </w:r>
      <w:r w:rsidRPr="00F125EF">
        <w:rPr>
          <w:lang w:val="es-ES"/>
        </w:rPr>
        <w:tab/>
        <w:t>fenék-, medersor- és oldallemezelés-tényező</w:t>
      </w:r>
    </w:p>
    <w:p w:rsidR="003F616C" w:rsidRPr="00F125EF" w:rsidRDefault="00731F17" w:rsidP="00511BF6">
      <w:pPr>
        <w:tabs>
          <w:tab w:val="left" w:pos="2268"/>
        </w:tabs>
        <w:spacing w:before="60" w:line="240" w:lineRule="atLeast"/>
        <w:ind w:left="2694" w:hanging="851"/>
        <w:rPr>
          <w:rFonts w:eastAsia="Calibri"/>
          <w:lang w:val="es-ES"/>
        </w:rPr>
      </w:pPr>
      <m:oMath>
        <m:r>
          <w:rPr>
            <w:rFonts w:ascii="Cambria Math" w:eastAsia="Calibri" w:hAnsi="Cambria Math"/>
          </w:rPr>
          <m:t>b</m:t>
        </m:r>
        <m:r>
          <w:rPr>
            <w:rFonts w:ascii="Cambria Math" w:eastAsia="Calibri" w:hAnsi="Cambria Math"/>
            <w:lang w:val="es-ES"/>
          </w:rPr>
          <m:t xml:space="preserve"> = 1,0</m:t>
        </m:r>
      </m:oMath>
      <w:r w:rsidRPr="00F125EF">
        <w:rPr>
          <w:lang w:val="es-ES"/>
        </w:rPr>
        <w:t xml:space="preserve"> a fenék- és oldallemezelés esetében </w:t>
      </w:r>
    </w:p>
    <w:p w:rsidR="003F616C" w:rsidRPr="00F125EF" w:rsidRDefault="00731F17" w:rsidP="00511BF6">
      <w:pPr>
        <w:tabs>
          <w:tab w:val="left" w:pos="2268"/>
        </w:tabs>
        <w:spacing w:before="60" w:line="240" w:lineRule="atLeast"/>
        <w:ind w:left="2694" w:hanging="851"/>
        <w:rPr>
          <w:rFonts w:eastAsia="Calibri"/>
          <w:lang w:val="es-ES"/>
        </w:rPr>
      </w:pPr>
      <m:oMath>
        <m:r>
          <w:rPr>
            <w:rFonts w:ascii="Cambria Math" w:eastAsia="Calibri" w:hAnsi="Cambria Math"/>
          </w:rPr>
          <m:t>b</m:t>
        </m:r>
        <m:r>
          <w:rPr>
            <w:rFonts w:ascii="Cambria Math" w:eastAsia="Calibri" w:hAnsi="Cambria Math"/>
            <w:lang w:val="es-ES"/>
          </w:rPr>
          <m:t xml:space="preserve"> = 1,25</m:t>
        </m:r>
      </m:oMath>
      <w:r w:rsidRPr="00F125EF">
        <w:rPr>
          <w:lang w:val="es-ES"/>
        </w:rPr>
        <w:t xml:space="preserve"> a medersor-lemezelés esetében.</w:t>
      </w:r>
    </w:p>
    <w:p w:rsidR="00767591" w:rsidRPr="00F125EF" w:rsidRDefault="00767591" w:rsidP="00767591">
      <w:pPr>
        <w:rPr>
          <w:rFonts w:cs="Arial"/>
          <w:szCs w:val="20"/>
          <w:lang w:val="es-ES"/>
        </w:rPr>
      </w:pPr>
    </w:p>
    <w:p w:rsidR="003F616C" w:rsidRPr="00F125EF" w:rsidRDefault="00731F17" w:rsidP="009058C5">
      <w:pPr>
        <w:tabs>
          <w:tab w:val="left" w:pos="1418"/>
          <w:tab w:val="left" w:pos="1843"/>
        </w:tabs>
        <w:spacing w:before="60" w:line="240" w:lineRule="atLeast"/>
        <w:ind w:left="1843" w:hanging="850"/>
        <w:rPr>
          <w:rFonts w:eastAsia="Calibri"/>
          <w:lang w:val="es-ES"/>
        </w:rPr>
      </w:pPr>
      <m:oMath>
        <m:r>
          <w:rPr>
            <w:rFonts w:ascii="Cambria Math" w:hAnsi="Cambria Math" w:cs="Arial"/>
          </w:rPr>
          <m:t>f</m:t>
        </m:r>
        <m:r>
          <w:rPr>
            <w:rFonts w:ascii="Cambria Math" w:hAnsi="Cambria Math" w:cs="Arial"/>
            <w:lang w:val="es-ES"/>
          </w:rPr>
          <m:t xml:space="preserve"> = 1</m:t>
        </m:r>
      </m:oMath>
      <w:r w:rsidRPr="00F125EF">
        <w:rPr>
          <w:lang w:val="es-ES"/>
        </w:rPr>
        <w:tab/>
        <w:t>vehető a bordaközre az oldallemezelés minimális vastagságának kiszámításakor. A medersor-lemezelés minimális vastagsága azonban semmi esetre sem lehet kisebb a fenék- és oldallemezelésénél.</w:t>
      </w:r>
    </w:p>
    <w:p w:rsidR="003F616C" w:rsidRPr="00F125EF" w:rsidRDefault="00431542" w:rsidP="009058C5">
      <w:pPr>
        <w:tabs>
          <w:tab w:val="left" w:pos="1418"/>
          <w:tab w:val="left" w:pos="1843"/>
        </w:tabs>
        <w:spacing w:before="60" w:line="240" w:lineRule="atLeast"/>
        <w:ind w:left="1843" w:hanging="850"/>
        <w:rPr>
          <w:rFonts w:eastAsia="Calibri"/>
          <w:lang w:val="es-ES"/>
        </w:rPr>
      </w:pPr>
      <m:oMath>
        <m:r>
          <w:rPr>
            <w:rFonts w:ascii="Cambria Math" w:eastAsia="Calibri" w:hAnsi="Cambria Math"/>
          </w:rPr>
          <m:t>c</m:t>
        </m:r>
      </m:oMath>
      <w:r w:rsidRPr="00F125EF">
        <w:rPr>
          <w:lang w:val="es-ES"/>
        </w:rPr>
        <w:tab/>
        <w:t>=</w:t>
      </w:r>
      <w:r w:rsidRPr="00F125EF">
        <w:rPr>
          <w:lang w:val="es-ES"/>
        </w:rPr>
        <w:tab/>
        <w:t>szerkezettípus-tényező</w:t>
      </w:r>
    </w:p>
    <w:p w:rsidR="00767591" w:rsidRPr="00F125EF" w:rsidRDefault="00731F17" w:rsidP="00731F17">
      <w:pPr>
        <w:tabs>
          <w:tab w:val="left" w:pos="2835"/>
        </w:tabs>
        <w:spacing w:before="60" w:line="240" w:lineRule="atLeast"/>
        <w:ind w:left="2835" w:hanging="992"/>
        <w:rPr>
          <w:rFonts w:eastAsia="Calibri"/>
          <w:lang w:val="es-ES"/>
        </w:rPr>
      </w:pPr>
      <m:oMath>
        <m:r>
          <w:rPr>
            <w:rFonts w:ascii="Cambria Math" w:eastAsia="Calibri" w:hAnsi="Cambria Math"/>
          </w:rPr>
          <m:t>c</m:t>
        </m:r>
        <m:r>
          <w:rPr>
            <w:rFonts w:ascii="Cambria Math" w:eastAsia="Calibri" w:hAnsi="Cambria Math"/>
            <w:lang w:val="es-ES"/>
          </w:rPr>
          <m:t xml:space="preserve"> = 0,95</m:t>
        </m:r>
      </m:oMath>
      <w:r w:rsidRPr="00F125EF">
        <w:rPr>
          <w:lang w:val="es-ES"/>
        </w:rPr>
        <w:tab/>
        <w:t xml:space="preserve"> duplafenekű és oldalüreges hajók esetében, ahol az oldalüreg és a rakománytér közötti térelválasztó elem függőlegesen helyezkedik el a nyíláskerettel egy vonalban</w:t>
      </w:r>
    </w:p>
    <w:p w:rsidR="003F616C" w:rsidRPr="00F125EF" w:rsidRDefault="00731F17" w:rsidP="00731F17">
      <w:pPr>
        <w:tabs>
          <w:tab w:val="left" w:pos="2835"/>
        </w:tabs>
        <w:spacing w:before="60" w:line="240" w:lineRule="atLeast"/>
        <w:ind w:left="2835" w:hanging="992"/>
        <w:rPr>
          <w:rFonts w:eastAsia="Calibri"/>
          <w:lang w:val="es-ES"/>
        </w:rPr>
      </w:pPr>
      <m:oMath>
        <m:r>
          <w:rPr>
            <w:rFonts w:ascii="Cambria Math" w:eastAsia="Calibri" w:hAnsi="Cambria Math"/>
          </w:rPr>
          <m:t>c</m:t>
        </m:r>
        <m:r>
          <w:rPr>
            <w:rFonts w:ascii="Cambria Math" w:eastAsia="Calibri" w:hAnsi="Cambria Math"/>
            <w:lang w:val="es-ES"/>
          </w:rPr>
          <m:t xml:space="preserve"> = 1,0</m:t>
        </m:r>
      </m:oMath>
      <w:r w:rsidRPr="00F125EF">
        <w:rPr>
          <w:lang w:val="es-ES"/>
        </w:rPr>
        <w:tab/>
        <w:t>minden más szerkezettípusra.</w:t>
      </w:r>
    </w:p>
    <w:p w:rsidR="003F616C" w:rsidRPr="00F125EF" w:rsidRDefault="00850AFF" w:rsidP="00511BF6">
      <w:pPr>
        <w:pStyle w:val="ESlet"/>
        <w:rPr>
          <w:lang w:val="es-ES"/>
        </w:rPr>
      </w:pPr>
      <w:r w:rsidRPr="00F125EF">
        <w:rPr>
          <w:lang w:val="es-ES"/>
        </w:rPr>
        <w:br w:type="page"/>
        <w:t>c)</w:t>
      </w:r>
      <w:r w:rsidRPr="00F125EF">
        <w:rPr>
          <w:lang w:val="es-ES"/>
        </w:rPr>
        <w:tab/>
        <w:t>Hosszanti bordázatú duplafenekű és oldalüreges hajók esetében a lemezvastagság b) pont szerinti képletekkel kiszámított minimális értéke csökkenthető az elismert hajóosztályozó társaság által a megfelelő hajótestszilárdságra (hosszanti, oldalirányú és lokális szilárdság) tanúsított kiszámított értékre.</w:t>
      </w:r>
    </w:p>
    <w:p w:rsidR="003F616C" w:rsidRPr="00F125EF" w:rsidRDefault="003F616C" w:rsidP="009058C5">
      <w:pPr>
        <w:pStyle w:val="ESletpar"/>
        <w:rPr>
          <w:lang w:val="es-ES"/>
        </w:rPr>
      </w:pPr>
      <w:r w:rsidRPr="00F125EF">
        <w:rPr>
          <w:lang w:val="es-ES"/>
        </w:rPr>
        <w:t>A lemezeket fel kell újítani, ha a fenék-, a medersor- és az oldallemezelés nem éri el az ekként meghatározott megengedhető értéket.</w:t>
      </w:r>
    </w:p>
    <w:p w:rsidR="003F616C" w:rsidRPr="00F125EF" w:rsidRDefault="003F616C" w:rsidP="009058C5">
      <w:pPr>
        <w:pStyle w:val="ESletpar"/>
        <w:rPr>
          <w:rFonts w:cs="Arial"/>
          <w:szCs w:val="20"/>
          <w:lang w:val="es-ES"/>
        </w:rPr>
      </w:pPr>
      <w:r w:rsidRPr="00F125EF">
        <w:rPr>
          <w:lang w:val="es-ES"/>
        </w:rPr>
        <w:t>A módszer szerint kiszámított minimális értékek határértékek, amelyek figyelembe veszik a szokásos, egyenletes igénybevételt, továbbá feltételezik, hogy hajóépítéshez való acélt használnak, a belső szerkezeti elemek, mint a bordázat, a bordázat alja, a fő hosszanti és keresztirányú szerkezeti elemek jó állapotban vannak, valamint a hajótest nem mutatja jelét a hosszanti szilárdság túlterhelésének.</w:t>
      </w:r>
    </w:p>
    <w:p w:rsidR="003F616C" w:rsidRPr="00F125EF" w:rsidRDefault="003F616C" w:rsidP="009058C5">
      <w:pPr>
        <w:pStyle w:val="ESletpar"/>
        <w:rPr>
          <w:rFonts w:cs="Arial"/>
          <w:szCs w:val="20"/>
          <w:lang w:val="es-ES"/>
        </w:rPr>
      </w:pPr>
      <w:r w:rsidRPr="00F125EF">
        <w:rPr>
          <w:lang w:val="es-ES"/>
        </w:rPr>
        <w:t>Amint az ezen értékekre vonatkozó követelmények már nem teljesülnek, a szóban forgó lemezelést meg kell javítani vagy ki kell cserélni. Kis területek tekintetében azonban helyileg elfogadhatók a kiszámított értékeknél legfeljebb 10 %-kal kisebb vastagságok.</w:t>
      </w:r>
    </w:p>
    <w:p w:rsidR="00767591" w:rsidRPr="00F125EF" w:rsidRDefault="00767591" w:rsidP="006A4BCB">
      <w:pPr>
        <w:pStyle w:val="ESch"/>
        <w:rPr>
          <w:lang w:val="es-ES"/>
        </w:rPr>
      </w:pPr>
    </w:p>
    <w:p w:rsidR="003F616C" w:rsidRPr="00F125EF" w:rsidRDefault="003F616C" w:rsidP="008E6308">
      <w:pPr>
        <w:pStyle w:val="ESch"/>
        <w:rPr>
          <w:lang w:val="es-ES"/>
        </w:rPr>
      </w:pPr>
      <w:r w:rsidRPr="00F125EF">
        <w:rPr>
          <w:lang w:val="es-ES"/>
        </w:rPr>
        <w:t>2.</w:t>
      </w:r>
      <w:r w:rsidRPr="00F125EF">
        <w:rPr>
          <w:lang w:val="es-ES"/>
        </w:rPr>
        <w:tab/>
        <w:t>Ha a hajótest építéséhez nem acélt használnak, számításokkal kell igazolni, hogy a hajótest szilárdsága (hosszanti, oldalirányú és lokális szilárdság) egyenértékű legalább azzal a szilárdsággal, amely az 1. bekezdés szerinti minimális vastagságú acél feltételezett használatából következne. Egy elfogadott hajóosztályozó társaság osztályozási tanúsítványának vagy nyilatkozatának bemutatása esetén a számításokon alapuló bizonyítástól el lehet tekinteni.</w:t>
      </w:r>
    </w:p>
    <w:p w:rsidR="00767591" w:rsidRPr="00F125EF" w:rsidRDefault="00767591" w:rsidP="003F616C">
      <w:pPr>
        <w:rPr>
          <w:rFonts w:cs="Arial"/>
          <w:szCs w:val="20"/>
          <w:lang w:val="es-ES"/>
        </w:rPr>
      </w:pPr>
    </w:p>
    <w:p w:rsidR="003F616C" w:rsidRPr="00F125EF" w:rsidRDefault="003F616C" w:rsidP="008E6308">
      <w:pPr>
        <w:pStyle w:val="ESch"/>
        <w:rPr>
          <w:lang w:val="es-ES"/>
        </w:rPr>
      </w:pPr>
      <w:r w:rsidRPr="00F125EF">
        <w:rPr>
          <w:lang w:val="es-ES"/>
        </w:rPr>
        <w:t>3.</w:t>
      </w:r>
      <w:r w:rsidRPr="00F125EF">
        <w:rPr>
          <w:lang w:val="es-ES"/>
        </w:rPr>
        <w:tab/>
        <w:t>A hajó stabilitásának összhangban kell lennie a hajó rendeltetésével.</w:t>
      </w:r>
    </w:p>
    <w:p w:rsidR="00767591" w:rsidRPr="00F125EF" w:rsidRDefault="00767591" w:rsidP="003F616C">
      <w:pPr>
        <w:rPr>
          <w:rFonts w:cs="Arial"/>
          <w:i/>
          <w:szCs w:val="20"/>
          <w:lang w:val="es-ES"/>
        </w:rPr>
      </w:pPr>
    </w:p>
    <w:p w:rsidR="00767591" w:rsidRPr="00F125EF" w:rsidRDefault="00767591" w:rsidP="003F616C">
      <w:pPr>
        <w:rPr>
          <w:rFonts w:cs="Arial"/>
          <w:i/>
          <w:szCs w:val="20"/>
          <w:lang w:val="es-ES"/>
        </w:rPr>
      </w:pPr>
    </w:p>
    <w:p w:rsidR="003F616C" w:rsidRPr="00F125EF" w:rsidRDefault="003F616C" w:rsidP="00767591">
      <w:pPr>
        <w:pStyle w:val="ES-Titre3"/>
        <w:rPr>
          <w:lang w:val="es-ES"/>
        </w:rPr>
      </w:pPr>
      <w:bookmarkStart w:id="22" w:name="_Toc491854011"/>
      <w:bookmarkStart w:id="23" w:name="_Toc535853790"/>
      <w:r w:rsidRPr="00F125EF">
        <w:rPr>
          <w:lang w:val="es-ES"/>
        </w:rPr>
        <w:t>3.03. cikk</w:t>
      </w:r>
      <w:r w:rsidRPr="00F125EF">
        <w:rPr>
          <w:lang w:val="es-ES"/>
        </w:rPr>
        <w:br/>
      </w:r>
      <w:r w:rsidRPr="00F125EF">
        <w:rPr>
          <w:i/>
          <w:lang w:val="es-ES"/>
        </w:rPr>
        <w:t>Hajótest</w:t>
      </w:r>
      <w:bookmarkEnd w:id="22"/>
      <w:bookmarkEnd w:id="23"/>
    </w:p>
    <w:p w:rsidR="00767591" w:rsidRPr="00F125EF" w:rsidRDefault="00767591" w:rsidP="003F616C">
      <w:pPr>
        <w:rPr>
          <w:rFonts w:cs="Arial"/>
          <w:szCs w:val="20"/>
          <w:lang w:val="es-ES"/>
        </w:rPr>
      </w:pPr>
    </w:p>
    <w:p w:rsidR="003F616C" w:rsidRPr="00F125EF" w:rsidRDefault="003F616C" w:rsidP="009058C5">
      <w:pPr>
        <w:pStyle w:val="ESch"/>
        <w:rPr>
          <w:lang w:val="es-ES"/>
        </w:rPr>
      </w:pPr>
      <w:r w:rsidRPr="00F125EF">
        <w:rPr>
          <w:lang w:val="es-ES"/>
        </w:rPr>
        <w:t>1.</w:t>
      </w:r>
      <w:r w:rsidRPr="00F125EF">
        <w:rPr>
          <w:lang w:val="es-ES"/>
        </w:rPr>
        <w:tab/>
        <w:t>A fedélzetig, vagy fedélzet nélküli hajóknál az oldalperemig felnyúló válaszfalakat kell beépíteni az alábbi pontokon:</w:t>
      </w:r>
    </w:p>
    <w:p w:rsidR="003F616C" w:rsidRPr="00F125EF" w:rsidRDefault="005C7859" w:rsidP="008E6308">
      <w:pPr>
        <w:pStyle w:val="ESlet"/>
        <w:rPr>
          <w:lang w:val="es-ES"/>
        </w:rPr>
      </w:pPr>
      <w:r w:rsidRPr="00F125EF">
        <w:rPr>
          <w:lang w:val="es-ES"/>
        </w:rPr>
        <w:t>a)</w:t>
      </w:r>
      <w:r w:rsidRPr="00F125EF">
        <w:rPr>
          <w:lang w:val="es-ES"/>
        </w:rPr>
        <w:tab/>
        <w:t xml:space="preserve">Ütközési válaszfal az orrtól kellő távolságra, 100 mm-es fennmaradó biztonsági távolsággal oly módon, hogy a </w:t>
      </w:r>
      <w:r w:rsidR="00380C1C">
        <w:rPr>
          <w:lang w:val="es-ES"/>
        </w:rPr>
        <w:t>terhelt</w:t>
      </w:r>
      <w:r w:rsidRPr="00F125EF">
        <w:rPr>
          <w:lang w:val="es-ES"/>
        </w:rPr>
        <w:t xml:space="preserve"> hajóra ható felhajtóerő (a hajó úszóképessége) biztosított legyen, ha víz kerül az ütközési válaszfal előtti vízmentes rekeszbe.</w:t>
      </w:r>
    </w:p>
    <w:p w:rsidR="003F616C" w:rsidRPr="00F125EF" w:rsidRDefault="003F616C" w:rsidP="008E6308">
      <w:pPr>
        <w:pStyle w:val="ESletpar"/>
        <w:rPr>
          <w:lang w:val="es-ES"/>
        </w:rPr>
      </w:pPr>
      <w:r w:rsidRPr="00F125EF">
        <w:rPr>
          <w:lang w:val="es-ES"/>
        </w:rPr>
        <w:t xml:space="preserve">Általános szabályként, az 1. bekezdésben említett követelményt akkor lehet teljesítettnek tekinteni, ha az ütközési válaszfalat a legnagyobb merülés síkjában a mellső függélytől mért </w:t>
      </w:r>
      <m:oMath>
        <m:r>
          <w:rPr>
            <w:rFonts w:ascii="Cambria Math" w:hAnsi="Cambria Math" w:cs="Arial"/>
            <w:szCs w:val="20"/>
            <w:lang w:val="es-ES"/>
          </w:rPr>
          <m:t xml:space="preserve">0,04 </m:t>
        </m:r>
        <m:r>
          <w:rPr>
            <w:rFonts w:ascii="Cambria Math" w:hAnsi="Cambria Math" w:cs="Arial"/>
            <w:szCs w:val="20"/>
          </w:rPr>
          <m:t>L</m:t>
        </m:r>
      </m:oMath>
      <w:r w:rsidRPr="00F125EF">
        <w:rPr>
          <w:lang w:val="es-ES"/>
        </w:rPr>
        <w:t xml:space="preserve"> és </w:t>
      </w:r>
      <m:oMath>
        <m:r>
          <w:rPr>
            <w:rFonts w:ascii="Cambria Math" w:hAnsi="Cambria Math" w:cs="Arial"/>
            <w:szCs w:val="20"/>
            <w:lang w:val="es-ES"/>
          </w:rPr>
          <m:t xml:space="preserve">0,04 </m:t>
        </m:r>
        <m:r>
          <w:rPr>
            <w:rFonts w:ascii="Cambria Math" w:hAnsi="Cambria Math" w:cs="Arial"/>
            <w:szCs w:val="20"/>
          </w:rPr>
          <m:t>L</m:t>
        </m:r>
        <m:r>
          <w:rPr>
            <w:rFonts w:ascii="Cambria Math" w:hAnsi="Cambria Math" w:cs="Arial"/>
            <w:szCs w:val="20"/>
            <w:lang w:val="es-ES"/>
          </w:rPr>
          <m:t xml:space="preserve"> + 2 </m:t>
        </m:r>
        <m:r>
          <w:rPr>
            <w:rFonts w:ascii="Cambria Math" w:hAnsi="Cambria Math" w:cs="Arial"/>
            <w:szCs w:val="20"/>
          </w:rPr>
          <m:t>m</m:t>
        </m:r>
      </m:oMath>
      <w:r w:rsidRPr="00F125EF">
        <w:rPr>
          <w:lang w:val="es-ES"/>
        </w:rPr>
        <w:t xml:space="preserve"> közötti távolságra szerelik fel.</w:t>
      </w:r>
    </w:p>
    <w:p w:rsidR="003F616C" w:rsidRPr="00F125EF" w:rsidRDefault="003F616C" w:rsidP="008E6308">
      <w:pPr>
        <w:pStyle w:val="ESletpar"/>
        <w:rPr>
          <w:lang w:val="es-ES"/>
        </w:rPr>
      </w:pPr>
      <w:r w:rsidRPr="00F125EF">
        <w:rPr>
          <w:lang w:val="es-ES"/>
        </w:rPr>
        <w:t xml:space="preserve">Amennyiben ez a távolság meghaladja a </w:t>
      </w:r>
      <m:oMath>
        <m:r>
          <w:rPr>
            <w:rFonts w:ascii="Cambria Math" w:hAnsi="Cambria Math" w:cs="Arial"/>
            <w:szCs w:val="20"/>
            <w:lang w:val="es-ES"/>
          </w:rPr>
          <m:t xml:space="preserve">0,04 </m:t>
        </m:r>
        <m:r>
          <w:rPr>
            <w:rFonts w:ascii="Cambria Math" w:hAnsi="Cambria Math" w:cs="Arial"/>
            <w:szCs w:val="20"/>
          </w:rPr>
          <m:t>L</m:t>
        </m:r>
        <m:r>
          <w:rPr>
            <w:rFonts w:ascii="Cambria Math" w:hAnsi="Cambria Math" w:cs="Arial"/>
            <w:szCs w:val="20"/>
            <w:lang w:val="es-ES"/>
          </w:rPr>
          <m:t xml:space="preserve"> + 2 </m:t>
        </m:r>
        <m:r>
          <w:rPr>
            <w:rFonts w:ascii="Cambria Math" w:hAnsi="Cambria Math" w:cs="Arial"/>
            <w:szCs w:val="20"/>
          </w:rPr>
          <m:t>m</m:t>
        </m:r>
      </m:oMath>
      <w:r w:rsidRPr="00F125EF">
        <w:rPr>
          <w:lang w:val="es-ES"/>
        </w:rPr>
        <w:t>-t, az 1. bekezdésben meghatározott követelmény teljesülését számítással kell igazolni.</w:t>
      </w:r>
    </w:p>
    <w:p w:rsidR="00767591" w:rsidRPr="00F125EF" w:rsidRDefault="003F616C" w:rsidP="008E6308">
      <w:pPr>
        <w:pStyle w:val="ESletpar"/>
        <w:rPr>
          <w:rFonts w:cs="Arial"/>
          <w:szCs w:val="20"/>
          <w:lang w:val="es-ES"/>
        </w:rPr>
      </w:pPr>
      <w:r w:rsidRPr="00F125EF">
        <w:rPr>
          <w:lang w:val="es-ES"/>
        </w:rPr>
        <w:t xml:space="preserve">A távolságot le lehet csökkenteni </w:t>
      </w:r>
      <m:oMath>
        <m:r>
          <w:rPr>
            <w:rFonts w:ascii="Cambria Math" w:hAnsi="Cambria Math" w:cs="Arial"/>
            <w:szCs w:val="20"/>
            <w:lang w:val="es-ES"/>
          </w:rPr>
          <m:t xml:space="preserve">0,03 </m:t>
        </m:r>
        <m:r>
          <w:rPr>
            <w:rFonts w:ascii="Cambria Math" w:hAnsi="Cambria Math" w:cs="Arial"/>
            <w:szCs w:val="20"/>
          </w:rPr>
          <m:t>L</m:t>
        </m:r>
      </m:oMath>
      <w:r w:rsidRPr="00F125EF">
        <w:rPr>
          <w:lang w:val="es-ES"/>
        </w:rPr>
        <w:t>-re. Ebben az esetben az 1. bekezdésben említett követelmény teljesülését számítással kell igazolni, feltételezve, hogy az ütközési válaszfal előtti rekesz és az ahhoz kapcsolódó rekeszek mindegyike megtelt vízzel.</w:t>
      </w:r>
    </w:p>
    <w:p w:rsidR="00C62373" w:rsidRPr="00F125EF" w:rsidRDefault="00C62373" w:rsidP="00767591">
      <w:pPr>
        <w:rPr>
          <w:rFonts w:cs="Arial"/>
          <w:szCs w:val="20"/>
          <w:lang w:val="es-ES"/>
        </w:rPr>
      </w:pPr>
    </w:p>
    <w:p w:rsidR="00C62373" w:rsidRPr="00F125EF" w:rsidRDefault="00C62373" w:rsidP="00767591">
      <w:pPr>
        <w:rPr>
          <w:rFonts w:cs="Arial"/>
          <w:szCs w:val="20"/>
          <w:lang w:val="es-ES"/>
        </w:rPr>
      </w:pPr>
    </w:p>
    <w:p w:rsidR="00767591" w:rsidRPr="00F125EF" w:rsidRDefault="00767591" w:rsidP="00321E38">
      <w:pPr>
        <w:rPr>
          <w:rFonts w:cs="Arial"/>
          <w:szCs w:val="20"/>
          <w:lang w:val="es-ES"/>
        </w:rPr>
      </w:pPr>
      <w:r w:rsidRPr="00F125EF">
        <w:rPr>
          <w:lang w:val="es-ES"/>
        </w:rPr>
        <w:br w:type="page"/>
      </w:r>
    </w:p>
    <w:p w:rsidR="003F616C" w:rsidRPr="00F125EF" w:rsidRDefault="003F616C" w:rsidP="008E6308">
      <w:pPr>
        <w:pStyle w:val="ESlet"/>
        <w:rPr>
          <w:rFonts w:cs="Arial"/>
          <w:szCs w:val="20"/>
          <w:lang w:val="es-ES"/>
        </w:rPr>
      </w:pPr>
      <w:r w:rsidRPr="00F125EF">
        <w:rPr>
          <w:lang w:val="es-ES"/>
        </w:rPr>
        <w:t>b)</w:t>
      </w:r>
      <w:r w:rsidRPr="00F125EF">
        <w:rPr>
          <w:lang w:val="es-ES"/>
        </w:rPr>
        <w:tab/>
        <w:t xml:space="preserve">A 25 m-nél nagyobb </w:t>
      </w:r>
      <m:oMath>
        <m:r>
          <w:rPr>
            <w:rFonts w:ascii="Cambria Math" w:hAnsi="Cambria Math" w:cs="Arial"/>
            <w:szCs w:val="20"/>
          </w:rPr>
          <m:t>L</m:t>
        </m:r>
      </m:oMath>
      <w:r w:rsidRPr="00F125EF">
        <w:rPr>
          <w:lang w:val="es-ES"/>
        </w:rPr>
        <w:t xml:space="preserve"> hosszúságú hajóknál farválaszfal a hajófartól kellő távolságra, 100 mm-es fennmaradó biztonsági távolsággal oly módon, hogy a </w:t>
      </w:r>
      <w:r w:rsidR="00380C1C">
        <w:rPr>
          <w:lang w:val="es-ES"/>
        </w:rPr>
        <w:t>terhelt</w:t>
      </w:r>
      <w:r w:rsidRPr="00F125EF">
        <w:rPr>
          <w:lang w:val="es-ES"/>
        </w:rPr>
        <w:t xml:space="preserve"> hajóra ható felhajtóerő (a hajó úszóképessége) biztosított legyen, ha víz kerül a farválaszfal mögötti vízmentes rekeszbe.</w:t>
      </w:r>
    </w:p>
    <w:p w:rsidR="003F616C" w:rsidRPr="00F125EF" w:rsidRDefault="003F616C" w:rsidP="008E6308">
      <w:pPr>
        <w:pStyle w:val="ESletpar"/>
        <w:rPr>
          <w:rFonts w:cs="Arial"/>
          <w:szCs w:val="20"/>
          <w:lang w:val="es-ES"/>
        </w:rPr>
      </w:pPr>
      <w:r w:rsidRPr="00F125EF">
        <w:rPr>
          <w:lang w:val="es-ES"/>
        </w:rPr>
        <w:t xml:space="preserve">Általános szabályként, az első albekezdésben említett követelményt akkor lehet teljesítettnek tekinteni, ha a farválaszfalat a hajótest és a legnagyobb merülési vonal kereszteződésének hátsó pontjától mért 1,4 m és </w:t>
      </w:r>
      <m:oMath>
        <m:r>
          <w:rPr>
            <w:rFonts w:ascii="Cambria Math" w:hAnsi="Cambria Math" w:cs="Arial"/>
            <w:szCs w:val="20"/>
            <w:lang w:val="es-ES"/>
          </w:rPr>
          <m:t xml:space="preserve">0,04 </m:t>
        </m:r>
        <m:r>
          <w:rPr>
            <w:rFonts w:ascii="Cambria Math" w:hAnsi="Cambria Math" w:cs="Arial"/>
            <w:szCs w:val="20"/>
          </w:rPr>
          <m:t>L</m:t>
        </m:r>
        <m:r>
          <w:rPr>
            <w:rFonts w:ascii="Cambria Math" w:hAnsi="Cambria Math" w:cs="Arial"/>
            <w:szCs w:val="20"/>
            <w:lang w:val="es-ES"/>
          </w:rPr>
          <m:t xml:space="preserve"> + 2 </m:t>
        </m:r>
        <m:r>
          <w:rPr>
            <w:rFonts w:ascii="Cambria Math" w:hAnsi="Cambria Math" w:cs="Arial"/>
            <w:szCs w:val="20"/>
          </w:rPr>
          <m:t>m</m:t>
        </m:r>
      </m:oMath>
      <w:r w:rsidRPr="00F125EF">
        <w:rPr>
          <w:lang w:val="es-ES"/>
        </w:rPr>
        <w:t xml:space="preserve"> közötti távolságra szerelik fel.</w:t>
      </w:r>
    </w:p>
    <w:p w:rsidR="003F616C" w:rsidRPr="00F125EF" w:rsidRDefault="003F616C" w:rsidP="008E6308">
      <w:pPr>
        <w:pStyle w:val="ESletpar"/>
        <w:rPr>
          <w:rFonts w:cs="Arial"/>
          <w:szCs w:val="20"/>
          <w:lang w:val="es-ES"/>
        </w:rPr>
      </w:pPr>
      <w:r w:rsidRPr="00F125EF">
        <w:rPr>
          <w:lang w:val="es-ES"/>
        </w:rPr>
        <w:t xml:space="preserve">Amennyiben ez a távolság nagyobb, mint </w:t>
      </w:r>
      <m:oMath>
        <m:r>
          <w:rPr>
            <w:rFonts w:ascii="Cambria Math" w:hAnsi="Cambria Math" w:cs="Arial"/>
            <w:szCs w:val="20"/>
            <w:lang w:val="es-ES"/>
          </w:rPr>
          <m:t xml:space="preserve">0,04 </m:t>
        </m:r>
        <m:r>
          <w:rPr>
            <w:rFonts w:ascii="Cambria Math" w:hAnsi="Cambria Math" w:cs="Arial"/>
            <w:szCs w:val="20"/>
          </w:rPr>
          <m:t>L</m:t>
        </m:r>
        <m:r>
          <w:rPr>
            <w:rFonts w:ascii="Cambria Math" w:hAnsi="Cambria Math" w:cs="Arial"/>
            <w:szCs w:val="20"/>
            <w:lang w:val="es-ES"/>
          </w:rPr>
          <m:t xml:space="preserve"> + 2 </m:t>
        </m:r>
        <m:r>
          <w:rPr>
            <w:rFonts w:ascii="Cambria Math" w:hAnsi="Cambria Math" w:cs="Arial"/>
            <w:szCs w:val="20"/>
          </w:rPr>
          <m:t>m</m:t>
        </m:r>
      </m:oMath>
      <w:r w:rsidRPr="00F125EF">
        <w:rPr>
          <w:lang w:val="es-ES"/>
        </w:rPr>
        <w:t>, az első albekezdésben említett követelmény teljesülését számítással kell igazolni.</w:t>
      </w:r>
    </w:p>
    <w:p w:rsidR="003F616C" w:rsidRPr="00F125EF" w:rsidRDefault="003F616C" w:rsidP="008E6308">
      <w:pPr>
        <w:pStyle w:val="ESletpar"/>
        <w:rPr>
          <w:lang w:val="es-ES"/>
        </w:rPr>
      </w:pPr>
      <w:r w:rsidRPr="00F125EF">
        <w:rPr>
          <w:lang w:val="es-ES"/>
        </w:rPr>
        <w:t>A távolságot le lehet csökkenteni 1 m-re. Ebben az esetben az első albekezdésben említett követelmény teljesülését számítással kell alátámasztani, feltételezve, hogy a farválaszfal mögötti rekesz és az ahhoz közvetlenül kapcsolódó rekeszek megteltek vízzel.</w:t>
      </w:r>
    </w:p>
    <w:p w:rsidR="00767591" w:rsidRPr="00F125EF" w:rsidRDefault="00767591" w:rsidP="008E6308">
      <w:pPr>
        <w:pStyle w:val="ESch"/>
        <w:rPr>
          <w:rFonts w:cs="Arial"/>
          <w:szCs w:val="20"/>
          <w:lang w:val="es-ES"/>
        </w:rPr>
      </w:pPr>
    </w:p>
    <w:p w:rsidR="005A78A5" w:rsidRPr="00F125EF" w:rsidRDefault="003F616C" w:rsidP="00321E38">
      <w:pPr>
        <w:pStyle w:val="ESch"/>
        <w:rPr>
          <w:rFonts w:cs="Arial"/>
          <w:szCs w:val="20"/>
          <w:lang w:val="es-ES"/>
        </w:rPr>
      </w:pPr>
      <w:r w:rsidRPr="00F125EF">
        <w:rPr>
          <w:lang w:val="es-ES"/>
        </w:rPr>
        <w:t>2.</w:t>
      </w:r>
      <w:r w:rsidRPr="00F125EF">
        <w:rPr>
          <w:lang w:val="es-ES"/>
        </w:rPr>
        <w:tab/>
        <w:t xml:space="preserve">Az ütközési válaszfal síkja előtt és a farválaszfal mögött nem helyezkedhetnek el lakóterek, valamint a hajó biztonságához vagy üzemeléséhez szükséges berendezések. </w:t>
      </w:r>
    </w:p>
    <w:p w:rsidR="005A78A5" w:rsidRPr="00F125EF" w:rsidRDefault="005A78A5" w:rsidP="00321E38">
      <w:pPr>
        <w:pStyle w:val="ESch"/>
        <w:rPr>
          <w:rFonts w:cs="Arial"/>
          <w:szCs w:val="20"/>
          <w:lang w:val="es-ES"/>
        </w:rPr>
      </w:pPr>
    </w:p>
    <w:p w:rsidR="003F616C" w:rsidRPr="00F125EF" w:rsidRDefault="003F616C" w:rsidP="005A78A5">
      <w:pPr>
        <w:pStyle w:val="ESchpar"/>
        <w:rPr>
          <w:lang w:val="es-ES"/>
        </w:rPr>
      </w:pPr>
      <w:r w:rsidRPr="00F125EF">
        <w:rPr>
          <w:lang w:val="es-ES"/>
        </w:rPr>
        <w:t>Ez a követelmény nem vonatkozik a horgonyberendezésre és a kormánygépre.</w:t>
      </w:r>
    </w:p>
    <w:p w:rsidR="00767591" w:rsidRPr="00F125EF" w:rsidRDefault="00767591" w:rsidP="00321E38">
      <w:pPr>
        <w:pStyle w:val="ESch"/>
        <w:rPr>
          <w:rFonts w:cs="Arial"/>
          <w:szCs w:val="20"/>
          <w:lang w:val="es-ES"/>
        </w:rPr>
      </w:pPr>
    </w:p>
    <w:p w:rsidR="003F616C" w:rsidRPr="00F125EF" w:rsidRDefault="003F616C" w:rsidP="00321E38">
      <w:pPr>
        <w:pStyle w:val="ESch"/>
        <w:rPr>
          <w:lang w:val="es-ES"/>
        </w:rPr>
      </w:pPr>
      <w:r w:rsidRPr="00F125EF">
        <w:rPr>
          <w:lang w:val="es-ES"/>
        </w:rPr>
        <w:t>3.</w:t>
      </w:r>
      <w:r w:rsidRPr="00F125EF">
        <w:rPr>
          <w:lang w:val="es-ES"/>
        </w:rPr>
        <w:tab/>
        <w:t>A lakótereket, géptereket és kazántereket, valamint az ezek részét képező munkaállomásokat a fedélzetig érő, vízmentes keresztirányú válaszfalakkal kell elválasztani a rakományterektől.</w:t>
      </w:r>
    </w:p>
    <w:p w:rsidR="00767591" w:rsidRPr="00F125EF" w:rsidRDefault="00767591" w:rsidP="00321E38">
      <w:pPr>
        <w:pStyle w:val="ESch"/>
        <w:rPr>
          <w:rFonts w:cs="Arial"/>
          <w:szCs w:val="20"/>
          <w:lang w:val="es-ES"/>
        </w:rPr>
      </w:pPr>
    </w:p>
    <w:p w:rsidR="003F616C" w:rsidRPr="00F125EF" w:rsidRDefault="003F616C" w:rsidP="00321E38">
      <w:pPr>
        <w:pStyle w:val="ESch"/>
        <w:rPr>
          <w:lang w:val="es-ES"/>
        </w:rPr>
      </w:pPr>
      <w:r w:rsidRPr="00F125EF">
        <w:rPr>
          <w:lang w:val="es-ES"/>
        </w:rPr>
        <w:t>4.</w:t>
      </w:r>
      <w:r w:rsidRPr="00F125EF">
        <w:rPr>
          <w:lang w:val="es-ES"/>
        </w:rPr>
        <w:tab/>
        <w:t>A lakóteret gázzáró módon el kell választani a gépterektől, kazánterektől és rakományterektől, és annak közvetlenül a fedélzetről megközelíthetőnek kell lennie. Amennyiben nincs ilyen bejárat, a fedélzetre közvetlen vészkijáratnak kell vezetnie.</w:t>
      </w:r>
    </w:p>
    <w:p w:rsidR="00767591" w:rsidRPr="00F125EF" w:rsidRDefault="00767591" w:rsidP="00321E38">
      <w:pPr>
        <w:pStyle w:val="ESch"/>
        <w:rPr>
          <w:rFonts w:cs="Arial"/>
          <w:szCs w:val="20"/>
          <w:lang w:val="es-ES"/>
        </w:rPr>
      </w:pPr>
    </w:p>
    <w:p w:rsidR="003F616C" w:rsidRPr="00F125EF" w:rsidRDefault="003F616C" w:rsidP="00321E38">
      <w:pPr>
        <w:pStyle w:val="ESch"/>
        <w:rPr>
          <w:lang w:val="es-ES"/>
        </w:rPr>
      </w:pPr>
      <w:r w:rsidRPr="00F125EF">
        <w:rPr>
          <w:lang w:val="es-ES"/>
        </w:rPr>
        <w:t>5.</w:t>
      </w:r>
      <w:r w:rsidRPr="00F125EF">
        <w:rPr>
          <w:lang w:val="es-ES"/>
        </w:rPr>
        <w:tab/>
        <w:t>Az 1. és 3. bekezdésben előírt válaszfalakon és a 4. bekezdés szerinti térelválasztáson nem lehet nyílás.</w:t>
      </w:r>
    </w:p>
    <w:p w:rsidR="00767591" w:rsidRPr="00F125EF" w:rsidRDefault="00767591" w:rsidP="00321E38">
      <w:pPr>
        <w:pStyle w:val="ESch"/>
        <w:rPr>
          <w:rFonts w:cs="Arial"/>
          <w:szCs w:val="20"/>
          <w:lang w:val="es-ES"/>
        </w:rPr>
      </w:pPr>
    </w:p>
    <w:p w:rsidR="003F616C" w:rsidRPr="00F125EF" w:rsidRDefault="003F616C" w:rsidP="00321E38">
      <w:pPr>
        <w:pStyle w:val="ESchpar"/>
        <w:rPr>
          <w:lang w:val="es-ES"/>
        </w:rPr>
      </w:pPr>
      <w:r w:rsidRPr="00F125EF">
        <w:rPr>
          <w:lang w:val="es-ES"/>
        </w:rPr>
        <w:t>Engedélyezettek azonban farválaszfali ajtók, valamint átvezetések, különösen tengelyek és csővezetékek nyílásai, ha ezek kivitelezése olyan, hogy nem befolyásolják a válaszfalak és térhatárolók hatékonyságát. A farválaszfalon csak akkor lehetnek ajtók, ha a kormányállásból távellenőrzéssel megállapítható, hogy azok csukva vannak-e vagy nyitva, a szóban forgó nyílások mindkét oldalán pedig az alábbi, jól olvasható utasítást kell feltüntetni:</w:t>
      </w:r>
    </w:p>
    <w:p w:rsidR="00767591" w:rsidRPr="00F125EF" w:rsidRDefault="00767591" w:rsidP="003F616C">
      <w:pPr>
        <w:rPr>
          <w:rFonts w:cs="Arial"/>
          <w:szCs w:val="20"/>
          <w:lang w:val="es-ES"/>
        </w:rPr>
      </w:pPr>
    </w:p>
    <w:p w:rsidR="003F616C" w:rsidRPr="00F125EF" w:rsidRDefault="003F616C" w:rsidP="00321E38">
      <w:pPr>
        <w:jc w:val="center"/>
        <w:rPr>
          <w:rFonts w:cs="Arial"/>
          <w:szCs w:val="20"/>
          <w:lang w:val="es-ES"/>
        </w:rPr>
      </w:pPr>
      <w:r w:rsidRPr="00F125EF">
        <w:rPr>
          <w:lang w:val="es-ES"/>
        </w:rPr>
        <w:t>„Az ajtót használat után azonnal be kell csukni.”</w:t>
      </w:r>
    </w:p>
    <w:p w:rsidR="00767591" w:rsidRPr="00F125EF" w:rsidRDefault="00767591" w:rsidP="003F616C">
      <w:pPr>
        <w:rPr>
          <w:rFonts w:cs="Arial"/>
          <w:szCs w:val="20"/>
          <w:lang w:val="es-ES"/>
        </w:rPr>
      </w:pPr>
    </w:p>
    <w:p w:rsidR="003F616C" w:rsidRPr="00F125EF" w:rsidRDefault="003F616C" w:rsidP="00321E38">
      <w:pPr>
        <w:pStyle w:val="ESch"/>
        <w:rPr>
          <w:lang w:val="es-ES"/>
        </w:rPr>
      </w:pPr>
      <w:r w:rsidRPr="00F125EF">
        <w:rPr>
          <w:lang w:val="es-ES"/>
        </w:rPr>
        <w:t>6.</w:t>
      </w:r>
      <w:r w:rsidRPr="00F125EF">
        <w:rPr>
          <w:lang w:val="es-ES"/>
        </w:rPr>
        <w:tab/>
        <w:t>A víz belépési és kilépési pontjainak, valamint az ezekhez kapcsolódó csővezetékeknek olyanoknak kell lenniük, hogy ne tegyék lehetővé a víz szándékolatlan behatolását a hajóba.</w:t>
      </w:r>
    </w:p>
    <w:p w:rsidR="00767591" w:rsidRPr="00F125EF" w:rsidRDefault="00767591" w:rsidP="00321E38">
      <w:pPr>
        <w:pStyle w:val="ESch"/>
        <w:rPr>
          <w:rFonts w:cs="Arial"/>
          <w:szCs w:val="20"/>
          <w:lang w:val="es-ES"/>
        </w:rPr>
      </w:pPr>
    </w:p>
    <w:p w:rsidR="003F616C" w:rsidRPr="00F125EF" w:rsidRDefault="003F616C" w:rsidP="00321E38">
      <w:pPr>
        <w:pStyle w:val="ESch"/>
        <w:rPr>
          <w:lang w:val="es-ES"/>
        </w:rPr>
      </w:pPr>
      <w:r w:rsidRPr="00F125EF">
        <w:rPr>
          <w:lang w:val="es-ES"/>
        </w:rPr>
        <w:t>7.</w:t>
      </w:r>
      <w:r w:rsidRPr="00F125EF">
        <w:rPr>
          <w:lang w:val="es-ES"/>
        </w:rPr>
        <w:tab/>
        <w:t>A hajó orrát úgy kell megépíteni, hogy a horgonyok se teljesen, se részben ne nyúljanak túl az oldallemezelésen.</w:t>
      </w:r>
    </w:p>
    <w:p w:rsidR="003F616C" w:rsidRPr="00F125EF" w:rsidRDefault="00767591" w:rsidP="003F616C">
      <w:pPr>
        <w:rPr>
          <w:rFonts w:cs="Arial"/>
          <w:szCs w:val="20"/>
          <w:lang w:val="es-ES"/>
        </w:rPr>
      </w:pPr>
      <w:r w:rsidRPr="00F125EF">
        <w:rPr>
          <w:lang w:val="es-ES"/>
        </w:rPr>
        <w:br w:type="page"/>
      </w:r>
    </w:p>
    <w:p w:rsidR="003F616C" w:rsidRPr="00F125EF" w:rsidRDefault="003F616C" w:rsidP="00767591">
      <w:pPr>
        <w:pStyle w:val="ES-Titre3"/>
        <w:rPr>
          <w:i/>
          <w:lang w:val="es-ES"/>
        </w:rPr>
      </w:pPr>
      <w:bookmarkStart w:id="24" w:name="_Toc491854012"/>
      <w:bookmarkStart w:id="25" w:name="_Toc535853791"/>
      <w:r w:rsidRPr="00F125EF">
        <w:rPr>
          <w:lang w:val="es-ES"/>
        </w:rPr>
        <w:t>3.04. cikk</w:t>
      </w:r>
      <w:r w:rsidRPr="00F125EF">
        <w:rPr>
          <w:lang w:val="es-ES"/>
        </w:rPr>
        <w:br/>
      </w:r>
      <w:r w:rsidRPr="00F125EF">
        <w:rPr>
          <w:i/>
          <w:lang w:val="es-ES"/>
        </w:rPr>
        <w:t>Gépterek, kazánterek, tartályterek</w:t>
      </w:r>
      <w:bookmarkEnd w:id="24"/>
      <w:bookmarkEnd w:id="25"/>
    </w:p>
    <w:p w:rsidR="00767591" w:rsidRPr="00F125EF" w:rsidRDefault="00767591" w:rsidP="003F616C">
      <w:pPr>
        <w:rPr>
          <w:rFonts w:cs="Arial"/>
          <w:szCs w:val="20"/>
          <w:lang w:val="es-ES"/>
        </w:rPr>
      </w:pPr>
    </w:p>
    <w:p w:rsidR="003F616C" w:rsidRPr="00F125EF" w:rsidRDefault="003F616C" w:rsidP="00954259">
      <w:pPr>
        <w:pStyle w:val="ESch"/>
        <w:rPr>
          <w:lang w:val="es-ES"/>
        </w:rPr>
      </w:pPr>
      <w:r w:rsidRPr="00F125EF">
        <w:rPr>
          <w:lang w:val="es-ES"/>
        </w:rPr>
        <w:t>1.</w:t>
      </w:r>
      <w:r w:rsidRPr="00F125EF">
        <w:rPr>
          <w:lang w:val="es-ES"/>
        </w:rPr>
        <w:tab/>
        <w:t>A gépteret és a kazánteret úgy kell elrendezni, hogy az azokban lévő berendezéseket könnyen és biztonságosan lehessen üzemeltetni, javítani és karbantartani.</w:t>
      </w:r>
    </w:p>
    <w:p w:rsidR="00767591" w:rsidRPr="00F125EF" w:rsidRDefault="00767591" w:rsidP="00954259">
      <w:pPr>
        <w:pStyle w:val="ESch"/>
        <w:rPr>
          <w:rFonts w:cs="Arial"/>
          <w:szCs w:val="20"/>
          <w:lang w:val="es-ES"/>
        </w:rPr>
      </w:pPr>
    </w:p>
    <w:p w:rsidR="003F616C" w:rsidRPr="00F125EF" w:rsidRDefault="003F616C" w:rsidP="00954259">
      <w:pPr>
        <w:pStyle w:val="ESch"/>
        <w:rPr>
          <w:lang w:val="es-ES"/>
        </w:rPr>
      </w:pPr>
      <w:r w:rsidRPr="00F125EF">
        <w:rPr>
          <w:lang w:val="es-ES"/>
        </w:rPr>
        <w:t>2.</w:t>
      </w:r>
      <w:r w:rsidRPr="00F125EF">
        <w:rPr>
          <w:lang w:val="es-ES"/>
        </w:rPr>
        <w:tab/>
        <w:t>A folyékonyüzemanyag- vagy kenőanyagtartályok, valamint az utasterek és lakóterek nem érintkezhetnek a szokásos működés közben folyadék statikus nyomása alatt álló felületekkel.</w:t>
      </w:r>
    </w:p>
    <w:p w:rsidR="00767591" w:rsidRPr="00F125EF" w:rsidRDefault="00767591" w:rsidP="00954259">
      <w:pPr>
        <w:pStyle w:val="ESch"/>
        <w:rPr>
          <w:rFonts w:cs="Arial"/>
          <w:szCs w:val="20"/>
          <w:lang w:val="es-ES"/>
        </w:rPr>
      </w:pPr>
    </w:p>
    <w:p w:rsidR="003F616C" w:rsidRPr="00F125EF" w:rsidRDefault="003F616C" w:rsidP="00954259">
      <w:pPr>
        <w:pStyle w:val="ESch"/>
        <w:rPr>
          <w:lang w:val="es-ES"/>
        </w:rPr>
      </w:pPr>
      <w:r w:rsidRPr="00F125EF">
        <w:rPr>
          <w:lang w:val="es-ES"/>
        </w:rPr>
        <w:t>3.</w:t>
      </w:r>
      <w:r w:rsidRPr="00F125EF">
        <w:rPr>
          <w:lang w:val="es-ES"/>
        </w:rPr>
        <w:tab/>
        <w:t>A gépterek, kazánterek és tartályterek falát, tetejét és ajtaját acélból vagy más, azzal egyenértékű éghetetlen anyagból kell készíteni.</w:t>
      </w:r>
    </w:p>
    <w:p w:rsidR="00767591" w:rsidRPr="00F125EF" w:rsidRDefault="00767591" w:rsidP="00954259">
      <w:pPr>
        <w:pStyle w:val="ESch"/>
        <w:rPr>
          <w:rFonts w:cs="Arial"/>
          <w:szCs w:val="20"/>
          <w:lang w:val="es-ES"/>
        </w:rPr>
      </w:pPr>
    </w:p>
    <w:p w:rsidR="003F616C" w:rsidRPr="00F125EF" w:rsidRDefault="003F616C" w:rsidP="00954259">
      <w:pPr>
        <w:pStyle w:val="ESchpar"/>
        <w:rPr>
          <w:lang w:val="es-ES"/>
        </w:rPr>
      </w:pPr>
      <w:r w:rsidRPr="00F125EF">
        <w:rPr>
          <w:lang w:val="es-ES"/>
        </w:rPr>
        <w:t>A géptérben használt szigetelőanyagokat védeni kell üzemanyag és üzemanyaggőzök behatolásától.</w:t>
      </w:r>
    </w:p>
    <w:p w:rsidR="00767591" w:rsidRPr="00F125EF" w:rsidRDefault="00767591" w:rsidP="00954259">
      <w:pPr>
        <w:pStyle w:val="ESchpar"/>
        <w:rPr>
          <w:rFonts w:cs="Arial"/>
          <w:szCs w:val="20"/>
          <w:lang w:val="es-ES"/>
        </w:rPr>
      </w:pPr>
    </w:p>
    <w:p w:rsidR="003F616C" w:rsidRPr="00F125EF" w:rsidRDefault="003F616C" w:rsidP="00954259">
      <w:pPr>
        <w:pStyle w:val="ESchpar"/>
        <w:rPr>
          <w:lang w:val="es-ES"/>
        </w:rPr>
      </w:pPr>
      <w:r w:rsidRPr="00F125EF">
        <w:rPr>
          <w:lang w:val="es-ES"/>
        </w:rPr>
        <w:t>A gépterek, kazánterek és tartályterek falán, tetején és ajtaján lévő minden nyílásnak kívülről csukhatónak kell lennie. A zárszerkezeteket acélból vagy más, azzal egyenértékű éghetetlen anyagból kell készíteni.</w:t>
      </w:r>
    </w:p>
    <w:p w:rsidR="00767591" w:rsidRPr="00F125EF" w:rsidRDefault="00767591" w:rsidP="00954259">
      <w:pPr>
        <w:pStyle w:val="ESch"/>
        <w:rPr>
          <w:rFonts w:cs="Arial"/>
          <w:szCs w:val="20"/>
          <w:lang w:val="es-ES"/>
        </w:rPr>
      </w:pPr>
    </w:p>
    <w:p w:rsidR="003F616C" w:rsidRPr="00F125EF" w:rsidRDefault="003F616C" w:rsidP="00954259">
      <w:pPr>
        <w:pStyle w:val="ESch"/>
        <w:rPr>
          <w:lang w:val="es-ES"/>
        </w:rPr>
      </w:pPr>
      <w:r w:rsidRPr="00F125EF">
        <w:rPr>
          <w:lang w:val="es-ES"/>
        </w:rPr>
        <w:t>4.</w:t>
      </w:r>
      <w:r w:rsidRPr="00F125EF">
        <w:rPr>
          <w:lang w:val="es-ES"/>
        </w:rPr>
        <w:tab/>
        <w:t>A géptereknek és kazántereknek, valamint egyéb olyan helyiségeknek, amelyekbe gyúlékony vagy mérges gázok szökhetnek ki, megfelelően szellőztethetőeknek kell lenniük.</w:t>
      </w:r>
    </w:p>
    <w:p w:rsidR="00767591" w:rsidRPr="00F125EF" w:rsidRDefault="00767591" w:rsidP="00954259">
      <w:pPr>
        <w:pStyle w:val="ESch"/>
        <w:rPr>
          <w:rFonts w:cs="Arial"/>
          <w:szCs w:val="20"/>
          <w:lang w:val="es-ES"/>
        </w:rPr>
      </w:pPr>
    </w:p>
    <w:p w:rsidR="003F616C" w:rsidRPr="00F125EF" w:rsidRDefault="003F616C" w:rsidP="00954259">
      <w:pPr>
        <w:pStyle w:val="ESch"/>
        <w:rPr>
          <w:lang w:val="es-ES"/>
        </w:rPr>
      </w:pPr>
      <w:r w:rsidRPr="00F125EF">
        <w:rPr>
          <w:lang w:val="es-ES"/>
        </w:rPr>
        <w:t>5.</w:t>
      </w:r>
      <w:r w:rsidRPr="00F125EF">
        <w:rPr>
          <w:lang w:val="es-ES"/>
        </w:rPr>
        <w:tab/>
        <w:t>A gépterekbe, a kazánterekbe és a tartályterekbe vezető lépcsőket és létrákat szilárdan rögzíteni kell, és acélból vagy más ütésálló és éghetetlen anyagból kell készíteni.</w:t>
      </w:r>
    </w:p>
    <w:p w:rsidR="00767591" w:rsidRPr="00F125EF" w:rsidRDefault="00767591" w:rsidP="00954259">
      <w:pPr>
        <w:pStyle w:val="ESch"/>
        <w:rPr>
          <w:rFonts w:cs="Arial"/>
          <w:szCs w:val="20"/>
          <w:lang w:val="es-ES"/>
        </w:rPr>
      </w:pPr>
    </w:p>
    <w:p w:rsidR="003F616C" w:rsidRPr="00F125EF" w:rsidRDefault="003F616C" w:rsidP="00954259">
      <w:pPr>
        <w:pStyle w:val="ESch"/>
        <w:rPr>
          <w:rFonts w:cs="Arial"/>
          <w:szCs w:val="20"/>
          <w:lang w:val="es-ES"/>
        </w:rPr>
      </w:pPr>
      <w:r w:rsidRPr="00F125EF">
        <w:rPr>
          <w:lang w:val="es-ES"/>
        </w:rPr>
        <w:t>6.</w:t>
      </w:r>
      <w:r w:rsidRPr="00F125EF">
        <w:rPr>
          <w:lang w:val="es-ES"/>
        </w:rPr>
        <w:tab/>
        <w:t>A géptereknek és a kazántereknek két kijárattal kell rendelkezniük, amelyek közül az egyik lehet vészkijárat.</w:t>
      </w:r>
    </w:p>
    <w:p w:rsidR="00767591" w:rsidRPr="00F125EF" w:rsidRDefault="00767591" w:rsidP="00954259">
      <w:pPr>
        <w:pStyle w:val="ESch"/>
        <w:rPr>
          <w:lang w:val="es-ES"/>
        </w:rPr>
      </w:pPr>
    </w:p>
    <w:p w:rsidR="003F616C" w:rsidRPr="00F125EF" w:rsidRDefault="003F616C" w:rsidP="00954259">
      <w:pPr>
        <w:pStyle w:val="ESchpar"/>
        <w:rPr>
          <w:rFonts w:cs="Arial"/>
          <w:szCs w:val="20"/>
          <w:lang w:val="es-ES"/>
        </w:rPr>
      </w:pPr>
      <w:r w:rsidRPr="00F125EF">
        <w:rPr>
          <w:lang w:val="es-ES"/>
        </w:rPr>
        <w:t>A második kijárattól el lehet tekinteni az alábbi esetekben:</w:t>
      </w:r>
    </w:p>
    <w:p w:rsidR="003F616C" w:rsidRPr="00F125EF" w:rsidRDefault="005C7859" w:rsidP="00954259">
      <w:pPr>
        <w:pStyle w:val="ESlet"/>
        <w:rPr>
          <w:rFonts w:cs="Arial"/>
          <w:szCs w:val="20"/>
          <w:lang w:val="es-ES"/>
        </w:rPr>
      </w:pPr>
      <w:r w:rsidRPr="00F125EF">
        <w:rPr>
          <w:lang w:val="es-ES"/>
        </w:rPr>
        <w:t>a)</w:t>
      </w:r>
      <w:r w:rsidRPr="00F125EF">
        <w:rPr>
          <w:lang w:val="es-ES"/>
        </w:rPr>
        <w:tab/>
        <w:t>a géptér vagy kazántér teljes padlófelülete (átlaghosszúság × átlagszélesség a padlólemezelés szintjén) nem haladja meg 35 m</w:t>
      </w:r>
      <w:r w:rsidRPr="00F125EF">
        <w:rPr>
          <w:vertAlign w:val="superscript"/>
          <w:lang w:val="es-ES"/>
        </w:rPr>
        <w:t>2</w:t>
      </w:r>
      <w:r w:rsidRPr="00F125EF">
        <w:rPr>
          <w:lang w:val="es-ES"/>
        </w:rPr>
        <w:t>-t; és</w:t>
      </w:r>
    </w:p>
    <w:p w:rsidR="003F616C" w:rsidRPr="00F125EF" w:rsidRDefault="005C7859" w:rsidP="00954259">
      <w:pPr>
        <w:pStyle w:val="ESlet"/>
        <w:rPr>
          <w:lang w:val="es-ES"/>
        </w:rPr>
      </w:pPr>
      <w:r w:rsidRPr="00F125EF">
        <w:rPr>
          <w:lang w:val="es-ES"/>
        </w:rPr>
        <w:t>b)</w:t>
      </w:r>
      <w:r w:rsidRPr="00F125EF">
        <w:rPr>
          <w:lang w:val="es-ES"/>
        </w:rPr>
        <w:tab/>
        <w:t>a javítási vagy karbantartási műveletek elvégzésének pontja és a kijárat vagy a kijutást biztosító kijárat közelében lévő lépcső alja közötti út legfeljebb 5 m; és</w:t>
      </w:r>
    </w:p>
    <w:p w:rsidR="003F616C" w:rsidRPr="00F125EF" w:rsidRDefault="005C7859" w:rsidP="00954259">
      <w:pPr>
        <w:pStyle w:val="ESlet"/>
        <w:rPr>
          <w:lang w:val="es-ES"/>
        </w:rPr>
      </w:pPr>
      <w:r w:rsidRPr="00F125EF">
        <w:rPr>
          <w:lang w:val="es-ES"/>
        </w:rPr>
        <w:t>c)</w:t>
      </w:r>
      <w:r w:rsidRPr="00F125EF">
        <w:rPr>
          <w:lang w:val="es-ES"/>
        </w:rPr>
        <w:tab/>
        <w:t>a kijárattól legtávolabb elhelyezkedő karbantartási pontnál tűzoltó készülék került elhelyezésre, és – a 13.03. cikk 1. bekezdésének e) pontjától eltérve – a beépített motorok teljesítménye nem haladja meg a 100 kW-ot.</w:t>
      </w:r>
    </w:p>
    <w:p w:rsidR="00767591" w:rsidRPr="00F125EF" w:rsidRDefault="00767591" w:rsidP="003F616C">
      <w:pPr>
        <w:rPr>
          <w:rFonts w:cs="Arial"/>
          <w:szCs w:val="20"/>
          <w:lang w:val="es-ES"/>
        </w:rPr>
      </w:pPr>
    </w:p>
    <w:p w:rsidR="003F616C" w:rsidRPr="00F125EF" w:rsidRDefault="003F616C" w:rsidP="003F616C">
      <w:pPr>
        <w:rPr>
          <w:rFonts w:cs="Arial"/>
          <w:szCs w:val="20"/>
          <w:lang w:val="es-ES"/>
        </w:rPr>
      </w:pPr>
      <w:r w:rsidRPr="00F125EF">
        <w:rPr>
          <w:lang w:val="es-ES"/>
        </w:rPr>
        <w:t>7.</w:t>
      </w:r>
      <w:r w:rsidRPr="00F125EF">
        <w:rPr>
          <w:lang w:val="es-ES"/>
        </w:rPr>
        <w:tab/>
        <w:t>A géptérben a megengedett hangnyomásszint 110 dB(A). A mérési pontokat az ott elhelyezett motor szokásos üzemelési körülményei között szükséges karbantartási munkák függvényében kell kiválasztani.</w:t>
      </w:r>
    </w:p>
    <w:p w:rsidR="008D7EA6" w:rsidRPr="00F125EF" w:rsidRDefault="008D7EA6" w:rsidP="00F6236E">
      <w:pPr>
        <w:spacing w:line="240" w:lineRule="atLeast"/>
        <w:ind w:left="567" w:hanging="567"/>
        <w:rPr>
          <w:rFonts w:eastAsia="Calibri"/>
          <w:noProof/>
          <w:lang w:val="es-ES"/>
        </w:rPr>
      </w:pPr>
    </w:p>
    <w:p w:rsidR="008D7EA6" w:rsidRPr="00F125EF" w:rsidRDefault="008D7EA6" w:rsidP="00F6236E">
      <w:pPr>
        <w:spacing w:line="240" w:lineRule="atLeast"/>
        <w:ind w:left="567" w:hanging="567"/>
        <w:rPr>
          <w:rFonts w:eastAsia="Calibri"/>
          <w:noProof/>
          <w:lang w:val="es-ES"/>
        </w:rPr>
      </w:pPr>
    </w:p>
    <w:p w:rsidR="008D7EA6" w:rsidRPr="00F125EF" w:rsidRDefault="008D7EA6" w:rsidP="00F6236E">
      <w:pPr>
        <w:spacing w:line="240" w:lineRule="atLeast"/>
        <w:ind w:left="567" w:hanging="567"/>
        <w:rPr>
          <w:rFonts w:eastAsia="Calibri"/>
          <w:noProof/>
          <w:lang w:val="es-ES"/>
        </w:rPr>
        <w:sectPr w:rsidR="008D7EA6" w:rsidRPr="00F125EF" w:rsidSect="00AC5CC1">
          <w:headerReference w:type="default" r:id="rId20"/>
          <w:headerReference w:type="first" r:id="rId21"/>
          <w:footnotePr>
            <w:numRestart w:val="eachPage"/>
          </w:footnotePr>
          <w:pgSz w:w="11906" w:h="16838" w:code="9"/>
          <w:pgMar w:top="1418" w:right="1418" w:bottom="1418" w:left="1418" w:header="709" w:footer="709" w:gutter="0"/>
          <w:cols w:space="709"/>
          <w:titlePg/>
          <w:docGrid w:linePitch="272"/>
        </w:sectPr>
      </w:pPr>
    </w:p>
    <w:p w:rsidR="001F1A9D" w:rsidRPr="00166EA9" w:rsidRDefault="0060175E" w:rsidP="00E1027C">
      <w:pPr>
        <w:pStyle w:val="ES-Titre2"/>
        <w:rPr>
          <w:lang w:val="es-ES"/>
        </w:rPr>
      </w:pPr>
      <w:bookmarkStart w:id="26" w:name="_Toc491854013"/>
      <w:bookmarkStart w:id="27" w:name="_Toc535853792"/>
      <w:r w:rsidRPr="00166EA9">
        <w:rPr>
          <w:lang w:val="es-ES"/>
        </w:rPr>
        <w:t>4. fejezet</w:t>
      </w:r>
      <w:r w:rsidRPr="00166EA9">
        <w:rPr>
          <w:lang w:val="es-ES"/>
        </w:rPr>
        <w:br/>
        <w:t>Biztonsági távolság, szabadoldal, merülési vonalak</w:t>
      </w:r>
      <w:bookmarkEnd w:id="26"/>
      <w:bookmarkEnd w:id="27"/>
    </w:p>
    <w:p w:rsidR="00EF4E24" w:rsidRPr="00F125EF" w:rsidRDefault="00EF4E24" w:rsidP="00E1027C">
      <w:pPr>
        <w:pStyle w:val="ES-Titre3"/>
        <w:spacing w:line="240" w:lineRule="atLeast"/>
        <w:rPr>
          <w:lang w:val="es-ES"/>
        </w:rPr>
      </w:pPr>
    </w:p>
    <w:p w:rsidR="001F1A9D" w:rsidRPr="00F125EF" w:rsidRDefault="001F1A9D" w:rsidP="00E1027C">
      <w:pPr>
        <w:pStyle w:val="ES-Titre3"/>
        <w:spacing w:line="240" w:lineRule="atLeast"/>
        <w:rPr>
          <w:lang w:val="es-ES"/>
        </w:rPr>
      </w:pPr>
      <w:bookmarkStart w:id="28" w:name="_Toc491854014"/>
      <w:bookmarkStart w:id="29" w:name="_Toc535853793"/>
      <w:r w:rsidRPr="00F125EF">
        <w:rPr>
          <w:lang w:val="es-ES"/>
        </w:rPr>
        <w:t>4.01. cikk</w:t>
      </w:r>
      <w:r w:rsidRPr="00F125EF">
        <w:rPr>
          <w:lang w:val="es-ES"/>
        </w:rPr>
        <w:br/>
      </w:r>
      <w:r w:rsidRPr="00F125EF">
        <w:rPr>
          <w:i/>
          <w:lang w:val="es-ES"/>
        </w:rPr>
        <w:t>Biztonsági távolság</w:t>
      </w:r>
      <w:bookmarkEnd w:id="28"/>
      <w:bookmarkEnd w:id="29"/>
    </w:p>
    <w:p w:rsidR="00EF4E24" w:rsidRPr="00F125EF" w:rsidRDefault="00EF4E24" w:rsidP="00E1027C">
      <w:pPr>
        <w:spacing w:line="240" w:lineRule="atLeast"/>
        <w:rPr>
          <w:rFonts w:eastAsia="Calibri"/>
          <w:szCs w:val="20"/>
          <w:lang w:val="es-ES"/>
        </w:rPr>
      </w:pPr>
    </w:p>
    <w:p w:rsidR="001F1A9D" w:rsidRPr="00F125EF" w:rsidRDefault="001F1A9D" w:rsidP="00954259">
      <w:pPr>
        <w:pStyle w:val="ESch"/>
        <w:rPr>
          <w:rFonts w:eastAsia="Calibri"/>
          <w:lang w:val="es-ES"/>
        </w:rPr>
      </w:pPr>
      <w:r w:rsidRPr="00F125EF">
        <w:rPr>
          <w:lang w:val="es-ES"/>
        </w:rPr>
        <w:t>1.</w:t>
      </w:r>
      <w:r w:rsidRPr="00F125EF">
        <w:rPr>
          <w:lang w:val="es-ES"/>
        </w:rPr>
        <w:tab/>
        <w:t>A biztonsági távolság legalább 300 mm.</w:t>
      </w:r>
    </w:p>
    <w:p w:rsidR="00EF4E24" w:rsidRPr="00F125EF" w:rsidRDefault="00EF4E24" w:rsidP="00954259">
      <w:pPr>
        <w:pStyle w:val="ESch"/>
        <w:rPr>
          <w:rFonts w:eastAsia="Calibri"/>
          <w:lang w:val="es-ES"/>
        </w:rPr>
      </w:pPr>
    </w:p>
    <w:p w:rsidR="001F1A9D" w:rsidRPr="00F125EF" w:rsidRDefault="001F1A9D" w:rsidP="00954259">
      <w:pPr>
        <w:pStyle w:val="ESch"/>
        <w:rPr>
          <w:rFonts w:eastAsia="Calibri"/>
          <w:lang w:val="es-ES"/>
        </w:rPr>
      </w:pPr>
      <w:r w:rsidRPr="00F125EF">
        <w:rPr>
          <w:lang w:val="es-ES"/>
        </w:rPr>
        <w:t>2.</w:t>
      </w:r>
      <w:r w:rsidRPr="00F125EF">
        <w:rPr>
          <w:lang w:val="es-ES"/>
        </w:rPr>
        <w:tab/>
        <w:t>Olyan hajók esetében, amelyeken a nyílások nem zárhatók fröccsenővíz- és időjárásálló eszközökkel, valamint nyitott rakománytérrel közlekedő hajók esetében a biztonsági távolságot úgy kell megnövelni, hogy minden ilyen nyílás legalább 500 mm-re legyen a legnagyobb merülés síkjától.</w:t>
      </w:r>
    </w:p>
    <w:p w:rsidR="001F1A9D" w:rsidRPr="00F125EF" w:rsidRDefault="001F1A9D" w:rsidP="00E1027C">
      <w:pPr>
        <w:spacing w:line="240" w:lineRule="atLeast"/>
        <w:rPr>
          <w:rFonts w:eastAsia="Calibri"/>
          <w:lang w:val="es-ES"/>
        </w:rPr>
      </w:pPr>
    </w:p>
    <w:p w:rsidR="00EE7E64" w:rsidRPr="00F125EF" w:rsidRDefault="00EE7E64" w:rsidP="00E1027C">
      <w:pPr>
        <w:spacing w:line="240" w:lineRule="atLeast"/>
        <w:rPr>
          <w:rFonts w:eastAsia="Calibri"/>
          <w:lang w:val="es-ES"/>
        </w:rPr>
      </w:pPr>
    </w:p>
    <w:p w:rsidR="001F1A9D" w:rsidRPr="00F125EF" w:rsidRDefault="001F1A9D" w:rsidP="00E1027C">
      <w:pPr>
        <w:pStyle w:val="ES-Titre3"/>
        <w:spacing w:line="240" w:lineRule="atLeast"/>
        <w:rPr>
          <w:lang w:val="es-ES"/>
        </w:rPr>
      </w:pPr>
      <w:bookmarkStart w:id="30" w:name="_Toc491854015"/>
      <w:bookmarkStart w:id="31" w:name="_Toc535853794"/>
      <w:r w:rsidRPr="00F125EF">
        <w:rPr>
          <w:lang w:val="es-ES"/>
        </w:rPr>
        <w:t>4.02. cikk</w:t>
      </w:r>
      <w:r w:rsidRPr="00F125EF">
        <w:rPr>
          <w:lang w:val="es-ES"/>
        </w:rPr>
        <w:br/>
      </w:r>
      <w:r w:rsidRPr="00F125EF">
        <w:rPr>
          <w:i/>
          <w:lang w:val="es-ES"/>
        </w:rPr>
        <w:t>Szabadoldal</w:t>
      </w:r>
      <w:bookmarkEnd w:id="30"/>
      <w:bookmarkEnd w:id="31"/>
    </w:p>
    <w:p w:rsidR="00EF4E24" w:rsidRPr="00F125EF" w:rsidRDefault="00EF4E24" w:rsidP="00E1027C">
      <w:pPr>
        <w:spacing w:line="240" w:lineRule="atLeast"/>
        <w:rPr>
          <w:rFonts w:eastAsia="Calibri"/>
          <w:lang w:val="es-ES"/>
        </w:rPr>
      </w:pPr>
    </w:p>
    <w:p w:rsidR="001F1A9D" w:rsidRPr="00F125EF" w:rsidRDefault="001F1A9D" w:rsidP="00F6236E">
      <w:pPr>
        <w:spacing w:line="240" w:lineRule="atLeast"/>
        <w:ind w:left="567" w:hanging="567"/>
        <w:rPr>
          <w:rFonts w:eastAsia="Calibri"/>
          <w:szCs w:val="20"/>
          <w:lang w:val="es-ES"/>
        </w:rPr>
      </w:pPr>
      <w:r w:rsidRPr="00F125EF">
        <w:rPr>
          <w:lang w:val="es-ES"/>
        </w:rPr>
        <w:t>1.</w:t>
      </w:r>
      <w:r w:rsidRPr="00F125EF">
        <w:rPr>
          <w:lang w:val="es-ES"/>
        </w:rPr>
        <w:tab/>
        <w:t>A hosszirányú fedélzetfelhajlás és felépítmény nélküli, összefüggő fedélzettel rendelkező hajók szabadoldala 150 mm.</w:t>
      </w:r>
    </w:p>
    <w:p w:rsidR="00EF4E24" w:rsidRPr="00F125EF" w:rsidRDefault="00EF4E24" w:rsidP="00F6236E">
      <w:pPr>
        <w:spacing w:line="240" w:lineRule="atLeast"/>
        <w:ind w:left="567" w:hanging="567"/>
        <w:rPr>
          <w:rFonts w:eastAsia="Calibri"/>
          <w:szCs w:val="20"/>
          <w:lang w:val="es-ES"/>
        </w:rPr>
      </w:pPr>
    </w:p>
    <w:p w:rsidR="001F1A9D" w:rsidRPr="00F125EF" w:rsidRDefault="001F1A9D" w:rsidP="00F6236E">
      <w:pPr>
        <w:spacing w:line="240" w:lineRule="atLeast"/>
        <w:ind w:left="567" w:hanging="567"/>
        <w:rPr>
          <w:rFonts w:eastAsia="Calibri"/>
          <w:szCs w:val="20"/>
          <w:lang w:val="es-ES"/>
        </w:rPr>
      </w:pPr>
      <w:r w:rsidRPr="00F125EF">
        <w:rPr>
          <w:lang w:val="es-ES"/>
        </w:rPr>
        <w:t>2.</w:t>
      </w:r>
      <w:r w:rsidRPr="00F125EF">
        <w:rPr>
          <w:lang w:val="es-ES"/>
        </w:rPr>
        <w:tab/>
        <w:t>A hosszirányú fedélzetfelhajlással és felépítménnyel ellátott hajók szabadoldalát az alábbi képlet segítségével kell kiszámolni:</w:t>
      </w:r>
    </w:p>
    <w:p w:rsidR="00576124" w:rsidRPr="00F125EF" w:rsidRDefault="00576124" w:rsidP="00F6236E">
      <w:pPr>
        <w:spacing w:line="240" w:lineRule="atLeast"/>
        <w:ind w:left="567" w:hanging="567"/>
        <w:rPr>
          <w:rFonts w:eastAsia="Calibri"/>
          <w:szCs w:val="20"/>
          <w:lang w:val="es-ES"/>
        </w:rPr>
      </w:pPr>
    </w:p>
    <w:p w:rsidR="001F1A9D" w:rsidRPr="00C903F8" w:rsidRDefault="0026577D" w:rsidP="007E2368">
      <w:pPr>
        <w:spacing w:line="240" w:lineRule="atLeast"/>
        <w:jc w:val="center"/>
        <w:rPr>
          <w:rFonts w:eastAsia="Calibri"/>
          <w:szCs w:val="20"/>
        </w:rPr>
      </w:pPr>
      <m:oMathPara>
        <m:oMath>
          <m:r>
            <w:rPr>
              <w:rFonts w:ascii="Cambria Math" w:eastAsia="Calibri" w:hAnsi="Cambria Math" w:cs="Arial"/>
            </w:rPr>
            <m:t xml:space="preserve">F=150 </m:t>
          </m:r>
          <m:d>
            <m:dPr>
              <m:ctrlPr>
                <w:rPr>
                  <w:rFonts w:ascii="Cambria Math" w:eastAsia="Calibri" w:hAnsi="Cambria Math" w:cs="Arial"/>
                  <w:i/>
                </w:rPr>
              </m:ctrlPr>
            </m:dPr>
            <m:e>
              <m:r>
                <w:rPr>
                  <w:rFonts w:ascii="Cambria Math" w:eastAsia="Calibri" w:hAnsi="Cambria Math" w:cs="Arial"/>
                </w:rPr>
                <m:t>1- α</m:t>
              </m:r>
            </m:e>
          </m:d>
          <m:r>
            <w:rPr>
              <w:rFonts w:ascii="Cambria Math" w:eastAsia="Calibri" w:hAnsi="Cambria Math" w:cs="Arial"/>
            </w:rPr>
            <m:t>-</m:t>
          </m:r>
          <m:f>
            <m:fPr>
              <m:ctrlPr>
                <w:rPr>
                  <w:rFonts w:ascii="Cambria Math" w:eastAsia="Calibri" w:hAnsi="Cambria Math" w:cs="Arial"/>
                  <w:i/>
                </w:rPr>
              </m:ctrlPr>
            </m:fPr>
            <m:num>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v</m:t>
                  </m:r>
                </m:sub>
              </m:sSub>
              <m:r>
                <w:rPr>
                  <w:rFonts w:ascii="Cambria Math" w:eastAsia="Calibri" w:hAnsi="Cambria Math" w:cs="Arial"/>
                </w:rPr>
                <m:t>∙</m:t>
              </m:r>
              <m:sSub>
                <m:sSubPr>
                  <m:ctrlPr>
                    <w:rPr>
                      <w:rFonts w:ascii="Cambria Math" w:eastAsia="Calibri" w:hAnsi="Cambria Math" w:cs="Arial"/>
                      <w:i/>
                    </w:rPr>
                  </m:ctrlPr>
                </m:sSubPr>
                <m:e>
                  <m:r>
                    <w:rPr>
                      <w:rFonts w:ascii="Cambria Math" w:eastAsia="Calibri" w:hAnsi="Cambria Math" w:cs="Arial"/>
                      <w:sz w:val="18"/>
                    </w:rPr>
                    <m:t>Se</m:t>
                  </m:r>
                </m:e>
                <m:sub>
                  <m:r>
                    <w:rPr>
                      <w:rFonts w:ascii="Cambria Math" w:eastAsia="Calibri" w:hAnsi="Cambria Math" w:cs="Arial"/>
                    </w:rPr>
                    <m:t>v</m:t>
                  </m:r>
                </m:sub>
              </m:sSub>
              <m:r>
                <w:rPr>
                  <w:rFonts w:ascii="Cambria Math" w:eastAsia="Calibri" w:hAnsi="Cambria Math" w:cs="Arial"/>
                </w:rPr>
                <m:t xml:space="preserve">+ </m:t>
              </m:r>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a</m:t>
                  </m:r>
                </m:sub>
              </m:sSub>
              <m:r>
                <w:rPr>
                  <w:rFonts w:ascii="Cambria Math" w:eastAsia="Calibri" w:hAnsi="Cambria Math" w:cs="Arial"/>
                </w:rPr>
                <m:t xml:space="preserve">∙ </m:t>
              </m:r>
              <m:sSub>
                <m:sSubPr>
                  <m:ctrlPr>
                    <w:rPr>
                      <w:rFonts w:ascii="Cambria Math" w:eastAsia="Calibri" w:hAnsi="Cambria Math" w:cs="Arial"/>
                      <w:i/>
                    </w:rPr>
                  </m:ctrlPr>
                </m:sSubPr>
                <m:e>
                  <m:r>
                    <w:rPr>
                      <w:rFonts w:ascii="Cambria Math" w:eastAsia="Calibri" w:hAnsi="Cambria Math" w:cs="Arial"/>
                    </w:rPr>
                    <m:t>Se</m:t>
                  </m:r>
                </m:e>
                <m:sub>
                  <m:r>
                    <w:rPr>
                      <w:rFonts w:ascii="Cambria Math" w:eastAsia="Calibri" w:hAnsi="Cambria Math" w:cs="Arial"/>
                    </w:rPr>
                    <m:t>a</m:t>
                  </m:r>
                </m:sub>
              </m:sSub>
            </m:num>
            <m:den>
              <m:r>
                <w:rPr>
                  <w:rFonts w:ascii="Cambria Math" w:eastAsia="Calibri" w:hAnsi="Cambria Math" w:cs="Arial"/>
                </w:rPr>
                <m:t>15</m:t>
              </m:r>
            </m:den>
          </m:f>
          <m:r>
            <m:rPr>
              <m:sty m:val="p"/>
            </m:rPr>
            <w:rPr>
              <w:rFonts w:ascii="Cambria Math" w:eastAsia="Calibri" w:hAnsi="Cambria Math" w:cs="Arial"/>
            </w:rPr>
            <m:t xml:space="preserve">  [mm]</m:t>
          </m:r>
          <m:r>
            <m:rPr>
              <m:sty m:val="p"/>
            </m:rPr>
            <w:rPr>
              <w:rFonts w:eastAsia="Calibri" w:cs="Arial"/>
            </w:rPr>
            <w:br/>
          </m:r>
        </m:oMath>
      </m:oMathPara>
    </w:p>
    <w:p w:rsidR="001F1A9D" w:rsidRPr="00C903F8" w:rsidRDefault="0060175E" w:rsidP="00F6236E">
      <w:pPr>
        <w:spacing w:line="240" w:lineRule="atLeast"/>
        <w:ind w:left="850" w:hanging="283"/>
        <w:rPr>
          <w:rFonts w:eastAsia="Calibri"/>
          <w:szCs w:val="20"/>
        </w:rPr>
      </w:pPr>
      <w:r>
        <w:t>ahol:</w:t>
      </w:r>
    </w:p>
    <w:p w:rsidR="001F1A9D" w:rsidRPr="00C903F8" w:rsidRDefault="00395A9E" w:rsidP="00F6236E">
      <w:pPr>
        <w:spacing w:before="60" w:line="240" w:lineRule="atLeast"/>
        <w:ind w:left="993" w:hanging="426"/>
        <w:rPr>
          <w:rFonts w:eastAsia="Calibri"/>
          <w:szCs w:val="20"/>
        </w:rPr>
      </w:pPr>
      <m:oMath>
        <m:r>
          <w:rPr>
            <w:rFonts w:ascii="Cambria Math" w:eastAsia="Calibri" w:hAnsi="Cambria Math"/>
            <w:szCs w:val="20"/>
          </w:rPr>
          <m:t>α</m:t>
        </m:r>
      </m:oMath>
      <w:r>
        <w:tab/>
        <w:t>az összes érintett felépítményt figyelembe vevő korrekciós tényező;</w:t>
      </w:r>
    </w:p>
    <w:p w:rsidR="001F1A9D" w:rsidRPr="00C903F8" w:rsidRDefault="003142CA"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oMath>
      <w:r w:rsidR="000505FE">
        <w:t xml:space="preserve"> </w:t>
      </w:r>
      <w:r w:rsidR="000505FE">
        <w:tab/>
        <w:t>a felépítményeknek a hajó hosszának (</w:t>
      </w:r>
      <m:oMath>
        <m:r>
          <w:rPr>
            <w:rFonts w:ascii="Cambria Math" w:hAnsi="Cambria Math" w:cs="Arial"/>
            <w:noProof/>
            <w:szCs w:val="20"/>
          </w:rPr>
          <m:t>L</m:t>
        </m:r>
      </m:oMath>
      <w:r w:rsidR="000505FE">
        <w:t>) első negyedében való meglétéből eredő elülső hosszirányú fedélzetfelhajlás hatását korrigáló tényező;</w:t>
      </w:r>
    </w:p>
    <w:p w:rsidR="001F1A9D" w:rsidRPr="00C903F8" w:rsidRDefault="003142CA"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oMath>
      <w:r w:rsidR="000505FE">
        <w:tab/>
        <w:t>a felépítményeknek a hajó hosszának (</w:t>
      </w:r>
      <m:oMath>
        <m:r>
          <w:rPr>
            <w:rFonts w:ascii="Cambria Math" w:hAnsi="Cambria Math" w:cs="Arial"/>
            <w:noProof/>
            <w:szCs w:val="20"/>
          </w:rPr>
          <m:t>L</m:t>
        </m:r>
      </m:oMath>
      <w:r w:rsidR="000505FE">
        <w:t>) hátulsó negyedében való meglétéből eredő hátulsó hosszirányú fedélzetfelhajlás hatását korrigáló tényező;</w:t>
      </w:r>
    </w:p>
    <w:p w:rsidR="001F1A9D" w:rsidRPr="00C903F8" w:rsidRDefault="003142CA"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rsidR="000505FE">
        <w:tab/>
        <w:t>a tényleges elülső hosszirányú fedélzetfelhajlás mm-ben;</w:t>
      </w:r>
    </w:p>
    <w:p w:rsidR="001F1A9D" w:rsidRPr="00C903F8" w:rsidRDefault="003142CA"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rsidR="000505FE">
        <w:tab/>
        <w:t>a tényleges hátulsó hosszirányú fedélzetfelhajlás mm-ben.</w:t>
      </w:r>
    </w:p>
    <w:p w:rsidR="00EE7E64" w:rsidRPr="00C903F8" w:rsidRDefault="00EE7E64" w:rsidP="00E1027C">
      <w:pPr>
        <w:spacing w:line="240" w:lineRule="atLeast"/>
        <w:rPr>
          <w:rFonts w:eastAsia="Calibri"/>
          <w:szCs w:val="20"/>
        </w:rPr>
      </w:pPr>
    </w:p>
    <w:p w:rsidR="001F1A9D" w:rsidRPr="00C903F8" w:rsidRDefault="001F1A9D" w:rsidP="00F6236E">
      <w:pPr>
        <w:spacing w:line="240" w:lineRule="atLeast"/>
        <w:ind w:left="567" w:hanging="567"/>
        <w:rPr>
          <w:rFonts w:eastAsia="Calibri"/>
          <w:szCs w:val="20"/>
        </w:rPr>
      </w:pPr>
      <w:r>
        <w:t>3.</w:t>
      </w:r>
      <w:r>
        <w:tab/>
        <w:t xml:space="preserve">Az </w:t>
      </w:r>
      <m:oMath>
        <m:r>
          <w:rPr>
            <w:rFonts w:ascii="Cambria Math" w:eastAsia="Calibri" w:hAnsi="Cambria Math"/>
            <w:szCs w:val="20"/>
          </w:rPr>
          <m:t>α</m:t>
        </m:r>
      </m:oMath>
      <w:r>
        <w:t xml:space="preserve"> tényezőt az alábbi képlettel kell kiszámítani:</w:t>
      </w:r>
    </w:p>
    <w:p w:rsidR="00395A9E" w:rsidRPr="00C903F8" w:rsidRDefault="00395A9E" w:rsidP="00F6236E">
      <w:pPr>
        <w:spacing w:line="240" w:lineRule="atLeast"/>
        <w:ind w:left="567" w:hanging="567"/>
        <w:rPr>
          <w:rFonts w:eastAsia="Calibri"/>
          <w:szCs w:val="20"/>
        </w:rPr>
      </w:pPr>
    </w:p>
    <w:p w:rsidR="0082441A" w:rsidRPr="00C903F8" w:rsidRDefault="00006207" w:rsidP="007E2368">
      <w:pPr>
        <w:spacing w:line="240" w:lineRule="atLeast"/>
        <w:rPr>
          <w:rFonts w:eastAsia="Calibri"/>
          <w:szCs w:val="20"/>
        </w:rPr>
      </w:pPr>
      <m:oMathPara>
        <m:oMath>
          <m:r>
            <w:rPr>
              <w:rFonts w:ascii="Cambria Math" w:eastAsia="Calibri" w:hAnsi="Cambria Math" w:cs="Cambria Math"/>
              <w:szCs w:val="20"/>
            </w:rPr>
            <m:t>α</m:t>
          </m:r>
          <m:r>
            <m:rPr>
              <m:sty m:val="p"/>
            </m:rPr>
            <w:rPr>
              <w:rFonts w:ascii="Cambria Math" w:eastAsia="Calibri" w:hAnsi="Cambria Math" w:cs="Cambria Math"/>
              <w:szCs w:val="20"/>
            </w:rPr>
            <m:t>=</m:t>
          </m:r>
          <m:f>
            <m:fPr>
              <m:ctrlPr>
                <w:rPr>
                  <w:rFonts w:ascii="Cambria Math" w:eastAsia="Calibri" w:hAnsi="Cambria Math"/>
                  <w:szCs w:val="20"/>
                </w:rPr>
              </m:ctrlPr>
            </m:fPr>
            <m:num>
              <m:nary>
                <m:naryPr>
                  <m:chr m:val="∑"/>
                  <m:limLoc m:val="undOvr"/>
                  <m:subHide m:val="1"/>
                  <m:supHide m:val="1"/>
                  <m:ctrlPr>
                    <w:rPr>
                      <w:rFonts w:ascii="Cambria Math" w:eastAsia="Calibri" w:hAnsi="Cambria Math" w:cs="Cambria Math"/>
                      <w:szCs w:val="20"/>
                    </w:rPr>
                  </m:ctrlPr>
                </m:naryPr>
                <m:sub/>
                <m:sup/>
                <m:e>
                  <m:sSub>
                    <m:sSubPr>
                      <m:ctrlPr>
                        <w:rPr>
                          <w:rFonts w:ascii="Cambria Math" w:eastAsia="Calibri" w:hAnsi="Cambria Math" w:cs="Cambria Math"/>
                          <w:i/>
                          <w:szCs w:val="20"/>
                        </w:rPr>
                      </m:ctrlPr>
                    </m:sSubPr>
                    <m:e>
                      <m:r>
                        <w:rPr>
                          <w:rFonts w:ascii="Cambria Math" w:eastAsia="Calibri" w:hAnsi="Cambria Math" w:cs="Cambria Math"/>
                          <w:szCs w:val="20"/>
                        </w:rPr>
                        <m:t>le</m:t>
                      </m:r>
                    </m:e>
                    <m:sub>
                      <m:r>
                        <w:rPr>
                          <w:rFonts w:ascii="Cambria Math" w:eastAsia="Calibri" w:hAnsi="Cambria Math" w:cs="Cambria Math"/>
                          <w:szCs w:val="20"/>
                        </w:rPr>
                        <m:t>a</m:t>
                      </m:r>
                    </m:sub>
                  </m:sSub>
                </m:e>
              </m:nary>
              <m:r>
                <m:rPr>
                  <m:sty m:val="p"/>
                </m:rPr>
                <w:rPr>
                  <w:rFonts w:ascii="Cambria Math" w:eastAsia="Calibri" w:hAnsi="Cambria Math" w:cs="Cambria Math"/>
                  <w:szCs w:val="20"/>
                </w:rPr>
                <m:t xml:space="preserve">+ </m:t>
              </m:r>
              <m:nary>
                <m:naryPr>
                  <m:chr m:val="∑"/>
                  <m:limLoc m:val="undOvr"/>
                  <m:subHide m:val="1"/>
                  <m:supHide m:val="1"/>
                  <m:ctrlPr>
                    <w:rPr>
                      <w:rFonts w:ascii="Cambria Math" w:eastAsia="Calibri" w:hAnsi="Cambria Math" w:cs="Cambria Math"/>
                      <w:szCs w:val="20"/>
                    </w:rPr>
                  </m:ctrlPr>
                </m:naryPr>
                <m:sub/>
                <m:sup/>
                <m:e>
                  <m:sSub>
                    <m:sSubPr>
                      <m:ctrlPr>
                        <w:rPr>
                          <w:rFonts w:ascii="Cambria Math" w:eastAsia="Calibri" w:hAnsi="Cambria Math" w:cs="Cambria Math"/>
                          <w:i/>
                          <w:szCs w:val="20"/>
                        </w:rPr>
                      </m:ctrlPr>
                    </m:sSubPr>
                    <m:e>
                      <m:r>
                        <w:rPr>
                          <w:rFonts w:ascii="Cambria Math" w:eastAsia="Calibri" w:hAnsi="Cambria Math" w:cs="Cambria Math"/>
                          <w:szCs w:val="20"/>
                        </w:rPr>
                        <m:t>le</m:t>
                      </m:r>
                    </m:e>
                    <m:sub>
                      <m:r>
                        <w:rPr>
                          <w:rFonts w:ascii="Cambria Math" w:eastAsia="Calibri" w:hAnsi="Cambria Math" w:cs="Cambria Math"/>
                          <w:szCs w:val="20"/>
                        </w:rPr>
                        <m:t>m</m:t>
                      </m:r>
                    </m:sub>
                  </m:sSub>
                </m:e>
              </m:nary>
              <m:r>
                <w:rPr>
                  <w:rFonts w:ascii="Cambria Math" w:eastAsia="Calibri" w:hAnsi="Cambria Math" w:cs="Cambria Math"/>
                  <w:szCs w:val="20"/>
                </w:rPr>
                <m:t xml:space="preserve">+ </m:t>
              </m:r>
              <m:nary>
                <m:naryPr>
                  <m:chr m:val="∑"/>
                  <m:limLoc m:val="undOvr"/>
                  <m:subHide m:val="1"/>
                  <m:supHide m:val="1"/>
                  <m:ctrlPr>
                    <w:rPr>
                      <w:rFonts w:ascii="Cambria Math" w:eastAsia="Calibri" w:hAnsi="Cambria Math" w:cs="Cambria Math"/>
                      <w:szCs w:val="20"/>
                    </w:rPr>
                  </m:ctrlPr>
                </m:naryPr>
                <m:sub/>
                <m:sup/>
                <m:e>
                  <m:sSub>
                    <m:sSubPr>
                      <m:ctrlPr>
                        <w:rPr>
                          <w:rFonts w:ascii="Cambria Math" w:eastAsia="Calibri" w:hAnsi="Cambria Math" w:cs="Cambria Math"/>
                          <w:i/>
                          <w:szCs w:val="20"/>
                        </w:rPr>
                      </m:ctrlPr>
                    </m:sSubPr>
                    <m:e>
                      <m:r>
                        <w:rPr>
                          <w:rFonts w:ascii="Cambria Math" w:eastAsia="Calibri" w:hAnsi="Cambria Math" w:cs="Cambria Math"/>
                          <w:szCs w:val="20"/>
                        </w:rPr>
                        <m:t>le</m:t>
                      </m:r>
                    </m:e>
                    <m:sub>
                      <m:r>
                        <w:rPr>
                          <w:rFonts w:ascii="Cambria Math" w:eastAsia="Calibri" w:hAnsi="Cambria Math" w:cs="Cambria Math"/>
                          <w:szCs w:val="20"/>
                        </w:rPr>
                        <m:t>v</m:t>
                      </m:r>
                    </m:sub>
                  </m:sSub>
                </m:e>
              </m:nary>
            </m:num>
            <m:den>
              <m:r>
                <m:rPr>
                  <m:sty m:val="p"/>
                </m:rPr>
                <w:rPr>
                  <w:rFonts w:ascii="Cambria Math" w:eastAsia="Calibri" w:hAnsi="Cambria Math" w:cs="Cambria Math"/>
                  <w:szCs w:val="20"/>
                </w:rPr>
                <m:t>L</m:t>
              </m:r>
            </m:den>
          </m:f>
        </m:oMath>
      </m:oMathPara>
    </w:p>
    <w:p w:rsidR="001F1A9D" w:rsidRPr="00C903F8" w:rsidRDefault="001F1A9D" w:rsidP="00E1027C">
      <w:pPr>
        <w:spacing w:line="240" w:lineRule="atLeast"/>
        <w:rPr>
          <w:rFonts w:eastAsia="Calibri"/>
          <w:szCs w:val="20"/>
        </w:rPr>
      </w:pPr>
    </w:p>
    <w:p w:rsidR="001F1A9D" w:rsidRPr="00C903F8" w:rsidRDefault="0060175E" w:rsidP="00F6236E">
      <w:pPr>
        <w:spacing w:line="240" w:lineRule="atLeast"/>
        <w:ind w:left="567"/>
        <w:rPr>
          <w:rFonts w:eastAsia="Calibri"/>
          <w:szCs w:val="20"/>
        </w:rPr>
      </w:pPr>
      <w:r>
        <w:t>ahol:</w:t>
      </w:r>
    </w:p>
    <w:p w:rsidR="001F1A9D" w:rsidRPr="00C903F8" w:rsidRDefault="003142CA"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le</m:t>
            </m:r>
          </m:e>
          <m:sub>
            <m:r>
              <w:rPr>
                <w:rFonts w:ascii="Cambria Math" w:eastAsia="Calibri" w:hAnsi="Cambria Math"/>
                <w:szCs w:val="20"/>
              </w:rPr>
              <m:t>m</m:t>
            </m:r>
          </m:sub>
        </m:sSub>
      </m:oMath>
      <w:r w:rsidR="000505FE">
        <w:t xml:space="preserve"> </w:t>
      </w:r>
      <w:r w:rsidR="000505FE">
        <w:tab/>
        <w:t>a hajó hosszának (</w:t>
      </w:r>
      <m:oMath>
        <m:r>
          <w:rPr>
            <w:rFonts w:ascii="Cambria Math" w:hAnsi="Cambria Math" w:cs="Arial"/>
            <w:noProof/>
            <w:szCs w:val="20"/>
          </w:rPr>
          <m:t>L</m:t>
        </m:r>
      </m:oMath>
      <w:r w:rsidR="000505FE">
        <w:t>) felénél lévő középső részen elhelyezkedő felépítmény tényleges hossza m-ben;</w:t>
      </w:r>
    </w:p>
    <w:p w:rsidR="001F1A9D" w:rsidRPr="00C903F8" w:rsidRDefault="003142CA"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le</m:t>
            </m:r>
          </m:e>
          <m:sub>
            <m:r>
              <w:rPr>
                <w:rFonts w:ascii="Cambria Math" w:eastAsia="Calibri" w:hAnsi="Cambria Math"/>
                <w:szCs w:val="20"/>
              </w:rPr>
              <m:t>v</m:t>
            </m:r>
          </m:sub>
        </m:sSub>
      </m:oMath>
      <w:r w:rsidR="000505FE">
        <w:tab/>
        <w:t>a hajó hosszának (</w:t>
      </w:r>
      <m:oMath>
        <m:r>
          <w:rPr>
            <w:rFonts w:ascii="Cambria Math" w:hAnsi="Cambria Math" w:cs="Arial"/>
            <w:noProof/>
            <w:szCs w:val="20"/>
          </w:rPr>
          <m:t>L</m:t>
        </m:r>
      </m:oMath>
      <w:r w:rsidR="000505FE">
        <w:t>) első negyedében lévő felépítmény tényleges hossza m-ben;</w:t>
      </w:r>
    </w:p>
    <w:p w:rsidR="001F1A9D" w:rsidRPr="00C903F8" w:rsidRDefault="003142CA"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le</m:t>
            </m:r>
          </m:e>
          <m:sub>
            <m:r>
              <w:rPr>
                <w:rFonts w:ascii="Cambria Math" w:eastAsia="Calibri" w:hAnsi="Cambria Math"/>
                <w:szCs w:val="20"/>
              </w:rPr>
              <m:t>a</m:t>
            </m:r>
          </m:sub>
        </m:sSub>
      </m:oMath>
      <w:r w:rsidR="000505FE">
        <w:tab/>
      </w:r>
      <w:r w:rsidR="000505FE">
        <w:rPr>
          <w:noProof/>
          <w:vertAlign w:val="subscript"/>
        </w:rPr>
        <w:t xml:space="preserve"> </w:t>
      </w:r>
      <w:r w:rsidR="000505FE">
        <w:t>a hajó hosszának (</w:t>
      </w:r>
      <m:oMath>
        <m:r>
          <w:rPr>
            <w:rFonts w:ascii="Cambria Math" w:hAnsi="Cambria Math" w:cs="Arial"/>
            <w:noProof/>
            <w:szCs w:val="20"/>
          </w:rPr>
          <m:t>L</m:t>
        </m:r>
      </m:oMath>
      <w:r w:rsidR="000505FE">
        <w:t>) hátsó negyedében lévő felépítmény tényleges hossza m-ben.</w:t>
      </w:r>
    </w:p>
    <w:p w:rsidR="00745DD2" w:rsidRPr="00C903F8" w:rsidRDefault="00745DD2" w:rsidP="00E1027C">
      <w:pPr>
        <w:spacing w:line="240" w:lineRule="atLeast"/>
        <w:ind w:left="850"/>
        <w:rPr>
          <w:rFonts w:eastAsia="Calibri"/>
          <w:szCs w:val="20"/>
        </w:rPr>
      </w:pPr>
    </w:p>
    <w:p w:rsidR="004316CC" w:rsidRPr="00C903F8" w:rsidRDefault="004316CC" w:rsidP="00E1027C">
      <w:pPr>
        <w:spacing w:line="240" w:lineRule="atLeast"/>
        <w:ind w:left="850"/>
        <w:rPr>
          <w:rFonts w:eastAsia="Calibri"/>
          <w:szCs w:val="20"/>
        </w:rPr>
      </w:pPr>
      <w:r>
        <w:br w:type="page"/>
      </w:r>
    </w:p>
    <w:p w:rsidR="001F1A9D" w:rsidRPr="00C903F8" w:rsidRDefault="0060175E" w:rsidP="00F6236E">
      <w:pPr>
        <w:spacing w:line="240" w:lineRule="atLeast"/>
        <w:ind w:left="567"/>
        <w:rPr>
          <w:rFonts w:eastAsia="Calibri"/>
          <w:szCs w:val="20"/>
        </w:rPr>
      </w:pPr>
      <w:r>
        <w:t>A felépítmény tényleges hosszát az alábbi képletekkel kell kiszámítani:</w:t>
      </w:r>
    </w:p>
    <w:p w:rsidR="0058606C" w:rsidRPr="00C903F8" w:rsidRDefault="0058606C" w:rsidP="0060175E">
      <w:pPr>
        <w:tabs>
          <w:tab w:val="left" w:pos="1485"/>
        </w:tabs>
        <w:spacing w:line="240" w:lineRule="atLeast"/>
        <w:ind w:left="567"/>
        <w:rPr>
          <w:rFonts w:eastAsia="Calibri"/>
          <w:szCs w:val="20"/>
        </w:rPr>
      </w:pPr>
    </w:p>
    <w:p w:rsidR="0026577D" w:rsidRPr="00C903F8" w:rsidRDefault="003142CA" w:rsidP="007E2368">
      <w:pPr>
        <w:tabs>
          <w:tab w:val="left" w:pos="1485"/>
        </w:tabs>
        <w:spacing w:line="240" w:lineRule="atLeast"/>
        <w:rPr>
          <w:rFonts w:eastAsia="Calibri"/>
          <w:szCs w:val="20"/>
        </w:rPr>
      </w:pPr>
      <m:oMathPara>
        <m:oMath>
          <m:sSub>
            <m:sSubPr>
              <m:ctrlPr>
                <w:rPr>
                  <w:rFonts w:ascii="Cambria Math" w:eastAsia="Calibri" w:hAnsi="Cambria Math" w:cs="Arial"/>
                  <w:i/>
                </w:rPr>
              </m:ctrlPr>
            </m:sSubPr>
            <m:e>
              <m:r>
                <w:rPr>
                  <w:rFonts w:ascii="Cambria Math" w:eastAsia="Calibri" w:hAnsi="Cambria Math" w:cs="Arial"/>
                </w:rPr>
                <m:t>le</m:t>
              </m:r>
            </m:e>
            <m:sub>
              <m:r>
                <w:rPr>
                  <w:rFonts w:ascii="Cambria Math" w:eastAsia="Calibri" w:hAnsi="Cambria Math" w:cs="Arial"/>
                </w:rPr>
                <m:t>m</m:t>
              </m:r>
            </m:sub>
          </m:sSub>
          <m:r>
            <w:rPr>
              <w:rFonts w:ascii="Cambria Math" w:eastAsia="Calibri" w:hAnsi="Cambria Math" w:cs="Arial"/>
            </w:rPr>
            <m:t>=l ∙</m:t>
          </m:r>
          <m:d>
            <m:dPr>
              <m:ctrlPr>
                <w:rPr>
                  <w:rFonts w:ascii="Cambria Math" w:eastAsia="Calibri" w:hAnsi="Cambria Math" w:cs="Arial"/>
                  <w:i/>
                </w:rPr>
              </m:ctrlPr>
            </m:dPr>
            <m:e>
              <m:r>
                <w:rPr>
                  <w:rFonts w:ascii="Cambria Math" w:eastAsia="Calibri" w:hAnsi="Cambria Math" w:cs="Arial"/>
                </w:rPr>
                <m:t xml:space="preserve">2,5 ∙ </m:t>
              </m:r>
              <m:f>
                <m:fPr>
                  <m:ctrlPr>
                    <w:rPr>
                      <w:rFonts w:ascii="Cambria Math" w:eastAsia="Calibri" w:hAnsi="Cambria Math" w:cs="Arial"/>
                      <w:i/>
                    </w:rPr>
                  </m:ctrlPr>
                </m:fPr>
                <m:num>
                  <m:r>
                    <w:rPr>
                      <w:rFonts w:ascii="Cambria Math" w:eastAsia="Calibri" w:hAnsi="Cambria Math" w:cs="Arial"/>
                    </w:rPr>
                    <m:t>b</m:t>
                  </m:r>
                </m:num>
                <m:den>
                  <m:r>
                    <w:rPr>
                      <w:rFonts w:ascii="Cambria Math" w:eastAsia="Calibri" w:hAnsi="Cambria Math" w:cs="Arial"/>
                    </w:rPr>
                    <m:t>B</m:t>
                  </m:r>
                </m:den>
              </m:f>
              <m:r>
                <w:rPr>
                  <w:rFonts w:ascii="Cambria Math" w:eastAsia="Calibri" w:hAnsi="Cambria Math" w:cs="Arial"/>
                </w:rPr>
                <m:t>-1,5</m:t>
              </m:r>
            </m:e>
          </m:d>
          <m:r>
            <w:rPr>
              <w:rFonts w:ascii="Cambria Math" w:eastAsia="Calibri" w:hAnsi="Cambria Math" w:cs="Arial"/>
            </w:rPr>
            <m:t xml:space="preserve"> ∙ </m:t>
          </m:r>
          <m:f>
            <m:fPr>
              <m:ctrlPr>
                <w:rPr>
                  <w:rFonts w:ascii="Cambria Math" w:eastAsia="Calibri" w:hAnsi="Cambria Math" w:cs="Arial"/>
                  <w:i/>
                </w:rPr>
              </m:ctrlPr>
            </m:fPr>
            <m:num>
              <m:r>
                <w:rPr>
                  <w:rFonts w:ascii="Cambria Math" w:eastAsia="Calibri" w:hAnsi="Cambria Math" w:cs="Arial"/>
                </w:rPr>
                <m:t>h</m:t>
              </m:r>
            </m:num>
            <m:den>
              <m:r>
                <w:rPr>
                  <w:rFonts w:ascii="Cambria Math" w:eastAsia="Calibri" w:hAnsi="Cambria Math" w:cs="Arial"/>
                </w:rPr>
                <m:t>0,36</m:t>
              </m:r>
            </m:den>
          </m:f>
          <m:r>
            <m:rPr>
              <m:sty m:val="p"/>
            </m:rPr>
            <w:rPr>
              <w:rFonts w:ascii="Cambria Math" w:eastAsia="Calibri" w:hAnsi="Cambria Math" w:cs="Arial"/>
            </w:rPr>
            <m:t xml:space="preserve">  [m]</m:t>
          </m:r>
          <m:r>
            <m:rPr>
              <m:sty m:val="p"/>
            </m:rPr>
            <w:rPr>
              <w:rFonts w:eastAsia="Calibri" w:cs="Arial"/>
            </w:rPr>
            <w:br/>
          </m:r>
        </m:oMath>
      </m:oMathPara>
    </w:p>
    <w:p w:rsidR="001F1A9D" w:rsidRPr="00C903F8" w:rsidRDefault="003142CA" w:rsidP="007E2368">
      <w:pPr>
        <w:tabs>
          <w:tab w:val="left" w:pos="1485"/>
        </w:tabs>
        <w:spacing w:line="240" w:lineRule="atLeast"/>
        <w:rPr>
          <w:rFonts w:eastAsia="Calibri"/>
          <w:szCs w:val="20"/>
        </w:rPr>
      </w:pPr>
      <m:oMathPara>
        <m:oMath>
          <m:sSub>
            <m:sSubPr>
              <m:ctrlPr>
                <w:rPr>
                  <w:rFonts w:ascii="Cambria Math" w:eastAsia="Calibri" w:hAnsi="Cambria Math" w:cs="Arial"/>
                  <w:i/>
                </w:rPr>
              </m:ctrlPr>
            </m:sSubPr>
            <m:e>
              <m:r>
                <w:rPr>
                  <w:rFonts w:ascii="Cambria Math" w:eastAsia="Calibri" w:hAnsi="Cambria Math" w:cs="Arial"/>
                </w:rPr>
                <m:t>le</m:t>
              </m:r>
            </m:e>
            <m:sub>
              <m:r>
                <w:rPr>
                  <w:rFonts w:ascii="Cambria Math" w:eastAsia="Calibri" w:hAnsi="Cambria Math" w:cs="Arial"/>
                </w:rPr>
                <m:t>v</m:t>
              </m:r>
            </m:sub>
          </m:sSub>
          <m:r>
            <w:rPr>
              <w:rFonts w:ascii="Cambria Math" w:eastAsia="Calibri" w:hAnsi="Cambria Math" w:cs="Arial"/>
            </w:rPr>
            <m:t xml:space="preserve">, resp.  </m:t>
          </m:r>
          <m:sSub>
            <m:sSubPr>
              <m:ctrlPr>
                <w:rPr>
                  <w:rFonts w:ascii="Cambria Math" w:eastAsia="Calibri" w:hAnsi="Cambria Math" w:cs="Arial"/>
                  <w:i/>
                </w:rPr>
              </m:ctrlPr>
            </m:sSubPr>
            <m:e>
              <m:r>
                <w:rPr>
                  <w:rFonts w:ascii="Cambria Math" w:eastAsia="Calibri" w:hAnsi="Cambria Math" w:cs="Arial"/>
                </w:rPr>
                <m:t>le</m:t>
              </m:r>
            </m:e>
            <m:sub>
              <m:r>
                <w:rPr>
                  <w:rFonts w:ascii="Cambria Math" w:eastAsia="Calibri" w:hAnsi="Cambria Math" w:cs="Arial"/>
                </w:rPr>
                <m:t>a</m:t>
              </m:r>
            </m:sub>
          </m:sSub>
          <m:r>
            <w:rPr>
              <w:rFonts w:ascii="Cambria Math" w:eastAsia="Calibri" w:hAnsi="Cambria Math" w:cs="Arial"/>
            </w:rPr>
            <m:t>=l ∙</m:t>
          </m:r>
          <m:d>
            <m:dPr>
              <m:ctrlPr>
                <w:rPr>
                  <w:rFonts w:ascii="Cambria Math" w:eastAsia="Calibri" w:hAnsi="Cambria Math" w:cs="Arial"/>
                  <w:i/>
                </w:rPr>
              </m:ctrlPr>
            </m:dPr>
            <m:e>
              <m:r>
                <w:rPr>
                  <w:rFonts w:ascii="Cambria Math" w:eastAsia="Calibri" w:hAnsi="Cambria Math" w:cs="Arial"/>
                </w:rPr>
                <m:t xml:space="preserve">2,5 ∙ </m:t>
              </m:r>
              <m:f>
                <m:fPr>
                  <m:ctrlPr>
                    <w:rPr>
                      <w:rFonts w:ascii="Cambria Math" w:eastAsia="Calibri" w:hAnsi="Cambria Math" w:cs="Arial"/>
                      <w:i/>
                    </w:rPr>
                  </m:ctrlPr>
                </m:fPr>
                <m:num>
                  <m:r>
                    <w:rPr>
                      <w:rFonts w:ascii="Cambria Math" w:eastAsia="Calibri" w:hAnsi="Cambria Math" w:cs="Arial"/>
                    </w:rPr>
                    <m:t>b</m:t>
                  </m:r>
                </m:num>
                <m:den>
                  <m:sSub>
                    <m:sSubPr>
                      <m:ctrlPr>
                        <w:rPr>
                          <w:rFonts w:ascii="Cambria Math" w:eastAsia="Calibri" w:hAnsi="Cambria Math" w:cs="Arial"/>
                          <w:i/>
                        </w:rPr>
                      </m:ctrlPr>
                    </m:sSubPr>
                    <m:e>
                      <m:r>
                        <w:rPr>
                          <w:rFonts w:ascii="Cambria Math" w:eastAsia="Calibri" w:hAnsi="Cambria Math" w:cs="Arial"/>
                        </w:rPr>
                        <m:t>B</m:t>
                      </m:r>
                    </m:e>
                    <m:sub>
                      <m:r>
                        <w:rPr>
                          <w:rFonts w:ascii="Cambria Math" w:eastAsia="Calibri" w:hAnsi="Cambria Math" w:cs="Arial"/>
                        </w:rPr>
                        <m:t>1</m:t>
                      </m:r>
                    </m:sub>
                  </m:sSub>
                </m:den>
              </m:f>
              <m:r>
                <w:rPr>
                  <w:rFonts w:ascii="Cambria Math" w:eastAsia="Calibri" w:hAnsi="Cambria Math" w:cs="Arial"/>
                </w:rPr>
                <m:t>-1,5</m:t>
              </m:r>
            </m:e>
          </m:d>
          <m:r>
            <w:rPr>
              <w:rFonts w:ascii="Cambria Math" w:eastAsia="Calibri" w:hAnsi="Cambria Math" w:cs="Arial"/>
            </w:rPr>
            <m:t xml:space="preserve"> ∙ </m:t>
          </m:r>
          <m:f>
            <m:fPr>
              <m:ctrlPr>
                <w:rPr>
                  <w:rFonts w:ascii="Cambria Math" w:eastAsia="Calibri" w:hAnsi="Cambria Math" w:cs="Arial"/>
                  <w:i/>
                </w:rPr>
              </m:ctrlPr>
            </m:fPr>
            <m:num>
              <m:r>
                <w:rPr>
                  <w:rFonts w:ascii="Cambria Math" w:eastAsia="Calibri" w:hAnsi="Cambria Math" w:cs="Arial"/>
                </w:rPr>
                <m:t>h</m:t>
              </m:r>
            </m:num>
            <m:den>
              <m:r>
                <w:rPr>
                  <w:rFonts w:ascii="Cambria Math" w:eastAsia="Calibri" w:hAnsi="Cambria Math" w:cs="Arial"/>
                </w:rPr>
                <m:t>0,36</m:t>
              </m:r>
            </m:den>
          </m:f>
          <m:r>
            <m:rPr>
              <m:sty m:val="p"/>
            </m:rPr>
            <w:rPr>
              <w:rFonts w:ascii="Cambria Math" w:eastAsia="Calibri" w:hAnsi="Cambria Math" w:cs="Arial"/>
            </w:rPr>
            <m:t xml:space="preserve">  </m:t>
          </m:r>
          <m:d>
            <m:dPr>
              <m:begChr m:val="["/>
              <m:endChr m:val="]"/>
              <m:ctrlPr>
                <w:rPr>
                  <w:rFonts w:ascii="Cambria Math" w:eastAsia="Calibri" w:hAnsi="Cambria Math" w:cs="Arial"/>
                </w:rPr>
              </m:ctrlPr>
            </m:dPr>
            <m:e>
              <m:r>
                <m:rPr>
                  <m:sty m:val="p"/>
                </m:rPr>
                <w:rPr>
                  <w:rFonts w:ascii="Cambria Math" w:eastAsia="Calibri" w:hAnsi="Cambria Math" w:cs="Arial"/>
                </w:rPr>
                <m:t>m</m:t>
              </m:r>
            </m:e>
          </m:d>
          <m:r>
            <m:rPr>
              <m:sty m:val="p"/>
            </m:rPr>
            <w:rPr>
              <w:rFonts w:ascii="Cambria Math" w:eastAsia="Calibri" w:hAnsi="Cambria Math" w:cs="Arial"/>
            </w:rPr>
            <m:t>.</m:t>
          </m:r>
          <m:r>
            <m:rPr>
              <m:sty m:val="p"/>
            </m:rPr>
            <w:rPr>
              <w:rFonts w:eastAsia="Calibri" w:cs="Arial"/>
            </w:rPr>
            <w:br/>
          </m:r>
        </m:oMath>
      </m:oMathPara>
    </w:p>
    <w:p w:rsidR="001F1A9D" w:rsidRPr="00C903F8" w:rsidRDefault="0060175E" w:rsidP="00F6236E">
      <w:pPr>
        <w:spacing w:line="240" w:lineRule="atLeast"/>
        <w:ind w:left="567"/>
        <w:rPr>
          <w:rFonts w:eastAsia="Calibri"/>
          <w:szCs w:val="20"/>
        </w:rPr>
      </w:pPr>
      <w:r>
        <w:t>ahol:</w:t>
      </w:r>
    </w:p>
    <w:p w:rsidR="001F1A9D" w:rsidRPr="00C903F8" w:rsidRDefault="0026577D" w:rsidP="004316CC">
      <w:pPr>
        <w:spacing w:before="60" w:line="240" w:lineRule="atLeast"/>
        <w:ind w:left="992"/>
        <w:rPr>
          <w:rFonts w:eastAsia="Calibri"/>
          <w:szCs w:val="20"/>
        </w:rPr>
      </w:pPr>
      <m:oMath>
        <m:r>
          <w:rPr>
            <w:rFonts w:ascii="Cambria Math" w:eastAsia="Calibri" w:hAnsi="Cambria Math"/>
            <w:szCs w:val="20"/>
          </w:rPr>
          <m:t>l</m:t>
        </m:r>
      </m:oMath>
      <w:r>
        <w:tab/>
        <w:t>a szóban forgó felépítmény tényleges hossza m-ben;</w:t>
      </w:r>
    </w:p>
    <w:p w:rsidR="001F1A9D" w:rsidRPr="00C903F8" w:rsidRDefault="0026577D" w:rsidP="004316CC">
      <w:pPr>
        <w:spacing w:before="60" w:line="240" w:lineRule="atLeast"/>
        <w:ind w:left="992"/>
        <w:rPr>
          <w:rFonts w:eastAsia="Calibri"/>
          <w:szCs w:val="20"/>
        </w:rPr>
      </w:pPr>
      <m:oMath>
        <m:r>
          <w:rPr>
            <w:rFonts w:ascii="Cambria Math" w:eastAsia="Calibri" w:hAnsi="Cambria Math"/>
            <w:szCs w:val="20"/>
          </w:rPr>
          <m:t>b</m:t>
        </m:r>
      </m:oMath>
      <w:r>
        <w:tab/>
        <w:t>a szóban forgó felépítmény szélessége m-ben;</w:t>
      </w:r>
    </w:p>
    <w:p w:rsidR="001F1A9D" w:rsidRPr="00C903F8" w:rsidRDefault="003142CA" w:rsidP="004316CC">
      <w:pPr>
        <w:spacing w:before="60" w:line="240" w:lineRule="atLeast"/>
        <w:ind w:left="992"/>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B</m:t>
            </m:r>
          </m:e>
          <m:sub>
            <m:r>
              <w:rPr>
                <w:rFonts w:ascii="Cambria Math" w:eastAsia="Calibri" w:hAnsi="Cambria Math"/>
                <w:szCs w:val="20"/>
              </w:rPr>
              <m:t>1</m:t>
            </m:r>
          </m:sub>
        </m:sSub>
      </m:oMath>
      <w:r w:rsidR="000505FE">
        <w:t xml:space="preserve"> </w:t>
      </w:r>
      <w:r w:rsidR="000505FE">
        <w:tab/>
        <w:t>a hajó szélessége m-ben, a szóban forgó felépítmény mentén félúton lévő függőleges oldallemezek külső oldalán, a fedélzet szintjén mérve;</w:t>
      </w:r>
    </w:p>
    <w:p w:rsidR="001F1A9D" w:rsidRPr="00C903F8" w:rsidRDefault="0026577D" w:rsidP="004316CC">
      <w:pPr>
        <w:spacing w:before="60" w:line="240" w:lineRule="atLeast"/>
        <w:ind w:left="992"/>
        <w:rPr>
          <w:rFonts w:eastAsia="Calibri"/>
          <w:szCs w:val="20"/>
        </w:rPr>
      </w:pPr>
      <m:oMath>
        <m:r>
          <w:rPr>
            <w:rFonts w:ascii="Cambria Math" w:eastAsia="Calibri" w:hAnsi="Cambria Math"/>
            <w:szCs w:val="20"/>
          </w:rPr>
          <m:t>h</m:t>
        </m:r>
      </m:oMath>
      <w:r>
        <w:tab/>
        <w:t xml:space="preserve">a szóban forgó felépítmény magassága m-ben. Fedélzeti nyílások esetében azonban a </w:t>
      </w:r>
      <m:oMath>
        <m:r>
          <w:rPr>
            <w:rFonts w:ascii="Cambria Math" w:eastAsia="Calibri" w:hAnsi="Cambria Math"/>
            <w:szCs w:val="20"/>
          </w:rPr>
          <m:t>h</m:t>
        </m:r>
      </m:oMath>
      <w:r>
        <w:t xml:space="preserve">-t úgy kapjuk meg, hogy a nyíláskeret magasságát csökkentjük a 4.01. cikkben előírt biztonsági távolság felével. A </w:t>
      </w:r>
      <m:oMath>
        <m:r>
          <w:rPr>
            <w:rFonts w:ascii="Cambria Math" w:eastAsia="Calibri" w:hAnsi="Cambria Math"/>
            <w:szCs w:val="20"/>
          </w:rPr>
          <m:t>h</m:t>
        </m:r>
      </m:oMath>
      <w:r>
        <w:t xml:space="preserve"> sohasem lehet 0,36 m-nél nagyobb.</w:t>
      </w:r>
    </w:p>
    <w:p w:rsidR="001F1A9D" w:rsidRPr="00C903F8" w:rsidRDefault="0060175E" w:rsidP="004316CC">
      <w:pPr>
        <w:spacing w:before="60" w:line="240" w:lineRule="atLeast"/>
        <w:ind w:left="992"/>
        <w:rPr>
          <w:rFonts w:eastAsia="Calibri"/>
          <w:szCs w:val="20"/>
        </w:rPr>
      </w:pPr>
      <w:r>
        <w:t xml:space="preserve">Ha </w:t>
      </w:r>
      <m:oMath>
        <m:f>
          <m:fPr>
            <m:ctrlPr>
              <w:rPr>
                <w:rFonts w:ascii="Cambria Math" w:eastAsia="Calibri" w:hAnsi="Cambria Math"/>
                <w:i/>
                <w:szCs w:val="20"/>
              </w:rPr>
            </m:ctrlPr>
          </m:fPr>
          <m:num>
            <m:r>
              <w:rPr>
                <w:rFonts w:ascii="Cambria Math" w:eastAsia="Calibri" w:hAnsi="Cambria Math"/>
                <w:szCs w:val="20"/>
              </w:rPr>
              <m:t>b</m:t>
            </m:r>
          </m:num>
          <m:den>
            <m:r>
              <w:rPr>
                <w:rFonts w:ascii="Cambria Math" w:eastAsia="Calibri" w:hAnsi="Cambria Math"/>
                <w:szCs w:val="20"/>
              </w:rPr>
              <m:t>B</m:t>
            </m:r>
          </m:den>
        </m:f>
      </m:oMath>
      <w:r>
        <w:t xml:space="preserve"> vagy </w:t>
      </w:r>
      <m:oMath>
        <m:f>
          <m:fPr>
            <m:ctrlPr>
              <w:rPr>
                <w:rFonts w:ascii="Cambria Math" w:eastAsia="Calibri" w:hAnsi="Cambria Math"/>
                <w:i/>
                <w:szCs w:val="20"/>
              </w:rPr>
            </m:ctrlPr>
          </m:fPr>
          <m:num>
            <m:r>
              <w:rPr>
                <w:rFonts w:ascii="Cambria Math" w:eastAsia="Calibri" w:hAnsi="Cambria Math"/>
                <w:szCs w:val="20"/>
              </w:rPr>
              <m:t>b</m:t>
            </m:r>
          </m:num>
          <m:den>
            <m:sSub>
              <m:sSubPr>
                <m:ctrlPr>
                  <w:rPr>
                    <w:rFonts w:ascii="Cambria Math" w:eastAsia="Calibri" w:hAnsi="Cambria Math"/>
                    <w:i/>
                    <w:szCs w:val="20"/>
                  </w:rPr>
                </m:ctrlPr>
              </m:sSubPr>
              <m:e>
                <m:r>
                  <w:rPr>
                    <w:rFonts w:ascii="Cambria Math" w:eastAsia="Calibri" w:hAnsi="Cambria Math"/>
                    <w:szCs w:val="20"/>
                  </w:rPr>
                  <m:t>B</m:t>
                </m:r>
              </m:e>
              <m:sub>
                <m:r>
                  <w:rPr>
                    <w:rFonts w:ascii="Cambria Math" w:eastAsia="Calibri" w:hAnsi="Cambria Math"/>
                    <w:szCs w:val="20"/>
                  </w:rPr>
                  <m:t>1</m:t>
                </m:r>
              </m:sub>
            </m:sSub>
          </m:den>
        </m:f>
        <m:r>
          <w:rPr>
            <w:rFonts w:ascii="Cambria Math" w:eastAsia="Calibri" w:hAnsi="Cambria Math"/>
            <w:szCs w:val="20"/>
          </w:rPr>
          <m:t xml:space="preserve"> </m:t>
        </m:r>
      </m:oMath>
      <w:r>
        <w:t xml:space="preserve"> 0,6-nél kisebb, a felépítmény tényleges hossza (</w:t>
      </w:r>
      <m:oMath>
        <m:r>
          <w:rPr>
            <w:rFonts w:ascii="Cambria Math" w:eastAsia="Calibri" w:hAnsi="Cambria Math"/>
            <w:szCs w:val="20"/>
          </w:rPr>
          <m:t>le</m:t>
        </m:r>
      </m:oMath>
      <w:r>
        <w:t>) nulla.</w:t>
      </w:r>
    </w:p>
    <w:p w:rsidR="00745DD2" w:rsidRPr="00C903F8" w:rsidRDefault="00745DD2" w:rsidP="00E1027C">
      <w:pPr>
        <w:spacing w:line="240" w:lineRule="atLeast"/>
        <w:rPr>
          <w:rFonts w:eastAsia="Calibri"/>
          <w:szCs w:val="20"/>
        </w:rPr>
      </w:pPr>
    </w:p>
    <w:p w:rsidR="001F1A9D" w:rsidRPr="00C903F8" w:rsidRDefault="001F1A9D" w:rsidP="00111867">
      <w:pPr>
        <w:pStyle w:val="ESch"/>
        <w:rPr>
          <w:rFonts w:eastAsia="Calibri"/>
        </w:rPr>
      </w:pPr>
      <w:r>
        <w:t>4.</w:t>
      </w:r>
      <w:r>
        <w:tab/>
        <w:t xml:space="preserve">A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oMath>
      <w:r>
        <w:t xml:space="preserve"> és a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oMath>
      <w:r>
        <w:t xml:space="preserve"> tényezőt az alábbi képletekkel kell kiszámítani:</w:t>
      </w:r>
    </w:p>
    <w:p w:rsidR="00BE2487" w:rsidRPr="00C903F8" w:rsidRDefault="00BE2487" w:rsidP="00111867">
      <w:pPr>
        <w:pStyle w:val="ESch"/>
        <w:rPr>
          <w:rFonts w:eastAsia="Calibri"/>
        </w:rPr>
      </w:pPr>
    </w:p>
    <w:p w:rsidR="00BE2487" w:rsidRPr="00C903F8" w:rsidRDefault="003142CA"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 xml:space="preserve">v </m:t>
              </m:r>
            </m:sub>
          </m:sSub>
          <m:r>
            <w:rPr>
              <w:rFonts w:ascii="Cambria Math" w:eastAsia="Calibri" w:hAnsi="Cambria Math"/>
            </w:rPr>
            <m:t xml:space="preserve">=1- </m:t>
          </m:r>
          <m:f>
            <m:fPr>
              <m:ctrlPr>
                <w:rPr>
                  <w:rFonts w:ascii="Cambria Math" w:eastAsia="Calibri" w:hAnsi="Cambria Math"/>
                  <w:i/>
                </w:rPr>
              </m:ctrlPr>
            </m:fPr>
            <m:num>
              <m:r>
                <w:rPr>
                  <w:rFonts w:ascii="Cambria Math" w:eastAsia="Calibri" w:hAnsi="Cambria Math"/>
                </w:rPr>
                <m:t xml:space="preserve">3 ∙ </m:t>
              </m:r>
              <m:sSub>
                <m:sSubPr>
                  <m:ctrlPr>
                    <w:rPr>
                      <w:rFonts w:ascii="Cambria Math" w:eastAsia="Calibri" w:hAnsi="Cambria Math"/>
                      <w:i/>
                    </w:rPr>
                  </m:ctrlPr>
                </m:sSubPr>
                <m:e>
                  <m:r>
                    <w:rPr>
                      <w:rFonts w:ascii="Cambria Math" w:eastAsia="Calibri" w:hAnsi="Cambria Math"/>
                    </w:rPr>
                    <m:t>le</m:t>
                  </m:r>
                </m:e>
                <m:sub>
                  <m:r>
                    <w:rPr>
                      <w:rFonts w:ascii="Cambria Math" w:eastAsia="Calibri" w:hAnsi="Cambria Math"/>
                    </w:rPr>
                    <m:t>v</m:t>
                  </m:r>
                </m:sub>
              </m:sSub>
            </m:num>
            <m:den>
              <m:r>
                <w:rPr>
                  <w:rFonts w:ascii="Cambria Math" w:eastAsia="Calibri" w:hAnsi="Cambria Math"/>
                </w:rPr>
                <m:t>L</m:t>
              </m:r>
            </m:den>
          </m:f>
        </m:oMath>
      </m:oMathPara>
    </w:p>
    <w:p w:rsidR="0097552D" w:rsidRPr="00C903F8" w:rsidRDefault="0097552D" w:rsidP="007E2368">
      <w:pPr>
        <w:pStyle w:val="ESch"/>
        <w:ind w:left="0" w:firstLine="0"/>
        <w:jc w:val="center"/>
        <w:rPr>
          <w:rFonts w:eastAsia="Calibri"/>
        </w:rPr>
      </w:pPr>
    </w:p>
    <w:p w:rsidR="0097552D" w:rsidRPr="00C903F8" w:rsidRDefault="003142CA"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 xml:space="preserve">a </m:t>
              </m:r>
            </m:sub>
          </m:sSub>
          <m:r>
            <w:rPr>
              <w:rFonts w:ascii="Cambria Math" w:eastAsia="Calibri" w:hAnsi="Cambria Math"/>
            </w:rPr>
            <m:t xml:space="preserve">=1- </m:t>
          </m:r>
          <m:f>
            <m:fPr>
              <m:ctrlPr>
                <w:rPr>
                  <w:rFonts w:ascii="Cambria Math" w:eastAsia="Calibri" w:hAnsi="Cambria Math"/>
                  <w:i/>
                </w:rPr>
              </m:ctrlPr>
            </m:fPr>
            <m:num>
              <m:r>
                <w:rPr>
                  <w:rFonts w:ascii="Cambria Math" w:eastAsia="Calibri" w:hAnsi="Cambria Math"/>
                </w:rPr>
                <m:t xml:space="preserve">3 ∙ </m:t>
              </m:r>
              <m:sSub>
                <m:sSubPr>
                  <m:ctrlPr>
                    <w:rPr>
                      <w:rFonts w:ascii="Cambria Math" w:eastAsia="Calibri" w:hAnsi="Cambria Math"/>
                      <w:i/>
                    </w:rPr>
                  </m:ctrlPr>
                </m:sSubPr>
                <m:e>
                  <m:r>
                    <w:rPr>
                      <w:rFonts w:ascii="Cambria Math" w:eastAsia="Calibri" w:hAnsi="Cambria Math"/>
                    </w:rPr>
                    <m:t>le</m:t>
                  </m:r>
                </m:e>
                <m:sub>
                  <m:r>
                    <w:rPr>
                      <w:rFonts w:ascii="Cambria Math" w:eastAsia="Calibri" w:hAnsi="Cambria Math"/>
                    </w:rPr>
                    <m:t>a</m:t>
                  </m:r>
                </m:sub>
              </m:sSub>
            </m:num>
            <m:den>
              <m:r>
                <w:rPr>
                  <w:rFonts w:ascii="Cambria Math" w:eastAsia="Calibri" w:hAnsi="Cambria Math"/>
                </w:rPr>
                <m:t>L</m:t>
              </m:r>
            </m:den>
          </m:f>
        </m:oMath>
      </m:oMathPara>
    </w:p>
    <w:p w:rsidR="00745DD2" w:rsidRPr="00C903F8" w:rsidRDefault="00745DD2" w:rsidP="00E1027C">
      <w:pPr>
        <w:spacing w:line="240" w:lineRule="atLeast"/>
        <w:rPr>
          <w:rFonts w:eastAsia="Calibri"/>
          <w:szCs w:val="20"/>
        </w:rPr>
      </w:pPr>
    </w:p>
    <w:p w:rsidR="001F1A9D" w:rsidRPr="00C903F8" w:rsidRDefault="001F1A9D" w:rsidP="00111867">
      <w:pPr>
        <w:pStyle w:val="ESch"/>
        <w:rPr>
          <w:noProof/>
        </w:rPr>
      </w:pPr>
      <w:r>
        <w:t>5.</w:t>
      </w:r>
      <w:r>
        <w:tab/>
        <w:t>A tényleges elülső/hátulsó hosszirányú fedélzetfelhajlást (</w:t>
      </w: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t>/</w:t>
      </w: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t>) az alábbi képletekkel kell kiszámítani:</w:t>
      </w:r>
    </w:p>
    <w:p w:rsidR="007E2368" w:rsidRPr="00C903F8" w:rsidRDefault="007E2368" w:rsidP="00111867">
      <w:pPr>
        <w:pStyle w:val="ESch"/>
        <w:rPr>
          <w:noProof/>
        </w:rPr>
      </w:pPr>
    </w:p>
    <w:p w:rsidR="007E2368" w:rsidRPr="00C903F8" w:rsidRDefault="003142CA"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Se</m:t>
              </m:r>
            </m:e>
            <m:sub>
              <m:r>
                <w:rPr>
                  <w:rFonts w:ascii="Cambria Math" w:eastAsia="Calibri" w:hAnsi="Cambria Math"/>
                </w:rPr>
                <m:t>v</m:t>
              </m:r>
            </m:sub>
          </m:sSub>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S</m:t>
              </m:r>
            </m:e>
            <m:sub>
              <m:r>
                <w:rPr>
                  <w:rFonts w:ascii="Cambria Math" w:eastAsia="Calibri" w:hAnsi="Cambria Math"/>
                </w:rPr>
                <m:t>v</m:t>
              </m:r>
            </m:sub>
          </m:sSub>
          <m:r>
            <w:rPr>
              <w:rFonts w:ascii="Cambria Math" w:eastAsia="Calibri" w:hAnsi="Cambria Math"/>
            </w:rPr>
            <m:t>∙p</m:t>
          </m:r>
        </m:oMath>
      </m:oMathPara>
    </w:p>
    <w:p w:rsidR="007E2368" w:rsidRPr="00C903F8" w:rsidRDefault="007E2368" w:rsidP="007E2368">
      <w:pPr>
        <w:pStyle w:val="ESch"/>
        <w:ind w:left="0" w:firstLine="0"/>
        <w:jc w:val="center"/>
        <w:rPr>
          <w:rFonts w:eastAsia="Calibri"/>
        </w:rPr>
      </w:pPr>
    </w:p>
    <w:p w:rsidR="007E2368" w:rsidRPr="00C903F8" w:rsidRDefault="003142CA"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Se</m:t>
              </m:r>
            </m:e>
            <m:sub>
              <m:r>
                <w:rPr>
                  <w:rFonts w:ascii="Cambria Math" w:eastAsia="Calibri" w:hAnsi="Cambria Math"/>
                </w:rPr>
                <m:t>a</m:t>
              </m:r>
            </m:sub>
          </m:sSub>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S</m:t>
              </m:r>
            </m:e>
            <m:sub>
              <m:r>
                <w:rPr>
                  <w:rFonts w:ascii="Cambria Math" w:eastAsia="Calibri" w:hAnsi="Cambria Math"/>
                </w:rPr>
                <m:t>a</m:t>
              </m:r>
            </m:sub>
          </m:sSub>
          <m:r>
            <w:rPr>
              <w:rFonts w:ascii="Cambria Math" w:eastAsia="Calibri" w:hAnsi="Cambria Math"/>
            </w:rPr>
            <m:t>∙p</m:t>
          </m:r>
        </m:oMath>
      </m:oMathPara>
    </w:p>
    <w:p w:rsidR="001F1A9D" w:rsidRPr="00C903F8" w:rsidRDefault="001F1A9D" w:rsidP="007E2368">
      <w:pPr>
        <w:spacing w:line="240" w:lineRule="atLeast"/>
        <w:rPr>
          <w:rFonts w:eastAsia="Calibri"/>
          <w:szCs w:val="20"/>
        </w:rPr>
      </w:pPr>
    </w:p>
    <w:p w:rsidR="001F1A9D" w:rsidRPr="00C903F8" w:rsidRDefault="0060175E" w:rsidP="00F6236E">
      <w:pPr>
        <w:spacing w:line="240" w:lineRule="atLeast"/>
        <w:ind w:left="567"/>
        <w:rPr>
          <w:rFonts w:eastAsia="Calibri"/>
          <w:szCs w:val="20"/>
        </w:rPr>
      </w:pPr>
      <w:r>
        <w:t>ahol:</w:t>
      </w:r>
    </w:p>
    <w:p w:rsidR="001F1A9D" w:rsidRPr="00C903F8" w:rsidRDefault="003142CA"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v</m:t>
            </m:r>
          </m:sub>
        </m:sSub>
      </m:oMath>
      <w:r w:rsidR="000505FE">
        <w:tab/>
        <w:t xml:space="preserve">a tényleges elülső hosszirányú fedélzetfelhajlás mm-ben; az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v</m:t>
            </m:r>
          </m:sub>
        </m:sSub>
      </m:oMath>
      <w:r w:rsidR="000505FE">
        <w:t xml:space="preserve"> azonban nem lehet 1000 mm-nél nagyobb;</w:t>
      </w:r>
    </w:p>
    <w:p w:rsidR="001F1A9D" w:rsidRPr="00C903F8" w:rsidRDefault="003142CA"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a</m:t>
            </m:r>
          </m:sub>
        </m:sSub>
      </m:oMath>
      <w:r w:rsidR="000505FE">
        <w:tab/>
        <w:t xml:space="preserve">a tényleges hátulsó hosszirányú fedélzetfelhajlás mm-ben; az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a</m:t>
            </m:r>
          </m:sub>
        </m:sSub>
      </m:oMath>
      <w:r w:rsidR="000505FE">
        <w:t xml:space="preserve"> azonban nem lehet 500 mm-nél nagyobb;</w:t>
      </w:r>
    </w:p>
    <w:p w:rsidR="001F1A9D" w:rsidRPr="00C903F8" w:rsidRDefault="0026577D" w:rsidP="00F6236E">
      <w:pPr>
        <w:spacing w:before="60" w:line="240" w:lineRule="atLeast"/>
        <w:ind w:left="993" w:hanging="426"/>
        <w:rPr>
          <w:rFonts w:eastAsia="Calibri"/>
          <w:szCs w:val="20"/>
        </w:rPr>
      </w:pPr>
      <m:oMath>
        <m:r>
          <w:rPr>
            <w:rFonts w:ascii="Cambria Math" w:eastAsia="Calibri" w:hAnsi="Cambria Math"/>
            <w:szCs w:val="20"/>
          </w:rPr>
          <m:t>p</m:t>
        </m:r>
      </m:oMath>
      <w:r>
        <w:tab/>
        <w:t>a következő képlettel kiszámolt tényező:</w:t>
      </w:r>
    </w:p>
    <w:p w:rsidR="003232B5" w:rsidRPr="00C903F8" w:rsidRDefault="003232B5" w:rsidP="003232B5">
      <w:pPr>
        <w:pStyle w:val="ESch"/>
        <w:spacing w:before="60"/>
        <w:ind w:left="0" w:firstLine="0"/>
        <w:jc w:val="center"/>
        <w:rPr>
          <w:rFonts w:eastAsia="Calibri"/>
        </w:rPr>
      </w:pPr>
      <m:oMathPara>
        <m:oMath>
          <m:r>
            <w:rPr>
              <w:rFonts w:ascii="Cambria Math" w:eastAsia="Calibri" w:hAnsi="Cambria Math"/>
            </w:rPr>
            <m:t xml:space="preserve">p =4∙ </m:t>
          </m:r>
          <m:f>
            <m:fPr>
              <m:ctrlPr>
                <w:rPr>
                  <w:rFonts w:ascii="Cambria Math" w:eastAsia="Calibri" w:hAnsi="Cambria Math"/>
                  <w:i/>
                </w:rPr>
              </m:ctrlPr>
            </m:fPr>
            <m:num>
              <m:r>
                <w:rPr>
                  <w:rFonts w:ascii="Cambria Math" w:eastAsia="Calibri" w:hAnsi="Cambria Math"/>
                </w:rPr>
                <m:t>x</m:t>
              </m:r>
            </m:num>
            <m:den>
              <m:r>
                <w:rPr>
                  <w:rFonts w:ascii="Cambria Math" w:eastAsia="Calibri" w:hAnsi="Cambria Math"/>
                </w:rPr>
                <m:t>L</m:t>
              </m:r>
            </m:den>
          </m:f>
        </m:oMath>
      </m:oMathPara>
    </w:p>
    <w:p w:rsidR="001F1A9D" w:rsidRPr="00C903F8" w:rsidRDefault="0026577D" w:rsidP="00F6236E">
      <w:pPr>
        <w:spacing w:before="60" w:line="240" w:lineRule="atLeast"/>
        <w:ind w:left="993" w:hanging="426"/>
        <w:rPr>
          <w:rFonts w:eastAsia="Calibri"/>
          <w:szCs w:val="20"/>
        </w:rPr>
      </w:pPr>
      <m:oMath>
        <m:r>
          <w:rPr>
            <w:rFonts w:ascii="Cambria Math" w:eastAsia="Calibri" w:hAnsi="Cambria Math"/>
            <w:szCs w:val="20"/>
          </w:rPr>
          <m:t>x</m:t>
        </m:r>
      </m:oMath>
      <w:r>
        <w:tab/>
        <w:t xml:space="preserve">addig a széldő pontig mért abszcissza, ahol a fedélzetfelhajlás 0,25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v</m:t>
            </m:r>
          </m:sub>
        </m:sSub>
      </m:oMath>
      <w:r>
        <w:t xml:space="preserve"> vagy 0,25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a</m:t>
            </m:r>
          </m:sub>
        </m:sSub>
      </m:oMath>
      <w:r>
        <w:t xml:space="preserve"> (lásd az ábrát).</w:t>
      </w:r>
    </w:p>
    <w:p w:rsidR="008D5C11" w:rsidRPr="00C903F8" w:rsidRDefault="008D5C11">
      <w:pPr>
        <w:rPr>
          <w:rFonts w:eastAsia="Calibri"/>
          <w:szCs w:val="20"/>
        </w:rPr>
      </w:pPr>
      <w:r>
        <w:br w:type="page"/>
      </w:r>
    </w:p>
    <w:p w:rsidR="008D5C11" w:rsidRPr="00C903F8" w:rsidRDefault="008D5C11" w:rsidP="00F6236E">
      <w:pPr>
        <w:spacing w:before="60" w:line="240" w:lineRule="atLeast"/>
        <w:ind w:left="993" w:hanging="426"/>
        <w:rPr>
          <w:rFonts w:eastAsia="Calibri"/>
          <w:szCs w:val="20"/>
        </w:rPr>
      </w:pPr>
    </w:p>
    <w:p w:rsidR="008D5C11" w:rsidRPr="00C903F8" w:rsidRDefault="00EB7F5F" w:rsidP="00EB7F5F">
      <w:pPr>
        <w:jc w:val="center"/>
        <w:rPr>
          <w:rFonts w:cs="Arial"/>
          <w:noProof/>
          <w:szCs w:val="20"/>
        </w:rPr>
      </w:pPr>
      <w:r>
        <w:rPr>
          <w:rFonts w:cs="Arial"/>
          <w:noProof/>
          <w:szCs w:val="20"/>
        </w:rPr>
        <w:drawing>
          <wp:inline distT="0" distB="0" distL="0" distR="0" wp14:anchorId="52F1FAFF" wp14:editId="2836EDDE">
            <wp:extent cx="3709416" cy="1597152"/>
            <wp:effectExtent l="0" t="0" r="571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_trin_4_02en.jpg"/>
                    <pic:cNvPicPr/>
                  </pic:nvPicPr>
                  <pic:blipFill>
                    <a:blip r:embed="rId22">
                      <a:extLst>
                        <a:ext uri="{28A0092B-C50C-407E-A947-70E740481C1C}">
                          <a14:useLocalDpi xmlns:a14="http://schemas.microsoft.com/office/drawing/2010/main" val="0"/>
                        </a:ext>
                      </a:extLst>
                    </a:blip>
                    <a:stretch>
                      <a:fillRect/>
                    </a:stretch>
                  </pic:blipFill>
                  <pic:spPr>
                    <a:xfrm>
                      <a:off x="0" y="0"/>
                      <a:ext cx="3709416" cy="1597152"/>
                    </a:xfrm>
                    <a:prstGeom prst="rect">
                      <a:avLst/>
                    </a:prstGeom>
                  </pic:spPr>
                </pic:pic>
              </a:graphicData>
            </a:graphic>
          </wp:inline>
        </w:drawing>
      </w:r>
    </w:p>
    <w:p w:rsidR="00EB7F5F" w:rsidRPr="00C903F8" w:rsidRDefault="00EB7F5F" w:rsidP="006025D0">
      <w:pPr>
        <w:spacing w:line="240" w:lineRule="atLeast"/>
        <w:ind w:left="567"/>
        <w:rPr>
          <w:rFonts w:cs="Arial"/>
          <w:noProof/>
          <w:szCs w:val="20"/>
        </w:rPr>
      </w:pPr>
    </w:p>
    <w:p w:rsidR="00745DD2" w:rsidRPr="00C903F8" w:rsidRDefault="006025D0" w:rsidP="006025D0">
      <w:pPr>
        <w:spacing w:line="240" w:lineRule="atLeast"/>
        <w:ind w:left="567"/>
        <w:rPr>
          <w:rFonts w:cs="Arial"/>
          <w:noProof/>
          <w:szCs w:val="20"/>
        </w:rPr>
      </w:pPr>
      <w:r>
        <w:t xml:space="preserve">A </w:t>
      </w:r>
      <m:oMath>
        <m:r>
          <w:rPr>
            <w:rFonts w:ascii="Cambria Math" w:eastAsia="Calibri" w:hAnsi="Cambria Math"/>
            <w:szCs w:val="20"/>
          </w:rPr>
          <m:t>p</m:t>
        </m:r>
      </m:oMath>
      <w:r>
        <w:t xml:space="preserve"> tényező azonban nem lehet 1-nél nagyobb.</w:t>
      </w:r>
    </w:p>
    <w:p w:rsidR="003232B5" w:rsidRPr="00C903F8" w:rsidRDefault="003232B5" w:rsidP="006025D0">
      <w:pPr>
        <w:spacing w:line="240" w:lineRule="atLeast"/>
        <w:ind w:left="567"/>
        <w:rPr>
          <w:rFonts w:cs="Arial"/>
          <w:noProof/>
          <w:szCs w:val="20"/>
        </w:rPr>
      </w:pPr>
    </w:p>
    <w:p w:rsidR="001F1A9D" w:rsidRPr="00C903F8" w:rsidRDefault="001F1A9D" w:rsidP="00F6236E">
      <w:pPr>
        <w:spacing w:line="240" w:lineRule="atLeast"/>
        <w:ind w:left="567" w:hanging="567"/>
        <w:rPr>
          <w:rFonts w:eastAsia="Calibri"/>
          <w:szCs w:val="20"/>
        </w:rPr>
      </w:pPr>
      <w:r>
        <w:t>6.</w:t>
      </w:r>
      <w:r>
        <w:tab/>
        <w:t xml:space="preserve">Ha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t xml:space="preserve"> nagyobb mint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t xml:space="preserve">, a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t xml:space="preserve"> értékével kell helyettesíteni a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t xml:space="preserve"> értékét.</w:t>
      </w:r>
    </w:p>
    <w:p w:rsidR="005C1DF0" w:rsidRDefault="005C1DF0" w:rsidP="00E1027C">
      <w:pPr>
        <w:spacing w:line="240" w:lineRule="atLeast"/>
        <w:rPr>
          <w:rFonts w:eastAsia="Calibri"/>
        </w:rPr>
      </w:pPr>
    </w:p>
    <w:p w:rsidR="00533048" w:rsidRPr="00C903F8" w:rsidRDefault="00533048" w:rsidP="00E1027C">
      <w:pPr>
        <w:spacing w:line="240" w:lineRule="atLeast"/>
        <w:rPr>
          <w:rFonts w:eastAsia="Calibri"/>
        </w:rPr>
      </w:pPr>
    </w:p>
    <w:p w:rsidR="006025D0" w:rsidRPr="00C903F8" w:rsidRDefault="006025D0" w:rsidP="006025D0">
      <w:pPr>
        <w:pStyle w:val="ES-Titre3"/>
        <w:spacing w:line="240" w:lineRule="atLeast"/>
      </w:pPr>
      <w:bookmarkStart w:id="32" w:name="_Toc491854016"/>
      <w:bookmarkStart w:id="33" w:name="_Toc535853795"/>
      <w:r>
        <w:t>4.03. cikk</w:t>
      </w:r>
      <w:r>
        <w:br/>
      </w:r>
      <w:r>
        <w:rPr>
          <w:i/>
        </w:rPr>
        <w:t>Minimális szabadoldal</w:t>
      </w:r>
      <w:bookmarkEnd w:id="32"/>
      <w:bookmarkEnd w:id="33"/>
    </w:p>
    <w:p w:rsidR="006025D0" w:rsidRPr="00C903F8" w:rsidRDefault="006025D0" w:rsidP="00C62373">
      <w:pPr>
        <w:spacing w:line="240" w:lineRule="atLeast"/>
        <w:rPr>
          <w:rFonts w:eastAsia="Calibri"/>
        </w:rPr>
      </w:pPr>
    </w:p>
    <w:p w:rsidR="006025D0" w:rsidRPr="00C903F8" w:rsidRDefault="006025D0" w:rsidP="00111867">
      <w:pPr>
        <w:pStyle w:val="ESgauche"/>
        <w:rPr>
          <w:rFonts w:eastAsia="Calibri"/>
        </w:rPr>
      </w:pPr>
      <w:r>
        <w:t>Tekintettel a 4.02. cikkben említett csökkentésekre, a minimális szabadoldal nem lehet kisebb 0 mm-nél.</w:t>
      </w:r>
    </w:p>
    <w:p w:rsidR="006025D0" w:rsidRPr="00C903F8" w:rsidRDefault="006025D0" w:rsidP="00E1027C">
      <w:pPr>
        <w:spacing w:line="240" w:lineRule="atLeast"/>
        <w:rPr>
          <w:rFonts w:eastAsia="Calibri"/>
        </w:rPr>
      </w:pPr>
    </w:p>
    <w:p w:rsidR="00500018" w:rsidRPr="00C903F8" w:rsidRDefault="00500018" w:rsidP="00E1027C">
      <w:pPr>
        <w:spacing w:line="240" w:lineRule="atLeast"/>
        <w:rPr>
          <w:rFonts w:eastAsia="Calibri"/>
        </w:rPr>
      </w:pPr>
    </w:p>
    <w:p w:rsidR="006025D0" w:rsidRPr="00C903F8" w:rsidRDefault="006025D0" w:rsidP="006025D0">
      <w:pPr>
        <w:pStyle w:val="ES-Titre3"/>
      </w:pPr>
      <w:bookmarkStart w:id="34" w:name="_Toc491854017"/>
      <w:bookmarkStart w:id="35" w:name="_Toc535853796"/>
      <w:r>
        <w:t>4.04. cikk</w:t>
      </w:r>
      <w:r>
        <w:br/>
      </w:r>
      <w:r>
        <w:rPr>
          <w:i/>
          <w:noProof/>
        </w:rPr>
        <w:t>Merülési jelek</w:t>
      </w:r>
      <w:bookmarkEnd w:id="34"/>
      <w:bookmarkEnd w:id="35"/>
    </w:p>
    <w:p w:rsidR="00111867" w:rsidRPr="00C903F8" w:rsidRDefault="00111867" w:rsidP="006025D0">
      <w:pPr>
        <w:rPr>
          <w:noProof/>
        </w:rPr>
      </w:pPr>
    </w:p>
    <w:p w:rsidR="00853731" w:rsidRPr="00C903F8" w:rsidRDefault="00853731" w:rsidP="00853731">
      <w:pPr>
        <w:pStyle w:val="ESch"/>
        <w:rPr>
          <w:noProof/>
        </w:rPr>
      </w:pPr>
      <w:r>
        <w:t>1.</w:t>
      </w:r>
      <w:r>
        <w:tab/>
        <w:t>A 4.04. és 4.05. cikk alkalmazásában az R zóna egyenértékű a 3. zónával.</w:t>
      </w:r>
    </w:p>
    <w:p w:rsidR="00853731" w:rsidRPr="00C903F8" w:rsidRDefault="00853731" w:rsidP="006025D0">
      <w:pPr>
        <w:rPr>
          <w:noProof/>
        </w:rPr>
      </w:pPr>
    </w:p>
    <w:p w:rsidR="00C62373" w:rsidRPr="00C903F8" w:rsidRDefault="00853731" w:rsidP="00111867">
      <w:pPr>
        <w:pStyle w:val="ESch"/>
        <w:rPr>
          <w:noProof/>
        </w:rPr>
      </w:pPr>
      <w:r>
        <w:t>2.</w:t>
      </w:r>
      <w:r>
        <w:tab/>
        <w:t xml:space="preserve">A legnagyobb merülés síkját úgy kell meghatározni, hogy a minimális szabadoldalra és a minimális biztonsági távolságra vonatkozó előírások egyaránt teljesüljenek. Biztonsági okokból az ellenőrző szerv azonban meghatározhat nagyobb értéket a biztonsági távolságra és a szabadoldalra. </w:t>
      </w:r>
    </w:p>
    <w:p w:rsidR="00C62373" w:rsidRPr="00C903F8" w:rsidRDefault="00C62373" w:rsidP="00111867">
      <w:pPr>
        <w:pStyle w:val="ESch"/>
        <w:rPr>
          <w:noProof/>
        </w:rPr>
      </w:pPr>
    </w:p>
    <w:p w:rsidR="006025D0" w:rsidRPr="00C903F8" w:rsidRDefault="006025D0" w:rsidP="00C62373">
      <w:pPr>
        <w:pStyle w:val="ESchpar"/>
        <w:rPr>
          <w:noProof/>
        </w:rPr>
      </w:pPr>
      <w:r>
        <w:t>A legnagyobb merülés síkját legalább a 3. zónára vonatkozóan meg kell határozni.</w:t>
      </w:r>
    </w:p>
    <w:p w:rsidR="00500018" w:rsidRPr="00C903F8" w:rsidRDefault="00500018" w:rsidP="00111867">
      <w:pPr>
        <w:pStyle w:val="ESch"/>
      </w:pPr>
    </w:p>
    <w:p w:rsidR="006025D0" w:rsidRPr="00C903F8" w:rsidRDefault="00853731" w:rsidP="00111867">
      <w:pPr>
        <w:pStyle w:val="ESch"/>
      </w:pPr>
      <w:r>
        <w:t>3.</w:t>
      </w:r>
      <w:r>
        <w:tab/>
        <w:t>A legnagyobb merülés síkját jól látható és letörölhetetlen merülési jelekkel kell megjelölni.</w:t>
      </w:r>
    </w:p>
    <w:p w:rsidR="00500018" w:rsidRPr="00C903F8" w:rsidRDefault="00500018" w:rsidP="00111867">
      <w:pPr>
        <w:pStyle w:val="ESch"/>
        <w:rPr>
          <w:noProof/>
        </w:rPr>
      </w:pPr>
    </w:p>
    <w:p w:rsidR="006025D0" w:rsidRPr="00C903F8" w:rsidRDefault="00853731" w:rsidP="00111867">
      <w:pPr>
        <w:pStyle w:val="ESch"/>
      </w:pPr>
      <w:r>
        <w:t>4.</w:t>
      </w:r>
      <w:r>
        <w:tab/>
        <w:t>A 3. zóna tekintetében a merülési jelek egy 300 mm hosszú és 40 mm magas téglalapból állnak, amelyek alapvonala vízszintes, és egybeesik a megengedett legnagyobb merülés síkjával. Minden eltérő merülési jelnek tartalmaznia kell egy ilyen téglalapot.</w:t>
      </w:r>
    </w:p>
    <w:p w:rsidR="00500018" w:rsidRPr="00C903F8" w:rsidRDefault="00500018" w:rsidP="00111867">
      <w:pPr>
        <w:pStyle w:val="ESch"/>
        <w:rPr>
          <w:noProof/>
        </w:rPr>
      </w:pPr>
    </w:p>
    <w:p w:rsidR="006025D0" w:rsidRPr="00C903F8" w:rsidRDefault="00853731" w:rsidP="00111867">
      <w:pPr>
        <w:pStyle w:val="ESch"/>
      </w:pPr>
      <w:r>
        <w:t>5.</w:t>
      </w:r>
      <w:r>
        <w:tab/>
        <w:t xml:space="preserve">Minden hajót legalább három merülési jelpárral kell ellátni, eggyel az </w:t>
      </w:r>
      <m:oMath>
        <m:r>
          <w:rPr>
            <w:rFonts w:ascii="Cambria Math" w:hAnsi="Cambria Math" w:cs="Arial"/>
            <w:noProof/>
            <w:szCs w:val="20"/>
          </w:rPr>
          <m:t>L</m:t>
        </m:r>
      </m:oMath>
      <w:r>
        <w:t xml:space="preserve"> hosszúság 1/2-énél, egy-egy további párral pedig az </w:t>
      </w:r>
      <m:oMath>
        <m:r>
          <w:rPr>
            <w:rFonts w:ascii="Cambria Math" w:hAnsi="Cambria Math" w:cs="Arial"/>
            <w:noProof/>
            <w:szCs w:val="20"/>
          </w:rPr>
          <m:t>L</m:t>
        </m:r>
      </m:oMath>
      <w:r>
        <w:t xml:space="preserve"> hosszúság körülbelül 1/6-ával megegyező távolságban az orr mögött, illetve a far előtt.</w:t>
      </w:r>
    </w:p>
    <w:p w:rsidR="00500018" w:rsidRPr="00C903F8" w:rsidRDefault="00500018" w:rsidP="00111867">
      <w:pPr>
        <w:pStyle w:val="ESch"/>
        <w:rPr>
          <w:noProof/>
        </w:rPr>
      </w:pPr>
    </w:p>
    <w:p w:rsidR="006025D0" w:rsidRPr="00C903F8" w:rsidRDefault="006025D0" w:rsidP="00111867">
      <w:pPr>
        <w:pStyle w:val="ESchpar"/>
      </w:pPr>
      <w:r>
        <w:t>Mindazonáltal:</w:t>
      </w:r>
    </w:p>
    <w:p w:rsidR="006025D0" w:rsidRPr="00C903F8" w:rsidRDefault="005C7859" w:rsidP="00DF19D3">
      <w:pPr>
        <w:pStyle w:val="ESlet"/>
      </w:pPr>
      <w:r>
        <w:t>a)</w:t>
      </w:r>
      <w:r>
        <w:tab/>
        <w:t xml:space="preserve">azoknál a hajóknál, amelyek </w:t>
      </w:r>
      <m:oMath>
        <m:r>
          <w:rPr>
            <w:rFonts w:ascii="Cambria Math" w:hAnsi="Cambria Math" w:cs="Arial"/>
            <w:noProof/>
            <w:szCs w:val="20"/>
          </w:rPr>
          <m:t>L</m:t>
        </m:r>
      </m:oMath>
      <w:r>
        <w:t xml:space="preserve"> hosszúsága 40 m-nél kisebb, elegendő egy-egy jelpár felhelyezése az </w:t>
      </w:r>
      <m:oMath>
        <m:r>
          <w:rPr>
            <w:rFonts w:ascii="Cambria Math" w:hAnsi="Cambria Math" w:cs="Arial"/>
            <w:noProof/>
            <w:szCs w:val="20"/>
          </w:rPr>
          <m:t>L</m:t>
        </m:r>
      </m:oMath>
      <w:r>
        <w:t xml:space="preserve"> hosszúság egynegyedével megegyező távolságban az orr mögött, illetve a far előtt;</w:t>
      </w:r>
    </w:p>
    <w:p w:rsidR="006025D0" w:rsidRPr="00C903F8" w:rsidRDefault="005C7859" w:rsidP="00DF19D3">
      <w:pPr>
        <w:pStyle w:val="ESlet"/>
      </w:pPr>
      <w:r>
        <w:t>b)</w:t>
      </w:r>
      <w:r>
        <w:tab/>
        <w:t>azoknál a hajóknál, amelyek nem áruszállításra szolgálnak, elegendő egy jelpárt felhelyezni a hajó hosszúságának körülbelül a felénél.</w:t>
      </w:r>
    </w:p>
    <w:p w:rsidR="00500018" w:rsidRPr="00C903F8" w:rsidRDefault="00500018" w:rsidP="00500018">
      <w:r>
        <w:br w:type="page"/>
      </w:r>
    </w:p>
    <w:p w:rsidR="006025D0" w:rsidRPr="00C903F8" w:rsidRDefault="00853731" w:rsidP="00844E91">
      <w:pPr>
        <w:pStyle w:val="ESch"/>
      </w:pPr>
      <w:r>
        <w:t>6.</w:t>
      </w:r>
      <w:r>
        <w:tab/>
        <w:t xml:space="preserve">Az újabb </w:t>
      </w:r>
      <w:r w:rsidR="0092642D">
        <w:t xml:space="preserve">vizsgálat </w:t>
      </w:r>
      <w:r>
        <w:t>következtében érvénytelenné vált jeleket és jelzéseket az ellenőrző szerv felügyelete alatt el kell távolítani vagy érvénytelenként kell megjelölni. Az elhalványult merülési jel kizárólag az ellenőrző szerv felügyelete alatt pótolható.</w:t>
      </w:r>
    </w:p>
    <w:p w:rsidR="00500018" w:rsidRPr="00C903F8" w:rsidRDefault="00500018" w:rsidP="00844E91">
      <w:pPr>
        <w:pStyle w:val="ESch"/>
      </w:pPr>
    </w:p>
    <w:p w:rsidR="006025D0" w:rsidRPr="00C903F8" w:rsidRDefault="00853731" w:rsidP="00844E91">
      <w:pPr>
        <w:pStyle w:val="ESch"/>
      </w:pPr>
      <w:r>
        <w:t>7.</w:t>
      </w:r>
      <w:r>
        <w:tab/>
        <w:t>Amennyiben egy hajót a belvízi hajók köbözéséről szóló 1966. évi egyezmény szerint köböztek, és a köbözési jelek síkja megfelel az ezen szabványban előírtaknak, ezek a köbözési jelek merülési jeleknek is számítanak; ezt fel kell tüntetni a belvízi hajóbizonyítványban is.</w:t>
      </w:r>
    </w:p>
    <w:p w:rsidR="00500018" w:rsidRPr="00C903F8" w:rsidRDefault="00500018" w:rsidP="00844E91">
      <w:pPr>
        <w:pStyle w:val="ESch"/>
        <w:rPr>
          <w:noProof/>
        </w:rPr>
      </w:pPr>
    </w:p>
    <w:p w:rsidR="006025D0" w:rsidRPr="00C903F8" w:rsidRDefault="00853731" w:rsidP="00844E91">
      <w:pPr>
        <w:pStyle w:val="ESch"/>
        <w:rPr>
          <w:noProof/>
        </w:rPr>
      </w:pPr>
      <w:r>
        <w:t>8.</w:t>
      </w:r>
      <w:r>
        <w:tab/>
        <w:t>Nem 3. zónabeli (azaz 1., 2. vagy 4. zónabeli) belvízi utakon üzemelő hajók esetében a 4. bekezdésben előírt orr felőli és far felőli jelpárt ki kell egészíteni egy függőleges vonallal, amelyhez egy további – illetve több zóna esetében több további – 150 mm hosszú merülési vonalat kell illeszteni, melyek az orr irányába néznek és a 3. zónára vonatkozó merülési vonalhoz kapcsolódnak.</w:t>
      </w:r>
    </w:p>
    <w:p w:rsidR="00500018" w:rsidRPr="00C903F8" w:rsidRDefault="00500018" w:rsidP="00844E91">
      <w:pPr>
        <w:pStyle w:val="ESch"/>
        <w:rPr>
          <w:noProof/>
        </w:rPr>
      </w:pPr>
    </w:p>
    <w:p w:rsidR="00500018" w:rsidRPr="00F125EF" w:rsidRDefault="00500018" w:rsidP="00320866">
      <w:pPr>
        <w:pStyle w:val="ESchpar"/>
        <w:rPr>
          <w:noProof/>
          <w:lang w:val="fr-FR"/>
        </w:rPr>
      </w:pPr>
      <w:r w:rsidRPr="00F125EF">
        <w:rPr>
          <w:lang w:val="fr-FR"/>
        </w:rPr>
        <w:t>A függőleges vonalnak és a vízszintes vonalnak 30 mm vastagnak kell lennie. A hajó orra felé néző merülési vonalon kívül a megfelelő zóna számát is fel kell tüntetni 60 mm magas × 40 mm széles karakterekkel (lásd: 1. ábra).</w:t>
      </w:r>
    </w:p>
    <w:p w:rsidR="00500018" w:rsidRPr="00F125EF" w:rsidRDefault="00500018" w:rsidP="00500018">
      <w:pPr>
        <w:rPr>
          <w:noProof/>
          <w:lang w:val="fr-FR"/>
        </w:rPr>
      </w:pPr>
    </w:p>
    <w:p w:rsidR="00500018" w:rsidRPr="00F125EF" w:rsidRDefault="00500018" w:rsidP="00500018">
      <w:pPr>
        <w:rPr>
          <w:lang w:val="fr-FR"/>
        </w:rPr>
      </w:pPr>
    </w:p>
    <w:p w:rsidR="006025D0" w:rsidRPr="00C903F8" w:rsidRDefault="00014931" w:rsidP="00500018">
      <w:pPr>
        <w:jc w:val="center"/>
      </w:pPr>
      <w:r>
        <w:rPr>
          <w:noProof/>
        </w:rPr>
        <w:drawing>
          <wp:inline distT="0" distB="0" distL="0" distR="0" wp14:anchorId="5E502055" wp14:editId="42F5500B">
            <wp:extent cx="4654550" cy="3484880"/>
            <wp:effectExtent l="0" t="0" r="0" b="1270"/>
            <wp:docPr id="28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54550" cy="3484880"/>
                    </a:xfrm>
                    <a:prstGeom prst="rect">
                      <a:avLst/>
                    </a:prstGeom>
                    <a:noFill/>
                  </pic:spPr>
                </pic:pic>
              </a:graphicData>
            </a:graphic>
          </wp:inline>
        </w:drawing>
      </w:r>
    </w:p>
    <w:p w:rsidR="006025D0" w:rsidRPr="00C903F8" w:rsidRDefault="00500018" w:rsidP="00500018">
      <w:pPr>
        <w:jc w:val="center"/>
        <w:rPr>
          <w:i/>
        </w:rPr>
      </w:pPr>
      <w:r>
        <w:rPr>
          <w:i/>
          <w:noProof/>
        </w:rPr>
        <w:t>1. ábra</w:t>
      </w:r>
    </w:p>
    <w:p w:rsidR="006025D0" w:rsidRPr="00C903F8" w:rsidRDefault="00500018" w:rsidP="006025D0">
      <w:r>
        <w:br w:type="page"/>
      </w:r>
    </w:p>
    <w:p w:rsidR="006025D0" w:rsidRPr="00C903F8" w:rsidRDefault="006025D0" w:rsidP="00500018">
      <w:pPr>
        <w:pStyle w:val="ES-Titre3"/>
        <w:rPr>
          <w:i/>
        </w:rPr>
      </w:pPr>
      <w:bookmarkStart w:id="36" w:name="_Toc491854018"/>
      <w:bookmarkStart w:id="37" w:name="_Toc535853797"/>
      <w:r>
        <w:t>4.05. cikk</w:t>
      </w:r>
      <w:r>
        <w:br/>
      </w:r>
      <w:r>
        <w:rPr>
          <w:i/>
          <w:noProof/>
        </w:rPr>
        <w:t>A nem mindig zárt rakománytérrel közlekedő hajók fröccsenővíz- és időjárás-állóságot biztosító legnagyobb terhelt merülése</w:t>
      </w:r>
      <w:bookmarkEnd w:id="36"/>
      <w:bookmarkEnd w:id="37"/>
    </w:p>
    <w:p w:rsidR="00320866" w:rsidRPr="00C903F8" w:rsidRDefault="00320866" w:rsidP="00500018"/>
    <w:p w:rsidR="006025D0" w:rsidRPr="00C903F8" w:rsidRDefault="006025D0" w:rsidP="00320866">
      <w:pPr>
        <w:pStyle w:val="ESgauche"/>
      </w:pPr>
      <w:r>
        <w:t>Ha egy hajó esetében a legnagyobb merülés síkja a 3. zónára vonatkozóan annak feltételezésével került meghatározásra, hogy a rakományterek fröccsenővíz- és időjárásálló módon zárhatók, valamint ha a legnagyobb merülés síkja és a nyíláskeret felső széle közötti távolság 500 mm-nél kisebb, akkor nyitott rakománytérrel való hajózás esetére meg kell határozni a legnagyobb merülést.</w:t>
      </w:r>
    </w:p>
    <w:p w:rsidR="00500018" w:rsidRPr="00C903F8" w:rsidRDefault="00500018" w:rsidP="00320866">
      <w:pPr>
        <w:pStyle w:val="ESgauche"/>
      </w:pPr>
    </w:p>
    <w:p w:rsidR="006025D0" w:rsidRPr="00C903F8" w:rsidRDefault="006025D0" w:rsidP="00320866">
      <w:pPr>
        <w:pStyle w:val="ESgauche"/>
      </w:pPr>
      <w:r>
        <w:t>A belvízi hajóbizonyítványban fel kell tüntetni a következő mondatot:</w:t>
      </w:r>
    </w:p>
    <w:p w:rsidR="00500018" w:rsidRPr="00C903F8" w:rsidRDefault="00500018" w:rsidP="006025D0"/>
    <w:p w:rsidR="006025D0" w:rsidRPr="00C903F8" w:rsidRDefault="004271FC" w:rsidP="00500018">
      <w:pPr>
        <w:jc w:val="center"/>
      </w:pPr>
      <w:r>
        <w:t>„Ha a rakománytér nyílása teljesen vagy részben fedetlen, a hajó csak a 3. zónára / R zónára vonatkozó merülési vonal alatt ... mm-rel lévő szintig rakodható meg.”</w:t>
      </w:r>
    </w:p>
    <w:p w:rsidR="006025D0" w:rsidRPr="00C903F8" w:rsidRDefault="006025D0" w:rsidP="006025D0"/>
    <w:p w:rsidR="00500018" w:rsidRPr="00C903F8" w:rsidRDefault="00500018" w:rsidP="006025D0"/>
    <w:p w:rsidR="006025D0" w:rsidRPr="00C903F8" w:rsidRDefault="006025D0" w:rsidP="00500018">
      <w:pPr>
        <w:pStyle w:val="ES-Titre3"/>
        <w:rPr>
          <w:i/>
        </w:rPr>
      </w:pPr>
      <w:bookmarkStart w:id="38" w:name="_Toc491854019"/>
      <w:bookmarkStart w:id="39" w:name="_Toc535853798"/>
      <w:r>
        <w:t>4.06. cikk</w:t>
      </w:r>
      <w:r>
        <w:br/>
      </w:r>
      <w:r>
        <w:rPr>
          <w:i/>
          <w:noProof/>
        </w:rPr>
        <w:t>Merülési mércék</w:t>
      </w:r>
      <w:bookmarkEnd w:id="38"/>
      <w:bookmarkEnd w:id="39"/>
    </w:p>
    <w:p w:rsidR="00500018" w:rsidRPr="00C903F8" w:rsidRDefault="00500018" w:rsidP="00320866">
      <w:pPr>
        <w:pStyle w:val="ESch"/>
        <w:rPr>
          <w:noProof/>
        </w:rPr>
      </w:pPr>
    </w:p>
    <w:p w:rsidR="006025D0" w:rsidRPr="00C903F8" w:rsidRDefault="006025D0" w:rsidP="00320866">
      <w:pPr>
        <w:pStyle w:val="ESch"/>
      </w:pPr>
      <w:r>
        <w:t>1.</w:t>
      </w:r>
      <w:r>
        <w:tab/>
        <w:t>Olyan hajók esetében, amelyek merülése meghaladhatja az 1 m-t, a hajó fara felé mindkét oldalon egy-egy merülési mércét kell elhelyezni; ezeken kívül további mércék is elhelyezhetők.</w:t>
      </w:r>
    </w:p>
    <w:p w:rsidR="00500018" w:rsidRPr="00C903F8" w:rsidRDefault="00500018" w:rsidP="00320866">
      <w:pPr>
        <w:pStyle w:val="ESch"/>
        <w:rPr>
          <w:noProof/>
        </w:rPr>
      </w:pPr>
    </w:p>
    <w:p w:rsidR="006025D0" w:rsidRPr="00C903F8" w:rsidRDefault="006025D0" w:rsidP="00320866">
      <w:pPr>
        <w:pStyle w:val="ESch"/>
      </w:pPr>
      <w:r>
        <w:t>2.</w:t>
      </w:r>
      <w:r>
        <w:tab/>
        <w:t>Minden egyes merülési mérce nullpontjának függőlegesen azon a legnagyobb merüléssel párhuzamos síkon kell elhelyezkednie, amely a hajótest legmélyebb pontján vagy – amennyiben van – a gerinc legmélyebb pontján megy keresztül.  A nullpont feletti függőleges távolságot deciméteres mérőskálával kell ellátni. Az üres merülés síkjától a legnagyobb merülési sík feletti 100 mm-ig a beosztást pontozással vagy bevéséssel és két eltérő színnel váltakozva, jól látható sávként kell jelölni valamennyi mércén. Ezt a beosztást a mérce mellett számozással is jelölni kell öt deciméterenként és a mérce felső pontján.</w:t>
      </w:r>
    </w:p>
    <w:p w:rsidR="00500018" w:rsidRPr="00C903F8" w:rsidRDefault="00500018" w:rsidP="00320866">
      <w:pPr>
        <w:pStyle w:val="ESch"/>
        <w:rPr>
          <w:noProof/>
        </w:rPr>
      </w:pPr>
    </w:p>
    <w:p w:rsidR="006025D0" w:rsidRPr="00C903F8" w:rsidRDefault="006025D0" w:rsidP="00320866">
      <w:pPr>
        <w:pStyle w:val="ESch"/>
      </w:pPr>
      <w:r>
        <w:t>3.</w:t>
      </w:r>
      <w:r>
        <w:tab/>
        <w:t>A két hátsó köbözési mérce, amelyeket a 4.04. cikk 7. bekezdésében említett egyezmény szerint helyeztek el, helyettesítheti a merülési mércéket, feltéve, hogy a követelmények szerinti beosztással készültek, és ahol szükséges, a merülés számértékei is feltüntetésre kerültek.</w:t>
      </w:r>
    </w:p>
    <w:p w:rsidR="00745DD2" w:rsidRPr="00C903F8" w:rsidRDefault="00745DD2" w:rsidP="00E1027C">
      <w:pPr>
        <w:spacing w:line="240" w:lineRule="atLeast"/>
        <w:rPr>
          <w:rFonts w:eastAsia="Calibri"/>
        </w:rPr>
      </w:pPr>
    </w:p>
    <w:p w:rsidR="001F1A9D" w:rsidRPr="00C903F8" w:rsidRDefault="001F1A9D" w:rsidP="00745DD2">
      <w:pPr>
        <w:pStyle w:val="ES-Titre3"/>
        <w:spacing w:line="240" w:lineRule="atLeast"/>
        <w:jc w:val="both"/>
        <w:rPr>
          <w:b w:val="0"/>
          <w:sz w:val="20"/>
        </w:rPr>
      </w:pPr>
    </w:p>
    <w:p w:rsidR="005E15D4" w:rsidRPr="00C903F8" w:rsidRDefault="005E15D4" w:rsidP="005E15D4">
      <w:pPr>
        <w:pStyle w:val="ES-Titre3"/>
        <w:rPr>
          <w:i/>
        </w:rPr>
      </w:pPr>
      <w:bookmarkStart w:id="40" w:name="_Toc491854020"/>
      <w:bookmarkStart w:id="41" w:name="_Toc535853799"/>
      <w:r>
        <w:t>4.07. cikk</w:t>
      </w:r>
      <w:r>
        <w:br/>
      </w:r>
      <w:r>
        <w:rPr>
          <w:i/>
          <w:noProof/>
        </w:rPr>
        <w:t>A 4. zónába tartozó vízi utakon közlekedő hajókra vonatkozó külön követelmények</w:t>
      </w:r>
      <w:bookmarkEnd w:id="40"/>
      <w:bookmarkEnd w:id="41"/>
    </w:p>
    <w:p w:rsidR="00745DD2" w:rsidRPr="00C903F8" w:rsidRDefault="00745DD2" w:rsidP="00745DD2">
      <w:pPr>
        <w:pStyle w:val="ES-Titre3"/>
        <w:spacing w:line="240" w:lineRule="atLeast"/>
        <w:jc w:val="both"/>
        <w:rPr>
          <w:b w:val="0"/>
          <w:sz w:val="20"/>
        </w:rPr>
      </w:pPr>
    </w:p>
    <w:p w:rsidR="005E15D4" w:rsidRPr="00C903F8" w:rsidRDefault="005E15D4" w:rsidP="005E15D4">
      <w:pPr>
        <w:pStyle w:val="ESch"/>
        <w:rPr>
          <w:noProof/>
        </w:rPr>
      </w:pPr>
      <w:r>
        <w:t xml:space="preserve">1. </w:t>
      </w:r>
      <w:r>
        <w:tab/>
        <w:t>A 4.01. cikk 1. és 2. bekezdésétől eltérve, a 4. zónába tartozó vízi utakon közlekedő hajók rakománytérnyílásokon kívüli ajtajainak és nyílásainak biztonsági távolsága a következők szerint csökkenthető:</w:t>
      </w:r>
    </w:p>
    <w:p w:rsidR="005E15D4" w:rsidRPr="00C903F8" w:rsidRDefault="005E15D4" w:rsidP="00493339">
      <w:pPr>
        <w:pStyle w:val="ESlet"/>
        <w:rPr>
          <w:noProof/>
        </w:rPr>
      </w:pPr>
      <w:r>
        <w:t>a)</w:t>
      </w:r>
      <w:r>
        <w:tab/>
        <w:t>a fröccsenővíz- és időjárásálló módon zárható nyílások esetében 150 mm-re;</w:t>
      </w:r>
    </w:p>
    <w:p w:rsidR="005E15D4" w:rsidRPr="00C903F8" w:rsidRDefault="005E15D4" w:rsidP="00493339">
      <w:pPr>
        <w:pStyle w:val="ESlet"/>
        <w:rPr>
          <w:noProof/>
        </w:rPr>
      </w:pPr>
      <w:r>
        <w:t>b)</w:t>
      </w:r>
      <w:r>
        <w:tab/>
        <w:t>a fröccsenővíz- és időjárásálló módon nem zárható nyílások esetében 200 mm-re.</w:t>
      </w:r>
    </w:p>
    <w:p w:rsidR="005E15D4" w:rsidRPr="00C903F8" w:rsidRDefault="005E15D4" w:rsidP="005E15D4">
      <w:pPr>
        <w:pStyle w:val="ESch"/>
        <w:rPr>
          <w:noProof/>
        </w:rPr>
      </w:pPr>
    </w:p>
    <w:p w:rsidR="00745DD2" w:rsidRPr="00C903F8" w:rsidRDefault="005E15D4" w:rsidP="005E15D4">
      <w:pPr>
        <w:pStyle w:val="ESch"/>
        <w:rPr>
          <w:noProof/>
        </w:rPr>
      </w:pPr>
      <w:r>
        <w:t xml:space="preserve">2. </w:t>
      </w:r>
      <w:r>
        <w:tab/>
        <w:t>A 4.02. cikktől eltérve, a 4. zónába tartozó vízi utakon közlekedő hajók minimális szabadoldala 0 mm, ha az 1. bekezdés szerinti biztonsági távolság betartásra kerül.</w:t>
      </w:r>
    </w:p>
    <w:p w:rsidR="00A60727" w:rsidRPr="00C903F8" w:rsidRDefault="00A60727" w:rsidP="005E15D4">
      <w:pPr>
        <w:pStyle w:val="ESch"/>
        <w:rPr>
          <w:noProof/>
        </w:rPr>
      </w:pPr>
    </w:p>
    <w:p w:rsidR="00A60727" w:rsidRPr="00C903F8" w:rsidRDefault="00A60727" w:rsidP="005E15D4">
      <w:pPr>
        <w:pStyle w:val="ESch"/>
        <w:rPr>
          <w:noProof/>
        </w:rPr>
      </w:pPr>
    </w:p>
    <w:p w:rsidR="006D6907" w:rsidRPr="00C903F8" w:rsidRDefault="006D6907" w:rsidP="005E15D4">
      <w:pPr>
        <w:pStyle w:val="ESch"/>
        <w:rPr>
          <w:noProof/>
        </w:rPr>
      </w:pPr>
      <w:r>
        <w:br w:type="page"/>
      </w:r>
    </w:p>
    <w:p w:rsidR="006D6907" w:rsidRPr="00C903F8" w:rsidRDefault="006D6907" w:rsidP="005E15D4">
      <w:pPr>
        <w:pStyle w:val="ESch"/>
        <w:rPr>
          <w:noProof/>
        </w:rPr>
      </w:pPr>
    </w:p>
    <w:p w:rsidR="006D6907" w:rsidRPr="00C903F8" w:rsidRDefault="006D6907" w:rsidP="005E15D4">
      <w:pPr>
        <w:pStyle w:val="ESch"/>
        <w:rPr>
          <w:noProof/>
        </w:rPr>
      </w:pPr>
    </w:p>
    <w:p w:rsidR="00A60727" w:rsidRPr="00C903F8" w:rsidRDefault="00A60727" w:rsidP="005E15D4">
      <w:pPr>
        <w:pStyle w:val="ESch"/>
        <w:rPr>
          <w:noProof/>
        </w:rPr>
      </w:pPr>
    </w:p>
    <w:p w:rsidR="00A06CEC" w:rsidRPr="00C903F8" w:rsidRDefault="00A06CEC" w:rsidP="00E1027C">
      <w:pPr>
        <w:pStyle w:val="ES-Titre2"/>
      </w:pPr>
      <w:bookmarkStart w:id="42" w:name="_Toc491854021"/>
      <w:bookmarkStart w:id="43" w:name="_Toc535853800"/>
      <w:r>
        <w:t>5. fejezet</w:t>
      </w:r>
      <w:r>
        <w:br/>
        <w:t>Műveletképesség</w:t>
      </w:r>
      <w:bookmarkEnd w:id="42"/>
      <w:bookmarkEnd w:id="43"/>
    </w:p>
    <w:p w:rsidR="00745DD2" w:rsidRPr="00C903F8" w:rsidRDefault="00745DD2" w:rsidP="00E1027C">
      <w:pPr>
        <w:pStyle w:val="ES-Titre3"/>
        <w:spacing w:line="240" w:lineRule="atLeast"/>
      </w:pPr>
    </w:p>
    <w:p w:rsidR="00500018" w:rsidRPr="00C903F8" w:rsidRDefault="00500018" w:rsidP="00500018">
      <w:pPr>
        <w:pStyle w:val="ES-Titre3"/>
      </w:pPr>
      <w:bookmarkStart w:id="44" w:name="_Toc491854022"/>
      <w:bookmarkStart w:id="45" w:name="_Toc535853801"/>
      <w:r>
        <w:t>5.01. cikk</w:t>
      </w:r>
      <w:r>
        <w:br/>
      </w:r>
      <w:r>
        <w:rPr>
          <w:i/>
          <w:noProof/>
        </w:rPr>
        <w:t>Általános rendelkezések</w:t>
      </w:r>
      <w:bookmarkEnd w:id="44"/>
      <w:bookmarkEnd w:id="45"/>
    </w:p>
    <w:p w:rsidR="00500018" w:rsidRPr="00C903F8" w:rsidRDefault="00500018" w:rsidP="00500018">
      <w:pPr>
        <w:rPr>
          <w:noProof/>
          <w:szCs w:val="20"/>
        </w:rPr>
      </w:pPr>
    </w:p>
    <w:p w:rsidR="00500018" w:rsidRPr="00C903F8" w:rsidRDefault="00F64273" w:rsidP="000225FB">
      <w:pPr>
        <w:pStyle w:val="ESch"/>
      </w:pPr>
      <w:r>
        <w:t>1.</w:t>
      </w:r>
      <w:r>
        <w:tab/>
        <w:t>A hajóknak és kötelékeknek megfelelő menettulajdonságokkal és műveletképességgel kell rendelkezniük.</w:t>
      </w:r>
    </w:p>
    <w:p w:rsidR="00500018" w:rsidRPr="00C903F8" w:rsidRDefault="00500018" w:rsidP="000225FB">
      <w:pPr>
        <w:pStyle w:val="ESch"/>
      </w:pPr>
    </w:p>
    <w:p w:rsidR="00500018" w:rsidRPr="00C903F8" w:rsidRDefault="00F64273" w:rsidP="000225FB">
      <w:pPr>
        <w:pStyle w:val="ESch"/>
      </w:pPr>
      <w:r>
        <w:t>2.</w:t>
      </w:r>
      <w:r>
        <w:tab/>
        <w:t>A meghajtás nélküli, vontatásra szánt hajóknak meg kell megfelelniük az ellenőrző szerv által előírt külön követelményeknek.</w:t>
      </w:r>
    </w:p>
    <w:p w:rsidR="00500018" w:rsidRPr="00C903F8" w:rsidRDefault="00500018" w:rsidP="000225FB">
      <w:pPr>
        <w:pStyle w:val="ESch"/>
      </w:pPr>
    </w:p>
    <w:p w:rsidR="00500018" w:rsidRPr="00C903F8" w:rsidRDefault="00F64273" w:rsidP="000225FB">
      <w:pPr>
        <w:pStyle w:val="ESch"/>
      </w:pPr>
      <w:r>
        <w:t>3.</w:t>
      </w:r>
      <w:r>
        <w:tab/>
        <w:t>Az önjáró hajóknak és kötelékeknek meg kell felelniük az 5.02–5.10. cikkben előírt követelményeknek.</w:t>
      </w:r>
    </w:p>
    <w:p w:rsidR="00500018" w:rsidRPr="00C903F8" w:rsidRDefault="00500018" w:rsidP="00065064">
      <w:pPr>
        <w:pStyle w:val="ESch"/>
      </w:pPr>
    </w:p>
    <w:p w:rsidR="00500018" w:rsidRPr="00C903F8" w:rsidRDefault="00500018" w:rsidP="00500018">
      <w:pPr>
        <w:rPr>
          <w:szCs w:val="20"/>
        </w:rPr>
      </w:pPr>
    </w:p>
    <w:p w:rsidR="00500018" w:rsidRPr="00C903F8" w:rsidRDefault="00500018" w:rsidP="00500018">
      <w:pPr>
        <w:pStyle w:val="ES-Titre3"/>
      </w:pPr>
      <w:bookmarkStart w:id="46" w:name="_Toc491854023"/>
      <w:bookmarkStart w:id="47" w:name="_Toc535853802"/>
      <w:r>
        <w:t>5.02. cikk</w:t>
      </w:r>
      <w:r>
        <w:br/>
      </w:r>
      <w:r>
        <w:rPr>
          <w:i/>
          <w:noProof/>
        </w:rPr>
        <w:t>Próbautak</w:t>
      </w:r>
      <w:bookmarkEnd w:id="46"/>
      <w:bookmarkEnd w:id="47"/>
    </w:p>
    <w:p w:rsidR="00500018" w:rsidRPr="00C903F8" w:rsidRDefault="00500018" w:rsidP="00320866">
      <w:pPr>
        <w:pStyle w:val="ESch"/>
        <w:rPr>
          <w:noProof/>
        </w:rPr>
      </w:pPr>
    </w:p>
    <w:p w:rsidR="00500018" w:rsidRPr="00C903F8" w:rsidRDefault="00500018" w:rsidP="00320866">
      <w:pPr>
        <w:pStyle w:val="ESch"/>
      </w:pPr>
      <w:r>
        <w:t>1.</w:t>
      </w:r>
      <w:r>
        <w:tab/>
        <w:t>A menettulajdonságokat és a műveletképességet próbautakon kell ellenőrizni. Különösen az 5.06–5.10. cikk követelményeinek való megfelelést kell vizsgálni.</w:t>
      </w:r>
    </w:p>
    <w:p w:rsidR="00500018" w:rsidRPr="00C903F8" w:rsidRDefault="00500018" w:rsidP="00320866">
      <w:pPr>
        <w:pStyle w:val="ESch"/>
        <w:rPr>
          <w:noProof/>
        </w:rPr>
      </w:pPr>
    </w:p>
    <w:p w:rsidR="00500018" w:rsidRPr="00C903F8" w:rsidRDefault="00500018" w:rsidP="00320866">
      <w:pPr>
        <w:pStyle w:val="ESch"/>
      </w:pPr>
      <w:r>
        <w:t>2.</w:t>
      </w:r>
      <w:r>
        <w:tab/>
        <w:t>Az ellenőrző szerv részben vagy teljes egészében eltekinthet a próbautaktól, ha a menettulajdonságokra és a műveletképességre vonatkozó követelményeknek való megfelelés más módon is igazolható.</w:t>
      </w:r>
    </w:p>
    <w:p w:rsidR="00500018" w:rsidRPr="00C903F8" w:rsidRDefault="00500018" w:rsidP="00500018">
      <w:pPr>
        <w:rPr>
          <w:szCs w:val="20"/>
        </w:rPr>
      </w:pPr>
    </w:p>
    <w:p w:rsidR="00500018" w:rsidRPr="00C903F8" w:rsidRDefault="00500018" w:rsidP="00500018">
      <w:pPr>
        <w:rPr>
          <w:szCs w:val="20"/>
        </w:rPr>
      </w:pPr>
    </w:p>
    <w:p w:rsidR="00500018" w:rsidRPr="00C903F8" w:rsidRDefault="00500018" w:rsidP="00500018">
      <w:pPr>
        <w:pStyle w:val="ES-Titre3"/>
      </w:pPr>
      <w:bookmarkStart w:id="48" w:name="_Toc491854024"/>
      <w:bookmarkStart w:id="49" w:name="_Toc535853803"/>
      <w:r>
        <w:t>5.03. cikk</w:t>
      </w:r>
      <w:r>
        <w:br/>
      </w:r>
      <w:r>
        <w:rPr>
          <w:i/>
          <w:noProof/>
        </w:rPr>
        <w:t>A próbautak útvonala</w:t>
      </w:r>
      <w:bookmarkEnd w:id="48"/>
      <w:bookmarkEnd w:id="49"/>
    </w:p>
    <w:p w:rsidR="00500018" w:rsidRPr="00C903F8" w:rsidRDefault="00500018" w:rsidP="00320866">
      <w:pPr>
        <w:pStyle w:val="ESch"/>
        <w:rPr>
          <w:noProof/>
        </w:rPr>
      </w:pPr>
    </w:p>
    <w:p w:rsidR="00500018" w:rsidRPr="00C903F8" w:rsidRDefault="00500018" w:rsidP="00320866">
      <w:pPr>
        <w:pStyle w:val="ESch"/>
      </w:pPr>
      <w:r>
        <w:t>1.</w:t>
      </w:r>
      <w:r>
        <w:tab/>
        <w:t>Az 5.02. cikk szerinti próbautakra az illetékes hatóság által kijelölt belvízi útvonalakon kerül sor.</w:t>
      </w:r>
    </w:p>
    <w:p w:rsidR="00500018" w:rsidRPr="00C903F8" w:rsidRDefault="00500018" w:rsidP="00320866">
      <w:pPr>
        <w:pStyle w:val="ESch"/>
        <w:rPr>
          <w:noProof/>
        </w:rPr>
      </w:pPr>
    </w:p>
    <w:p w:rsidR="00500018" w:rsidRPr="00C903F8" w:rsidRDefault="00500018" w:rsidP="00320866">
      <w:pPr>
        <w:pStyle w:val="ESch"/>
      </w:pPr>
      <w:r>
        <w:t>2.</w:t>
      </w:r>
      <w:r>
        <w:tab/>
        <w:t>A próbautak útvonalai a folyó vagy állóvíz olyan szakaszán helyezkednek el, amely lehetőleg legalább 2 km hosszan egyenes, megfelelő szélességgel rendelkezik, valamint a hajó helyzetének megállapításához jól megkülönböztethető jelzésekkel van ellátva.</w:t>
      </w:r>
    </w:p>
    <w:p w:rsidR="00500018" w:rsidRPr="00C903F8" w:rsidRDefault="00500018" w:rsidP="00320866">
      <w:pPr>
        <w:pStyle w:val="ESch"/>
        <w:rPr>
          <w:noProof/>
        </w:rPr>
      </w:pPr>
    </w:p>
    <w:p w:rsidR="00500018" w:rsidRPr="00C903F8" w:rsidRDefault="00500018" w:rsidP="00320866">
      <w:pPr>
        <w:pStyle w:val="ESch"/>
      </w:pPr>
      <w:r>
        <w:t>3.</w:t>
      </w:r>
      <w:r>
        <w:tab/>
        <w:t>Biztosítani kell, hogy az ellenőrző szerv a különböző vízállások függvényében rögzíthesse a hidrológiai adatokat, például a vízmélységet, a hajózható út szélességét és az áramlás átlagos sebességét a hajózási útvonalon.</w:t>
      </w:r>
    </w:p>
    <w:p w:rsidR="00500018" w:rsidRPr="00C903F8" w:rsidRDefault="00500018" w:rsidP="00320866">
      <w:pPr>
        <w:pStyle w:val="ESch"/>
      </w:pPr>
    </w:p>
    <w:p w:rsidR="00500018" w:rsidRPr="00C903F8" w:rsidRDefault="00500018" w:rsidP="00533048">
      <w:pPr>
        <w:pStyle w:val="ESch"/>
      </w:pPr>
    </w:p>
    <w:p w:rsidR="00500018" w:rsidRPr="00C903F8" w:rsidRDefault="00500018" w:rsidP="00500018">
      <w:pPr>
        <w:pStyle w:val="ES-Titre3"/>
      </w:pPr>
      <w:bookmarkStart w:id="50" w:name="_Toc491854025"/>
      <w:bookmarkStart w:id="51" w:name="_Toc535853804"/>
      <w:r>
        <w:t>5.04. cikk</w:t>
      </w:r>
      <w:r>
        <w:br/>
      </w:r>
      <w:r>
        <w:rPr>
          <w:i/>
          <w:noProof/>
        </w:rPr>
        <w:t>A hajók és kötelékek megrakodásának mértéke a próbautak során</w:t>
      </w:r>
      <w:bookmarkEnd w:id="50"/>
      <w:bookmarkEnd w:id="51"/>
    </w:p>
    <w:p w:rsidR="00500018" w:rsidRPr="00C903F8" w:rsidRDefault="00500018" w:rsidP="00500018">
      <w:pPr>
        <w:rPr>
          <w:noProof/>
          <w:szCs w:val="20"/>
        </w:rPr>
      </w:pPr>
    </w:p>
    <w:p w:rsidR="00500018" w:rsidRPr="00C903F8" w:rsidRDefault="00500018" w:rsidP="00320866">
      <w:pPr>
        <w:pStyle w:val="ESgauche"/>
      </w:pPr>
      <w:r>
        <w:t xml:space="preserve">A próbautak során az áruszállításra szolgáló hajókat és kötelékeket köbözésük és terhelésük legalább 70 %-áig kell megrakodni oly módon, hogy a vízszintes helyzet a lehető legnagyobb mértékben biztosítva legyen. Amennyiben a próbautat kisebb terheléssel végzik el, a </w:t>
      </w:r>
      <w:r w:rsidR="007558CC">
        <w:t>folyásirán</w:t>
      </w:r>
      <w:r w:rsidR="00367730">
        <w:t>yban történő</w:t>
      </w:r>
      <w:r>
        <w:t xml:space="preserve"> hajózás jóváhagyása erre a terhelésre korlátozódik.</w:t>
      </w:r>
    </w:p>
    <w:p w:rsidR="00500018" w:rsidRPr="00C903F8" w:rsidRDefault="00500018" w:rsidP="00500018">
      <w:pPr>
        <w:rPr>
          <w:szCs w:val="20"/>
        </w:rPr>
      </w:pPr>
      <w:r>
        <w:br w:type="page"/>
      </w:r>
    </w:p>
    <w:p w:rsidR="00500018" w:rsidRPr="00F125EF" w:rsidRDefault="00500018" w:rsidP="00500018">
      <w:pPr>
        <w:pStyle w:val="ES-Titre3"/>
        <w:rPr>
          <w:lang w:val="es-ES"/>
        </w:rPr>
      </w:pPr>
      <w:bookmarkStart w:id="52" w:name="_Toc491854026"/>
      <w:bookmarkStart w:id="53" w:name="_Toc535853805"/>
      <w:r w:rsidRPr="00F125EF">
        <w:rPr>
          <w:lang w:val="es-ES"/>
        </w:rPr>
        <w:t>5.05. cikk</w:t>
      </w:r>
      <w:r w:rsidRPr="00F125EF">
        <w:rPr>
          <w:lang w:val="es-ES"/>
        </w:rPr>
        <w:br/>
      </w:r>
      <w:r w:rsidRPr="00F125EF">
        <w:rPr>
          <w:i/>
          <w:noProof/>
          <w:lang w:val="es-ES"/>
        </w:rPr>
        <w:t>A fedélzeten lévő berendezések használata a próbaút során</w:t>
      </w:r>
      <w:bookmarkEnd w:id="52"/>
      <w:bookmarkEnd w:id="53"/>
    </w:p>
    <w:p w:rsidR="00500018" w:rsidRPr="00F125EF" w:rsidRDefault="00500018" w:rsidP="00500018">
      <w:pPr>
        <w:rPr>
          <w:noProof/>
          <w:szCs w:val="20"/>
          <w:lang w:val="es-ES"/>
        </w:rPr>
      </w:pPr>
    </w:p>
    <w:p w:rsidR="00500018" w:rsidRPr="00F125EF" w:rsidRDefault="00500018" w:rsidP="00320866">
      <w:pPr>
        <w:pStyle w:val="ESch"/>
        <w:rPr>
          <w:lang w:val="es-ES"/>
        </w:rPr>
      </w:pPr>
      <w:r w:rsidRPr="00F125EF">
        <w:rPr>
          <w:lang w:val="es-ES"/>
        </w:rPr>
        <w:t>1.</w:t>
      </w:r>
      <w:r w:rsidRPr="00F125EF">
        <w:rPr>
          <w:lang w:val="es-ES"/>
        </w:rPr>
        <w:tab/>
        <w:t>A próbaút során a belvízi hajóbizonyítvány 34. és 52. rovatában említett valamennyi olyan berendezés használható, amelyet a kormányállásból lehet vezérelni, kivéve a horgonyt.</w:t>
      </w:r>
    </w:p>
    <w:p w:rsidR="00500018" w:rsidRPr="00F125EF" w:rsidRDefault="00500018" w:rsidP="00320866">
      <w:pPr>
        <w:pStyle w:val="ESch"/>
        <w:rPr>
          <w:noProof/>
          <w:lang w:val="es-ES"/>
        </w:rPr>
      </w:pPr>
    </w:p>
    <w:p w:rsidR="00500018" w:rsidRPr="00F125EF" w:rsidRDefault="00500018" w:rsidP="00320866">
      <w:pPr>
        <w:pStyle w:val="ESch"/>
        <w:rPr>
          <w:lang w:val="es-ES"/>
        </w:rPr>
      </w:pPr>
      <w:r w:rsidRPr="00F125EF">
        <w:rPr>
          <w:lang w:val="es-ES"/>
        </w:rPr>
        <w:t>2.</w:t>
      </w:r>
      <w:r w:rsidRPr="00F125EF">
        <w:rPr>
          <w:lang w:val="es-ES"/>
        </w:rPr>
        <w:tab/>
        <w:t xml:space="preserve">Az 5.10. cikkben említett, </w:t>
      </w:r>
      <w:r w:rsidR="007558CC">
        <w:rPr>
          <w:lang w:val="es-ES"/>
        </w:rPr>
        <w:t>folyásirán</w:t>
      </w:r>
      <w:r w:rsidRPr="00F125EF">
        <w:rPr>
          <w:lang w:val="es-ES"/>
        </w:rPr>
        <w:t>yba végzett fordulás ellenőrzésekor azonban az orrhorgonyok is használhatók.</w:t>
      </w:r>
    </w:p>
    <w:p w:rsidR="00500018" w:rsidRPr="00F125EF" w:rsidRDefault="00500018" w:rsidP="00500018">
      <w:pPr>
        <w:rPr>
          <w:szCs w:val="20"/>
          <w:lang w:val="es-ES"/>
        </w:rPr>
      </w:pPr>
    </w:p>
    <w:p w:rsidR="00500018" w:rsidRPr="00F125EF" w:rsidRDefault="00500018" w:rsidP="00500018">
      <w:pPr>
        <w:pStyle w:val="ES-Titre3"/>
        <w:rPr>
          <w:lang w:val="es-ES"/>
        </w:rPr>
      </w:pPr>
      <w:bookmarkStart w:id="54" w:name="_Toc491854027"/>
      <w:bookmarkStart w:id="55" w:name="_Toc535853806"/>
      <w:r w:rsidRPr="00F125EF">
        <w:rPr>
          <w:lang w:val="es-ES"/>
        </w:rPr>
        <w:t>5.06. cikk</w:t>
      </w:r>
      <w:r w:rsidRPr="00F125EF">
        <w:rPr>
          <w:lang w:val="es-ES"/>
        </w:rPr>
        <w:br/>
      </w:r>
      <w:r w:rsidRPr="00F125EF">
        <w:rPr>
          <w:i/>
          <w:noProof/>
          <w:lang w:val="es-ES"/>
        </w:rPr>
        <w:t>Előírt (előremeneti) sebesség</w:t>
      </w:r>
      <w:bookmarkEnd w:id="54"/>
      <w:bookmarkEnd w:id="55"/>
    </w:p>
    <w:p w:rsidR="003D32C2" w:rsidRPr="00F125EF" w:rsidRDefault="003D32C2" w:rsidP="00500018">
      <w:pPr>
        <w:rPr>
          <w:rFonts w:cs="Arial"/>
          <w:noProof/>
          <w:szCs w:val="20"/>
          <w:lang w:val="es-ES"/>
        </w:rPr>
      </w:pPr>
    </w:p>
    <w:p w:rsidR="00500018" w:rsidRPr="00F125EF" w:rsidRDefault="00500018" w:rsidP="00320866">
      <w:pPr>
        <w:pStyle w:val="ESch"/>
        <w:rPr>
          <w:lang w:val="es-ES"/>
        </w:rPr>
      </w:pPr>
      <w:r w:rsidRPr="00F125EF">
        <w:rPr>
          <w:lang w:val="es-ES"/>
        </w:rPr>
        <w:t>1.</w:t>
      </w:r>
      <w:r w:rsidRPr="00F125EF">
        <w:rPr>
          <w:lang w:val="es-ES"/>
        </w:rPr>
        <w:tab/>
        <w:t>A hajóknak és kötelékeknek el kell érniük a legalább 13 km/h vízhez viszonyított sebességet. Az önmagukban üzemelő tolóhajók esetében ez a feltétel nem kötelező.</w:t>
      </w:r>
    </w:p>
    <w:p w:rsidR="003D32C2" w:rsidRPr="00F125EF" w:rsidRDefault="003D32C2" w:rsidP="00320866">
      <w:pPr>
        <w:pStyle w:val="ESch"/>
        <w:rPr>
          <w:noProof/>
          <w:lang w:val="es-ES"/>
        </w:rPr>
      </w:pPr>
    </w:p>
    <w:p w:rsidR="00500018" w:rsidRPr="00F125EF" w:rsidRDefault="00500018" w:rsidP="00320866">
      <w:pPr>
        <w:pStyle w:val="ESch"/>
        <w:rPr>
          <w:lang w:val="es-ES"/>
        </w:rPr>
      </w:pPr>
      <w:r w:rsidRPr="00F125EF">
        <w:rPr>
          <w:lang w:val="es-ES"/>
        </w:rPr>
        <w:t>2.</w:t>
      </w:r>
      <w:r w:rsidRPr="00F125EF">
        <w:rPr>
          <w:lang w:val="es-ES"/>
        </w:rPr>
        <w:tab/>
        <w:t>A kizárólag torkolatokban és kikötőkben üzemelő hajók és kötelékek számára az ellenőrző szerv mentességeket biztosíthat.</w:t>
      </w:r>
    </w:p>
    <w:p w:rsidR="003D32C2" w:rsidRPr="00F125EF" w:rsidRDefault="003D32C2" w:rsidP="00320866">
      <w:pPr>
        <w:pStyle w:val="ESch"/>
        <w:rPr>
          <w:noProof/>
          <w:lang w:val="es-ES"/>
        </w:rPr>
      </w:pPr>
    </w:p>
    <w:p w:rsidR="00500018" w:rsidRPr="00F125EF" w:rsidRDefault="00500018" w:rsidP="00320866">
      <w:pPr>
        <w:pStyle w:val="ESch"/>
        <w:rPr>
          <w:lang w:val="es-ES"/>
        </w:rPr>
      </w:pPr>
      <w:r w:rsidRPr="00F125EF">
        <w:rPr>
          <w:lang w:val="es-ES"/>
        </w:rPr>
        <w:t>3.</w:t>
      </w:r>
      <w:r w:rsidRPr="00F125EF">
        <w:rPr>
          <w:lang w:val="es-ES"/>
        </w:rPr>
        <w:tab/>
        <w:t>Az ellenőrző szerv megvizsgálja, hogy az üres hajó képes-e 40 km/h-nál nagyobb vízhez viszonyított sebességre. Amennyiben igen, és ez igazolható, a belvízi hajóbizonyítvány 52. rovatába a következőt kell bejegyezni:</w:t>
      </w:r>
    </w:p>
    <w:p w:rsidR="003D32C2" w:rsidRPr="00F125EF" w:rsidRDefault="003D32C2" w:rsidP="00320866">
      <w:pPr>
        <w:pStyle w:val="ESch"/>
        <w:rPr>
          <w:noProof/>
          <w:lang w:val="es-ES"/>
        </w:rPr>
      </w:pPr>
    </w:p>
    <w:p w:rsidR="00500018" w:rsidRPr="00F125EF" w:rsidRDefault="00500018" w:rsidP="003D32C2">
      <w:pPr>
        <w:jc w:val="center"/>
        <w:rPr>
          <w:rFonts w:cs="Arial"/>
          <w:szCs w:val="20"/>
          <w:lang w:val="es-ES"/>
        </w:rPr>
      </w:pPr>
      <w:r w:rsidRPr="00F125EF">
        <w:rPr>
          <w:lang w:val="es-ES"/>
        </w:rPr>
        <w:t>„A hajó képes meghaladni a 40 km/h vízhez viszonyított sebességet.”</w:t>
      </w:r>
    </w:p>
    <w:p w:rsidR="00500018" w:rsidRPr="00F125EF" w:rsidRDefault="00500018" w:rsidP="00500018">
      <w:pPr>
        <w:rPr>
          <w:rFonts w:cs="Arial"/>
          <w:szCs w:val="20"/>
          <w:lang w:val="es-ES"/>
        </w:rPr>
      </w:pPr>
    </w:p>
    <w:p w:rsidR="003D32C2" w:rsidRPr="00F125EF" w:rsidRDefault="003D32C2" w:rsidP="00500018">
      <w:pPr>
        <w:rPr>
          <w:rFonts w:cs="Arial"/>
          <w:szCs w:val="20"/>
          <w:lang w:val="es-ES"/>
        </w:rPr>
      </w:pPr>
    </w:p>
    <w:p w:rsidR="00500018" w:rsidRPr="00F125EF" w:rsidRDefault="00500018" w:rsidP="003D32C2">
      <w:pPr>
        <w:pStyle w:val="ES-Titre3"/>
        <w:rPr>
          <w:lang w:val="es-ES"/>
        </w:rPr>
      </w:pPr>
      <w:bookmarkStart w:id="56" w:name="_Toc491854028"/>
      <w:bookmarkStart w:id="57" w:name="_Toc535853807"/>
      <w:r w:rsidRPr="00F125EF">
        <w:rPr>
          <w:lang w:val="es-ES"/>
        </w:rPr>
        <w:t>5.07. cikk</w:t>
      </w:r>
      <w:r w:rsidRPr="00F125EF">
        <w:rPr>
          <w:lang w:val="es-ES"/>
        </w:rPr>
        <w:br/>
      </w:r>
      <w:r w:rsidRPr="00F125EF">
        <w:rPr>
          <w:i/>
          <w:noProof/>
          <w:lang w:val="es-ES"/>
        </w:rPr>
        <w:t>Megállási képesség</w:t>
      </w:r>
      <w:bookmarkEnd w:id="56"/>
      <w:bookmarkEnd w:id="57"/>
    </w:p>
    <w:p w:rsidR="003D32C2" w:rsidRPr="00F125EF" w:rsidRDefault="003D32C2" w:rsidP="00500018">
      <w:pPr>
        <w:rPr>
          <w:rFonts w:cs="Arial"/>
          <w:noProof/>
          <w:szCs w:val="20"/>
          <w:lang w:val="es-ES"/>
        </w:rPr>
      </w:pPr>
    </w:p>
    <w:p w:rsidR="00500018" w:rsidRPr="00F125EF" w:rsidRDefault="00500018" w:rsidP="00320866">
      <w:pPr>
        <w:pStyle w:val="ESch"/>
        <w:rPr>
          <w:lang w:val="es-ES"/>
        </w:rPr>
      </w:pPr>
      <w:r w:rsidRPr="00F125EF">
        <w:rPr>
          <w:lang w:val="es-ES"/>
        </w:rPr>
        <w:t>1.</w:t>
      </w:r>
      <w:r w:rsidRPr="00F125EF">
        <w:rPr>
          <w:lang w:val="es-ES"/>
        </w:rPr>
        <w:tab/>
        <w:t xml:space="preserve">A hajóknak és kötelékeknek képeseknek kell lenniük időben megállni </w:t>
      </w:r>
      <w:r w:rsidR="007558CC">
        <w:rPr>
          <w:lang w:val="es-ES"/>
        </w:rPr>
        <w:t>folyásirányban</w:t>
      </w:r>
      <w:r w:rsidRPr="00F125EF">
        <w:rPr>
          <w:lang w:val="es-ES"/>
        </w:rPr>
        <w:t xml:space="preserve"> úgy, hogy közben kormányozhatók maradjanak.</w:t>
      </w:r>
    </w:p>
    <w:p w:rsidR="003D32C2" w:rsidRPr="00F125EF" w:rsidRDefault="003D32C2" w:rsidP="00320866">
      <w:pPr>
        <w:pStyle w:val="ESch"/>
        <w:rPr>
          <w:noProof/>
          <w:lang w:val="es-ES"/>
        </w:rPr>
      </w:pPr>
    </w:p>
    <w:p w:rsidR="00500018" w:rsidRPr="00F125EF" w:rsidRDefault="00500018" w:rsidP="00320866">
      <w:pPr>
        <w:pStyle w:val="ESch"/>
        <w:rPr>
          <w:lang w:val="es-ES"/>
        </w:rPr>
      </w:pPr>
      <w:r w:rsidRPr="00F125EF">
        <w:rPr>
          <w:lang w:val="es-ES"/>
        </w:rPr>
        <w:t>2.</w:t>
      </w:r>
      <w:r w:rsidRPr="00F125EF">
        <w:rPr>
          <w:lang w:val="es-ES"/>
        </w:rPr>
        <w:tab/>
        <w:t>Ha a hajók és kötelékek hossza (</w:t>
      </w:r>
      <m:oMath>
        <m:r>
          <w:rPr>
            <w:rFonts w:ascii="Cambria Math" w:hAnsi="Cambria Math"/>
            <w:noProof/>
          </w:rPr>
          <m:t>L</m:t>
        </m:r>
      </m:oMath>
      <w:r w:rsidRPr="00F125EF">
        <w:rPr>
          <w:lang w:val="es-ES"/>
        </w:rPr>
        <w:t>) nem haladja meg a 86 m-t, szélessége (</w:t>
      </w:r>
      <m:oMath>
        <m:r>
          <w:rPr>
            <w:rFonts w:ascii="Cambria Math" w:hAnsi="Cambria Math"/>
            <w:noProof/>
          </w:rPr>
          <m:t>B</m:t>
        </m:r>
      </m:oMath>
      <w:r w:rsidRPr="00F125EF">
        <w:rPr>
          <w:lang w:val="es-ES"/>
        </w:rPr>
        <w:t>) pedig a 22,90 m-t, a fent említett megállási képesség helyettesíthető a fordulási képességgel.</w:t>
      </w:r>
    </w:p>
    <w:p w:rsidR="003D32C2" w:rsidRPr="00F125EF" w:rsidRDefault="003D32C2" w:rsidP="00320866">
      <w:pPr>
        <w:pStyle w:val="ESch"/>
        <w:rPr>
          <w:noProof/>
          <w:lang w:val="es-ES"/>
        </w:rPr>
      </w:pPr>
    </w:p>
    <w:p w:rsidR="00500018" w:rsidRPr="00F125EF" w:rsidRDefault="00500018" w:rsidP="00320866">
      <w:pPr>
        <w:pStyle w:val="ESch"/>
        <w:rPr>
          <w:lang w:val="es-ES"/>
        </w:rPr>
      </w:pPr>
      <w:r w:rsidRPr="00F125EF">
        <w:rPr>
          <w:lang w:val="es-ES"/>
        </w:rPr>
        <w:t>3.</w:t>
      </w:r>
      <w:r w:rsidRPr="00F125EF">
        <w:rPr>
          <w:lang w:val="es-ES"/>
        </w:rPr>
        <w:tab/>
        <w:t>A megállási képességet és a fordulási képességet a próbaút 5.03. cikkben említett útvonalán végzett megállási manőverekkel, illetve az 5.10. cikkel összhangban végzett fordulási manőverekkel kell igazolni.</w:t>
      </w:r>
    </w:p>
    <w:p w:rsidR="00500018" w:rsidRPr="00F125EF" w:rsidRDefault="00500018" w:rsidP="00500018">
      <w:pPr>
        <w:rPr>
          <w:noProof/>
          <w:szCs w:val="20"/>
          <w:lang w:val="es-ES"/>
        </w:rPr>
      </w:pPr>
    </w:p>
    <w:p w:rsidR="003D32C2" w:rsidRPr="00F125EF" w:rsidRDefault="003D32C2" w:rsidP="00500018">
      <w:pPr>
        <w:rPr>
          <w:noProof/>
          <w:szCs w:val="20"/>
          <w:lang w:val="es-ES"/>
        </w:rPr>
      </w:pPr>
    </w:p>
    <w:p w:rsidR="00500018" w:rsidRPr="00F125EF" w:rsidRDefault="00500018" w:rsidP="003D32C2">
      <w:pPr>
        <w:pStyle w:val="ES-Titre3"/>
        <w:rPr>
          <w:lang w:val="es-ES"/>
        </w:rPr>
      </w:pPr>
      <w:bookmarkStart w:id="58" w:name="_Toc491854029"/>
      <w:bookmarkStart w:id="59" w:name="_Toc535853808"/>
      <w:r w:rsidRPr="00F125EF">
        <w:rPr>
          <w:lang w:val="es-ES"/>
        </w:rPr>
        <w:t>5.08. cikk</w:t>
      </w:r>
      <w:r w:rsidRPr="00F125EF">
        <w:rPr>
          <w:lang w:val="es-ES"/>
        </w:rPr>
        <w:br/>
      </w:r>
      <w:r w:rsidRPr="00F125EF">
        <w:rPr>
          <w:i/>
          <w:noProof/>
          <w:lang w:val="es-ES"/>
        </w:rPr>
        <w:t>Hátrameneti képesség</w:t>
      </w:r>
      <w:bookmarkEnd w:id="58"/>
      <w:bookmarkEnd w:id="59"/>
    </w:p>
    <w:p w:rsidR="003D32C2" w:rsidRPr="00F125EF" w:rsidRDefault="003D32C2" w:rsidP="003D32C2">
      <w:pPr>
        <w:rPr>
          <w:noProof/>
          <w:szCs w:val="20"/>
          <w:lang w:val="es-ES"/>
        </w:rPr>
      </w:pPr>
    </w:p>
    <w:p w:rsidR="00500018" w:rsidRPr="00F125EF" w:rsidRDefault="00500018" w:rsidP="00320866">
      <w:pPr>
        <w:pStyle w:val="ESgauche"/>
        <w:rPr>
          <w:lang w:val="es-ES"/>
        </w:rPr>
      </w:pPr>
      <w:r w:rsidRPr="00F125EF">
        <w:rPr>
          <w:lang w:val="es-ES"/>
        </w:rPr>
        <w:t>Ha az 5.07. cikk által előírt megállási manővert állóvízen hajtják végre, akkor azt hátramenetben végzett próbaútnak kell követnie.</w:t>
      </w:r>
    </w:p>
    <w:p w:rsidR="003D32C2" w:rsidRPr="00F125EF" w:rsidRDefault="003D32C2" w:rsidP="00500018">
      <w:pPr>
        <w:rPr>
          <w:noProof/>
          <w:szCs w:val="20"/>
          <w:lang w:val="es-ES"/>
        </w:rPr>
      </w:pPr>
      <w:r w:rsidRPr="00F125EF">
        <w:rPr>
          <w:lang w:val="es-ES"/>
        </w:rPr>
        <w:br w:type="page"/>
      </w:r>
    </w:p>
    <w:p w:rsidR="00500018" w:rsidRPr="00F125EF" w:rsidRDefault="00500018" w:rsidP="003D32C2">
      <w:pPr>
        <w:pStyle w:val="ES-Titre3"/>
        <w:rPr>
          <w:i/>
          <w:noProof/>
          <w:lang w:val="es-ES"/>
        </w:rPr>
      </w:pPr>
      <w:bookmarkStart w:id="60" w:name="_Toc491854030"/>
      <w:bookmarkStart w:id="61" w:name="_Toc535853809"/>
      <w:r w:rsidRPr="00F125EF">
        <w:rPr>
          <w:lang w:val="es-ES"/>
        </w:rPr>
        <w:t>5.09. cikk</w:t>
      </w:r>
      <w:r w:rsidRPr="00F125EF">
        <w:rPr>
          <w:lang w:val="es-ES"/>
        </w:rPr>
        <w:br/>
      </w:r>
      <w:r w:rsidRPr="00F125EF">
        <w:rPr>
          <w:i/>
          <w:noProof/>
          <w:lang w:val="es-ES"/>
        </w:rPr>
        <w:t>Kitérési képesség</w:t>
      </w:r>
      <w:bookmarkEnd w:id="60"/>
      <w:bookmarkEnd w:id="61"/>
    </w:p>
    <w:p w:rsidR="003D32C2" w:rsidRPr="00F125EF" w:rsidRDefault="003D32C2" w:rsidP="003D32C2">
      <w:pPr>
        <w:pStyle w:val="ES-Titre3"/>
        <w:rPr>
          <w:lang w:val="es-ES"/>
        </w:rPr>
      </w:pPr>
    </w:p>
    <w:p w:rsidR="00500018" w:rsidRPr="00F125EF" w:rsidRDefault="00500018" w:rsidP="00320866">
      <w:pPr>
        <w:pStyle w:val="ESgauche"/>
        <w:rPr>
          <w:lang w:val="es-ES"/>
        </w:rPr>
      </w:pPr>
      <w:r w:rsidRPr="00F125EF">
        <w:rPr>
          <w:lang w:val="es-ES"/>
        </w:rPr>
        <w:t>A hajóknak és kötelékeknek képeseknek kell lenniük az időben történő kitérésre. Ezt a képességet a próbaút 5.03. cikkben említett útvonalán végzett kitérési manőverekkel kell igazolni.</w:t>
      </w:r>
    </w:p>
    <w:p w:rsidR="00500018" w:rsidRPr="00F125EF" w:rsidRDefault="00500018" w:rsidP="00500018">
      <w:pPr>
        <w:rPr>
          <w:szCs w:val="20"/>
          <w:lang w:val="es-ES"/>
        </w:rPr>
      </w:pPr>
    </w:p>
    <w:p w:rsidR="003D32C2" w:rsidRPr="00F125EF" w:rsidRDefault="003D32C2" w:rsidP="00500018">
      <w:pPr>
        <w:rPr>
          <w:szCs w:val="20"/>
          <w:lang w:val="es-ES"/>
        </w:rPr>
      </w:pPr>
    </w:p>
    <w:p w:rsidR="00500018" w:rsidRPr="00F125EF" w:rsidRDefault="00500018" w:rsidP="003D32C2">
      <w:pPr>
        <w:pStyle w:val="ES-Titre3"/>
        <w:rPr>
          <w:lang w:val="es-ES"/>
        </w:rPr>
      </w:pPr>
      <w:bookmarkStart w:id="62" w:name="_Toc491854031"/>
      <w:bookmarkStart w:id="63" w:name="_Toc535853810"/>
      <w:r w:rsidRPr="00F125EF">
        <w:rPr>
          <w:lang w:val="es-ES"/>
        </w:rPr>
        <w:t>5.10. cikk</w:t>
      </w:r>
      <w:r w:rsidRPr="00F125EF">
        <w:rPr>
          <w:lang w:val="es-ES"/>
        </w:rPr>
        <w:br/>
      </w:r>
      <w:r w:rsidRPr="00F125EF">
        <w:rPr>
          <w:i/>
          <w:noProof/>
          <w:lang w:val="es-ES"/>
        </w:rPr>
        <w:t>Fordulási képesség</w:t>
      </w:r>
      <w:bookmarkEnd w:id="62"/>
      <w:bookmarkEnd w:id="63"/>
    </w:p>
    <w:p w:rsidR="003D32C2" w:rsidRPr="00F125EF" w:rsidRDefault="003D32C2" w:rsidP="003D32C2">
      <w:pPr>
        <w:rPr>
          <w:noProof/>
          <w:szCs w:val="20"/>
          <w:lang w:val="es-ES"/>
        </w:rPr>
      </w:pPr>
    </w:p>
    <w:p w:rsidR="00500018" w:rsidRPr="00F125EF" w:rsidRDefault="00500018" w:rsidP="003D32C2">
      <w:pPr>
        <w:rPr>
          <w:szCs w:val="20"/>
          <w:lang w:val="es-ES"/>
        </w:rPr>
      </w:pPr>
      <w:r w:rsidRPr="00F125EF">
        <w:rPr>
          <w:lang w:val="es-ES"/>
        </w:rPr>
        <w:t>A 86 m hosszúságot (</w:t>
      </w:r>
      <m:oMath>
        <m:r>
          <w:rPr>
            <w:rFonts w:ascii="Cambria Math" w:hAnsi="Cambria Math"/>
            <w:noProof/>
            <w:szCs w:val="20"/>
          </w:rPr>
          <m:t>L</m:t>
        </m:r>
      </m:oMath>
      <w:r w:rsidRPr="00F125EF">
        <w:rPr>
          <w:lang w:val="es-ES"/>
        </w:rPr>
        <w:t>) és 22,90 m szélességet (</w:t>
      </w:r>
      <m:oMath>
        <m:r>
          <w:rPr>
            <w:rFonts w:ascii="Cambria Math" w:hAnsi="Cambria Math"/>
            <w:noProof/>
            <w:szCs w:val="20"/>
          </w:rPr>
          <m:t>B</m:t>
        </m:r>
      </m:oMath>
      <w:r w:rsidRPr="00F125EF">
        <w:rPr>
          <w:lang w:val="es-ES"/>
        </w:rPr>
        <w:t>) meg nem haladó hajóknak és kötelékeknek képeseknek kell lenniük időben fordulni.</w:t>
      </w:r>
    </w:p>
    <w:p w:rsidR="003D32C2" w:rsidRPr="00F125EF" w:rsidRDefault="003D32C2" w:rsidP="00500018">
      <w:pPr>
        <w:rPr>
          <w:noProof/>
          <w:szCs w:val="20"/>
          <w:lang w:val="es-ES"/>
        </w:rPr>
      </w:pPr>
    </w:p>
    <w:p w:rsidR="00500018" w:rsidRPr="00F125EF" w:rsidRDefault="00500018" w:rsidP="00500018">
      <w:pPr>
        <w:rPr>
          <w:szCs w:val="20"/>
          <w:lang w:val="es-ES"/>
        </w:rPr>
      </w:pPr>
      <w:r w:rsidRPr="00F125EF">
        <w:rPr>
          <w:lang w:val="es-ES"/>
        </w:rPr>
        <w:t>Ez a fordulási képesség helyettesíthető az 5.07. cikkben említett megállási képességgel.</w:t>
      </w:r>
    </w:p>
    <w:p w:rsidR="003D32C2" w:rsidRPr="00F125EF" w:rsidRDefault="003D32C2" w:rsidP="00500018">
      <w:pPr>
        <w:rPr>
          <w:noProof/>
          <w:szCs w:val="20"/>
          <w:lang w:val="es-ES"/>
        </w:rPr>
      </w:pPr>
    </w:p>
    <w:p w:rsidR="00500018" w:rsidRPr="00F125EF" w:rsidRDefault="00500018" w:rsidP="00500018">
      <w:pPr>
        <w:rPr>
          <w:szCs w:val="20"/>
          <w:lang w:val="es-ES"/>
        </w:rPr>
      </w:pPr>
      <w:r w:rsidRPr="00F125EF">
        <w:rPr>
          <w:lang w:val="es-ES"/>
        </w:rPr>
        <w:t xml:space="preserve">A fordulási képességet </w:t>
      </w:r>
      <w:r w:rsidR="007558CC">
        <w:rPr>
          <w:lang w:val="es-ES"/>
        </w:rPr>
        <w:t>folyásirán</w:t>
      </w:r>
      <w:r w:rsidRPr="00F125EF">
        <w:rPr>
          <w:lang w:val="es-ES"/>
        </w:rPr>
        <w:t>yba végzett fordulási manőverekkel kell igazolni.</w:t>
      </w:r>
    </w:p>
    <w:p w:rsidR="00A06CEC" w:rsidRPr="00F125EF" w:rsidRDefault="00A06CEC" w:rsidP="003D32C2">
      <w:pPr>
        <w:spacing w:line="240" w:lineRule="atLeast"/>
        <w:rPr>
          <w:lang w:val="es-ES"/>
        </w:rPr>
      </w:pPr>
    </w:p>
    <w:p w:rsidR="00745DD2" w:rsidRPr="00F125EF" w:rsidRDefault="00745DD2" w:rsidP="00E1027C">
      <w:pPr>
        <w:spacing w:line="240" w:lineRule="atLeast"/>
        <w:rPr>
          <w:lang w:val="es-ES"/>
        </w:rPr>
      </w:pPr>
    </w:p>
    <w:p w:rsidR="008D7EA6" w:rsidRPr="00F125EF" w:rsidRDefault="008D7EA6" w:rsidP="003D32C2">
      <w:pPr>
        <w:spacing w:line="240" w:lineRule="atLeast"/>
        <w:rPr>
          <w:noProof/>
          <w:lang w:val="es-ES"/>
        </w:rPr>
      </w:pPr>
    </w:p>
    <w:p w:rsidR="006D6907" w:rsidRPr="00F125EF" w:rsidRDefault="006D6907" w:rsidP="003D32C2">
      <w:pPr>
        <w:spacing w:line="240" w:lineRule="atLeast"/>
        <w:rPr>
          <w:noProof/>
          <w:lang w:val="es-ES"/>
        </w:rPr>
      </w:pPr>
      <w:r w:rsidRPr="00F125EF">
        <w:rPr>
          <w:lang w:val="es-ES"/>
        </w:rPr>
        <w:br w:type="page"/>
      </w:r>
    </w:p>
    <w:p w:rsidR="006D6907" w:rsidRPr="00F125EF" w:rsidRDefault="006D6907" w:rsidP="003D32C2">
      <w:pPr>
        <w:spacing w:line="240" w:lineRule="atLeast"/>
        <w:rPr>
          <w:noProof/>
          <w:lang w:val="es-ES"/>
        </w:rPr>
      </w:pPr>
    </w:p>
    <w:p w:rsidR="0063454C" w:rsidRPr="00F125EF" w:rsidRDefault="0063454C" w:rsidP="00745DD2">
      <w:pPr>
        <w:spacing w:line="240" w:lineRule="atLeast"/>
        <w:rPr>
          <w:noProof/>
          <w:lang w:val="es-ES"/>
        </w:rPr>
        <w:sectPr w:rsidR="0063454C" w:rsidRPr="00F125EF" w:rsidSect="00AC5CC1">
          <w:headerReference w:type="first" r:id="rId24"/>
          <w:footnotePr>
            <w:numRestart w:val="eachPage"/>
          </w:footnotePr>
          <w:pgSz w:w="11906" w:h="16838" w:code="9"/>
          <w:pgMar w:top="1418" w:right="1418" w:bottom="1418" w:left="1418" w:header="709" w:footer="709" w:gutter="0"/>
          <w:cols w:space="709"/>
          <w:titlePg/>
          <w:docGrid w:linePitch="272"/>
        </w:sectPr>
      </w:pPr>
    </w:p>
    <w:p w:rsidR="003D32C2" w:rsidRPr="00166EA9" w:rsidRDefault="003D32C2" w:rsidP="003D32C2">
      <w:pPr>
        <w:pStyle w:val="ES-Titre2"/>
        <w:spacing w:line="240" w:lineRule="auto"/>
        <w:rPr>
          <w:lang w:val="es-ES"/>
        </w:rPr>
      </w:pPr>
      <w:bookmarkStart w:id="64" w:name="_Toc491854032"/>
      <w:bookmarkStart w:id="65" w:name="_Toc535853811"/>
      <w:r w:rsidRPr="00166EA9">
        <w:rPr>
          <w:lang w:val="es-ES"/>
        </w:rPr>
        <w:t>6. fejezet</w:t>
      </w:r>
      <w:r w:rsidRPr="00166EA9">
        <w:rPr>
          <w:lang w:val="es-ES"/>
        </w:rPr>
        <w:br/>
        <w:t>Kormányberendezés</w:t>
      </w:r>
      <w:bookmarkEnd w:id="64"/>
      <w:bookmarkEnd w:id="65"/>
    </w:p>
    <w:p w:rsidR="00745DD2" w:rsidRPr="00F125EF" w:rsidRDefault="00745DD2" w:rsidP="00E1027C">
      <w:pPr>
        <w:pStyle w:val="ES-Titre3"/>
        <w:spacing w:line="240" w:lineRule="atLeast"/>
        <w:rPr>
          <w:lang w:val="es-ES"/>
        </w:rPr>
      </w:pPr>
    </w:p>
    <w:p w:rsidR="003D32C2" w:rsidRPr="00F125EF" w:rsidRDefault="003D32C2" w:rsidP="003D32C2">
      <w:pPr>
        <w:pStyle w:val="ES-Titre3"/>
        <w:rPr>
          <w:lang w:val="es-ES"/>
        </w:rPr>
      </w:pPr>
      <w:bookmarkStart w:id="66" w:name="_Toc491854033"/>
      <w:bookmarkStart w:id="67" w:name="_Toc535853812"/>
      <w:r w:rsidRPr="00F125EF">
        <w:rPr>
          <w:lang w:val="es-ES"/>
        </w:rPr>
        <w:t>6.01. cikk</w:t>
      </w:r>
      <w:r w:rsidRPr="00F125EF">
        <w:rPr>
          <w:lang w:val="es-ES"/>
        </w:rPr>
        <w:br/>
      </w:r>
      <w:r w:rsidRPr="00F125EF">
        <w:rPr>
          <w:i/>
          <w:noProof/>
          <w:lang w:val="es-ES"/>
        </w:rPr>
        <w:t>Általános követelmények</w:t>
      </w:r>
      <w:bookmarkEnd w:id="66"/>
      <w:bookmarkEnd w:id="67"/>
    </w:p>
    <w:p w:rsidR="003D32C2" w:rsidRPr="00F125EF" w:rsidRDefault="003D32C2" w:rsidP="003D32C2">
      <w:pPr>
        <w:rPr>
          <w:noProof/>
          <w:lang w:val="es-ES"/>
        </w:rPr>
      </w:pPr>
    </w:p>
    <w:p w:rsidR="003D32C2" w:rsidRPr="00F125EF" w:rsidRDefault="003D32C2" w:rsidP="00320866">
      <w:pPr>
        <w:pStyle w:val="ESch"/>
        <w:rPr>
          <w:lang w:val="es-ES"/>
        </w:rPr>
      </w:pPr>
      <w:r w:rsidRPr="00F125EF">
        <w:rPr>
          <w:lang w:val="es-ES"/>
        </w:rPr>
        <w:t>1.</w:t>
      </w:r>
      <w:r w:rsidRPr="00F125EF">
        <w:rPr>
          <w:lang w:val="es-ES"/>
        </w:rPr>
        <w:tab/>
        <w:t>A hajóknak megbízható kormányberendezéssel kell rendelkezniük, amely biztosítja legalább az 5. fejezetben előírt műveletképességet.</w:t>
      </w:r>
    </w:p>
    <w:p w:rsidR="003D32C2" w:rsidRPr="00F125EF" w:rsidRDefault="003D32C2" w:rsidP="00320866">
      <w:pPr>
        <w:pStyle w:val="ESch"/>
        <w:rPr>
          <w:lang w:val="es-ES"/>
        </w:rPr>
      </w:pPr>
    </w:p>
    <w:p w:rsidR="003D32C2" w:rsidRPr="00F125EF" w:rsidRDefault="003D32C2" w:rsidP="00320866">
      <w:pPr>
        <w:pStyle w:val="ESch"/>
        <w:rPr>
          <w:lang w:val="es-ES"/>
        </w:rPr>
      </w:pPr>
      <w:r w:rsidRPr="00F125EF">
        <w:rPr>
          <w:lang w:val="es-ES"/>
        </w:rPr>
        <w:t>2.</w:t>
      </w:r>
      <w:r w:rsidRPr="00F125EF">
        <w:rPr>
          <w:lang w:val="es-ES"/>
        </w:rPr>
        <w:tab/>
        <w:t>A gépi meghajtású kormányberendezésnek olyannak kell lennie, hogy kizárja a kormánylapát helyzetének szándékolatlan megváltoztatását.</w:t>
      </w:r>
    </w:p>
    <w:p w:rsidR="003D32C2" w:rsidRPr="00F125EF" w:rsidRDefault="003D32C2" w:rsidP="00320866">
      <w:pPr>
        <w:pStyle w:val="ESch"/>
        <w:rPr>
          <w:noProof/>
          <w:lang w:val="es-ES"/>
        </w:rPr>
      </w:pPr>
    </w:p>
    <w:p w:rsidR="003D32C2" w:rsidRPr="00F125EF" w:rsidRDefault="003D32C2" w:rsidP="00320866">
      <w:pPr>
        <w:pStyle w:val="ESch"/>
        <w:rPr>
          <w:lang w:val="es-ES"/>
        </w:rPr>
      </w:pPr>
      <w:r w:rsidRPr="00F125EF">
        <w:rPr>
          <w:lang w:val="es-ES"/>
        </w:rPr>
        <w:t>3.</w:t>
      </w:r>
      <w:r w:rsidRPr="00F125EF">
        <w:rPr>
          <w:lang w:val="es-ES"/>
        </w:rPr>
        <w:tab/>
        <w:t>A kormányberendezés egészét legfeljebb 15°-ig terjedő állandó dőlésszögre és –20 °C és +50 °C közötti külső hőmérsékletre kell tervezni.</w:t>
      </w:r>
    </w:p>
    <w:p w:rsidR="003D32C2" w:rsidRPr="00F125EF" w:rsidRDefault="003D32C2" w:rsidP="00320866">
      <w:pPr>
        <w:pStyle w:val="ESch"/>
        <w:rPr>
          <w:lang w:val="es-ES"/>
        </w:rPr>
      </w:pPr>
    </w:p>
    <w:p w:rsidR="003D32C2" w:rsidRPr="00F125EF" w:rsidRDefault="003D32C2" w:rsidP="00320866">
      <w:pPr>
        <w:pStyle w:val="ESch"/>
        <w:rPr>
          <w:lang w:val="es-ES"/>
        </w:rPr>
      </w:pPr>
      <w:r w:rsidRPr="00F125EF">
        <w:rPr>
          <w:lang w:val="es-ES"/>
        </w:rPr>
        <w:t>4.</w:t>
      </w:r>
      <w:r w:rsidRPr="00F125EF">
        <w:rPr>
          <w:lang w:val="es-ES"/>
        </w:rPr>
        <w:tab/>
        <w:t>A kormányberendezés részelemeinek elég szilárdaknak kell lenniük ahhoz, hogy elviseljék azokat a legnagyobb erőket, amelyek a szokásos üzemelési körülmények között rájuk hatnak. A kormánylapátra ható külső erők nem ronthatják a kormánygép és annak meghajtóegysége működési képességeit.</w:t>
      </w:r>
    </w:p>
    <w:p w:rsidR="003D32C2" w:rsidRPr="00F125EF" w:rsidRDefault="003D32C2" w:rsidP="00320866">
      <w:pPr>
        <w:pStyle w:val="ESch"/>
        <w:rPr>
          <w:noProof/>
          <w:lang w:val="es-ES"/>
        </w:rPr>
      </w:pPr>
    </w:p>
    <w:p w:rsidR="003D32C2" w:rsidRPr="00F125EF" w:rsidRDefault="003D32C2" w:rsidP="00320866">
      <w:pPr>
        <w:pStyle w:val="ESch"/>
        <w:rPr>
          <w:lang w:val="es-ES"/>
        </w:rPr>
      </w:pPr>
      <w:r w:rsidRPr="00F125EF">
        <w:rPr>
          <w:lang w:val="es-ES"/>
        </w:rPr>
        <w:t>5.</w:t>
      </w:r>
      <w:r w:rsidRPr="00F125EF">
        <w:rPr>
          <w:lang w:val="es-ES"/>
        </w:rPr>
        <w:tab/>
        <w:t>A kormányberendezés gépi meghajtóegységet foglal megában, ha a kormánylapát működtetéséhez szükséges erő ezt megköveteli.</w:t>
      </w:r>
    </w:p>
    <w:p w:rsidR="003D32C2" w:rsidRPr="00F125EF" w:rsidRDefault="003D32C2" w:rsidP="00320866">
      <w:pPr>
        <w:pStyle w:val="ESch"/>
        <w:rPr>
          <w:lang w:val="es-ES"/>
        </w:rPr>
      </w:pPr>
    </w:p>
    <w:p w:rsidR="003D32C2" w:rsidRPr="00F125EF" w:rsidRDefault="003D32C2" w:rsidP="00320866">
      <w:pPr>
        <w:pStyle w:val="ESch"/>
        <w:rPr>
          <w:lang w:val="es-ES"/>
        </w:rPr>
      </w:pPr>
      <w:r w:rsidRPr="00F125EF">
        <w:rPr>
          <w:lang w:val="es-ES"/>
        </w:rPr>
        <w:t>6.</w:t>
      </w:r>
      <w:r w:rsidRPr="00F125EF">
        <w:rPr>
          <w:lang w:val="es-ES"/>
        </w:rPr>
        <w:tab/>
        <w:t>A gépi meghajtóegységgel rendelkező kormánygépet túlterheléssel szembeni védelemmel kell ellátni, amely korlátozza a meghajtóegység által gyakorolt forgatónyomatékot.</w:t>
      </w:r>
    </w:p>
    <w:p w:rsidR="003D32C2" w:rsidRPr="00F125EF" w:rsidRDefault="003D32C2" w:rsidP="00320866">
      <w:pPr>
        <w:pStyle w:val="ESch"/>
        <w:rPr>
          <w:noProof/>
          <w:lang w:val="es-ES"/>
        </w:rPr>
      </w:pPr>
    </w:p>
    <w:p w:rsidR="003D32C2" w:rsidRPr="00F125EF" w:rsidRDefault="003D32C2" w:rsidP="00320866">
      <w:pPr>
        <w:pStyle w:val="ESch"/>
        <w:rPr>
          <w:lang w:val="es-ES"/>
        </w:rPr>
      </w:pPr>
      <w:r w:rsidRPr="00F125EF">
        <w:rPr>
          <w:lang w:val="es-ES"/>
        </w:rPr>
        <w:t>7.</w:t>
      </w:r>
      <w:r w:rsidRPr="00F125EF">
        <w:rPr>
          <w:lang w:val="es-ES"/>
        </w:rPr>
        <w:tab/>
        <w:t>A kormányszár átvezetését úgy kell megtervezni, hogy az megakadályozza a vízszennyező kenőanyagok terjedését.</w:t>
      </w:r>
    </w:p>
    <w:p w:rsidR="003D32C2" w:rsidRPr="00F125EF" w:rsidRDefault="003D32C2" w:rsidP="00320866">
      <w:pPr>
        <w:pStyle w:val="ESch"/>
        <w:rPr>
          <w:lang w:val="es-ES"/>
        </w:rPr>
      </w:pPr>
    </w:p>
    <w:p w:rsidR="003D32C2" w:rsidRPr="00F125EF" w:rsidRDefault="003D32C2" w:rsidP="003D32C2">
      <w:pPr>
        <w:rPr>
          <w:lang w:val="es-ES"/>
        </w:rPr>
      </w:pPr>
    </w:p>
    <w:p w:rsidR="003D32C2" w:rsidRPr="00F125EF" w:rsidRDefault="003D32C2" w:rsidP="003D32C2">
      <w:pPr>
        <w:pStyle w:val="ES-Titre3"/>
        <w:rPr>
          <w:lang w:val="es-ES"/>
        </w:rPr>
      </w:pPr>
      <w:bookmarkStart w:id="68" w:name="_Toc491854034"/>
      <w:bookmarkStart w:id="69" w:name="_Toc535853813"/>
      <w:r w:rsidRPr="00F125EF">
        <w:rPr>
          <w:lang w:val="es-ES"/>
        </w:rPr>
        <w:t>6.02. cikk</w:t>
      </w:r>
      <w:r w:rsidRPr="00F125EF">
        <w:rPr>
          <w:i/>
          <w:noProof/>
          <w:lang w:val="es-ES"/>
        </w:rPr>
        <w:br/>
        <w:t>A kormánygép meghajtóegysége</w:t>
      </w:r>
      <w:bookmarkEnd w:id="68"/>
      <w:bookmarkEnd w:id="69"/>
    </w:p>
    <w:p w:rsidR="003D32C2" w:rsidRPr="00F125EF" w:rsidRDefault="003D32C2" w:rsidP="003D32C2">
      <w:pPr>
        <w:rPr>
          <w:lang w:val="es-ES"/>
        </w:rPr>
      </w:pPr>
    </w:p>
    <w:p w:rsidR="003D32C2" w:rsidRPr="00F125EF" w:rsidRDefault="003D32C2" w:rsidP="00320866">
      <w:pPr>
        <w:pStyle w:val="ESch"/>
        <w:rPr>
          <w:lang w:val="es-ES"/>
        </w:rPr>
      </w:pPr>
      <w:r w:rsidRPr="00F125EF">
        <w:rPr>
          <w:lang w:val="es-ES"/>
        </w:rPr>
        <w:t>1.</w:t>
      </w:r>
      <w:r w:rsidRPr="00F125EF">
        <w:rPr>
          <w:lang w:val="es-ES"/>
        </w:rPr>
        <w:tab/>
        <w:t>Amennyiben a kormánygép gépi meghajtóegységgel rendelkezik, lehetővé kell tenni egy független második meghajtóegység meglétét vagy a kiegészítő kézi meghajtást. A meghajtóegység vagy a kormánylapátrendszer leállásakor vagy hibás működése esetén a független második meghajtóegységnek vagy a kézi meghajtásnak 5 másodpercen belül működésbe kell lépnie.</w:t>
      </w:r>
    </w:p>
    <w:p w:rsidR="003D32C2" w:rsidRPr="00F125EF" w:rsidRDefault="003D32C2" w:rsidP="00320866">
      <w:pPr>
        <w:pStyle w:val="ESch"/>
        <w:rPr>
          <w:lang w:val="es-ES"/>
        </w:rPr>
      </w:pPr>
    </w:p>
    <w:p w:rsidR="003D32C2" w:rsidRPr="00F125EF" w:rsidRDefault="003D32C2" w:rsidP="00320866">
      <w:pPr>
        <w:pStyle w:val="ESch"/>
        <w:rPr>
          <w:lang w:val="es-ES"/>
        </w:rPr>
      </w:pPr>
      <w:r w:rsidRPr="00F125EF">
        <w:rPr>
          <w:lang w:val="es-ES"/>
        </w:rPr>
        <w:t>2.</w:t>
      </w:r>
      <w:r w:rsidRPr="00F125EF">
        <w:rPr>
          <w:lang w:val="es-ES"/>
        </w:rPr>
        <w:tab/>
        <w:t>Ha a második meghajtóegység vagy a kézi meghajtás nem lép működésbe automatikusan, biztosítani kell, hogy azokat a kormányos egyetlen egyszerű és gyors lépéssel azonnal működésbe léptethesse.</w:t>
      </w:r>
    </w:p>
    <w:p w:rsidR="003D32C2" w:rsidRPr="00F125EF" w:rsidRDefault="003D32C2" w:rsidP="00320866">
      <w:pPr>
        <w:pStyle w:val="ESch"/>
        <w:rPr>
          <w:lang w:val="es-ES"/>
        </w:rPr>
      </w:pPr>
    </w:p>
    <w:p w:rsidR="003D32C2" w:rsidRPr="00F125EF" w:rsidRDefault="003D32C2" w:rsidP="00320866">
      <w:pPr>
        <w:pStyle w:val="ESch"/>
        <w:rPr>
          <w:lang w:val="es-ES"/>
        </w:rPr>
      </w:pPr>
      <w:r w:rsidRPr="00F125EF">
        <w:rPr>
          <w:lang w:val="es-ES"/>
        </w:rPr>
        <w:t>3.</w:t>
      </w:r>
      <w:r w:rsidRPr="00F125EF">
        <w:rPr>
          <w:lang w:val="es-ES"/>
        </w:rPr>
        <w:tab/>
        <w:t>Az 5. fejezetben előírt műveletképességet a második meghajtóegységnek vagy a kézi meghajtásnak is biztosítania kell.</w:t>
      </w:r>
    </w:p>
    <w:p w:rsidR="003D32C2" w:rsidRPr="00F125EF" w:rsidRDefault="003D32C2" w:rsidP="003D32C2">
      <w:pPr>
        <w:rPr>
          <w:lang w:val="es-ES"/>
        </w:rPr>
      </w:pPr>
      <w:r w:rsidRPr="00F125EF">
        <w:rPr>
          <w:lang w:val="es-ES"/>
        </w:rPr>
        <w:br w:type="page"/>
      </w:r>
    </w:p>
    <w:p w:rsidR="003D32C2" w:rsidRPr="00F125EF" w:rsidRDefault="003D32C2" w:rsidP="003D32C2">
      <w:pPr>
        <w:pStyle w:val="ES-Titre3"/>
        <w:rPr>
          <w:lang w:val="es-ES"/>
        </w:rPr>
      </w:pPr>
      <w:bookmarkStart w:id="70" w:name="_Toc491854035"/>
      <w:bookmarkStart w:id="71" w:name="_Toc535853814"/>
      <w:r w:rsidRPr="00F125EF">
        <w:rPr>
          <w:lang w:val="es-ES"/>
        </w:rPr>
        <w:t>6.03. cikk</w:t>
      </w:r>
      <w:r w:rsidRPr="00F125EF">
        <w:rPr>
          <w:lang w:val="es-ES"/>
        </w:rPr>
        <w:br/>
      </w:r>
      <w:r w:rsidRPr="00F125EF">
        <w:rPr>
          <w:i/>
          <w:noProof/>
          <w:lang w:val="es-ES"/>
        </w:rPr>
        <w:t xml:space="preserve">A kormánygép </w:t>
      </w:r>
      <w:r w:rsidR="00380C1C" w:rsidRPr="00F125EF">
        <w:rPr>
          <w:i/>
          <w:noProof/>
          <w:lang w:val="es-ES"/>
        </w:rPr>
        <w:t xml:space="preserve">hidraulikus </w:t>
      </w:r>
      <w:r w:rsidRPr="00F125EF">
        <w:rPr>
          <w:i/>
          <w:noProof/>
          <w:lang w:val="es-ES"/>
        </w:rPr>
        <w:t>meghajtóegysége</w:t>
      </w:r>
      <w:bookmarkEnd w:id="70"/>
      <w:bookmarkEnd w:id="71"/>
    </w:p>
    <w:p w:rsidR="003D32C2" w:rsidRPr="00F125EF" w:rsidRDefault="003D32C2" w:rsidP="003D32C2">
      <w:pPr>
        <w:rPr>
          <w:lang w:val="es-ES"/>
        </w:rPr>
      </w:pPr>
    </w:p>
    <w:p w:rsidR="003D32C2" w:rsidRPr="00F125EF" w:rsidRDefault="003D32C2" w:rsidP="00320866">
      <w:pPr>
        <w:pStyle w:val="ESch"/>
        <w:rPr>
          <w:lang w:val="es-ES"/>
        </w:rPr>
      </w:pPr>
      <w:r w:rsidRPr="00F125EF">
        <w:rPr>
          <w:lang w:val="es-ES"/>
        </w:rPr>
        <w:t>1.</w:t>
      </w:r>
      <w:r w:rsidRPr="00F125EF">
        <w:rPr>
          <w:lang w:val="es-ES"/>
        </w:rPr>
        <w:tab/>
        <w:t xml:space="preserve">A kormánygép </w:t>
      </w:r>
      <w:r w:rsidR="00380C1C" w:rsidRPr="00F125EF">
        <w:rPr>
          <w:lang w:val="es-ES"/>
        </w:rPr>
        <w:t xml:space="preserve">hidraulikus </w:t>
      </w:r>
      <w:r w:rsidRPr="00F125EF">
        <w:rPr>
          <w:lang w:val="es-ES"/>
        </w:rPr>
        <w:t>meghajtóegységére más energiafogyasztót kötni tilos.</w:t>
      </w:r>
    </w:p>
    <w:p w:rsidR="003D32C2" w:rsidRPr="00F125EF" w:rsidRDefault="003D32C2" w:rsidP="00320866">
      <w:pPr>
        <w:pStyle w:val="ESch"/>
        <w:rPr>
          <w:noProof/>
          <w:lang w:val="es-ES"/>
        </w:rPr>
      </w:pPr>
    </w:p>
    <w:p w:rsidR="003D32C2" w:rsidRPr="00F125EF" w:rsidRDefault="003D32C2" w:rsidP="00320866">
      <w:pPr>
        <w:pStyle w:val="ESch"/>
        <w:rPr>
          <w:lang w:val="es-ES"/>
        </w:rPr>
      </w:pPr>
      <w:r w:rsidRPr="00F125EF">
        <w:rPr>
          <w:lang w:val="es-ES"/>
        </w:rPr>
        <w:t>2.</w:t>
      </w:r>
      <w:r w:rsidRPr="00F125EF">
        <w:rPr>
          <w:lang w:val="es-ES"/>
        </w:rPr>
        <w:tab/>
        <w:t>A hidraulikatartályokat el kell látni figyelmeztető rendszerrel, amely jelez, ha az olaj a megbízható üzemeléshez szükséges minimális szint alá csökken.</w:t>
      </w:r>
    </w:p>
    <w:p w:rsidR="003D32C2" w:rsidRPr="00F125EF" w:rsidRDefault="003D32C2" w:rsidP="00320866">
      <w:pPr>
        <w:pStyle w:val="ESch"/>
        <w:rPr>
          <w:lang w:val="es-ES"/>
        </w:rPr>
      </w:pPr>
    </w:p>
    <w:p w:rsidR="003D32C2" w:rsidRPr="00F125EF" w:rsidRDefault="003D32C2" w:rsidP="00320866">
      <w:pPr>
        <w:pStyle w:val="ESch"/>
        <w:rPr>
          <w:lang w:val="es-ES"/>
        </w:rPr>
      </w:pPr>
      <w:r w:rsidRPr="00F125EF">
        <w:rPr>
          <w:lang w:val="es-ES"/>
        </w:rPr>
        <w:t>3.</w:t>
      </w:r>
      <w:r w:rsidRPr="00F125EF">
        <w:rPr>
          <w:lang w:val="es-ES"/>
        </w:rPr>
        <w:tab/>
        <w:t>A csővezetékek méretének, kialakításának és elrendezésének olyannak kell lennie, hogy a lehető legnagyobb mértékben kizárja a mechanikai vagy tűzesetből következő károsodást.</w:t>
      </w:r>
    </w:p>
    <w:p w:rsidR="003D32C2" w:rsidRPr="00F125EF" w:rsidRDefault="003D32C2" w:rsidP="00320866">
      <w:pPr>
        <w:pStyle w:val="ESch"/>
        <w:rPr>
          <w:noProof/>
          <w:lang w:val="es-ES"/>
        </w:rPr>
      </w:pPr>
    </w:p>
    <w:p w:rsidR="003D32C2" w:rsidRPr="00F125EF" w:rsidRDefault="003D32C2" w:rsidP="00320866">
      <w:pPr>
        <w:pStyle w:val="ESch"/>
        <w:rPr>
          <w:lang w:val="es-ES"/>
        </w:rPr>
      </w:pPr>
      <w:r w:rsidRPr="00F125EF">
        <w:rPr>
          <w:lang w:val="es-ES"/>
        </w:rPr>
        <w:t>4.</w:t>
      </w:r>
      <w:r w:rsidRPr="00F125EF">
        <w:rPr>
          <w:lang w:val="es-ES"/>
        </w:rPr>
        <w:tab/>
        <w:t>A hidarulikatömlők:</w:t>
      </w:r>
    </w:p>
    <w:p w:rsidR="003D32C2" w:rsidRPr="00F125EF" w:rsidRDefault="005C7859" w:rsidP="00553616">
      <w:pPr>
        <w:pStyle w:val="ESlet"/>
        <w:rPr>
          <w:lang w:val="es-ES"/>
        </w:rPr>
      </w:pPr>
      <w:r w:rsidRPr="00F125EF">
        <w:rPr>
          <w:lang w:val="es-ES"/>
        </w:rPr>
        <w:t>a)</w:t>
      </w:r>
      <w:r w:rsidRPr="00F125EF">
        <w:rPr>
          <w:lang w:val="es-ES"/>
        </w:rPr>
        <w:tab/>
        <w:t>csak akkor megengedhetők, ha alkalmazásuk a rezgés csillapítása vagy az alkatrészek szabad mozgása érdekében elkerülhetetlen;</w:t>
      </w:r>
    </w:p>
    <w:p w:rsidR="003D32C2" w:rsidRPr="00F125EF" w:rsidRDefault="005C7859" w:rsidP="00553616">
      <w:pPr>
        <w:pStyle w:val="ESlet"/>
        <w:rPr>
          <w:lang w:val="es-ES"/>
        </w:rPr>
      </w:pPr>
      <w:r w:rsidRPr="00F125EF">
        <w:rPr>
          <w:lang w:val="es-ES"/>
        </w:rPr>
        <w:t>b)</w:t>
      </w:r>
      <w:r w:rsidRPr="00F125EF">
        <w:rPr>
          <w:lang w:val="es-ES"/>
        </w:rPr>
        <w:tab/>
        <w:t>legalább a legnagyobb üzemi nyomásra méretezendők;</w:t>
      </w:r>
    </w:p>
    <w:p w:rsidR="003D32C2" w:rsidRPr="00F125EF" w:rsidRDefault="005C7859" w:rsidP="00553616">
      <w:pPr>
        <w:pStyle w:val="ESlet"/>
        <w:rPr>
          <w:lang w:val="es-ES"/>
        </w:rPr>
      </w:pPr>
      <w:r w:rsidRPr="00F125EF">
        <w:rPr>
          <w:lang w:val="es-ES"/>
        </w:rPr>
        <w:t>c)</w:t>
      </w:r>
      <w:r w:rsidRPr="00F125EF">
        <w:rPr>
          <w:lang w:val="es-ES"/>
        </w:rPr>
        <w:tab/>
        <w:t>legalább nyolcévente felújítandók.</w:t>
      </w:r>
    </w:p>
    <w:p w:rsidR="003D32C2" w:rsidRPr="00F125EF" w:rsidRDefault="003D32C2" w:rsidP="003D32C2">
      <w:pPr>
        <w:rPr>
          <w:lang w:val="es-ES"/>
        </w:rPr>
      </w:pPr>
    </w:p>
    <w:p w:rsidR="003D32C2" w:rsidRPr="00F125EF" w:rsidRDefault="003D32C2" w:rsidP="00320866">
      <w:pPr>
        <w:pStyle w:val="ESch"/>
        <w:rPr>
          <w:lang w:val="es-ES"/>
        </w:rPr>
      </w:pPr>
      <w:r w:rsidRPr="00F125EF">
        <w:rPr>
          <w:lang w:val="es-ES"/>
        </w:rPr>
        <w:t>5.</w:t>
      </w:r>
      <w:r w:rsidRPr="00F125EF">
        <w:rPr>
          <w:lang w:val="es-ES"/>
        </w:rPr>
        <w:tab/>
        <w:t>A hidraulikus hengereket, szivattyúkat és motorokat, valamint a villanymotorokat szakosított cégnek kell megvizsgálnia és szükség esetén megjavítania legalább nyolcévente.</w:t>
      </w:r>
    </w:p>
    <w:p w:rsidR="003D32C2" w:rsidRPr="00F125EF" w:rsidRDefault="003D32C2" w:rsidP="003D32C2">
      <w:pPr>
        <w:rPr>
          <w:lang w:val="es-ES"/>
        </w:rPr>
      </w:pPr>
    </w:p>
    <w:p w:rsidR="003D32C2" w:rsidRPr="00F125EF" w:rsidRDefault="003D32C2" w:rsidP="00B079AF">
      <w:pPr>
        <w:rPr>
          <w:lang w:val="es-ES"/>
        </w:rPr>
      </w:pPr>
    </w:p>
    <w:p w:rsidR="003D32C2" w:rsidRPr="00F125EF" w:rsidRDefault="003D32C2" w:rsidP="003D32C2">
      <w:pPr>
        <w:pStyle w:val="ES-Titre3"/>
        <w:rPr>
          <w:lang w:val="es-ES"/>
        </w:rPr>
      </w:pPr>
      <w:bookmarkStart w:id="72" w:name="_Toc491854036"/>
      <w:bookmarkStart w:id="73" w:name="_Toc535853815"/>
      <w:r w:rsidRPr="00F125EF">
        <w:rPr>
          <w:lang w:val="es-ES"/>
        </w:rPr>
        <w:t>6.04. cikk</w:t>
      </w:r>
      <w:r w:rsidRPr="00F125EF">
        <w:rPr>
          <w:lang w:val="es-ES"/>
        </w:rPr>
        <w:br/>
      </w:r>
      <w:r w:rsidRPr="00F125EF">
        <w:rPr>
          <w:i/>
          <w:lang w:val="es-ES"/>
        </w:rPr>
        <w:t>Energiaforrás</w:t>
      </w:r>
      <w:bookmarkEnd w:id="72"/>
      <w:bookmarkEnd w:id="73"/>
    </w:p>
    <w:p w:rsidR="003D32C2" w:rsidRPr="00F125EF" w:rsidRDefault="003D32C2" w:rsidP="003D32C2">
      <w:pPr>
        <w:rPr>
          <w:lang w:val="es-ES"/>
        </w:rPr>
      </w:pPr>
    </w:p>
    <w:p w:rsidR="003D32C2" w:rsidRPr="00F125EF" w:rsidRDefault="003D32C2" w:rsidP="00320866">
      <w:pPr>
        <w:pStyle w:val="ESch"/>
        <w:rPr>
          <w:lang w:val="es-ES"/>
        </w:rPr>
      </w:pPr>
      <w:r w:rsidRPr="00F125EF">
        <w:rPr>
          <w:lang w:val="es-ES"/>
        </w:rPr>
        <w:t>1.</w:t>
      </w:r>
      <w:r w:rsidRPr="00F125EF">
        <w:rPr>
          <w:lang w:val="es-ES"/>
        </w:rPr>
        <w:tab/>
        <w:t>A két gépi meghajtóegységgel rendelkező kormányberendezéseknek legalább két energiaforrással kell rendelkezniük.</w:t>
      </w:r>
    </w:p>
    <w:p w:rsidR="003D32C2" w:rsidRPr="00F125EF" w:rsidRDefault="003D32C2" w:rsidP="00320866">
      <w:pPr>
        <w:pStyle w:val="ESch"/>
        <w:rPr>
          <w:lang w:val="es-ES"/>
        </w:rPr>
      </w:pPr>
    </w:p>
    <w:p w:rsidR="003D32C2" w:rsidRPr="00F125EF" w:rsidRDefault="003D32C2" w:rsidP="00320866">
      <w:pPr>
        <w:pStyle w:val="ESch"/>
        <w:rPr>
          <w:lang w:val="es-ES"/>
        </w:rPr>
      </w:pPr>
      <w:r w:rsidRPr="00F125EF">
        <w:rPr>
          <w:lang w:val="es-ES"/>
        </w:rPr>
        <w:t>2.</w:t>
      </w:r>
      <w:r w:rsidRPr="00F125EF">
        <w:rPr>
          <w:lang w:val="es-ES"/>
        </w:rPr>
        <w:tab/>
        <w:t>Amennyiben a gépi meghajtású kormánygép második energiaforrása nem áll rendelkezésre mindvégig, amíg a hajó mozgásban van, egy megfelelő kapacitású pufferberendezés szolgáltatja a kisegítést az elinduláshoz szükséges idő alatt.</w:t>
      </w:r>
    </w:p>
    <w:p w:rsidR="003D32C2" w:rsidRPr="00F125EF" w:rsidRDefault="003D32C2" w:rsidP="00320866">
      <w:pPr>
        <w:pStyle w:val="ESch"/>
        <w:rPr>
          <w:lang w:val="es-ES"/>
        </w:rPr>
      </w:pPr>
    </w:p>
    <w:p w:rsidR="003D32C2" w:rsidRPr="00F125EF" w:rsidRDefault="003D32C2" w:rsidP="00320866">
      <w:pPr>
        <w:pStyle w:val="ESch"/>
        <w:rPr>
          <w:lang w:val="es-ES"/>
        </w:rPr>
      </w:pPr>
      <w:r w:rsidRPr="00F125EF">
        <w:rPr>
          <w:lang w:val="es-ES"/>
        </w:rPr>
        <w:t>3.</w:t>
      </w:r>
      <w:r w:rsidRPr="00F125EF">
        <w:rPr>
          <w:lang w:val="es-ES"/>
        </w:rPr>
        <w:tab/>
        <w:t>Elektromos energiaforrás (áramforrás) esetében a kormányberendezés fő energiaforrása nem láthat el más energiafogyasztót.</w:t>
      </w:r>
    </w:p>
    <w:p w:rsidR="003D32C2" w:rsidRPr="00F125EF" w:rsidRDefault="003D32C2" w:rsidP="003D32C2">
      <w:pPr>
        <w:rPr>
          <w:lang w:val="es-ES"/>
        </w:rPr>
      </w:pPr>
    </w:p>
    <w:p w:rsidR="003D32C2" w:rsidRPr="00F125EF" w:rsidRDefault="003D32C2" w:rsidP="003D32C2">
      <w:pPr>
        <w:rPr>
          <w:lang w:val="es-ES"/>
        </w:rPr>
      </w:pPr>
    </w:p>
    <w:p w:rsidR="003D32C2" w:rsidRPr="00F125EF" w:rsidRDefault="003D32C2" w:rsidP="003D32C2">
      <w:pPr>
        <w:pStyle w:val="ES-Titre3"/>
        <w:rPr>
          <w:lang w:val="es-ES"/>
        </w:rPr>
      </w:pPr>
      <w:bookmarkStart w:id="74" w:name="_Toc491854037"/>
      <w:bookmarkStart w:id="75" w:name="_Toc535853816"/>
      <w:r w:rsidRPr="00F125EF">
        <w:rPr>
          <w:lang w:val="es-ES"/>
        </w:rPr>
        <w:t>6.05. cikk</w:t>
      </w:r>
      <w:r w:rsidRPr="00F125EF">
        <w:rPr>
          <w:lang w:val="es-ES"/>
        </w:rPr>
        <w:br/>
      </w:r>
      <w:r w:rsidRPr="00F125EF">
        <w:rPr>
          <w:i/>
          <w:lang w:val="es-ES"/>
        </w:rPr>
        <w:t>Kézi meghajtás</w:t>
      </w:r>
      <w:bookmarkEnd w:id="74"/>
      <w:bookmarkEnd w:id="75"/>
    </w:p>
    <w:p w:rsidR="003D32C2" w:rsidRPr="00F125EF" w:rsidRDefault="003D32C2" w:rsidP="003D32C2">
      <w:pPr>
        <w:rPr>
          <w:lang w:val="es-ES"/>
        </w:rPr>
      </w:pPr>
    </w:p>
    <w:p w:rsidR="003D32C2" w:rsidRPr="00F125EF" w:rsidRDefault="003D32C2" w:rsidP="00320866">
      <w:pPr>
        <w:pStyle w:val="ESch"/>
        <w:rPr>
          <w:lang w:val="es-ES"/>
        </w:rPr>
      </w:pPr>
      <w:r w:rsidRPr="00F125EF">
        <w:rPr>
          <w:lang w:val="es-ES"/>
        </w:rPr>
        <w:t>1.</w:t>
      </w:r>
      <w:r w:rsidRPr="00F125EF">
        <w:rPr>
          <w:lang w:val="es-ES"/>
        </w:rPr>
        <w:tab/>
        <w:t>A kézi kormánykereket nem szabad gépi meghajtóegységgel meghajtani.</w:t>
      </w:r>
    </w:p>
    <w:p w:rsidR="003D32C2" w:rsidRPr="00F125EF" w:rsidRDefault="003D32C2" w:rsidP="00320866">
      <w:pPr>
        <w:pStyle w:val="ESch"/>
        <w:rPr>
          <w:lang w:val="es-ES"/>
        </w:rPr>
      </w:pPr>
    </w:p>
    <w:p w:rsidR="003D32C2" w:rsidRPr="00F125EF" w:rsidRDefault="003D32C2" w:rsidP="00320866">
      <w:pPr>
        <w:pStyle w:val="ESch"/>
        <w:rPr>
          <w:lang w:val="es-ES"/>
        </w:rPr>
      </w:pPr>
      <w:r w:rsidRPr="00F125EF">
        <w:rPr>
          <w:lang w:val="es-ES"/>
        </w:rPr>
        <w:t>2.</w:t>
      </w:r>
      <w:r w:rsidRPr="00F125EF">
        <w:rPr>
          <w:lang w:val="es-ES"/>
        </w:rPr>
        <w:tab/>
        <w:t>A kézi meghajtás önműködő bekapcsolásánál a kormánykerék visszaütését minden kormánylapáthelyzetben meg kell akadályozni.</w:t>
      </w:r>
    </w:p>
    <w:p w:rsidR="003D32C2" w:rsidRPr="00F125EF" w:rsidRDefault="003D32C2" w:rsidP="003D32C2">
      <w:pPr>
        <w:pStyle w:val="ES-Titre3"/>
        <w:rPr>
          <w:lang w:val="es-ES"/>
        </w:rPr>
      </w:pPr>
      <w:r w:rsidRPr="00F125EF">
        <w:rPr>
          <w:lang w:val="es-ES"/>
        </w:rPr>
        <w:br w:type="page"/>
      </w:r>
    </w:p>
    <w:p w:rsidR="003D32C2" w:rsidRPr="00F125EF" w:rsidRDefault="003D32C2" w:rsidP="003D32C2">
      <w:pPr>
        <w:pStyle w:val="ES-Titre3"/>
        <w:rPr>
          <w:i/>
          <w:lang w:val="es-ES"/>
        </w:rPr>
      </w:pPr>
      <w:bookmarkStart w:id="76" w:name="_Toc491854038"/>
      <w:bookmarkStart w:id="77" w:name="_Toc535853817"/>
      <w:r w:rsidRPr="00F125EF">
        <w:rPr>
          <w:lang w:val="es-ES"/>
        </w:rPr>
        <w:t>6.06. cikk</w:t>
      </w:r>
      <w:r w:rsidRPr="00F125EF">
        <w:rPr>
          <w:lang w:val="es-ES"/>
        </w:rPr>
        <w:br/>
      </w:r>
      <w:r w:rsidRPr="00F125EF">
        <w:rPr>
          <w:i/>
          <w:noProof/>
          <w:lang w:val="es-ES"/>
        </w:rPr>
        <w:t>Kormánypropellerek, vízsugárhajtás, cikloidálpropellerek és orrsugárkormányok</w:t>
      </w:r>
      <w:bookmarkEnd w:id="76"/>
      <w:bookmarkEnd w:id="77"/>
    </w:p>
    <w:p w:rsidR="003D32C2" w:rsidRPr="00F125EF" w:rsidRDefault="003D32C2" w:rsidP="003D32C2">
      <w:pPr>
        <w:rPr>
          <w:lang w:val="es-ES"/>
        </w:rPr>
      </w:pPr>
    </w:p>
    <w:p w:rsidR="003D32C2" w:rsidRPr="00F125EF" w:rsidRDefault="003D32C2" w:rsidP="00320866">
      <w:pPr>
        <w:pStyle w:val="ESch"/>
        <w:rPr>
          <w:lang w:val="es-ES"/>
        </w:rPr>
      </w:pPr>
      <w:r w:rsidRPr="00F125EF">
        <w:rPr>
          <w:lang w:val="es-ES"/>
        </w:rPr>
        <w:t>1.</w:t>
      </w:r>
      <w:r w:rsidRPr="00F125EF">
        <w:rPr>
          <w:lang w:val="es-ES"/>
        </w:rPr>
        <w:tab/>
        <w:t>Ha a kormánypropellereknél, vízsugárhajtásnál, cikloidálpropellereknél és orrsugárkormányoknál a tolóerő irányváltoztatására szolgáló távvezérlés villamos, hidraulikus vagy pneumatikus, akkor a kormányállás és a propulziós berendezés között két, egymástól független kormányvezérlésnek kell lennie, amelyek megfelelnek a 6.01–6.05. cikk vonatkozó követelményeinek.</w:t>
      </w:r>
    </w:p>
    <w:p w:rsidR="003D32C2" w:rsidRPr="00F125EF" w:rsidRDefault="003D32C2" w:rsidP="003D32C2">
      <w:pPr>
        <w:rPr>
          <w:lang w:val="es-ES"/>
        </w:rPr>
      </w:pPr>
    </w:p>
    <w:p w:rsidR="003D32C2" w:rsidRPr="00F125EF" w:rsidRDefault="003D32C2" w:rsidP="00320866">
      <w:pPr>
        <w:pStyle w:val="ESchpar"/>
        <w:rPr>
          <w:lang w:val="es-ES"/>
        </w:rPr>
      </w:pPr>
      <w:r w:rsidRPr="00F125EF">
        <w:rPr>
          <w:lang w:val="es-ES"/>
        </w:rPr>
        <w:t>E bekezdés nem vonatkozik ezekre a rendszerekre, ha azokra nincs szükség az 5. fejezetben előírt műveletképességhez, vagy ha azok csak a megállási képesség vizsgálatához szükségesek.</w:t>
      </w:r>
    </w:p>
    <w:p w:rsidR="003D32C2" w:rsidRPr="00F125EF" w:rsidRDefault="003D32C2" w:rsidP="003D32C2">
      <w:pPr>
        <w:rPr>
          <w:lang w:val="es-ES"/>
        </w:rPr>
      </w:pPr>
    </w:p>
    <w:p w:rsidR="003D32C2" w:rsidRPr="00F125EF" w:rsidRDefault="003D32C2" w:rsidP="00320866">
      <w:pPr>
        <w:pStyle w:val="ESch"/>
        <w:rPr>
          <w:lang w:val="es-ES"/>
        </w:rPr>
      </w:pPr>
      <w:r w:rsidRPr="00F125EF">
        <w:rPr>
          <w:lang w:val="es-ES"/>
        </w:rPr>
        <w:t>2.</w:t>
      </w:r>
      <w:r w:rsidRPr="00F125EF">
        <w:rPr>
          <w:lang w:val="es-ES"/>
        </w:rPr>
        <w:tab/>
        <w:t>Ha a hajó két vagy több kormánypropellerrel, vízsugárhajtással vagy cikoidálpropellerrel rendelkezik, melyek egymástól függetlenek, a második vezérlőrendszer nem szükséges, amennyiben a berendezések egyikének meghibásodásakor a hajó megőrzi az 5. fejezetben előírt műveletképességét.</w:t>
      </w:r>
    </w:p>
    <w:p w:rsidR="003D32C2" w:rsidRPr="00F125EF" w:rsidRDefault="003D32C2" w:rsidP="003D32C2">
      <w:pPr>
        <w:rPr>
          <w:lang w:val="es-ES"/>
        </w:rPr>
      </w:pPr>
    </w:p>
    <w:p w:rsidR="003D32C2" w:rsidRPr="00F125EF" w:rsidRDefault="003D32C2" w:rsidP="003D32C2">
      <w:pPr>
        <w:rPr>
          <w:lang w:val="es-ES"/>
        </w:rPr>
      </w:pPr>
    </w:p>
    <w:p w:rsidR="003D32C2" w:rsidRPr="00F125EF" w:rsidRDefault="003D32C2" w:rsidP="003D32C2">
      <w:pPr>
        <w:pStyle w:val="ES-Titre3"/>
        <w:rPr>
          <w:lang w:val="es-ES"/>
        </w:rPr>
      </w:pPr>
      <w:bookmarkStart w:id="78" w:name="_Toc491854039"/>
      <w:bookmarkStart w:id="79" w:name="_Toc535853818"/>
      <w:r w:rsidRPr="00F125EF">
        <w:rPr>
          <w:lang w:val="es-ES"/>
        </w:rPr>
        <w:t>6.07. cikk</w:t>
      </w:r>
      <w:r w:rsidRPr="00F125EF">
        <w:rPr>
          <w:lang w:val="es-ES"/>
        </w:rPr>
        <w:br/>
      </w:r>
      <w:r w:rsidRPr="00F125EF">
        <w:rPr>
          <w:i/>
          <w:noProof/>
          <w:lang w:val="es-ES"/>
        </w:rPr>
        <w:t>Kijelző és ellenőrző rendszerek</w:t>
      </w:r>
      <w:bookmarkEnd w:id="78"/>
      <w:bookmarkEnd w:id="79"/>
    </w:p>
    <w:p w:rsidR="003D32C2" w:rsidRPr="00F125EF" w:rsidRDefault="003D32C2" w:rsidP="003D32C2">
      <w:pPr>
        <w:rPr>
          <w:lang w:val="es-ES"/>
        </w:rPr>
      </w:pPr>
    </w:p>
    <w:p w:rsidR="003D32C2" w:rsidRPr="00F125EF" w:rsidRDefault="003D32C2" w:rsidP="00320866">
      <w:pPr>
        <w:pStyle w:val="ESch"/>
        <w:rPr>
          <w:lang w:val="es-ES"/>
        </w:rPr>
      </w:pPr>
      <w:r w:rsidRPr="00F125EF">
        <w:rPr>
          <w:lang w:val="es-ES"/>
        </w:rPr>
        <w:t>1.</w:t>
      </w:r>
      <w:r w:rsidRPr="00F125EF">
        <w:rPr>
          <w:lang w:val="es-ES"/>
        </w:rPr>
        <w:tab/>
        <w:t>A kormányvezérlő-állást a kormánylapát helyzetét pontosan jelző műszerrel kell felszerelni. Ha a kormánylapátállás-jelző elektromos műszer, saját áramellátással kell rendelkeznie.</w:t>
      </w:r>
    </w:p>
    <w:p w:rsidR="003D32C2" w:rsidRPr="00F125EF" w:rsidRDefault="003D32C2" w:rsidP="00320866">
      <w:pPr>
        <w:pStyle w:val="ESch"/>
        <w:rPr>
          <w:lang w:val="es-ES"/>
        </w:rPr>
      </w:pPr>
    </w:p>
    <w:p w:rsidR="003D32C2" w:rsidRPr="00F125EF" w:rsidRDefault="003D32C2" w:rsidP="00320866">
      <w:pPr>
        <w:pStyle w:val="ESch"/>
        <w:rPr>
          <w:lang w:val="es-ES"/>
        </w:rPr>
      </w:pPr>
      <w:r w:rsidRPr="00F125EF">
        <w:rPr>
          <w:lang w:val="es-ES"/>
        </w:rPr>
        <w:t>2.</w:t>
      </w:r>
      <w:r w:rsidRPr="00F125EF">
        <w:rPr>
          <w:lang w:val="es-ES"/>
        </w:rPr>
        <w:tab/>
        <w:t>A kormányvezérlő-állást olyan eszközökkel kell felszerelni, amelyek optikai és akusztikai vészjelzést adnak az alábbiak esetében:</w:t>
      </w:r>
    </w:p>
    <w:p w:rsidR="003D32C2" w:rsidRPr="00F125EF" w:rsidRDefault="005C7859" w:rsidP="00320866">
      <w:pPr>
        <w:pStyle w:val="ESlet"/>
        <w:rPr>
          <w:lang w:val="es-ES"/>
        </w:rPr>
      </w:pPr>
      <w:r w:rsidRPr="00F125EF">
        <w:rPr>
          <w:lang w:val="es-ES"/>
        </w:rPr>
        <w:t>a)</w:t>
      </w:r>
      <w:r w:rsidRPr="00F125EF">
        <w:rPr>
          <w:lang w:val="es-ES"/>
        </w:rPr>
        <w:tab/>
        <w:t>az olajszint minimális szint alá csökkenése a hidarulikatartályokban a 6.03. cikk 2. bekezdése szerint, valamint a hidraulikus rendszer üzemi nyomásának csökkenése;</w:t>
      </w:r>
    </w:p>
    <w:p w:rsidR="003D32C2" w:rsidRPr="00F125EF" w:rsidRDefault="005C7859" w:rsidP="00320866">
      <w:pPr>
        <w:pStyle w:val="ESlet"/>
        <w:rPr>
          <w:lang w:val="es-ES"/>
        </w:rPr>
      </w:pPr>
      <w:r w:rsidRPr="00F125EF">
        <w:rPr>
          <w:lang w:val="es-ES"/>
        </w:rPr>
        <w:t>b)</w:t>
      </w:r>
      <w:r w:rsidRPr="00F125EF">
        <w:rPr>
          <w:lang w:val="es-ES"/>
        </w:rPr>
        <w:tab/>
        <w:t>a kormányvezérlés villamosáram-ellátásának leállása;</w:t>
      </w:r>
    </w:p>
    <w:p w:rsidR="003D32C2" w:rsidRPr="00F125EF" w:rsidRDefault="005C7859" w:rsidP="00320866">
      <w:pPr>
        <w:pStyle w:val="ESlet"/>
        <w:rPr>
          <w:lang w:val="es-ES"/>
        </w:rPr>
      </w:pPr>
      <w:r w:rsidRPr="00F125EF">
        <w:rPr>
          <w:lang w:val="es-ES"/>
        </w:rPr>
        <w:t>c)</w:t>
      </w:r>
      <w:r w:rsidRPr="00F125EF">
        <w:rPr>
          <w:lang w:val="es-ES"/>
        </w:rPr>
        <w:tab/>
        <w:t>a meghajtóegységek villamosáram-ellátásának leállása;</w:t>
      </w:r>
    </w:p>
    <w:p w:rsidR="003D32C2" w:rsidRPr="00F125EF" w:rsidRDefault="003D32C2" w:rsidP="00320866">
      <w:pPr>
        <w:pStyle w:val="ESlet"/>
        <w:rPr>
          <w:lang w:val="es-ES"/>
        </w:rPr>
      </w:pPr>
      <w:r w:rsidRPr="00F125EF">
        <w:rPr>
          <w:lang w:val="es-ES"/>
        </w:rPr>
        <w:t>d)</w:t>
      </w:r>
      <w:r w:rsidRPr="00F125EF">
        <w:rPr>
          <w:lang w:val="es-ES"/>
        </w:rPr>
        <w:tab/>
        <w:t>a fordulási szögsebesség-szabályzó leállása;</w:t>
      </w:r>
    </w:p>
    <w:p w:rsidR="003D32C2" w:rsidRPr="00F125EF" w:rsidRDefault="003D32C2" w:rsidP="00320866">
      <w:pPr>
        <w:pStyle w:val="ESlet"/>
        <w:rPr>
          <w:lang w:val="es-ES"/>
        </w:rPr>
      </w:pPr>
      <w:r w:rsidRPr="00F125EF">
        <w:rPr>
          <w:lang w:val="es-ES"/>
        </w:rPr>
        <w:t>e)</w:t>
      </w:r>
      <w:r w:rsidRPr="00F125EF">
        <w:rPr>
          <w:lang w:val="es-ES"/>
        </w:rPr>
        <w:tab/>
        <w:t>az előírt pufferberendezések leállása.</w:t>
      </w:r>
    </w:p>
    <w:p w:rsidR="003D32C2" w:rsidRPr="00F125EF" w:rsidRDefault="003D32C2" w:rsidP="003D32C2">
      <w:pPr>
        <w:rPr>
          <w:lang w:val="es-ES"/>
        </w:rPr>
      </w:pPr>
    </w:p>
    <w:p w:rsidR="008A407A" w:rsidRPr="00F125EF" w:rsidRDefault="008A407A" w:rsidP="003D32C2">
      <w:pPr>
        <w:rPr>
          <w:lang w:val="es-ES"/>
        </w:rPr>
      </w:pPr>
    </w:p>
    <w:p w:rsidR="003D32C2" w:rsidRPr="00166EA9" w:rsidRDefault="003D32C2" w:rsidP="003D32C2">
      <w:pPr>
        <w:pStyle w:val="ES-Titre3"/>
        <w:rPr>
          <w:i/>
          <w:lang w:val="es-ES"/>
        </w:rPr>
      </w:pPr>
      <w:bookmarkStart w:id="80" w:name="_Toc491854040"/>
      <w:bookmarkStart w:id="81" w:name="_Toc535853819"/>
      <w:r w:rsidRPr="00166EA9">
        <w:rPr>
          <w:lang w:val="es-ES"/>
        </w:rPr>
        <w:t>6.08. cikk</w:t>
      </w:r>
      <w:r w:rsidRPr="00166EA9">
        <w:rPr>
          <w:lang w:val="es-ES"/>
        </w:rPr>
        <w:br/>
      </w:r>
      <w:r w:rsidRPr="00166EA9">
        <w:rPr>
          <w:i/>
          <w:noProof/>
          <w:lang w:val="es-ES"/>
        </w:rPr>
        <w:t>Fordulási szögsebesség-szabályzók</w:t>
      </w:r>
      <w:bookmarkEnd w:id="80"/>
      <w:bookmarkEnd w:id="81"/>
    </w:p>
    <w:p w:rsidR="008A407A" w:rsidRPr="00166EA9" w:rsidRDefault="008A407A" w:rsidP="00320866">
      <w:pPr>
        <w:pStyle w:val="ESch"/>
        <w:rPr>
          <w:lang w:val="es-ES"/>
        </w:rPr>
      </w:pPr>
    </w:p>
    <w:p w:rsidR="003D32C2" w:rsidRPr="00166EA9" w:rsidRDefault="003D32C2" w:rsidP="00320866">
      <w:pPr>
        <w:pStyle w:val="ESch"/>
        <w:rPr>
          <w:lang w:val="es-ES"/>
        </w:rPr>
      </w:pPr>
      <w:r w:rsidRPr="00166EA9">
        <w:rPr>
          <w:lang w:val="es-ES"/>
        </w:rPr>
        <w:t>1.</w:t>
      </w:r>
      <w:r w:rsidRPr="00166EA9">
        <w:rPr>
          <w:lang w:val="es-ES"/>
        </w:rPr>
        <w:tab/>
        <w:t>A fordulási szögsebesség-szabályzóknak és azok alkatrészeinek meg kell felelniük a 10.20. cikkben megállapított követelményeknek.</w:t>
      </w:r>
    </w:p>
    <w:p w:rsidR="003D32C2" w:rsidRPr="00166EA9" w:rsidRDefault="003D32C2" w:rsidP="00320866">
      <w:pPr>
        <w:pStyle w:val="ESch"/>
        <w:rPr>
          <w:lang w:val="es-ES"/>
        </w:rPr>
      </w:pPr>
    </w:p>
    <w:p w:rsidR="003D32C2" w:rsidRPr="00166EA9" w:rsidRDefault="003D32C2" w:rsidP="00320866">
      <w:pPr>
        <w:pStyle w:val="ESch"/>
        <w:rPr>
          <w:lang w:val="es-ES"/>
        </w:rPr>
      </w:pPr>
      <w:r w:rsidRPr="00166EA9">
        <w:rPr>
          <w:lang w:val="es-ES"/>
        </w:rPr>
        <w:t>2.</w:t>
      </w:r>
      <w:r w:rsidRPr="00166EA9">
        <w:rPr>
          <w:lang w:val="es-ES"/>
        </w:rPr>
        <w:tab/>
        <w:t>A fordulási szögsebesség-szabályzó megfelelő működését zöld jelzőfénynek kell jeleznie a kormányvezérlő-állásban.</w:t>
      </w:r>
    </w:p>
    <w:p w:rsidR="003D32C2" w:rsidRPr="00166EA9" w:rsidRDefault="003D32C2" w:rsidP="003D32C2">
      <w:pPr>
        <w:rPr>
          <w:lang w:val="es-ES"/>
        </w:rPr>
      </w:pPr>
    </w:p>
    <w:p w:rsidR="003D32C2" w:rsidRPr="00166EA9" w:rsidRDefault="003D32C2" w:rsidP="00320866">
      <w:pPr>
        <w:pStyle w:val="ESchpar"/>
        <w:rPr>
          <w:lang w:val="es-ES"/>
        </w:rPr>
      </w:pPr>
      <w:r w:rsidRPr="00166EA9">
        <w:rPr>
          <w:lang w:val="es-ES"/>
        </w:rPr>
        <w:t xml:space="preserve">A hálózati feszültség hiányát vagy elfogadhatatlan </w:t>
      </w:r>
      <w:r w:rsidR="00F125EF" w:rsidRPr="00166EA9">
        <w:rPr>
          <w:lang w:val="es-ES"/>
        </w:rPr>
        <w:t xml:space="preserve">mértékű </w:t>
      </w:r>
      <w:r w:rsidRPr="00166EA9">
        <w:rPr>
          <w:lang w:val="es-ES"/>
        </w:rPr>
        <w:t xml:space="preserve">ingadozását, valamint a giroszkóp forgási sebességének elfogadhatatlan </w:t>
      </w:r>
      <w:r w:rsidR="00F125EF" w:rsidRPr="00166EA9">
        <w:rPr>
          <w:lang w:val="es-ES"/>
        </w:rPr>
        <w:t xml:space="preserve">mértékű </w:t>
      </w:r>
      <w:r w:rsidRPr="00166EA9">
        <w:rPr>
          <w:lang w:val="es-ES"/>
        </w:rPr>
        <w:t>csökkenését figyelemmel kell kísérni.</w:t>
      </w:r>
    </w:p>
    <w:p w:rsidR="003D32C2" w:rsidRPr="00166EA9" w:rsidRDefault="003D32C2" w:rsidP="003D32C2">
      <w:pPr>
        <w:rPr>
          <w:lang w:val="es-ES"/>
        </w:rPr>
      </w:pPr>
      <w:r w:rsidRPr="00166EA9">
        <w:rPr>
          <w:lang w:val="es-ES"/>
        </w:rPr>
        <w:br w:type="page"/>
      </w:r>
    </w:p>
    <w:p w:rsidR="003D32C2" w:rsidRPr="00166EA9" w:rsidRDefault="003D32C2" w:rsidP="008A407A">
      <w:pPr>
        <w:pStyle w:val="ESch"/>
        <w:rPr>
          <w:lang w:val="es-ES"/>
        </w:rPr>
      </w:pPr>
      <w:r w:rsidRPr="00166EA9">
        <w:rPr>
          <w:lang w:val="es-ES"/>
        </w:rPr>
        <w:t>3.</w:t>
      </w:r>
      <w:r w:rsidRPr="00166EA9">
        <w:rPr>
          <w:lang w:val="es-ES"/>
        </w:rPr>
        <w:tab/>
        <w:t>Ha a fordulási szögsebesség-szabályzón kívül vannak más kormányberendezések is, biztosítani kell, hogy a kormányvezérlő-állásban egyértelműen meg lehessen állapítani, hogy ezek közül melyik lépett működésbe. Biztosítani kell az egyik rendszerről másikra való azonnali átkapcsolás lehetőségét. A fordulási szögsebesség-szabályzó nem gyakorolhat semmilyen hatást a többi kormányberendezésre.</w:t>
      </w:r>
    </w:p>
    <w:p w:rsidR="003D32C2" w:rsidRPr="00166EA9" w:rsidRDefault="003D32C2" w:rsidP="008A407A">
      <w:pPr>
        <w:pStyle w:val="ESch"/>
        <w:rPr>
          <w:lang w:val="es-ES"/>
        </w:rPr>
      </w:pPr>
    </w:p>
    <w:p w:rsidR="003D32C2" w:rsidRPr="00166EA9" w:rsidRDefault="003D32C2" w:rsidP="008A407A">
      <w:pPr>
        <w:pStyle w:val="ESch"/>
        <w:rPr>
          <w:lang w:val="es-ES"/>
        </w:rPr>
      </w:pPr>
      <w:r w:rsidRPr="00166EA9">
        <w:rPr>
          <w:lang w:val="es-ES"/>
        </w:rPr>
        <w:t>4.</w:t>
      </w:r>
      <w:r w:rsidRPr="00166EA9">
        <w:rPr>
          <w:lang w:val="es-ES"/>
        </w:rPr>
        <w:tab/>
        <w:t>A fordulási szögsebesség-szabályzó villamosáram-ellátásának függetlennek kell lennie a többi energiafogyasztótól.</w:t>
      </w:r>
    </w:p>
    <w:p w:rsidR="003D32C2" w:rsidRPr="00166EA9" w:rsidRDefault="003D32C2" w:rsidP="008A407A">
      <w:pPr>
        <w:pStyle w:val="ESch"/>
        <w:rPr>
          <w:lang w:val="es-ES"/>
        </w:rPr>
      </w:pPr>
    </w:p>
    <w:p w:rsidR="003D32C2" w:rsidRPr="00166EA9" w:rsidRDefault="003D32C2" w:rsidP="008A407A">
      <w:pPr>
        <w:pStyle w:val="ESch"/>
        <w:rPr>
          <w:lang w:val="es-ES"/>
        </w:rPr>
      </w:pPr>
      <w:r w:rsidRPr="00166EA9">
        <w:rPr>
          <w:lang w:val="es-ES"/>
        </w:rPr>
        <w:t>5.</w:t>
      </w:r>
      <w:r w:rsidRPr="00166EA9">
        <w:rPr>
          <w:lang w:val="es-ES"/>
        </w:rPr>
        <w:tab/>
        <w:t>A fordulási szögsebesség-szabályzókban használt giroszkópoknak, érzékelőknek és fordulási szögsebességjelző készülékeknek meg kell felelniük az 5. melléklet II. szakaszában meghatározott, belvízi utakon használt fordulási szögsebességjelzőkre vonatkozó minimumelőírások és vizsgálati feltételek minimumkövetelményeinek.</w:t>
      </w:r>
    </w:p>
    <w:p w:rsidR="003D32C2" w:rsidRPr="00166EA9" w:rsidRDefault="003D32C2" w:rsidP="003D32C2">
      <w:pPr>
        <w:rPr>
          <w:lang w:val="es-ES"/>
        </w:rPr>
      </w:pPr>
    </w:p>
    <w:p w:rsidR="003D32C2" w:rsidRPr="00166EA9" w:rsidRDefault="003D32C2" w:rsidP="003D32C2">
      <w:pPr>
        <w:rPr>
          <w:lang w:val="es-ES"/>
        </w:rPr>
      </w:pPr>
    </w:p>
    <w:p w:rsidR="003D32C2" w:rsidRPr="00166EA9" w:rsidRDefault="003D32C2" w:rsidP="003D32C2">
      <w:pPr>
        <w:pStyle w:val="ES-Titre3"/>
        <w:rPr>
          <w:lang w:val="es-ES"/>
        </w:rPr>
      </w:pPr>
      <w:bookmarkStart w:id="82" w:name="_Toc491854041"/>
      <w:bookmarkStart w:id="83" w:name="_Toc535853820"/>
      <w:r w:rsidRPr="00166EA9">
        <w:rPr>
          <w:lang w:val="es-ES"/>
        </w:rPr>
        <w:t>6.09. cikk</w:t>
      </w:r>
      <w:r w:rsidRPr="00166EA9">
        <w:rPr>
          <w:lang w:val="es-ES"/>
        </w:rPr>
        <w:br/>
      </w:r>
      <w:r w:rsidRPr="00166EA9">
        <w:rPr>
          <w:i/>
          <w:noProof/>
          <w:lang w:val="es-ES"/>
        </w:rPr>
        <w:t>Vizsgálatok</w:t>
      </w:r>
      <w:bookmarkEnd w:id="82"/>
      <w:bookmarkEnd w:id="83"/>
    </w:p>
    <w:p w:rsidR="008A407A" w:rsidRPr="00166EA9" w:rsidRDefault="008A407A" w:rsidP="008A407A">
      <w:pPr>
        <w:pStyle w:val="ESch"/>
        <w:rPr>
          <w:lang w:val="es-ES"/>
        </w:rPr>
      </w:pPr>
    </w:p>
    <w:p w:rsidR="003D32C2" w:rsidRPr="00166EA9" w:rsidRDefault="003D32C2" w:rsidP="008A407A">
      <w:pPr>
        <w:pStyle w:val="ESch"/>
        <w:rPr>
          <w:lang w:val="es-ES"/>
        </w:rPr>
      </w:pPr>
      <w:r w:rsidRPr="00166EA9">
        <w:rPr>
          <w:lang w:val="es-ES"/>
        </w:rPr>
        <w:t>1.</w:t>
      </w:r>
      <w:r w:rsidRPr="00166EA9">
        <w:rPr>
          <w:lang w:val="es-ES"/>
        </w:rPr>
        <w:tab/>
        <w:t>A kormányberendezés megfelelő beszerelését egy ellenőrző szerv ellenőrzi. Az ellenőrző szerv e célból az alábbi dokumentumokat kérheti:</w:t>
      </w:r>
    </w:p>
    <w:p w:rsidR="003D32C2" w:rsidRPr="00166EA9" w:rsidRDefault="005C7859" w:rsidP="008A407A">
      <w:pPr>
        <w:pStyle w:val="ESlet"/>
        <w:rPr>
          <w:lang w:val="es-ES"/>
        </w:rPr>
      </w:pPr>
      <w:r w:rsidRPr="00166EA9">
        <w:rPr>
          <w:lang w:val="es-ES"/>
        </w:rPr>
        <w:t>a)</w:t>
      </w:r>
      <w:r w:rsidRPr="00166EA9">
        <w:rPr>
          <w:lang w:val="es-ES"/>
        </w:rPr>
        <w:tab/>
        <w:t>a kormányberendezés leírása;</w:t>
      </w:r>
    </w:p>
    <w:p w:rsidR="003D32C2" w:rsidRPr="00166EA9" w:rsidRDefault="005C7859" w:rsidP="008A407A">
      <w:pPr>
        <w:pStyle w:val="ESlet"/>
        <w:rPr>
          <w:lang w:val="es-ES"/>
        </w:rPr>
      </w:pPr>
      <w:r w:rsidRPr="00166EA9">
        <w:rPr>
          <w:lang w:val="es-ES"/>
        </w:rPr>
        <w:t>b)</w:t>
      </w:r>
      <w:r w:rsidRPr="00166EA9">
        <w:rPr>
          <w:lang w:val="es-ES"/>
        </w:rPr>
        <w:tab/>
        <w:t>a kormánygép meghajtóegységeire és a kormányvezérlésre vonatkozó tervrajzok és információk;</w:t>
      </w:r>
    </w:p>
    <w:p w:rsidR="003D32C2" w:rsidRPr="00F125EF" w:rsidRDefault="005C7859" w:rsidP="008A407A">
      <w:pPr>
        <w:pStyle w:val="ESlet"/>
        <w:rPr>
          <w:lang w:val="pt-PT"/>
        </w:rPr>
      </w:pPr>
      <w:r w:rsidRPr="00F125EF">
        <w:rPr>
          <w:lang w:val="pt-PT"/>
        </w:rPr>
        <w:t>c)</w:t>
      </w:r>
      <w:r w:rsidRPr="00F125EF">
        <w:rPr>
          <w:lang w:val="pt-PT"/>
        </w:rPr>
        <w:tab/>
        <w:t>a kormánygépre vonatkozó információk;</w:t>
      </w:r>
    </w:p>
    <w:p w:rsidR="003D32C2" w:rsidRPr="00F125EF" w:rsidRDefault="003D32C2" w:rsidP="008A407A">
      <w:pPr>
        <w:pStyle w:val="ESlet"/>
        <w:rPr>
          <w:lang w:val="pt-PT"/>
        </w:rPr>
      </w:pPr>
      <w:r w:rsidRPr="00F125EF">
        <w:rPr>
          <w:lang w:val="pt-PT"/>
        </w:rPr>
        <w:t>d)</w:t>
      </w:r>
      <w:r w:rsidRPr="00F125EF">
        <w:rPr>
          <w:lang w:val="pt-PT"/>
        </w:rPr>
        <w:tab/>
        <w:t>elektromos kapcsolási rajz;</w:t>
      </w:r>
    </w:p>
    <w:p w:rsidR="003D32C2" w:rsidRPr="00F125EF" w:rsidRDefault="003D32C2" w:rsidP="008A407A">
      <w:pPr>
        <w:pStyle w:val="ESlet"/>
        <w:rPr>
          <w:lang w:val="pt-PT"/>
        </w:rPr>
      </w:pPr>
      <w:r w:rsidRPr="00F125EF">
        <w:rPr>
          <w:lang w:val="pt-PT"/>
        </w:rPr>
        <w:t>e)</w:t>
      </w:r>
      <w:r w:rsidRPr="00F125EF">
        <w:rPr>
          <w:lang w:val="pt-PT"/>
        </w:rPr>
        <w:tab/>
        <w:t>a fordulási szögsebesség-szabályzó leírása;</w:t>
      </w:r>
    </w:p>
    <w:p w:rsidR="003D32C2" w:rsidRPr="00F125EF" w:rsidRDefault="003D32C2" w:rsidP="008A407A">
      <w:pPr>
        <w:pStyle w:val="ESlet"/>
        <w:rPr>
          <w:lang w:val="pt-PT"/>
        </w:rPr>
      </w:pPr>
      <w:r w:rsidRPr="00F125EF">
        <w:rPr>
          <w:lang w:val="pt-PT"/>
        </w:rPr>
        <w:t>f)</w:t>
      </w:r>
      <w:r w:rsidRPr="00F125EF">
        <w:rPr>
          <w:lang w:val="pt-PT"/>
        </w:rPr>
        <w:tab/>
        <w:t>a kormányberendezés kezelési és karbantartási utasításai.</w:t>
      </w:r>
    </w:p>
    <w:p w:rsidR="003D32C2" w:rsidRPr="00F125EF" w:rsidRDefault="003D32C2" w:rsidP="003D32C2">
      <w:pPr>
        <w:rPr>
          <w:lang w:val="pt-PT"/>
        </w:rPr>
      </w:pPr>
    </w:p>
    <w:p w:rsidR="003D32C2" w:rsidRPr="00F125EF" w:rsidRDefault="003D32C2" w:rsidP="008A407A">
      <w:pPr>
        <w:pStyle w:val="ESch"/>
        <w:rPr>
          <w:lang w:val="pt-PT"/>
        </w:rPr>
      </w:pPr>
      <w:r w:rsidRPr="00F125EF">
        <w:rPr>
          <w:lang w:val="pt-PT"/>
        </w:rPr>
        <w:t>2.</w:t>
      </w:r>
      <w:r w:rsidRPr="00F125EF">
        <w:rPr>
          <w:lang w:val="pt-PT"/>
        </w:rPr>
        <w:tab/>
        <w:t>A teljes kormányberendezés működését próbaút során kell ellenőrizni. Amennyiben fordulási szögsebesség-szabályzó van beszerelve, ellenőrizni kell, hogy az előre meghatározott ív megbízhatóan tartható-e és a fordulást biztonságosan végre lehet-e hajtani.</w:t>
      </w:r>
    </w:p>
    <w:p w:rsidR="003D32C2" w:rsidRPr="00F125EF" w:rsidRDefault="003D32C2" w:rsidP="008A407A">
      <w:pPr>
        <w:pStyle w:val="ESch"/>
        <w:rPr>
          <w:lang w:val="pt-PT"/>
        </w:rPr>
      </w:pPr>
    </w:p>
    <w:p w:rsidR="003D32C2" w:rsidRPr="00F125EF" w:rsidRDefault="003D32C2" w:rsidP="008A407A">
      <w:pPr>
        <w:pStyle w:val="ESch"/>
        <w:rPr>
          <w:lang w:val="pt-PT"/>
        </w:rPr>
      </w:pPr>
      <w:r w:rsidRPr="00F125EF">
        <w:rPr>
          <w:lang w:val="pt-PT"/>
        </w:rPr>
        <w:t>3.</w:t>
      </w:r>
      <w:r w:rsidRPr="00F125EF">
        <w:rPr>
          <w:lang w:val="pt-PT"/>
        </w:rPr>
        <w:tab/>
        <w:t>A gépi meghajtású kormányberendezést egy hozzáértő személy ellenőrzi:</w:t>
      </w:r>
    </w:p>
    <w:p w:rsidR="003D32C2" w:rsidRPr="00F125EF" w:rsidRDefault="005C7859" w:rsidP="008C2125">
      <w:pPr>
        <w:pStyle w:val="ESlet"/>
        <w:rPr>
          <w:lang w:val="pt-PT"/>
        </w:rPr>
      </w:pPr>
      <w:r w:rsidRPr="00F125EF">
        <w:rPr>
          <w:lang w:val="pt-PT"/>
        </w:rPr>
        <w:t>a)</w:t>
      </w:r>
      <w:r w:rsidRPr="00F125EF">
        <w:rPr>
          <w:lang w:val="pt-PT"/>
        </w:rPr>
        <w:tab/>
        <w:t>a használatba vétel előtt;</w:t>
      </w:r>
    </w:p>
    <w:p w:rsidR="003D32C2" w:rsidRPr="00F125EF" w:rsidRDefault="005C7859" w:rsidP="008C2125">
      <w:pPr>
        <w:pStyle w:val="ESlet"/>
        <w:rPr>
          <w:lang w:val="pt-PT"/>
        </w:rPr>
      </w:pPr>
      <w:r w:rsidRPr="00F125EF">
        <w:rPr>
          <w:lang w:val="pt-PT"/>
        </w:rPr>
        <w:t>b)</w:t>
      </w:r>
      <w:r w:rsidRPr="00F125EF">
        <w:rPr>
          <w:lang w:val="pt-PT"/>
        </w:rPr>
        <w:tab/>
        <w:t>leállást követően;</w:t>
      </w:r>
    </w:p>
    <w:p w:rsidR="003D32C2" w:rsidRPr="00F125EF" w:rsidRDefault="005C7859" w:rsidP="008C2125">
      <w:pPr>
        <w:pStyle w:val="ESlet"/>
        <w:rPr>
          <w:lang w:val="es-ES"/>
        </w:rPr>
      </w:pPr>
      <w:r w:rsidRPr="00F125EF">
        <w:rPr>
          <w:lang w:val="es-ES"/>
        </w:rPr>
        <w:t>c)</w:t>
      </w:r>
      <w:r w:rsidRPr="00F125EF">
        <w:rPr>
          <w:lang w:val="es-ES"/>
        </w:rPr>
        <w:tab/>
        <w:t>minden módosítás vagy javítás után;</w:t>
      </w:r>
    </w:p>
    <w:p w:rsidR="003D32C2" w:rsidRPr="00F125EF" w:rsidRDefault="005C7859" w:rsidP="008C2125">
      <w:pPr>
        <w:pStyle w:val="ESlet"/>
        <w:rPr>
          <w:lang w:val="es-ES"/>
        </w:rPr>
      </w:pPr>
      <w:r w:rsidRPr="00F125EF">
        <w:rPr>
          <w:lang w:val="es-ES"/>
        </w:rPr>
        <w:t>d)</w:t>
      </w:r>
      <w:r w:rsidRPr="00F125EF">
        <w:rPr>
          <w:lang w:val="es-ES"/>
        </w:rPr>
        <w:tab/>
        <w:t>rendszeresen legalább háromévente.</w:t>
      </w:r>
    </w:p>
    <w:p w:rsidR="003D32C2" w:rsidRPr="00F125EF" w:rsidRDefault="003D32C2" w:rsidP="003D32C2">
      <w:pPr>
        <w:rPr>
          <w:lang w:val="es-ES"/>
        </w:rPr>
      </w:pPr>
    </w:p>
    <w:p w:rsidR="003D32C2" w:rsidRPr="00F125EF" w:rsidRDefault="003D32C2" w:rsidP="008A407A">
      <w:pPr>
        <w:pStyle w:val="ESch"/>
        <w:rPr>
          <w:lang w:val="es-ES"/>
        </w:rPr>
      </w:pPr>
      <w:r w:rsidRPr="00F125EF">
        <w:rPr>
          <w:lang w:val="es-ES"/>
        </w:rPr>
        <w:t>4.</w:t>
      </w:r>
      <w:r w:rsidRPr="00F125EF">
        <w:rPr>
          <w:lang w:val="es-ES"/>
        </w:rPr>
        <w:tab/>
        <w:t>Az ellenőrzésnek legalább az alábbiakat kell tartalmaznia:</w:t>
      </w:r>
    </w:p>
    <w:p w:rsidR="003D32C2" w:rsidRPr="00F125EF" w:rsidRDefault="005C7859" w:rsidP="008A407A">
      <w:pPr>
        <w:pStyle w:val="ESlet"/>
        <w:rPr>
          <w:lang w:val="es-ES"/>
        </w:rPr>
      </w:pPr>
      <w:r w:rsidRPr="00F125EF">
        <w:rPr>
          <w:lang w:val="es-ES"/>
        </w:rPr>
        <w:t>a)</w:t>
      </w:r>
      <w:r w:rsidRPr="00F125EF">
        <w:rPr>
          <w:lang w:val="es-ES"/>
        </w:rPr>
        <w:tab/>
        <w:t xml:space="preserve">a jóváhagyott tervrajzoknak való megfelelés ellenőrzése, továbbá az időszakos </w:t>
      </w:r>
      <w:r w:rsidR="0092642D">
        <w:rPr>
          <w:lang w:val="es-ES"/>
        </w:rPr>
        <w:t>vizsgálatok</w:t>
      </w:r>
      <w:r w:rsidRPr="00F125EF">
        <w:rPr>
          <w:lang w:val="es-ES"/>
        </w:rPr>
        <w:t xml:space="preserve"> során annak ellenőrzése, hogy módosították-e a kormányberendezést;</w:t>
      </w:r>
    </w:p>
    <w:p w:rsidR="003D32C2" w:rsidRPr="00F125EF" w:rsidRDefault="005C7859" w:rsidP="008A407A">
      <w:pPr>
        <w:pStyle w:val="ESlet"/>
        <w:rPr>
          <w:lang w:val="es-ES"/>
        </w:rPr>
      </w:pPr>
      <w:r w:rsidRPr="00F125EF">
        <w:rPr>
          <w:lang w:val="es-ES"/>
        </w:rPr>
        <w:t>b)</w:t>
      </w:r>
      <w:r w:rsidRPr="00F125EF">
        <w:rPr>
          <w:lang w:val="es-ES"/>
        </w:rPr>
        <w:tab/>
        <w:t>a kormányberendezés működésének vizsgálata valamennyi lehetséges üzemmódra vonatkozóan;</w:t>
      </w:r>
    </w:p>
    <w:p w:rsidR="003D32C2" w:rsidRPr="00F125EF" w:rsidRDefault="005C7859" w:rsidP="008A407A">
      <w:pPr>
        <w:pStyle w:val="ESlet"/>
        <w:rPr>
          <w:lang w:val="es-ES"/>
        </w:rPr>
      </w:pPr>
      <w:r w:rsidRPr="00F125EF">
        <w:rPr>
          <w:lang w:val="es-ES"/>
        </w:rPr>
        <w:t>c)</w:t>
      </w:r>
      <w:r w:rsidRPr="00F125EF">
        <w:rPr>
          <w:lang w:val="es-ES"/>
        </w:rPr>
        <w:tab/>
        <w:t>a hidraulikus alkatrészek – különösen szelepek, vezetékek, hidarulikatömlők, hengerek, szivattyúk és szűrők – szemrevételezése és tömítettségének ellenőrzése;</w:t>
      </w:r>
    </w:p>
    <w:p w:rsidR="003D32C2" w:rsidRPr="00F125EF" w:rsidRDefault="005C7859" w:rsidP="008A407A">
      <w:pPr>
        <w:pStyle w:val="ESlet"/>
        <w:rPr>
          <w:lang w:val="es-ES"/>
        </w:rPr>
      </w:pPr>
      <w:r w:rsidRPr="00F125EF">
        <w:rPr>
          <w:lang w:val="es-ES"/>
        </w:rPr>
        <w:t>d)</w:t>
      </w:r>
      <w:r w:rsidRPr="00F125EF">
        <w:rPr>
          <w:lang w:val="es-ES"/>
        </w:rPr>
        <w:tab/>
        <w:t>villamos alkatrészek – különösen relék, villanymotorok és biztonsági berendezések – szemrevételezése;</w:t>
      </w:r>
    </w:p>
    <w:p w:rsidR="003D32C2" w:rsidRPr="00F125EF" w:rsidRDefault="003D32C2" w:rsidP="008A407A">
      <w:pPr>
        <w:pStyle w:val="ESlet"/>
        <w:rPr>
          <w:lang w:val="es-ES"/>
        </w:rPr>
      </w:pPr>
      <w:r w:rsidRPr="00F125EF">
        <w:rPr>
          <w:lang w:val="es-ES"/>
        </w:rPr>
        <w:t>e)</w:t>
      </w:r>
      <w:r w:rsidRPr="00F125EF">
        <w:rPr>
          <w:lang w:val="es-ES"/>
        </w:rPr>
        <w:tab/>
        <w:t>optikai és akusztikai vezérlő berendezések ellenőrzése.</w:t>
      </w:r>
    </w:p>
    <w:p w:rsidR="003D32C2" w:rsidRPr="00F125EF" w:rsidRDefault="003D32C2" w:rsidP="003D32C2">
      <w:pPr>
        <w:rPr>
          <w:lang w:val="es-ES"/>
        </w:rPr>
      </w:pPr>
    </w:p>
    <w:p w:rsidR="003D32C2" w:rsidRPr="00F125EF" w:rsidRDefault="003D32C2" w:rsidP="008A407A">
      <w:pPr>
        <w:pStyle w:val="ESch"/>
        <w:rPr>
          <w:lang w:val="es-ES"/>
        </w:rPr>
      </w:pPr>
      <w:r w:rsidRPr="00F125EF">
        <w:rPr>
          <w:lang w:val="es-ES"/>
        </w:rPr>
        <w:t>5.</w:t>
      </w:r>
      <w:r w:rsidRPr="00F125EF">
        <w:rPr>
          <w:lang w:val="es-ES"/>
        </w:rPr>
        <w:tab/>
        <w:t>Ellenőrzési igazolást kell kiadni, amely tartalmazza a hozzáértő személy aláírását és az ellenőrzés dátumát.</w:t>
      </w:r>
    </w:p>
    <w:p w:rsidR="003D32C2" w:rsidRPr="00F125EF" w:rsidRDefault="003D32C2" w:rsidP="003D32C2">
      <w:pPr>
        <w:rPr>
          <w:lang w:val="es-ES"/>
        </w:rPr>
      </w:pPr>
    </w:p>
    <w:p w:rsidR="00822C1C" w:rsidRPr="00166EA9" w:rsidRDefault="00822C1C" w:rsidP="00822C1C">
      <w:pPr>
        <w:pStyle w:val="ES-Titre2"/>
        <w:rPr>
          <w:lang w:val="es-ES"/>
        </w:rPr>
      </w:pPr>
      <w:bookmarkStart w:id="84" w:name="_Toc491854042"/>
      <w:bookmarkStart w:id="85" w:name="_Toc535853821"/>
      <w:r w:rsidRPr="00166EA9">
        <w:rPr>
          <w:lang w:val="es-ES"/>
        </w:rPr>
        <w:t>7. fejezet</w:t>
      </w:r>
      <w:r w:rsidRPr="00166EA9">
        <w:rPr>
          <w:lang w:val="es-ES"/>
        </w:rPr>
        <w:br/>
        <w:t>Kormányállás</w:t>
      </w:r>
      <w:bookmarkEnd w:id="84"/>
      <w:bookmarkEnd w:id="85"/>
    </w:p>
    <w:p w:rsidR="00822C1C" w:rsidRPr="00F125EF" w:rsidRDefault="00822C1C" w:rsidP="00822C1C">
      <w:pPr>
        <w:rPr>
          <w:rFonts w:cs="Arial"/>
          <w:b/>
          <w:i/>
          <w:noProof/>
          <w:szCs w:val="20"/>
          <w:lang w:val="es-ES"/>
        </w:rPr>
      </w:pPr>
    </w:p>
    <w:p w:rsidR="00822C1C" w:rsidRPr="00F125EF" w:rsidRDefault="00822C1C" w:rsidP="00822C1C">
      <w:pPr>
        <w:pStyle w:val="ES-Titre3"/>
        <w:rPr>
          <w:lang w:val="es-ES"/>
        </w:rPr>
      </w:pPr>
      <w:bookmarkStart w:id="86" w:name="_Toc491854043"/>
      <w:bookmarkStart w:id="87" w:name="_Toc535853822"/>
      <w:r w:rsidRPr="00F125EF">
        <w:rPr>
          <w:lang w:val="es-ES"/>
        </w:rPr>
        <w:t>7.01. cikk</w:t>
      </w:r>
      <w:r w:rsidRPr="00F125EF">
        <w:rPr>
          <w:lang w:val="es-ES"/>
        </w:rPr>
        <w:br/>
      </w:r>
      <w:r w:rsidRPr="00F125EF">
        <w:rPr>
          <w:i/>
          <w:noProof/>
          <w:lang w:val="es-ES"/>
        </w:rPr>
        <w:t>Általános rendelkezések</w:t>
      </w:r>
      <w:bookmarkEnd w:id="86"/>
      <w:bookmarkEnd w:id="87"/>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1.</w:t>
      </w:r>
      <w:r w:rsidRPr="00F125EF">
        <w:rPr>
          <w:lang w:val="es-ES"/>
        </w:rPr>
        <w:tab/>
        <w:t>A kormányállást úgy kell berendezni, hogy a kormányos a menetben lévő hajón mindenkor el tudja végezni feladatát.</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2.</w:t>
      </w:r>
      <w:r w:rsidRPr="00F125EF">
        <w:rPr>
          <w:lang w:val="es-ES"/>
        </w:rPr>
        <w:tab/>
        <w:t>Szokásos üzemi körülmények mellett a hajó által keltett hangnyomás a kormányvezérlő-állásban a kormányos fejének magasságában mérve nem haladhatja meg a 70 dB(A)-t.</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3.</w:t>
      </w:r>
      <w:r w:rsidRPr="00F125EF">
        <w:rPr>
          <w:lang w:val="es-ES"/>
        </w:rPr>
        <w:tab/>
        <w:t>Az egyszemélyes radarhajózásra kialakított kormányállásban a kormányosnak ülő helyzetben el kell tudnia végezni a feladatát, és a hajó üzemeltetéséhez szükséges valamennyi kijelző és ellenőrző műszert, valamint kezelőszervet úgy kell elrendezni, hogy a kormányos a hajó mozgása közben azokat kényelmesen használhassa, anélkül, hogy helyét el kellene hagynia vagy a radarképernyő takarásba kerülne.</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p>
    <w:p w:rsidR="00822C1C" w:rsidRPr="00F125EF" w:rsidRDefault="00822C1C" w:rsidP="00822C1C">
      <w:pPr>
        <w:pStyle w:val="ES-Titre3"/>
        <w:rPr>
          <w:lang w:val="es-ES"/>
        </w:rPr>
      </w:pPr>
      <w:bookmarkStart w:id="88" w:name="_Toc491854044"/>
      <w:bookmarkStart w:id="89" w:name="_Toc535853823"/>
      <w:r w:rsidRPr="00F125EF">
        <w:rPr>
          <w:lang w:val="es-ES"/>
        </w:rPr>
        <w:t>7.02. cikk</w:t>
      </w:r>
      <w:r w:rsidRPr="00F125EF">
        <w:rPr>
          <w:lang w:val="es-ES"/>
        </w:rPr>
        <w:br/>
      </w:r>
      <w:bookmarkEnd w:id="88"/>
      <w:r w:rsidR="00E602EE">
        <w:rPr>
          <w:i/>
          <w:lang w:val="es-ES"/>
        </w:rPr>
        <w:t>Szabad kilátás</w:t>
      </w:r>
      <w:bookmarkEnd w:id="89"/>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1.</w:t>
      </w:r>
      <w:r w:rsidRPr="00F125EF">
        <w:rPr>
          <w:lang w:val="es-ES"/>
        </w:rPr>
        <w:tab/>
        <w:t xml:space="preserve">A kormányvezérlő-állásban kellően </w:t>
      </w:r>
      <w:r w:rsidR="00E355F3" w:rsidRPr="00E355F3">
        <w:rPr>
          <w:lang w:val="es-ES"/>
        </w:rPr>
        <w:t xml:space="preserve">szabad </w:t>
      </w:r>
      <w:r w:rsidR="00E602EE">
        <w:rPr>
          <w:lang w:val="es-ES"/>
        </w:rPr>
        <w:t>kilátás</w:t>
      </w:r>
      <w:r w:rsidR="00E355F3" w:rsidRPr="00E355F3">
        <w:rPr>
          <w:lang w:val="es-ES"/>
        </w:rPr>
        <w:t>t</w:t>
      </w:r>
      <w:r w:rsidRPr="00F125EF">
        <w:rPr>
          <w:lang w:val="es-ES"/>
        </w:rPr>
        <w:t xml:space="preserve"> kell biztosítani minden irányba.</w:t>
      </w:r>
    </w:p>
    <w:p w:rsidR="00822C1C" w:rsidRPr="00F125EF" w:rsidRDefault="00822C1C" w:rsidP="00822C1C">
      <w:pPr>
        <w:pStyle w:val="ESch"/>
        <w:rPr>
          <w:szCs w:val="20"/>
          <w:lang w:val="es-ES"/>
        </w:rPr>
      </w:pPr>
    </w:p>
    <w:p w:rsidR="00822C1C" w:rsidRPr="00F125EF" w:rsidRDefault="00BF58F6" w:rsidP="00822C1C">
      <w:pPr>
        <w:pStyle w:val="ESch"/>
        <w:rPr>
          <w:szCs w:val="20"/>
          <w:lang w:val="es-ES"/>
        </w:rPr>
      </w:pPr>
      <w:r w:rsidRPr="00F125EF">
        <w:rPr>
          <w:lang w:val="es-ES"/>
        </w:rPr>
        <w:t>2.</w:t>
      </w:r>
      <w:r w:rsidRPr="00F125EF">
        <w:rPr>
          <w:lang w:val="es-ES"/>
        </w:rPr>
        <w:tab/>
        <w:t>A kor</w:t>
      </w:r>
      <w:r w:rsidR="005D5D40">
        <w:rPr>
          <w:lang w:val="es-ES"/>
        </w:rPr>
        <w:t>mányos korlátozott látótere</w:t>
      </w:r>
      <w:r w:rsidRPr="00F125EF">
        <w:rPr>
          <w:lang w:val="es-ES"/>
        </w:rPr>
        <w:t xml:space="preserve"> a hajó előtt – annak üres állapotában, ellátmánya felével felszerelve, de ballaszt nélkül – nem haladhatja meg a 250 métert.</w:t>
      </w:r>
    </w:p>
    <w:p w:rsidR="00822C1C" w:rsidRPr="00F125EF" w:rsidRDefault="00822C1C" w:rsidP="00822C1C">
      <w:pPr>
        <w:pStyle w:val="ESch"/>
        <w:rPr>
          <w:szCs w:val="20"/>
          <w:lang w:val="es-ES"/>
        </w:rPr>
      </w:pPr>
    </w:p>
    <w:p w:rsidR="00822C1C" w:rsidRPr="00F125EF" w:rsidRDefault="00822C1C" w:rsidP="00822C1C">
      <w:pPr>
        <w:pStyle w:val="ESchpar"/>
        <w:rPr>
          <w:lang w:val="es-ES"/>
        </w:rPr>
      </w:pPr>
      <w:r w:rsidRPr="00F125EF">
        <w:rPr>
          <w:lang w:val="es-ES"/>
        </w:rPr>
        <w:t>A látó</w:t>
      </w:r>
      <w:r w:rsidR="005D5D40">
        <w:rPr>
          <w:lang w:val="es-ES"/>
        </w:rPr>
        <w:t>tér</w:t>
      </w:r>
      <w:r w:rsidRPr="00F125EF">
        <w:rPr>
          <w:lang w:val="es-ES"/>
        </w:rPr>
        <w:t xml:space="preserve"> korlátozottságának további csökkentéséhez kizárólag megfelelő segédeszközök használhatók.</w:t>
      </w:r>
    </w:p>
    <w:p w:rsidR="00822C1C" w:rsidRPr="00F125EF" w:rsidRDefault="00822C1C" w:rsidP="00822C1C">
      <w:pPr>
        <w:pStyle w:val="ESch"/>
        <w:rPr>
          <w:szCs w:val="20"/>
          <w:lang w:val="es-ES"/>
        </w:rPr>
      </w:pPr>
    </w:p>
    <w:p w:rsidR="00822C1C" w:rsidRPr="00F125EF" w:rsidRDefault="00822C1C" w:rsidP="00822C1C">
      <w:pPr>
        <w:pStyle w:val="ESchpar"/>
        <w:rPr>
          <w:lang w:val="es-ES"/>
        </w:rPr>
      </w:pPr>
      <w:r w:rsidRPr="00F125EF">
        <w:rPr>
          <w:lang w:val="es-ES"/>
        </w:rPr>
        <w:t>A látó</w:t>
      </w:r>
      <w:r w:rsidR="005D5D40">
        <w:rPr>
          <w:lang w:val="es-ES"/>
        </w:rPr>
        <w:t>tér</w:t>
      </w:r>
      <w:r w:rsidRPr="00F125EF">
        <w:rPr>
          <w:lang w:val="es-ES"/>
        </w:rPr>
        <w:t xml:space="preserve"> korlátozottságának csökkentésére szolgáló segédeszközöket az ellenőrzés során nem lehet figyelembe venni.</w:t>
      </w:r>
    </w:p>
    <w:p w:rsidR="00822C1C" w:rsidRPr="00F125EF" w:rsidRDefault="00822C1C" w:rsidP="00822C1C">
      <w:pPr>
        <w:pStyle w:val="ESch"/>
        <w:rPr>
          <w:szCs w:val="20"/>
          <w:lang w:val="es-ES"/>
        </w:rPr>
      </w:pPr>
    </w:p>
    <w:p w:rsidR="00822C1C" w:rsidRPr="00F125EF" w:rsidRDefault="00BF58F6" w:rsidP="00822C1C">
      <w:pPr>
        <w:pStyle w:val="ESch"/>
        <w:rPr>
          <w:szCs w:val="20"/>
          <w:lang w:val="es-ES"/>
        </w:rPr>
      </w:pPr>
      <w:r w:rsidRPr="00F125EF">
        <w:rPr>
          <w:lang w:val="es-ES"/>
        </w:rPr>
        <w:t>3.</w:t>
      </w:r>
      <w:r w:rsidRPr="00F125EF">
        <w:rPr>
          <w:lang w:val="es-ES"/>
        </w:rPr>
        <w:tab/>
        <w:t>A kormányos szokásos tartózkodási helyén a szabad látó</w:t>
      </w:r>
      <w:r w:rsidR="00E355F3">
        <w:rPr>
          <w:lang w:val="es-ES"/>
        </w:rPr>
        <w:t>térnek</w:t>
      </w:r>
      <w:r w:rsidRPr="00F125EF">
        <w:rPr>
          <w:lang w:val="es-ES"/>
        </w:rPr>
        <w:t xml:space="preserve"> ki kell terjednie legalább a horizont 240°-ára és az elülső félkör legalább 140°-ára.</w:t>
      </w:r>
    </w:p>
    <w:p w:rsidR="00822C1C" w:rsidRPr="00F125EF" w:rsidRDefault="00822C1C" w:rsidP="00822C1C">
      <w:pPr>
        <w:pStyle w:val="ESchpar"/>
        <w:rPr>
          <w:szCs w:val="20"/>
          <w:lang w:val="es-ES"/>
        </w:rPr>
      </w:pPr>
    </w:p>
    <w:p w:rsidR="00822C1C" w:rsidRPr="00F125EF" w:rsidRDefault="00822C1C" w:rsidP="00822C1C">
      <w:pPr>
        <w:pStyle w:val="ESchpar"/>
        <w:rPr>
          <w:lang w:val="es-ES"/>
        </w:rPr>
      </w:pPr>
      <w:r w:rsidRPr="00F125EF">
        <w:rPr>
          <w:lang w:val="es-ES"/>
        </w:rPr>
        <w:t>A kormányos szokásos látó</w:t>
      </w:r>
      <w:r w:rsidR="00E355F3">
        <w:rPr>
          <w:lang w:val="es-ES"/>
        </w:rPr>
        <w:t>terének tengelyében</w:t>
      </w:r>
      <w:r w:rsidRPr="00F125EF">
        <w:rPr>
          <w:lang w:val="es-ES"/>
        </w:rPr>
        <w:t xml:space="preserve"> semmilyen ablakkeret, oszlop vagy felépítmény nem állhat.</w:t>
      </w:r>
    </w:p>
    <w:p w:rsidR="00822C1C" w:rsidRPr="00F125EF" w:rsidRDefault="00822C1C" w:rsidP="00822C1C">
      <w:pPr>
        <w:pStyle w:val="ESchpar"/>
        <w:rPr>
          <w:szCs w:val="20"/>
          <w:lang w:val="es-ES"/>
        </w:rPr>
      </w:pPr>
    </w:p>
    <w:p w:rsidR="00822C1C" w:rsidRPr="00F125EF" w:rsidRDefault="00822C1C" w:rsidP="00822C1C">
      <w:pPr>
        <w:pStyle w:val="ESchpar"/>
        <w:rPr>
          <w:lang w:val="es-ES"/>
        </w:rPr>
      </w:pPr>
      <w:r w:rsidRPr="00F125EF">
        <w:rPr>
          <w:lang w:val="es-ES"/>
        </w:rPr>
        <w:t>Ha hátrafelé nem biztosított kellőképpen a</w:t>
      </w:r>
      <w:r w:rsidR="00E355F3">
        <w:rPr>
          <w:lang w:val="es-ES"/>
        </w:rPr>
        <w:t xml:space="preserve"> szabad</w:t>
      </w:r>
      <w:r w:rsidRPr="00F125EF">
        <w:rPr>
          <w:lang w:val="es-ES"/>
        </w:rPr>
        <w:t xml:space="preserve"> </w:t>
      </w:r>
      <w:r w:rsidR="00E602EE">
        <w:rPr>
          <w:lang w:val="es-ES"/>
        </w:rPr>
        <w:t>kilátás</w:t>
      </w:r>
      <w:r w:rsidRPr="00F125EF">
        <w:rPr>
          <w:lang w:val="es-ES"/>
        </w:rPr>
        <w:t>, az ellenőrző szerv még abban az esetben is előírhat egyéb intézkedéseket, különösen megfelelő segédeszközök fel</w:t>
      </w:r>
      <w:r w:rsidR="00E355F3">
        <w:rPr>
          <w:lang w:val="es-ES"/>
        </w:rPr>
        <w:t>szerelését, ha a szabad látótér</w:t>
      </w:r>
      <w:r w:rsidR="00525BB1">
        <w:rPr>
          <w:lang w:val="es-ES"/>
        </w:rPr>
        <w:t xml:space="preserve"> legalább 240° a horizontból.</w:t>
      </w:r>
    </w:p>
    <w:p w:rsidR="00822C1C" w:rsidRPr="00E355F3" w:rsidRDefault="00822C1C" w:rsidP="00822C1C">
      <w:pPr>
        <w:pStyle w:val="ESchpar"/>
        <w:rPr>
          <w:lang w:val="es-ES"/>
        </w:rPr>
      </w:pPr>
    </w:p>
    <w:p w:rsidR="00822C1C" w:rsidRPr="00F125EF" w:rsidRDefault="00822C1C" w:rsidP="00822C1C">
      <w:pPr>
        <w:pStyle w:val="ESchpar"/>
        <w:rPr>
          <w:lang w:val="es-ES"/>
        </w:rPr>
      </w:pPr>
      <w:r w:rsidRPr="00F125EF">
        <w:rPr>
          <w:lang w:val="es-ES"/>
        </w:rPr>
        <w:t>Az oldalsó ablakok alsó szélének a lehető legalacsonyabban, az oldalsó és hátsó ablakok felső szélének pedig a lehető legmagasabban kell lennie.</w:t>
      </w:r>
    </w:p>
    <w:p w:rsidR="00822C1C" w:rsidRPr="00F125EF" w:rsidRDefault="00822C1C" w:rsidP="00822C1C">
      <w:pPr>
        <w:pStyle w:val="ESchpar"/>
        <w:rPr>
          <w:szCs w:val="20"/>
          <w:lang w:val="es-ES"/>
        </w:rPr>
      </w:pPr>
    </w:p>
    <w:p w:rsidR="00D94C10" w:rsidRPr="00525BB1" w:rsidRDefault="00822C1C" w:rsidP="00525BB1">
      <w:pPr>
        <w:pStyle w:val="ESchpar"/>
        <w:rPr>
          <w:lang w:val="es-ES"/>
        </w:rPr>
      </w:pPr>
      <w:r w:rsidRPr="00F125EF">
        <w:rPr>
          <w:lang w:val="es-ES"/>
        </w:rPr>
        <w:t>Az e cikk értelmében a kormányállásból való kilátásra vonatkozóan megállapított követelmények betartását azt</w:t>
      </w:r>
      <w:r w:rsidR="00525BB1">
        <w:rPr>
          <w:lang w:val="es-ES"/>
        </w:rPr>
        <w:t xml:space="preserve"> feltételezve kell meghatározni</w:t>
      </w:r>
      <w:r w:rsidRPr="00F125EF">
        <w:rPr>
          <w:lang w:val="es-ES"/>
        </w:rPr>
        <w:t>, hogy a kormányvezérlő-állásban a kormányos szemmagassága a kormányállás padlója feletti 1,65 m-es magasság.</w:t>
      </w:r>
      <w:r w:rsidR="00D94C10" w:rsidRPr="00F125EF">
        <w:rPr>
          <w:lang w:val="es-ES"/>
        </w:rPr>
        <w:br w:type="page"/>
      </w:r>
    </w:p>
    <w:p w:rsidR="00822C1C" w:rsidRPr="00F125EF" w:rsidRDefault="00822C1C" w:rsidP="00822C1C">
      <w:pPr>
        <w:pStyle w:val="ESch"/>
        <w:rPr>
          <w:szCs w:val="20"/>
          <w:lang w:val="es-ES"/>
        </w:rPr>
      </w:pPr>
      <w:r w:rsidRPr="00F125EF">
        <w:rPr>
          <w:lang w:val="es-ES"/>
        </w:rPr>
        <w:t>4.</w:t>
      </w:r>
      <w:r w:rsidRPr="00F125EF">
        <w:rPr>
          <w:lang w:val="es-ES"/>
        </w:rPr>
        <w:tab/>
        <w:t>A kormányállás előre néző ablakai felső szélének elég magasan kell lennie ahhoz, hogy a kormányvezérlő-állásban tartózkodó személy tisztán kilásson előre.</w:t>
      </w:r>
    </w:p>
    <w:p w:rsidR="00822C1C" w:rsidRPr="00F125EF" w:rsidRDefault="00822C1C" w:rsidP="00822C1C">
      <w:pPr>
        <w:pStyle w:val="ESchpar"/>
        <w:rPr>
          <w:szCs w:val="20"/>
          <w:lang w:val="es-ES"/>
        </w:rPr>
      </w:pPr>
    </w:p>
    <w:p w:rsidR="00822C1C" w:rsidRPr="00F125EF" w:rsidRDefault="00822C1C" w:rsidP="00822C1C">
      <w:pPr>
        <w:pStyle w:val="ESchpar"/>
        <w:rPr>
          <w:lang w:val="es-ES"/>
        </w:rPr>
      </w:pPr>
      <w:r w:rsidRPr="00F125EF">
        <w:rPr>
          <w:lang w:val="es-ES"/>
        </w:rPr>
        <w:t>Ez a követelmény akkor tekinthető teljesültnek, ha a kormányvezérlő-állásban tartózkodó, 1,80 m-es szemmagasságú személy tisztán kilát előre, legalább 10°-kal szemmagasságának vízszintes síkja fölé.</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5.</w:t>
      </w:r>
      <w:r w:rsidRPr="00F125EF">
        <w:rPr>
          <w:lang w:val="es-ES"/>
        </w:rPr>
        <w:tab/>
        <w:t>Az elülső ablakon keresztül arra alkalmas eszközökkel minden időjárási körülmény mellett szabad kilátást kell biztosítani.</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6.</w:t>
      </w:r>
      <w:r w:rsidRPr="00F125EF">
        <w:rPr>
          <w:lang w:val="es-ES"/>
        </w:rPr>
        <w:tab/>
        <w:t>A kormányállás ablaküvege biztonsági üvegből készül, és fényátbocsátása legalább 75 %-os.</w:t>
      </w:r>
    </w:p>
    <w:p w:rsidR="00822C1C" w:rsidRPr="00F125EF" w:rsidRDefault="00822C1C" w:rsidP="00822C1C">
      <w:pPr>
        <w:pStyle w:val="ESch"/>
        <w:rPr>
          <w:szCs w:val="20"/>
          <w:lang w:val="es-ES"/>
        </w:rPr>
      </w:pPr>
    </w:p>
    <w:p w:rsidR="00822C1C" w:rsidRPr="00F125EF" w:rsidRDefault="00822C1C" w:rsidP="00822C1C">
      <w:pPr>
        <w:pStyle w:val="ESchpar"/>
        <w:rPr>
          <w:szCs w:val="20"/>
          <w:lang w:val="es-ES"/>
        </w:rPr>
      </w:pPr>
      <w:r w:rsidRPr="00F125EF">
        <w:rPr>
          <w:lang w:val="es-ES"/>
        </w:rPr>
        <w:t xml:space="preserve">A tükröződés elkerülése érdekében a kormányállás elülső ablakainak tükröződésmenteseknek kell lenniük, vagy azokat oly módon kell felszerelni, hogy hatékonyan megakadályozzák a tükröződést. </w:t>
      </w:r>
    </w:p>
    <w:p w:rsidR="00822C1C" w:rsidRPr="00F125EF" w:rsidRDefault="00822C1C" w:rsidP="00822C1C">
      <w:pPr>
        <w:pStyle w:val="ESchpar"/>
        <w:rPr>
          <w:szCs w:val="20"/>
          <w:lang w:val="es-ES"/>
        </w:rPr>
      </w:pPr>
    </w:p>
    <w:p w:rsidR="00822C1C" w:rsidRPr="00F125EF" w:rsidRDefault="006777B9" w:rsidP="00822C1C">
      <w:pPr>
        <w:pStyle w:val="ESchpar"/>
        <w:rPr>
          <w:lang w:val="es-ES"/>
        </w:rPr>
      </w:pPr>
      <w:r w:rsidRPr="00F125EF">
        <w:rPr>
          <w:lang w:val="es-ES"/>
        </w:rPr>
        <w:t>A második mondatban meghatározott követelmény akkor tekinthető teljesültnek, ha az ablakok a függőlegeshez képest legalább 10°-os, de legfeljebb 25°-os szögben meg vannak döntve.</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p>
    <w:p w:rsidR="00822C1C" w:rsidRPr="00F125EF" w:rsidRDefault="00822C1C" w:rsidP="00822C1C">
      <w:pPr>
        <w:pStyle w:val="ES-Titre3"/>
        <w:rPr>
          <w:i/>
          <w:lang w:val="es-ES"/>
        </w:rPr>
      </w:pPr>
      <w:bookmarkStart w:id="90" w:name="_Toc491854045"/>
      <w:bookmarkStart w:id="91" w:name="_Toc535853824"/>
      <w:r w:rsidRPr="00F125EF">
        <w:rPr>
          <w:lang w:val="es-ES"/>
        </w:rPr>
        <w:t>7.03. cikk</w:t>
      </w:r>
      <w:r w:rsidRPr="00F125EF">
        <w:rPr>
          <w:lang w:val="es-ES"/>
        </w:rPr>
        <w:br/>
      </w:r>
      <w:r w:rsidRPr="00F125EF">
        <w:rPr>
          <w:i/>
          <w:lang w:val="es-ES"/>
        </w:rPr>
        <w:t>A vezérlő, kijelző és ellenőrző berendezésekre vonatkozó általános követelmények</w:t>
      </w:r>
      <w:bookmarkEnd w:id="90"/>
      <w:bookmarkEnd w:id="91"/>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1.</w:t>
      </w:r>
      <w:r w:rsidRPr="00F125EF">
        <w:rPr>
          <w:lang w:val="es-ES"/>
        </w:rPr>
        <w:tab/>
        <w:t>Biztosítani kell, hogy a hajó üzemeltetéséhez szükséges vezérlőberendezések könnyen működési állásba hozhatók legyenek. Ennek az állásnak egyértelműnek kell lennie.</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2.</w:t>
      </w:r>
      <w:r w:rsidRPr="00F125EF">
        <w:rPr>
          <w:lang w:val="es-ES"/>
        </w:rPr>
        <w:tab/>
        <w:t>Az ellenőrző műszereknek könnyen leolvashatóknak kell lenniük. Lehetővé kell tenni, hogy világításuk fényereje állítható legyen a teljes kioltásig. A fényforrások nem lehetnek élesek, és nem ronthatják az ellenőrző műszerek leolvashatóságát.</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3.</w:t>
      </w:r>
      <w:r w:rsidRPr="00F125EF">
        <w:rPr>
          <w:lang w:val="es-ES"/>
        </w:rPr>
        <w:tab/>
        <w:t>A figyelmeztető és visszajelző fények vizsgálata céljából eljárást kell kialakítani.</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4.</w:t>
      </w:r>
      <w:r w:rsidRPr="00F125EF">
        <w:rPr>
          <w:lang w:val="es-ES"/>
        </w:rPr>
        <w:tab/>
        <w:t>Biztosítani kell annak egyértelmű megállapíthatóságát, hogy egy adott rendszer üzemben van-e. Ha működését visszajelző fény jelzi, annak zöldnek kell lennie.</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5.</w:t>
      </w:r>
      <w:r w:rsidRPr="00F125EF">
        <w:rPr>
          <w:lang w:val="es-ES"/>
        </w:rPr>
        <w:tab/>
        <w:t>Az ellenőrzést igénylő rendszerek meghibásodását vagy leállását piros figyelmeztető fényekkel kell jelezni.</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6.</w:t>
      </w:r>
      <w:r w:rsidRPr="00F125EF">
        <w:rPr>
          <w:lang w:val="es-ES"/>
        </w:rPr>
        <w:tab/>
        <w:t>A piros figyelmeztető fény kigyulladásával egy időben figyelmeztető hangjelzésnek is meg kell szólalnia. A figyelmeztető hangjelzés lehet egységes valamennyi rendszerre nézve. Az említett figyelmeztető jelzés hangnyomásértékének legalább 3 dB(A)-lel meg kell haladnia a kormányvezérlő-állásban tapasztalható környezeti zaj maximális hangnyomásszintjét.</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7.</w:t>
      </w:r>
      <w:r w:rsidRPr="00F125EF">
        <w:rPr>
          <w:lang w:val="es-ES"/>
        </w:rPr>
        <w:tab/>
        <w:t>A figyelmeztető hangjelzésnek a meghibásodás vagy leállás nyugtázását követően kikapcsolhatónak kell lennie. Ez a kikapcsolás nem akadályozhatja meg, hogy más meghibásodás miatt a vészjelzés újra működésbe lépjen. A piros figyelmeztető fények csak akkor aludhatnak ki, ha a meghibásodást már elhárították.</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8.</w:t>
      </w:r>
      <w:r w:rsidRPr="00F125EF">
        <w:rPr>
          <w:lang w:val="es-ES"/>
        </w:rPr>
        <w:tab/>
        <w:t>Biztosítani kell az ellenőrző és kijelző berendezések automatikus átállását alternatív áramforrásra, amennyiben saját áramforrásuk leáll.</w:t>
      </w:r>
    </w:p>
    <w:p w:rsidR="00822C1C" w:rsidRPr="00F125EF" w:rsidRDefault="00822C1C" w:rsidP="00822C1C">
      <w:pPr>
        <w:pStyle w:val="ESch"/>
        <w:rPr>
          <w:szCs w:val="20"/>
          <w:lang w:val="es-ES"/>
        </w:rPr>
      </w:pPr>
    </w:p>
    <w:p w:rsidR="00822C1C" w:rsidRPr="00F125EF" w:rsidRDefault="00D94C10" w:rsidP="00822C1C">
      <w:pPr>
        <w:pStyle w:val="ESch"/>
        <w:rPr>
          <w:szCs w:val="20"/>
          <w:lang w:val="es-ES"/>
        </w:rPr>
      </w:pPr>
      <w:r w:rsidRPr="00F125EF">
        <w:rPr>
          <w:lang w:val="es-ES"/>
        </w:rPr>
        <w:br w:type="page"/>
      </w:r>
    </w:p>
    <w:p w:rsidR="00822C1C" w:rsidRPr="00F125EF" w:rsidRDefault="00822C1C" w:rsidP="00822C1C">
      <w:pPr>
        <w:pStyle w:val="ES-Titre3"/>
        <w:rPr>
          <w:lang w:val="es-ES"/>
        </w:rPr>
      </w:pPr>
      <w:bookmarkStart w:id="92" w:name="_Toc491854046"/>
      <w:bookmarkStart w:id="93" w:name="_Toc535853825"/>
      <w:r w:rsidRPr="00F125EF">
        <w:rPr>
          <w:lang w:val="es-ES"/>
        </w:rPr>
        <w:t>7.04. cikk</w:t>
      </w:r>
      <w:r w:rsidRPr="00F125EF">
        <w:rPr>
          <w:lang w:val="es-ES"/>
        </w:rPr>
        <w:br/>
      </w:r>
      <w:r w:rsidRPr="00F125EF">
        <w:rPr>
          <w:i/>
          <w:lang w:val="es-ES"/>
        </w:rPr>
        <w:t>A főmotorok és a kormányberendezés vezérlő, kijelző és ellenőrző berendezéseire vonatkozó külön követelmények</w:t>
      </w:r>
      <w:bookmarkEnd w:id="92"/>
      <w:bookmarkEnd w:id="93"/>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1.</w:t>
      </w:r>
      <w:r w:rsidRPr="00F125EF">
        <w:rPr>
          <w:lang w:val="es-ES"/>
        </w:rPr>
        <w:tab/>
        <w:t>Lehetővé kell tenni a főmotoroknak és a kormányberendezéseknek a kormányvezérlő-állásból történő vezérlését és ellenőrzését. A kormányvezérlő-állásból működtethető tengelykapcsolóval ellátott, vagy a kormányvezérlő-állásból vezérelhető, állítható szárnyú hajócsavart meghajtó főmotorok esetében elegendő, ha az indítás és a leállítás a géptérből végezhető.</w:t>
      </w:r>
    </w:p>
    <w:p w:rsidR="00D94C10" w:rsidRPr="00F125EF" w:rsidRDefault="00D94C10" w:rsidP="00822C1C">
      <w:pPr>
        <w:pStyle w:val="ESch"/>
        <w:rPr>
          <w:szCs w:val="20"/>
          <w:lang w:val="es-ES"/>
        </w:rPr>
      </w:pPr>
    </w:p>
    <w:p w:rsidR="00822C1C" w:rsidRPr="00F125EF" w:rsidRDefault="00822C1C" w:rsidP="00822C1C">
      <w:pPr>
        <w:pStyle w:val="ESch"/>
        <w:rPr>
          <w:szCs w:val="20"/>
          <w:lang w:val="es-ES"/>
        </w:rPr>
      </w:pPr>
      <w:r w:rsidRPr="00F125EF">
        <w:rPr>
          <w:lang w:val="es-ES"/>
        </w:rPr>
        <w:t>2.</w:t>
      </w:r>
      <w:r w:rsidRPr="00F125EF">
        <w:rPr>
          <w:lang w:val="es-ES"/>
        </w:rPr>
        <w:tab/>
        <w:t>Minden főmotor vezérlése egyetlen szabályozó karral történik, amely a hajó hossztengelyével megközelítőleg párhuzamos függőleges síkon belül egy ívet ír le. A hajó a szabályozó karnak a hajóorr irányába való mozgatása révén előremenetet, a szabályozó karnak a far felé való mozgatása révén hátramenetet végez. A tengelykapcsoló működtetése és a mozgási irány váltása a szabályozó kar semleges állásában történik. A szabályozó karnak semleges állásban reteszeltnek kell lennie.</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3.</w:t>
      </w:r>
      <w:r w:rsidRPr="00F125EF">
        <w:rPr>
          <w:lang w:val="es-ES"/>
        </w:rPr>
        <w:tab/>
        <w:t>A hajóra gyakorolt tolóerő irányát, valamint a propeller vagy a főmotorok fordulatszámát kijelzőnek kell mutatnia.</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4.</w:t>
      </w:r>
      <w:r w:rsidRPr="00F125EF">
        <w:rPr>
          <w:lang w:val="es-ES"/>
        </w:rPr>
        <w:tab/>
        <w:t>A 6.07. cikk 2. bekezdésében, a 8.03. cikk 2. bekezdésében, valamint a 8.05. cikk 13. bekezdésében előírt kijelző és ellenőrző berendezéseket a kormányvezérlő-állásban kell elhelyezni.</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5.</w:t>
      </w:r>
      <w:r w:rsidRPr="00F125EF">
        <w:rPr>
          <w:lang w:val="es-ES"/>
        </w:rPr>
        <w:tab/>
        <w:t>Az egyszemélyes radarhajózásra kialakított kormányállással rendelkező hajók kormányzása szabályozó karral történik. Biztosítani kell, hogy a szabályozó kart kézzel könnyedén lehessen mozgatni. A szabályozó karnak a hajó hosszanti tengelyéhez viszonyított helyzete pontosan megfelel a kormánylapátok állásának. Biztosítani kell, hogy a szabályozó kar bármely helyzetben történő elengedése ne változtassa meg a kormánylapátok állását. A szabályozó kar semleges állásának könnyen beazonosíthatónak kell lennie.</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6.</w:t>
      </w:r>
      <w:r w:rsidRPr="00F125EF">
        <w:rPr>
          <w:lang w:val="es-ES"/>
        </w:rPr>
        <w:tab/>
        <w:t>Ha egyszemélyes radarhajózásra kialakított kormányállással rendelkező hajót orrkormánylapáttal vagy különleges kormánylapáttal szereltek fel, különösen a hátramenet érdekében, ezeket külön szabályozó karokkal kell működtetni, amelyek megfelelnek az 5. bekezdésben előírt vonatkozó követelményeknek.</w:t>
      </w:r>
    </w:p>
    <w:p w:rsidR="00822C1C" w:rsidRPr="00F125EF" w:rsidRDefault="00822C1C" w:rsidP="00822C1C">
      <w:pPr>
        <w:pStyle w:val="ESch"/>
        <w:rPr>
          <w:szCs w:val="20"/>
          <w:lang w:val="es-ES"/>
        </w:rPr>
      </w:pPr>
    </w:p>
    <w:p w:rsidR="00822C1C" w:rsidRPr="00F125EF" w:rsidRDefault="00822C1C" w:rsidP="00822C1C">
      <w:pPr>
        <w:pStyle w:val="ESchpar"/>
        <w:rPr>
          <w:lang w:val="es-ES"/>
        </w:rPr>
      </w:pPr>
      <w:r w:rsidRPr="00F125EF">
        <w:rPr>
          <w:lang w:val="es-ES"/>
        </w:rPr>
        <w:t>Ez a követelmény akkor is alkalmazandó, ha kötelékek esetében a köteléket meghajtó vízi jármű kormányberendezésétől eltérő kormányberendezéseket is igénybe vesznek.</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7.</w:t>
      </w:r>
      <w:r w:rsidRPr="00F125EF">
        <w:rPr>
          <w:lang w:val="es-ES"/>
        </w:rPr>
        <w:tab/>
        <w:t>Ha fordulási szögsebesség-szabályzót használnak, akkor a fordulásiszögsebesség-vezérlő karnak bármely állásban elengedhetőnek kell lennie, anélkül hogy ezzel a megválasztott sebesség megváltozna.</w:t>
      </w:r>
    </w:p>
    <w:p w:rsidR="00822C1C" w:rsidRPr="00F125EF" w:rsidRDefault="00822C1C" w:rsidP="00822C1C">
      <w:pPr>
        <w:pStyle w:val="ESch"/>
        <w:rPr>
          <w:szCs w:val="20"/>
          <w:lang w:val="es-ES"/>
        </w:rPr>
      </w:pPr>
    </w:p>
    <w:p w:rsidR="00822C1C" w:rsidRPr="00F125EF" w:rsidRDefault="00822C1C" w:rsidP="00822C1C">
      <w:pPr>
        <w:pStyle w:val="ESchpar"/>
        <w:rPr>
          <w:lang w:val="es-ES"/>
        </w:rPr>
      </w:pPr>
      <w:r w:rsidRPr="00F125EF">
        <w:rPr>
          <w:lang w:val="es-ES"/>
        </w:rPr>
        <w:t>A vezérlőkarnak kellően széles ívben kell fordulnia, hogy megfelelően pontos állítási lehetőséget biztosítson. A semleges állást a többi állástól egyértelműen meg kell tudni különböztetni. Biztosítani kell a megvilágítás erősségének növelhetőségét, illetve csökkenthetőségét.</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8.</w:t>
      </w:r>
      <w:r w:rsidRPr="00F125EF">
        <w:rPr>
          <w:lang w:val="es-ES"/>
        </w:rPr>
        <w:tab/>
        <w:t>Az egész kormányberendezés távvezérlő berendezését tartósan rögzíteni kell, és úgy kell elhelyezni, hogy a kiválasztott irány egyértelműen látható legyen. Ha a távvezérlő berendezés kikapcsolható, akkor fel kell szerelni olyan kijelző berendezéssel, amely megmutatja, hogy a berendezés bekapcsolt vagy kikapcsolt állapotban van-e. A vezérlőszervek elrendezésének és működtetésének összhangban kell lennie rendeltetésükkel.</w:t>
      </w:r>
    </w:p>
    <w:p w:rsidR="00822C1C" w:rsidRPr="00F125EF" w:rsidRDefault="00822C1C" w:rsidP="00822C1C">
      <w:pPr>
        <w:pStyle w:val="ESch"/>
        <w:rPr>
          <w:szCs w:val="20"/>
          <w:lang w:val="es-ES"/>
        </w:rPr>
      </w:pPr>
    </w:p>
    <w:p w:rsidR="00D94C10" w:rsidRPr="00F125EF" w:rsidRDefault="00D94C10" w:rsidP="00822C1C">
      <w:pPr>
        <w:pStyle w:val="ESch"/>
        <w:rPr>
          <w:szCs w:val="20"/>
          <w:lang w:val="es-ES"/>
        </w:rPr>
      </w:pPr>
      <w:r w:rsidRPr="00F125EF">
        <w:rPr>
          <w:lang w:val="es-ES"/>
        </w:rPr>
        <w:br w:type="page"/>
      </w:r>
    </w:p>
    <w:p w:rsidR="00822C1C" w:rsidRPr="00F125EF" w:rsidRDefault="00822C1C" w:rsidP="00822C1C">
      <w:pPr>
        <w:pStyle w:val="ESchpar"/>
        <w:rPr>
          <w:lang w:val="es-ES"/>
        </w:rPr>
      </w:pPr>
      <w:r w:rsidRPr="00F125EF">
        <w:rPr>
          <w:lang w:val="es-ES"/>
        </w:rPr>
        <w:t>A kormányberendezést kiegészítő rendszerek, például aktív orrsugárkormányok esetében megengedett nem tartósan rögzített távvezérlő berendezések alkalmazása, feltéve, hogy ezeket a kiegészítő berendezéseket a kormányállásból bármikor felülíró jelleggel működtetni lehet.</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9.</w:t>
      </w:r>
      <w:r w:rsidRPr="00F125EF">
        <w:rPr>
          <w:lang w:val="es-ES"/>
        </w:rPr>
        <w:tab/>
        <w:t>Kormánypropellerek, vízsugárhajtás, cikloidálpropellerek és orrsugárkormányok esetében vezérlő, kijelző és ellenőrző berendezésként megengedettek egyenértékű berendezések.</w:t>
      </w:r>
    </w:p>
    <w:p w:rsidR="00822C1C" w:rsidRPr="00F125EF" w:rsidRDefault="00822C1C" w:rsidP="00822C1C">
      <w:pPr>
        <w:pStyle w:val="ESchpar"/>
        <w:rPr>
          <w:szCs w:val="20"/>
          <w:lang w:val="es-ES"/>
        </w:rPr>
      </w:pPr>
    </w:p>
    <w:p w:rsidR="00822C1C" w:rsidRPr="00F125EF" w:rsidRDefault="00822C1C" w:rsidP="00822C1C">
      <w:pPr>
        <w:pStyle w:val="ESchpar"/>
        <w:rPr>
          <w:lang w:val="es-ES"/>
        </w:rPr>
      </w:pPr>
      <w:r w:rsidRPr="00F125EF">
        <w:rPr>
          <w:lang w:val="es-ES"/>
        </w:rPr>
        <w:t>Az 1–8. bekezdésben előírt követelmények értelemszerűen alkalmazandók a fent említett aktív kormány- és propulziós egységekkel kapcsolatban megválasztott speciális jellemzőkre és elrendezésekre. A 2. bekezdés analógiájára minden egységnek szabályozhatónak kell lennie egy szabályozó karral, amely ív alakban mozgatható egy függőleges sík mentén, amely megközelítőleg párhuzamos az egység tolóerejének irányával. A szabályozó kar helyzete alapján egyértelműnek kell lennie a hajóra ható tolóerő irányának.</w:t>
      </w:r>
    </w:p>
    <w:p w:rsidR="00822C1C" w:rsidRPr="00F125EF" w:rsidRDefault="00822C1C" w:rsidP="00822C1C">
      <w:pPr>
        <w:pStyle w:val="ESchpar"/>
        <w:rPr>
          <w:szCs w:val="20"/>
          <w:lang w:val="es-ES"/>
        </w:rPr>
      </w:pPr>
    </w:p>
    <w:p w:rsidR="00822C1C" w:rsidRPr="00F125EF" w:rsidRDefault="00822C1C" w:rsidP="00822C1C">
      <w:pPr>
        <w:pStyle w:val="ESchpar"/>
        <w:rPr>
          <w:lang w:val="es-ES"/>
        </w:rPr>
      </w:pPr>
      <w:r w:rsidRPr="00F125EF">
        <w:rPr>
          <w:lang w:val="es-ES"/>
        </w:rPr>
        <w:t>Ha a kormánypropeller- vagy a cikloidálpropeller-rendszert nem szabályozó karral működtetik, az ellenőrző szerv engedélyezheti a 2. bekezdéstől való eltérést. Ezt az eltérést fel kell tüntetni a belvízi hajóbizonyítvány 52. rovatában is.</w:t>
      </w:r>
    </w:p>
    <w:p w:rsidR="00822C1C" w:rsidRPr="00F125EF" w:rsidRDefault="00822C1C" w:rsidP="00822C1C">
      <w:pPr>
        <w:pStyle w:val="ESch"/>
        <w:rPr>
          <w:szCs w:val="20"/>
          <w:lang w:val="es-ES"/>
        </w:rPr>
      </w:pPr>
    </w:p>
    <w:p w:rsidR="00D94C10" w:rsidRPr="00F125EF" w:rsidRDefault="00D94C10" w:rsidP="00822C1C">
      <w:pPr>
        <w:pStyle w:val="ESch"/>
        <w:rPr>
          <w:szCs w:val="20"/>
          <w:lang w:val="es-ES"/>
        </w:rPr>
      </w:pPr>
    </w:p>
    <w:p w:rsidR="00DD67C0" w:rsidRPr="00F125EF" w:rsidRDefault="00822C1C" w:rsidP="00DD67C0">
      <w:pPr>
        <w:spacing w:line="240" w:lineRule="atLeast"/>
        <w:jc w:val="center"/>
        <w:rPr>
          <w:rFonts w:cs="Arial"/>
          <w:bCs/>
          <w:i/>
          <w:lang w:val="es-ES"/>
        </w:rPr>
      </w:pPr>
      <w:r w:rsidRPr="00F125EF">
        <w:rPr>
          <w:b/>
          <w:lang w:val="es-ES"/>
        </w:rPr>
        <w:t>7.05. cikk</w:t>
      </w:r>
      <w:r w:rsidR="005711FA" w:rsidRPr="005624E3">
        <w:rPr>
          <w:lang w:val="es-ES"/>
        </w:rPr>
        <w:br/>
      </w:r>
      <w:r w:rsidRPr="00F125EF">
        <w:rPr>
          <w:b/>
          <w:i/>
          <w:lang w:val="es-ES"/>
        </w:rPr>
        <w:t xml:space="preserve">Navigációs fények, </w:t>
      </w:r>
      <w:r w:rsidRPr="005711FA">
        <w:rPr>
          <w:b/>
          <w:i/>
          <w:lang w:val="es-ES"/>
        </w:rPr>
        <w:t>fényjelzések</w:t>
      </w:r>
      <w:r w:rsidRPr="00F125EF">
        <w:rPr>
          <w:b/>
          <w:i/>
          <w:lang w:val="es-ES"/>
        </w:rPr>
        <w:t xml:space="preserve"> és hangjelzések</w:t>
      </w:r>
    </w:p>
    <w:p w:rsidR="00DD67C0" w:rsidRPr="00F125EF" w:rsidRDefault="00DD67C0" w:rsidP="00DD67C0">
      <w:pPr>
        <w:spacing w:line="240" w:lineRule="atLeast"/>
        <w:rPr>
          <w:rFonts w:cs="Arial"/>
          <w:bCs/>
          <w:i/>
          <w:lang w:val="es-ES"/>
        </w:rPr>
      </w:pPr>
    </w:p>
    <w:p w:rsidR="00DD67C0" w:rsidRPr="00F125EF" w:rsidRDefault="00DD67C0" w:rsidP="0071721E">
      <w:pPr>
        <w:pStyle w:val="ESch"/>
        <w:rPr>
          <w:lang w:val="es-ES"/>
        </w:rPr>
      </w:pPr>
      <w:r w:rsidRPr="00F125EF">
        <w:rPr>
          <w:lang w:val="es-ES"/>
        </w:rPr>
        <w:t>1.</w:t>
      </w:r>
      <w:r w:rsidRPr="00F125EF">
        <w:rPr>
          <w:lang w:val="es-ES"/>
        </w:rPr>
        <w:tab/>
        <w:t>A navigációs fényeket, azok burkolatát és tartozékait a módosított 2014/90/EU irányelvben</w:t>
      </w:r>
      <w:r>
        <w:rPr>
          <w:vertAlign w:val="superscript"/>
        </w:rPr>
        <w:footnoteReference w:id="7"/>
      </w:r>
      <w:r w:rsidRPr="00F125EF">
        <w:rPr>
          <w:lang w:val="es-ES"/>
        </w:rPr>
        <w:t xml:space="preserve"> előírt jóváhagyási jelöléssel kell ellátni. </w:t>
      </w:r>
    </w:p>
    <w:p w:rsidR="00DD67C0" w:rsidRPr="00F125EF" w:rsidRDefault="00DD67C0" w:rsidP="0071721E">
      <w:pPr>
        <w:pStyle w:val="ESch"/>
        <w:rPr>
          <w:rFonts w:cs="Arial"/>
          <w:bCs/>
          <w:i/>
          <w:lang w:val="es-ES"/>
        </w:rPr>
      </w:pPr>
    </w:p>
    <w:p w:rsidR="00DD67C0" w:rsidRPr="00F125EF" w:rsidRDefault="00DD67C0" w:rsidP="0071721E">
      <w:pPr>
        <w:pStyle w:val="ESch"/>
        <w:rPr>
          <w:lang w:val="es-ES"/>
        </w:rPr>
      </w:pPr>
      <w:r w:rsidRPr="00F125EF">
        <w:rPr>
          <w:lang w:val="es-ES"/>
        </w:rPr>
        <w:t>2.</w:t>
      </w:r>
      <w:r w:rsidRPr="00F125EF">
        <w:rPr>
          <w:lang w:val="es-ES"/>
        </w:rPr>
        <w:tab/>
        <w:t>A visszajelző fényeket vagy egyéb azokkal egyenértékű berendezéseket, például a navigációs fények ellenőrző lámpáit a kormányállásban kell felszerelni, kivéve ha az ellenőrzés elvégezhető közvetlenül a kormányállásból is.</w:t>
      </w:r>
    </w:p>
    <w:p w:rsidR="00DD67C0" w:rsidRPr="00F125EF" w:rsidRDefault="00DD67C0" w:rsidP="0071721E">
      <w:pPr>
        <w:pStyle w:val="ESch"/>
        <w:rPr>
          <w:lang w:val="es-ES"/>
        </w:rPr>
      </w:pPr>
    </w:p>
    <w:p w:rsidR="00DD67C0" w:rsidRPr="00F125EF" w:rsidRDefault="0071721E" w:rsidP="0071721E">
      <w:pPr>
        <w:pStyle w:val="ESch"/>
        <w:rPr>
          <w:lang w:val="es-ES"/>
        </w:rPr>
      </w:pPr>
      <w:r w:rsidRPr="00F125EF">
        <w:rPr>
          <w:lang w:val="es-ES"/>
        </w:rPr>
        <w:t>3.</w:t>
      </w:r>
      <w:r w:rsidRPr="00F125EF">
        <w:rPr>
          <w:lang w:val="es-ES"/>
        </w:rPr>
        <w:tab/>
        <w:t>Egyszemélyes radarhajózásra kialakított kormányállás esetében az ellenőrző lámpákat a vezérlőpanelre kell felszerelni, hogy a navigációs fények és a fényjelzések ellenőrizhetők legyenek. A navigációs fények kapcsolóit az ellenőrző lámpákba kell beépíteni, vagy azok mellett kell elhelyezni, egyértelmű módon hozzájuk rendelve őket.</w:t>
      </w:r>
    </w:p>
    <w:p w:rsidR="00DD67C0" w:rsidRPr="00F125EF" w:rsidRDefault="00DD67C0" w:rsidP="0071721E">
      <w:pPr>
        <w:pStyle w:val="ESch"/>
        <w:rPr>
          <w:lang w:val="es-ES"/>
        </w:rPr>
      </w:pPr>
    </w:p>
    <w:p w:rsidR="00DD67C0" w:rsidRPr="00F125EF" w:rsidRDefault="00DD67C0" w:rsidP="0071721E">
      <w:pPr>
        <w:pStyle w:val="ESchpar"/>
        <w:rPr>
          <w:lang w:val="es-ES"/>
        </w:rPr>
      </w:pPr>
      <w:r w:rsidRPr="00F125EF">
        <w:rPr>
          <w:lang w:val="es-ES"/>
        </w:rPr>
        <w:t>A navigációs fények és a fényjelzések ellenőrző lámpáinak elrendezése és színe megfelel az említett fények és fényjelzések tényleges helyzetének és színének.</w:t>
      </w:r>
    </w:p>
    <w:p w:rsidR="00DD67C0" w:rsidRPr="00F125EF" w:rsidRDefault="00DD67C0" w:rsidP="0071721E">
      <w:pPr>
        <w:pStyle w:val="ESch"/>
        <w:rPr>
          <w:lang w:val="es-ES"/>
        </w:rPr>
      </w:pPr>
    </w:p>
    <w:p w:rsidR="00DD67C0" w:rsidRPr="00F125EF" w:rsidRDefault="00DD67C0" w:rsidP="0071721E">
      <w:pPr>
        <w:pStyle w:val="ESchpar"/>
        <w:rPr>
          <w:lang w:val="es-ES"/>
        </w:rPr>
      </w:pPr>
      <w:r w:rsidRPr="00F125EF">
        <w:rPr>
          <w:lang w:val="es-ES"/>
        </w:rPr>
        <w:t>Biztosítani kell, hogy a navigációs fény vagy a fényjelzés működésének meghibásodásakor a megfelelő ellenőrző lámpa kialudjon vagy más módon adjon jelzést.</w:t>
      </w:r>
    </w:p>
    <w:p w:rsidR="00DD67C0" w:rsidRPr="00F125EF" w:rsidRDefault="00DD67C0" w:rsidP="0071721E">
      <w:pPr>
        <w:pStyle w:val="ESch"/>
        <w:rPr>
          <w:lang w:val="es-ES"/>
        </w:rPr>
      </w:pPr>
    </w:p>
    <w:p w:rsidR="00822C1C" w:rsidRPr="00F125EF" w:rsidRDefault="00DD67C0" w:rsidP="0071721E">
      <w:pPr>
        <w:pStyle w:val="ESch"/>
        <w:rPr>
          <w:lang w:val="es-ES"/>
        </w:rPr>
      </w:pPr>
      <w:r w:rsidRPr="00F125EF">
        <w:rPr>
          <w:lang w:val="es-ES"/>
        </w:rPr>
        <w:t>4.</w:t>
      </w:r>
      <w:r w:rsidRPr="00F125EF">
        <w:rPr>
          <w:lang w:val="es-ES"/>
        </w:rPr>
        <w:tab/>
        <w:t>Egyszemélyes radarhajózásra kialakított kormányállás esetében lehetővé kell tenni a hangjelzés lábbal működő kapcsoló általi működtetését. Ez a követelmény nem vonatkozik a tagállamok hivatalos hajózási szabályzatai szerinti „Ne közelíts!” jelzésre.</w:t>
      </w:r>
    </w:p>
    <w:p w:rsidR="00D94C10" w:rsidRPr="00F125EF" w:rsidRDefault="00D94C10" w:rsidP="00822C1C">
      <w:pPr>
        <w:pStyle w:val="ESch"/>
        <w:rPr>
          <w:szCs w:val="20"/>
          <w:lang w:val="es-ES"/>
        </w:rPr>
      </w:pPr>
      <w:r w:rsidRPr="00F125EF">
        <w:rPr>
          <w:lang w:val="es-ES"/>
        </w:rPr>
        <w:br w:type="page"/>
      </w:r>
    </w:p>
    <w:p w:rsidR="00822C1C" w:rsidRPr="00F125EF" w:rsidRDefault="00822C1C" w:rsidP="00822C1C">
      <w:pPr>
        <w:pStyle w:val="ES-Titre3"/>
        <w:rPr>
          <w:lang w:val="es-ES"/>
        </w:rPr>
      </w:pPr>
      <w:bookmarkStart w:id="94" w:name="_Toc491854047"/>
      <w:bookmarkStart w:id="95" w:name="_Toc535853826"/>
      <w:r w:rsidRPr="00F125EF">
        <w:rPr>
          <w:lang w:val="es-ES"/>
        </w:rPr>
        <w:t>7.06. cikk</w:t>
      </w:r>
      <w:r w:rsidRPr="00F125EF">
        <w:rPr>
          <w:lang w:val="es-ES"/>
        </w:rPr>
        <w:br/>
      </w:r>
      <w:r w:rsidRPr="00F125EF">
        <w:rPr>
          <w:i/>
          <w:lang w:val="es-ES"/>
        </w:rPr>
        <w:t>Navigációs és információs eszközök</w:t>
      </w:r>
      <w:bookmarkEnd w:id="94"/>
      <w:bookmarkEnd w:id="95"/>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1.</w:t>
      </w:r>
      <w:r w:rsidRPr="00F125EF">
        <w:rPr>
          <w:lang w:val="es-ES"/>
        </w:rPr>
        <w:tab/>
        <w:t xml:space="preserve">A navigációs radarberendezésnek és a fordulási szögsebességjelzőknek meg kell felelniük az 5. melléklet követelményeinek. E követelmények teljesítését az illetékes hatóság által kiadott típusjóváhagyás állapítja meg. </w:t>
      </w:r>
    </w:p>
    <w:p w:rsidR="00822C1C" w:rsidRPr="00F125EF" w:rsidRDefault="00822C1C" w:rsidP="00822C1C">
      <w:pPr>
        <w:pStyle w:val="ESch"/>
        <w:rPr>
          <w:szCs w:val="20"/>
          <w:lang w:val="es-ES"/>
        </w:rPr>
      </w:pPr>
    </w:p>
    <w:p w:rsidR="00DD67C0" w:rsidRPr="00F125EF" w:rsidRDefault="00822C1C" w:rsidP="00DD67C0">
      <w:pPr>
        <w:pStyle w:val="ESch"/>
        <w:rPr>
          <w:szCs w:val="20"/>
          <w:lang w:val="es-ES"/>
        </w:rPr>
      </w:pPr>
      <w:r w:rsidRPr="00F125EF">
        <w:rPr>
          <w:lang w:val="es-ES"/>
        </w:rPr>
        <w:t>2.</w:t>
      </w:r>
      <w:r w:rsidRPr="00F125EF">
        <w:rPr>
          <w:lang w:val="es-ES"/>
        </w:rPr>
        <w:tab/>
        <w:t>A navigációs módban üzemelni képes belvízi ECDIS-berendezés navigációs radarberendezésnek tekintendő. Az ilyen berendezésnek meg kell felelnie a belvízi ECDIS-szabványnak. Az 5. melléklet követelményeinek teljesülniük kell.</w:t>
      </w:r>
    </w:p>
    <w:p w:rsidR="00822C1C" w:rsidRPr="00F125EF" w:rsidRDefault="00822C1C" w:rsidP="00DD67C0">
      <w:pPr>
        <w:pStyle w:val="ESch"/>
        <w:rPr>
          <w:szCs w:val="20"/>
          <w:lang w:val="es-ES"/>
        </w:rPr>
      </w:pPr>
    </w:p>
    <w:p w:rsidR="00822C1C" w:rsidRPr="00F125EF" w:rsidRDefault="008418DC" w:rsidP="00822C1C">
      <w:pPr>
        <w:pStyle w:val="ESch"/>
        <w:rPr>
          <w:rFonts w:cs="Arial"/>
          <w:szCs w:val="20"/>
          <w:lang w:val="es-ES"/>
        </w:rPr>
      </w:pPr>
      <w:r w:rsidRPr="00F125EF">
        <w:rPr>
          <w:lang w:val="es-ES"/>
        </w:rPr>
        <w:t>3.</w:t>
      </w:r>
      <w:r w:rsidRPr="00F125EF">
        <w:rPr>
          <w:lang w:val="es-ES"/>
        </w:rPr>
        <w:tab/>
        <w:t>A belvízi AIS-berendezésnek meg kell felelnie a mindenkori belvízi AIS vizsgálati szabványnak. Az 5. melléklet követelményeinek teljesülniük kell.</w:t>
      </w:r>
    </w:p>
    <w:p w:rsidR="008418DC" w:rsidRPr="00F125EF" w:rsidRDefault="008418DC" w:rsidP="00822C1C">
      <w:pPr>
        <w:pStyle w:val="ESch"/>
        <w:rPr>
          <w:szCs w:val="20"/>
          <w:lang w:val="es-ES"/>
        </w:rPr>
      </w:pPr>
    </w:p>
    <w:p w:rsidR="00822C1C" w:rsidRPr="00F125EF" w:rsidRDefault="00822C1C" w:rsidP="00822C1C">
      <w:pPr>
        <w:pStyle w:val="ESch"/>
        <w:rPr>
          <w:szCs w:val="20"/>
          <w:lang w:val="es-ES"/>
        </w:rPr>
      </w:pPr>
      <w:r w:rsidRPr="00F125EF">
        <w:rPr>
          <w:lang w:val="es-ES"/>
        </w:rPr>
        <w:t>4.</w:t>
      </w:r>
      <w:r w:rsidRPr="00F125EF">
        <w:rPr>
          <w:lang w:val="es-ES"/>
        </w:rPr>
        <w:tab/>
        <w:t>A fordulási szögsebességjelzőt a kormányos előtt, annak látó</w:t>
      </w:r>
      <w:r w:rsidR="00C323D2">
        <w:rPr>
          <w:lang w:val="es-ES"/>
        </w:rPr>
        <w:t>teré</w:t>
      </w:r>
      <w:r w:rsidRPr="00F125EF">
        <w:rPr>
          <w:lang w:val="es-ES"/>
        </w:rPr>
        <w:t>ben kell elhelyezni.</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5.</w:t>
      </w:r>
      <w:r w:rsidRPr="00F125EF">
        <w:rPr>
          <w:lang w:val="es-ES"/>
        </w:rPr>
        <w:tab/>
        <w:t>Egyszemélyes radarhajózásra kialakított kormányállás esetében:</w:t>
      </w:r>
    </w:p>
    <w:p w:rsidR="00822C1C" w:rsidRPr="00F125EF" w:rsidRDefault="005C7859" w:rsidP="00822C1C">
      <w:pPr>
        <w:pStyle w:val="ESlet"/>
        <w:rPr>
          <w:lang w:val="es-ES"/>
        </w:rPr>
      </w:pPr>
      <w:r w:rsidRPr="00F125EF">
        <w:rPr>
          <w:lang w:val="es-ES"/>
        </w:rPr>
        <w:t>a)</w:t>
      </w:r>
      <w:r w:rsidRPr="00F125EF">
        <w:rPr>
          <w:lang w:val="es-ES"/>
        </w:rPr>
        <w:tab/>
        <w:t>a radarképernyő szokásos helyzetében nem lehet számottevő mértékben a kormányos látóterén kívül;</w:t>
      </w:r>
    </w:p>
    <w:p w:rsidR="00822C1C" w:rsidRPr="00F125EF" w:rsidRDefault="005C7859" w:rsidP="00822C1C">
      <w:pPr>
        <w:pStyle w:val="ESlet"/>
        <w:rPr>
          <w:lang w:val="es-ES"/>
        </w:rPr>
      </w:pPr>
      <w:r w:rsidRPr="00F125EF">
        <w:rPr>
          <w:lang w:val="es-ES"/>
        </w:rPr>
        <w:t>b)</w:t>
      </w:r>
      <w:r w:rsidRPr="00F125EF">
        <w:rPr>
          <w:lang w:val="es-ES"/>
        </w:rPr>
        <w:tab/>
        <w:t>a radarképnek folyamatosan jól láthatónak kell lennie kitakarás és árnyékolás nélkül, függetlenül a kormányálláson kívüli megvilágítási viszonyoktól;</w:t>
      </w:r>
    </w:p>
    <w:p w:rsidR="00822C1C" w:rsidRPr="00F125EF" w:rsidRDefault="005C7859" w:rsidP="00822C1C">
      <w:pPr>
        <w:pStyle w:val="ESlet"/>
        <w:rPr>
          <w:lang w:val="es-ES"/>
        </w:rPr>
      </w:pPr>
      <w:r w:rsidRPr="00F125EF">
        <w:rPr>
          <w:lang w:val="es-ES"/>
        </w:rPr>
        <w:t>c)</w:t>
      </w:r>
      <w:r w:rsidRPr="00F125EF">
        <w:rPr>
          <w:lang w:val="es-ES"/>
        </w:rPr>
        <w:tab/>
        <w:t>a fordulási szögsebességjelzőt közvetlenül a radarképernyő alatt vagy felett kell elhelyezni, vagy abba bele kell építeni.</w:t>
      </w:r>
    </w:p>
    <w:p w:rsidR="00822C1C" w:rsidRPr="00F125EF" w:rsidRDefault="00822C1C" w:rsidP="00822C1C">
      <w:pPr>
        <w:pStyle w:val="ESch"/>
        <w:rPr>
          <w:szCs w:val="20"/>
          <w:lang w:val="es-ES"/>
        </w:rPr>
      </w:pPr>
    </w:p>
    <w:p w:rsidR="00822C1C" w:rsidRPr="00F125EF" w:rsidRDefault="00822C1C" w:rsidP="00822C1C">
      <w:pPr>
        <w:pStyle w:val="ESch"/>
        <w:rPr>
          <w:lang w:val="es-ES"/>
        </w:rPr>
      </w:pPr>
    </w:p>
    <w:p w:rsidR="00822C1C" w:rsidRPr="00F125EF" w:rsidRDefault="00822C1C" w:rsidP="00822C1C">
      <w:pPr>
        <w:pStyle w:val="ES-Titre3"/>
        <w:rPr>
          <w:lang w:val="es-ES"/>
        </w:rPr>
      </w:pPr>
      <w:bookmarkStart w:id="96" w:name="_Toc491854048"/>
      <w:bookmarkStart w:id="97" w:name="_Toc535853827"/>
      <w:r w:rsidRPr="00F125EF">
        <w:rPr>
          <w:lang w:val="es-ES"/>
        </w:rPr>
        <w:t>7.07. cikk</w:t>
      </w:r>
      <w:r w:rsidRPr="00F125EF">
        <w:rPr>
          <w:lang w:val="es-ES"/>
        </w:rPr>
        <w:br/>
      </w:r>
      <w:r w:rsidRPr="00F125EF">
        <w:rPr>
          <w:i/>
          <w:lang w:val="es-ES"/>
        </w:rPr>
        <w:t>Egyszemélyes radarhajózásra kialakított kormányállással rendelkező hajók rádiótelefon-rendszerei</w:t>
      </w:r>
      <w:bookmarkEnd w:id="96"/>
      <w:bookmarkEnd w:id="97"/>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1.</w:t>
      </w:r>
      <w:r w:rsidRPr="00F125EF">
        <w:rPr>
          <w:lang w:val="es-ES"/>
        </w:rPr>
        <w:tab/>
        <w:t>Egyszemélyes radarhajózásra kialakított kormányállással rendelkező hajók esetében a hajók közötti hálózatokból és a hajózási információs rendszerből érkező vétel hangszórón, a kifelé irányuló kommunikáció pedig rögzített mikrofonon keresztül történik. Az adás/vétel kiválasztására nyomógomb szolgál.</w:t>
      </w:r>
    </w:p>
    <w:p w:rsidR="00822C1C" w:rsidRPr="00F125EF" w:rsidRDefault="00822C1C" w:rsidP="00822C1C">
      <w:pPr>
        <w:pStyle w:val="ESch"/>
        <w:rPr>
          <w:szCs w:val="20"/>
          <w:lang w:val="es-ES"/>
        </w:rPr>
      </w:pPr>
    </w:p>
    <w:p w:rsidR="00822C1C" w:rsidRPr="00F125EF" w:rsidRDefault="00822C1C" w:rsidP="00822C1C">
      <w:pPr>
        <w:pStyle w:val="ESchpar"/>
        <w:rPr>
          <w:szCs w:val="20"/>
          <w:lang w:val="es-ES"/>
        </w:rPr>
      </w:pPr>
      <w:r w:rsidRPr="00F125EF">
        <w:rPr>
          <w:lang w:val="es-ES"/>
        </w:rPr>
        <w:t>Az említett hálózatok mikrofonjainak nem szabad a nyilvános kommunikációs hálózatban felhasználhatónak lenniük.</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r w:rsidRPr="00F125EF">
        <w:rPr>
          <w:lang w:val="es-ES"/>
        </w:rPr>
        <w:t>2.</w:t>
      </w:r>
      <w:r w:rsidRPr="00F125EF">
        <w:rPr>
          <w:lang w:val="es-ES"/>
        </w:rPr>
        <w:tab/>
        <w:t>Ha egyszemélyes radarhajózásra kialakított kormányállással rendelkező hajókat nyilvános kommunikációs hálózathoz való rádiótelefon-rendszerrel szereltek fel, a vételnek a kormányos üléséből megvalósíthatónak kell lennie.</w:t>
      </w:r>
    </w:p>
    <w:p w:rsidR="00822C1C" w:rsidRPr="00F125EF" w:rsidRDefault="00822C1C" w:rsidP="00822C1C">
      <w:pPr>
        <w:pStyle w:val="ESch"/>
        <w:rPr>
          <w:szCs w:val="20"/>
          <w:lang w:val="es-ES"/>
        </w:rPr>
      </w:pPr>
    </w:p>
    <w:p w:rsidR="00822C1C" w:rsidRPr="00F125EF" w:rsidRDefault="00822C1C" w:rsidP="00822C1C">
      <w:pPr>
        <w:pStyle w:val="ESch"/>
        <w:rPr>
          <w:szCs w:val="20"/>
          <w:lang w:val="es-ES"/>
        </w:rPr>
      </w:pPr>
    </w:p>
    <w:p w:rsidR="00B006DB" w:rsidRPr="00F125EF" w:rsidRDefault="00B006DB" w:rsidP="00822C1C">
      <w:pPr>
        <w:pStyle w:val="ESch"/>
        <w:rPr>
          <w:szCs w:val="20"/>
          <w:lang w:val="es-ES"/>
        </w:rPr>
      </w:pPr>
      <w:r w:rsidRPr="00F125EF">
        <w:rPr>
          <w:lang w:val="es-ES"/>
        </w:rPr>
        <w:br w:type="page"/>
      </w:r>
    </w:p>
    <w:p w:rsidR="00822C1C" w:rsidRPr="00F125EF" w:rsidRDefault="00822C1C" w:rsidP="00822C1C">
      <w:pPr>
        <w:pStyle w:val="ES-Titre3"/>
        <w:rPr>
          <w:lang w:val="es-ES"/>
        </w:rPr>
      </w:pPr>
      <w:bookmarkStart w:id="98" w:name="_Toc491854049"/>
      <w:bookmarkStart w:id="99" w:name="_Toc535853828"/>
      <w:r w:rsidRPr="00F125EF">
        <w:rPr>
          <w:lang w:val="es-ES"/>
        </w:rPr>
        <w:t>7.08. cikk</w:t>
      </w:r>
      <w:r w:rsidRPr="00F125EF">
        <w:rPr>
          <w:lang w:val="es-ES"/>
        </w:rPr>
        <w:br/>
      </w:r>
      <w:r w:rsidRPr="00F125EF">
        <w:rPr>
          <w:i/>
          <w:lang w:val="es-ES"/>
        </w:rPr>
        <w:t>Fedélzeti belső kommunikációs eszközök</w:t>
      </w:r>
      <w:bookmarkEnd w:id="98"/>
      <w:bookmarkEnd w:id="99"/>
    </w:p>
    <w:p w:rsidR="00822C1C" w:rsidRPr="00F125EF" w:rsidRDefault="00822C1C" w:rsidP="00822C1C">
      <w:pPr>
        <w:pStyle w:val="ESch"/>
        <w:rPr>
          <w:szCs w:val="20"/>
          <w:lang w:val="es-ES"/>
        </w:rPr>
      </w:pPr>
    </w:p>
    <w:p w:rsidR="00822C1C" w:rsidRPr="00F125EF" w:rsidRDefault="00822C1C" w:rsidP="00822C1C">
      <w:pPr>
        <w:pStyle w:val="ESgauche"/>
        <w:rPr>
          <w:lang w:val="es-ES"/>
        </w:rPr>
      </w:pPr>
      <w:r w:rsidRPr="00F125EF">
        <w:rPr>
          <w:lang w:val="es-ES"/>
        </w:rPr>
        <w:t>Egyszemélyes radarhajózásra kialakított kormányállással rendelkező hajók fedélzetén rendelkezésre kell állniuk belső kommunikációs eszközöknek.</w:t>
      </w:r>
    </w:p>
    <w:p w:rsidR="00822C1C" w:rsidRPr="00F125EF" w:rsidRDefault="00822C1C" w:rsidP="00822C1C">
      <w:pPr>
        <w:pStyle w:val="ESgauche"/>
        <w:rPr>
          <w:lang w:val="es-ES"/>
        </w:rPr>
      </w:pPr>
    </w:p>
    <w:p w:rsidR="00822C1C" w:rsidRPr="00F125EF" w:rsidRDefault="00822C1C" w:rsidP="00B006DB">
      <w:pPr>
        <w:pStyle w:val="ESgauche"/>
        <w:rPr>
          <w:lang w:val="es-ES"/>
        </w:rPr>
      </w:pPr>
      <w:r w:rsidRPr="00F125EF">
        <w:rPr>
          <w:lang w:val="es-ES"/>
        </w:rPr>
        <w:t>Biztosítani kell, hogy a kormányvezérlő-állásból kommunikációs kapcsolatot lehessen létesíteni:</w:t>
      </w:r>
    </w:p>
    <w:p w:rsidR="00822C1C" w:rsidRPr="00F125EF" w:rsidRDefault="005C7859" w:rsidP="00B006DB">
      <w:pPr>
        <w:pStyle w:val="ESletgauche"/>
        <w:rPr>
          <w:lang w:val="pt-PT"/>
        </w:rPr>
      </w:pPr>
      <w:r w:rsidRPr="00F125EF">
        <w:rPr>
          <w:lang w:val="pt-PT"/>
        </w:rPr>
        <w:t>a)</w:t>
      </w:r>
      <w:r w:rsidRPr="00F125EF">
        <w:rPr>
          <w:lang w:val="pt-PT"/>
        </w:rPr>
        <w:tab/>
        <w:t>a hajó orrával vagy a kötelék elejével;</w:t>
      </w:r>
    </w:p>
    <w:p w:rsidR="00822C1C" w:rsidRPr="00F125EF" w:rsidRDefault="005C7859" w:rsidP="00B006DB">
      <w:pPr>
        <w:pStyle w:val="ESletgauche"/>
        <w:rPr>
          <w:lang w:val="pt-PT"/>
        </w:rPr>
      </w:pPr>
      <w:r w:rsidRPr="00F125EF">
        <w:rPr>
          <w:lang w:val="pt-PT"/>
        </w:rPr>
        <w:t>b)</w:t>
      </w:r>
      <w:r w:rsidRPr="00F125EF">
        <w:rPr>
          <w:lang w:val="pt-PT"/>
        </w:rPr>
        <w:tab/>
        <w:t>a hajó farával vagy a kötelék végével, ha közvetlen kommunikációra nincs lehetőség a kormányvezérlő-állásból;</w:t>
      </w:r>
    </w:p>
    <w:p w:rsidR="00822C1C" w:rsidRPr="00F125EF" w:rsidRDefault="005C7859" w:rsidP="00B006DB">
      <w:pPr>
        <w:pStyle w:val="ESletgauche"/>
        <w:rPr>
          <w:lang w:val="pt-PT"/>
        </w:rPr>
      </w:pPr>
      <w:r w:rsidRPr="00F125EF">
        <w:rPr>
          <w:lang w:val="pt-PT"/>
        </w:rPr>
        <w:t>c)</w:t>
      </w:r>
      <w:r w:rsidRPr="00F125EF">
        <w:rPr>
          <w:lang w:val="pt-PT"/>
        </w:rPr>
        <w:tab/>
        <w:t>a legénységi lakótérrel;</w:t>
      </w:r>
    </w:p>
    <w:p w:rsidR="00822C1C" w:rsidRPr="00F125EF" w:rsidRDefault="005C7859" w:rsidP="00B006DB">
      <w:pPr>
        <w:pStyle w:val="ESletgauche"/>
        <w:rPr>
          <w:lang w:val="pt-PT"/>
        </w:rPr>
      </w:pPr>
      <w:r w:rsidRPr="00F125EF">
        <w:rPr>
          <w:lang w:val="pt-PT"/>
        </w:rPr>
        <w:t>d)</w:t>
      </w:r>
      <w:r w:rsidRPr="00F125EF">
        <w:rPr>
          <w:lang w:val="pt-PT"/>
        </w:rPr>
        <w:tab/>
        <w:t>a hajó vezetőjének kabinjával.</w:t>
      </w:r>
    </w:p>
    <w:p w:rsidR="00822C1C" w:rsidRPr="00F125EF" w:rsidRDefault="00822C1C" w:rsidP="00822C1C">
      <w:pPr>
        <w:pStyle w:val="ESgauche"/>
        <w:rPr>
          <w:szCs w:val="20"/>
          <w:lang w:val="pt-PT"/>
        </w:rPr>
      </w:pPr>
    </w:p>
    <w:p w:rsidR="00822C1C" w:rsidRPr="00F125EF" w:rsidRDefault="00822C1C" w:rsidP="00822C1C">
      <w:pPr>
        <w:pStyle w:val="ESgauche"/>
        <w:rPr>
          <w:szCs w:val="20"/>
          <w:lang w:val="pt-PT"/>
        </w:rPr>
      </w:pPr>
      <w:r w:rsidRPr="00F125EF">
        <w:rPr>
          <w:lang w:val="pt-PT"/>
        </w:rPr>
        <w:t>E belső kommunikációs kapcsolat minden pontján a vétel hangszórón, az adás pedig rögzített mikrofonon keresztül történik. A hajó orra és fara vagy a kötelék eleje és vége közötti kapcsolat lehet rádiótelefon típusú.</w:t>
      </w:r>
    </w:p>
    <w:p w:rsidR="00822C1C" w:rsidRPr="00F125EF" w:rsidRDefault="00822C1C" w:rsidP="00822C1C">
      <w:pPr>
        <w:pStyle w:val="ESgauche"/>
        <w:rPr>
          <w:szCs w:val="20"/>
          <w:lang w:val="pt-PT"/>
        </w:rPr>
      </w:pPr>
    </w:p>
    <w:p w:rsidR="00822C1C" w:rsidRPr="00F125EF" w:rsidRDefault="00822C1C" w:rsidP="00822C1C">
      <w:pPr>
        <w:pStyle w:val="ESgauche"/>
        <w:rPr>
          <w:lang w:val="pt-PT"/>
        </w:rPr>
      </w:pPr>
    </w:p>
    <w:p w:rsidR="00822C1C" w:rsidRPr="00F125EF" w:rsidRDefault="00822C1C" w:rsidP="00822C1C">
      <w:pPr>
        <w:pStyle w:val="ES-Titre3"/>
        <w:rPr>
          <w:lang w:val="pt-PT"/>
        </w:rPr>
      </w:pPr>
      <w:bookmarkStart w:id="100" w:name="_Toc491854050"/>
      <w:bookmarkStart w:id="101" w:name="_Toc535853829"/>
      <w:r w:rsidRPr="00F125EF">
        <w:rPr>
          <w:lang w:val="pt-PT"/>
        </w:rPr>
        <w:t>7.09. cikk</w:t>
      </w:r>
      <w:r w:rsidRPr="00F125EF">
        <w:rPr>
          <w:lang w:val="pt-PT"/>
        </w:rPr>
        <w:br/>
      </w:r>
      <w:r w:rsidRPr="00F125EF">
        <w:rPr>
          <w:i/>
          <w:lang w:val="pt-PT"/>
        </w:rPr>
        <w:t>Riasztórendszer</w:t>
      </w:r>
      <w:bookmarkEnd w:id="100"/>
      <w:bookmarkEnd w:id="101"/>
    </w:p>
    <w:p w:rsidR="00822C1C" w:rsidRPr="00F125EF" w:rsidRDefault="00822C1C" w:rsidP="00822C1C">
      <w:pPr>
        <w:pStyle w:val="ESch"/>
        <w:rPr>
          <w:szCs w:val="20"/>
          <w:lang w:val="pt-PT"/>
        </w:rPr>
      </w:pPr>
    </w:p>
    <w:p w:rsidR="00822C1C" w:rsidRPr="00F125EF" w:rsidRDefault="00822C1C" w:rsidP="00822C1C">
      <w:pPr>
        <w:pStyle w:val="ESch"/>
        <w:rPr>
          <w:szCs w:val="20"/>
          <w:lang w:val="pt-PT"/>
        </w:rPr>
      </w:pPr>
      <w:r w:rsidRPr="00F125EF">
        <w:rPr>
          <w:lang w:val="pt-PT"/>
        </w:rPr>
        <w:t>1.</w:t>
      </w:r>
      <w:r w:rsidRPr="00F125EF">
        <w:rPr>
          <w:lang w:val="pt-PT"/>
        </w:rPr>
        <w:tab/>
        <w:t>A fedélzeten rendelkezésre kell állnia olyan független riasztórendszernek, amely lehetővé teszi a lakóterek, a gépterek és szükség esetén a különálló szivattyúházak elérését.</w:t>
      </w:r>
    </w:p>
    <w:p w:rsidR="00822C1C" w:rsidRPr="00F125EF" w:rsidRDefault="00822C1C" w:rsidP="00822C1C">
      <w:pPr>
        <w:pStyle w:val="ESch"/>
        <w:rPr>
          <w:szCs w:val="20"/>
          <w:lang w:val="pt-PT"/>
        </w:rPr>
      </w:pPr>
    </w:p>
    <w:p w:rsidR="00822C1C" w:rsidRPr="00F125EF" w:rsidRDefault="00822C1C" w:rsidP="00822C1C">
      <w:pPr>
        <w:pStyle w:val="ESch"/>
        <w:rPr>
          <w:szCs w:val="20"/>
          <w:lang w:val="pt-PT"/>
        </w:rPr>
      </w:pPr>
      <w:r w:rsidRPr="00F125EF">
        <w:rPr>
          <w:lang w:val="pt-PT"/>
        </w:rPr>
        <w:t>2.</w:t>
      </w:r>
      <w:r w:rsidRPr="00F125EF">
        <w:rPr>
          <w:lang w:val="pt-PT"/>
        </w:rPr>
        <w:tab/>
        <w:t>A vészjelzést aktiváló/deaktiváló kapcsolónak a kormányos számára könnyen elérhetőnek kell lennie. Nem megengedett olyan kapcsoló alkalmazása, amely az elengedését követően magától visszaáll a kikapcsolt állásába.</w:t>
      </w:r>
    </w:p>
    <w:p w:rsidR="00822C1C" w:rsidRPr="00F125EF" w:rsidRDefault="00822C1C" w:rsidP="00822C1C">
      <w:pPr>
        <w:pStyle w:val="ESch"/>
        <w:rPr>
          <w:szCs w:val="20"/>
          <w:lang w:val="pt-PT"/>
        </w:rPr>
      </w:pPr>
    </w:p>
    <w:p w:rsidR="00822C1C" w:rsidRPr="00F125EF" w:rsidRDefault="00822C1C" w:rsidP="00822C1C">
      <w:pPr>
        <w:pStyle w:val="ESch"/>
        <w:rPr>
          <w:szCs w:val="20"/>
          <w:lang w:val="pt-PT"/>
        </w:rPr>
      </w:pPr>
      <w:r w:rsidRPr="00F125EF">
        <w:rPr>
          <w:lang w:val="pt-PT"/>
        </w:rPr>
        <w:t>3.</w:t>
      </w:r>
      <w:r w:rsidRPr="00F125EF">
        <w:rPr>
          <w:lang w:val="pt-PT"/>
        </w:rPr>
        <w:tab/>
        <w:t>A vészjelzés hangnyomásszintje a lakóterekben legalább 75 dB(A).</w:t>
      </w:r>
    </w:p>
    <w:p w:rsidR="00822C1C" w:rsidRPr="00F125EF" w:rsidRDefault="00822C1C" w:rsidP="00822C1C">
      <w:pPr>
        <w:pStyle w:val="ESch"/>
        <w:rPr>
          <w:szCs w:val="20"/>
          <w:lang w:val="pt-PT"/>
        </w:rPr>
      </w:pPr>
    </w:p>
    <w:p w:rsidR="00822C1C" w:rsidRPr="00F125EF" w:rsidRDefault="00822C1C" w:rsidP="00822C1C">
      <w:pPr>
        <w:pStyle w:val="ESchpar"/>
        <w:rPr>
          <w:szCs w:val="20"/>
          <w:lang w:val="pt-PT"/>
        </w:rPr>
      </w:pPr>
      <w:r w:rsidRPr="00F125EF">
        <w:rPr>
          <w:lang w:val="pt-PT"/>
        </w:rPr>
        <w:t>A gépterekben és a szivattyúházakban a vészjelzésnek minden oldalról látható és minden pontról könnyen észlelhető villogó fénynek kell lennie.</w:t>
      </w:r>
    </w:p>
    <w:p w:rsidR="00822C1C" w:rsidRPr="00F125EF" w:rsidRDefault="00822C1C" w:rsidP="00B006DB">
      <w:pPr>
        <w:pStyle w:val="ESch"/>
        <w:rPr>
          <w:szCs w:val="20"/>
          <w:lang w:val="pt-PT"/>
        </w:rPr>
      </w:pPr>
    </w:p>
    <w:p w:rsidR="00822C1C" w:rsidRPr="00F125EF" w:rsidRDefault="00822C1C" w:rsidP="00B006DB">
      <w:pPr>
        <w:pStyle w:val="ESch"/>
        <w:rPr>
          <w:lang w:val="pt-PT"/>
        </w:rPr>
      </w:pPr>
    </w:p>
    <w:p w:rsidR="00822C1C" w:rsidRPr="00F125EF" w:rsidRDefault="00822C1C" w:rsidP="00822C1C">
      <w:pPr>
        <w:pStyle w:val="ES-Titre3"/>
        <w:rPr>
          <w:lang w:val="pt-PT"/>
        </w:rPr>
      </w:pPr>
      <w:bookmarkStart w:id="102" w:name="_Toc491854051"/>
      <w:bookmarkStart w:id="103" w:name="_Toc535853830"/>
      <w:r w:rsidRPr="00F125EF">
        <w:rPr>
          <w:lang w:val="pt-PT"/>
        </w:rPr>
        <w:t>7.10. cikk</w:t>
      </w:r>
      <w:r w:rsidRPr="00F125EF">
        <w:rPr>
          <w:lang w:val="pt-PT"/>
        </w:rPr>
        <w:br/>
      </w:r>
      <w:r w:rsidRPr="00F125EF">
        <w:rPr>
          <w:i/>
          <w:lang w:val="pt-PT"/>
        </w:rPr>
        <w:t>Fűtés és szellőzés</w:t>
      </w:r>
      <w:bookmarkEnd w:id="102"/>
      <w:bookmarkEnd w:id="103"/>
    </w:p>
    <w:p w:rsidR="00822C1C" w:rsidRPr="00F125EF" w:rsidRDefault="00822C1C" w:rsidP="00822C1C">
      <w:pPr>
        <w:pStyle w:val="ESch"/>
        <w:rPr>
          <w:szCs w:val="20"/>
          <w:lang w:val="pt-PT"/>
        </w:rPr>
      </w:pPr>
    </w:p>
    <w:p w:rsidR="003F558E" w:rsidRPr="00F125EF" w:rsidRDefault="00822C1C" w:rsidP="003F558E">
      <w:pPr>
        <w:pStyle w:val="ESgauche"/>
        <w:rPr>
          <w:szCs w:val="20"/>
          <w:lang w:val="pt-PT"/>
        </w:rPr>
      </w:pPr>
      <w:r w:rsidRPr="00F125EF">
        <w:rPr>
          <w:lang w:val="pt-PT"/>
        </w:rPr>
        <w:t>A kormányállást fel kell szerelni szabályozható és hatékony fűtési és szellőzőrendszerrel.</w:t>
      </w:r>
    </w:p>
    <w:p w:rsidR="003F558E" w:rsidRPr="00F125EF" w:rsidRDefault="003F558E" w:rsidP="003F558E">
      <w:pPr>
        <w:pStyle w:val="ESgauche"/>
        <w:rPr>
          <w:szCs w:val="20"/>
          <w:lang w:val="pt-PT"/>
        </w:rPr>
      </w:pPr>
    </w:p>
    <w:p w:rsidR="003F558E" w:rsidRPr="00F125EF" w:rsidRDefault="003F558E" w:rsidP="003F558E">
      <w:pPr>
        <w:pStyle w:val="ESgauche"/>
        <w:rPr>
          <w:lang w:val="pt-PT"/>
        </w:rPr>
      </w:pPr>
    </w:p>
    <w:p w:rsidR="00822C1C" w:rsidRPr="00F125EF" w:rsidRDefault="00822C1C" w:rsidP="003F558E">
      <w:pPr>
        <w:pStyle w:val="ES-Titre3"/>
        <w:rPr>
          <w:i/>
          <w:lang w:val="pt-PT"/>
        </w:rPr>
      </w:pPr>
      <w:bookmarkStart w:id="104" w:name="_Toc491854052"/>
      <w:bookmarkStart w:id="105" w:name="_Toc535853831"/>
      <w:r w:rsidRPr="00F125EF">
        <w:rPr>
          <w:lang w:val="pt-PT"/>
        </w:rPr>
        <w:t>7.11. cikk</w:t>
      </w:r>
      <w:r w:rsidRPr="00F125EF">
        <w:rPr>
          <w:lang w:val="pt-PT"/>
        </w:rPr>
        <w:br/>
      </w:r>
      <w:r w:rsidRPr="00F125EF">
        <w:rPr>
          <w:i/>
          <w:lang w:val="pt-PT"/>
        </w:rPr>
        <w:t>Farhorgony-kezelőszervek</w:t>
      </w:r>
      <w:bookmarkEnd w:id="104"/>
      <w:bookmarkEnd w:id="105"/>
    </w:p>
    <w:p w:rsidR="003F558E" w:rsidRPr="00F125EF" w:rsidRDefault="003F558E" w:rsidP="00822C1C">
      <w:pPr>
        <w:pStyle w:val="ESch"/>
        <w:rPr>
          <w:szCs w:val="20"/>
          <w:lang w:val="pt-PT"/>
        </w:rPr>
      </w:pPr>
    </w:p>
    <w:p w:rsidR="00822C1C" w:rsidRPr="00F125EF" w:rsidRDefault="00822C1C" w:rsidP="003F558E">
      <w:pPr>
        <w:pStyle w:val="ESgauche"/>
        <w:rPr>
          <w:szCs w:val="20"/>
          <w:lang w:val="pt-PT"/>
        </w:rPr>
      </w:pPr>
      <w:r w:rsidRPr="00F125EF">
        <w:rPr>
          <w:lang w:val="pt-PT"/>
        </w:rPr>
        <w:t>Egyszemélyes radarhajózásra kialakított kormányállással rendelkező és 86 méter hosszúságot vagy 22,90 méter szélességet meghaladó hajók fedélzetén és kötelékek esetében a kormányosnak képesnek kell lennie a farhorgonyok leeresztésére szokásos helyének elhagyása nélkül.</w:t>
      </w:r>
    </w:p>
    <w:p w:rsidR="003F558E" w:rsidRPr="00F125EF" w:rsidRDefault="003F558E" w:rsidP="003F558E">
      <w:pPr>
        <w:pStyle w:val="ESgauche"/>
        <w:rPr>
          <w:szCs w:val="20"/>
          <w:lang w:val="pt-PT"/>
        </w:rPr>
      </w:pPr>
    </w:p>
    <w:p w:rsidR="003F558E" w:rsidRPr="00F125EF" w:rsidRDefault="003F558E" w:rsidP="003F558E">
      <w:pPr>
        <w:pStyle w:val="ESgauche"/>
        <w:rPr>
          <w:lang w:val="pt-PT"/>
        </w:rPr>
      </w:pPr>
    </w:p>
    <w:p w:rsidR="00B006DB" w:rsidRPr="00F125EF" w:rsidRDefault="00B006DB" w:rsidP="003F558E">
      <w:pPr>
        <w:pStyle w:val="ESgauche"/>
        <w:rPr>
          <w:lang w:val="pt-PT"/>
        </w:rPr>
      </w:pPr>
      <w:r w:rsidRPr="00F125EF">
        <w:rPr>
          <w:lang w:val="pt-PT"/>
        </w:rPr>
        <w:br w:type="page"/>
      </w:r>
    </w:p>
    <w:p w:rsidR="008418DC" w:rsidRPr="00F125EF" w:rsidRDefault="00822C1C" w:rsidP="003B0440">
      <w:pPr>
        <w:pStyle w:val="ES-Titre3"/>
        <w:rPr>
          <w:i/>
          <w:snapToGrid w:val="0"/>
          <w:lang w:val="pt-PT"/>
        </w:rPr>
      </w:pPr>
      <w:bookmarkStart w:id="106" w:name="_Toc491854053"/>
      <w:bookmarkStart w:id="107" w:name="_Toc535853832"/>
      <w:r w:rsidRPr="00F125EF">
        <w:rPr>
          <w:lang w:val="pt-PT"/>
        </w:rPr>
        <w:t>7.12. cikk</w:t>
      </w:r>
      <w:r w:rsidRPr="00F125EF">
        <w:rPr>
          <w:lang w:val="pt-PT"/>
        </w:rPr>
        <w:br/>
      </w:r>
      <w:r w:rsidRPr="00F125EF">
        <w:rPr>
          <w:i/>
          <w:snapToGrid w:val="0"/>
          <w:lang w:val="pt-PT"/>
        </w:rPr>
        <w:t>Állítható magasságú kormányállás</w:t>
      </w:r>
      <w:bookmarkEnd w:id="106"/>
      <w:bookmarkEnd w:id="107"/>
    </w:p>
    <w:p w:rsidR="008418DC" w:rsidRPr="00F125EF" w:rsidRDefault="008418DC" w:rsidP="008418DC">
      <w:pPr>
        <w:tabs>
          <w:tab w:val="left" w:pos="851"/>
        </w:tabs>
        <w:adjustRightInd w:val="0"/>
        <w:spacing w:line="240" w:lineRule="atLeast"/>
        <w:jc w:val="center"/>
        <w:rPr>
          <w:rFonts w:cs="Arial"/>
          <w:b/>
          <w:bCs/>
          <w:snapToGrid w:val="0"/>
          <w:szCs w:val="20"/>
          <w:lang w:val="pt-PT"/>
        </w:rPr>
      </w:pPr>
    </w:p>
    <w:p w:rsidR="008418DC" w:rsidRPr="00F125EF" w:rsidRDefault="008418DC" w:rsidP="001F1AC2">
      <w:pPr>
        <w:pStyle w:val="ESch"/>
        <w:rPr>
          <w:lang w:val="pt-PT"/>
        </w:rPr>
      </w:pPr>
      <w:r w:rsidRPr="00F125EF">
        <w:rPr>
          <w:lang w:val="pt-PT"/>
        </w:rPr>
        <w:t>1.</w:t>
      </w:r>
      <w:r w:rsidRPr="00F125EF">
        <w:rPr>
          <w:lang w:val="pt-PT"/>
        </w:rPr>
        <w:tab/>
        <w:t xml:space="preserve">A mechanikus meghajtással állítható magasságú kormányállást és berendezéseit úgy kell megtervezni, hogy ne veszélyeztessék a fedélzeten tartózkodó személyek biztonságát. </w:t>
      </w:r>
    </w:p>
    <w:p w:rsidR="008418DC" w:rsidRPr="00F125EF" w:rsidRDefault="008418DC" w:rsidP="001F1AC2">
      <w:pPr>
        <w:pStyle w:val="ESch"/>
        <w:rPr>
          <w:lang w:val="pt-PT"/>
        </w:rPr>
      </w:pPr>
    </w:p>
    <w:p w:rsidR="008418DC" w:rsidRPr="00F125EF" w:rsidRDefault="008418DC" w:rsidP="001F1AC2">
      <w:pPr>
        <w:pStyle w:val="ESch"/>
        <w:rPr>
          <w:lang w:val="pt-PT"/>
        </w:rPr>
      </w:pPr>
      <w:r w:rsidRPr="00F125EF">
        <w:rPr>
          <w:lang w:val="pt-PT"/>
        </w:rPr>
        <w:t>2.</w:t>
      </w:r>
      <w:r w:rsidRPr="00F125EF">
        <w:rPr>
          <w:lang w:val="pt-PT"/>
        </w:rPr>
        <w:tab/>
        <w:t xml:space="preserve">Az állítható magasságú kormányállás nem veszélyeztetheti a hajó stabilitását. </w:t>
      </w:r>
    </w:p>
    <w:p w:rsidR="008418DC" w:rsidRPr="00F125EF" w:rsidRDefault="008418DC" w:rsidP="001F1AC2">
      <w:pPr>
        <w:pStyle w:val="ESch"/>
        <w:rPr>
          <w:lang w:val="pt-PT"/>
        </w:rPr>
      </w:pPr>
    </w:p>
    <w:p w:rsidR="008418DC" w:rsidRPr="00F125EF" w:rsidRDefault="008418DC" w:rsidP="001F1AC2">
      <w:pPr>
        <w:pStyle w:val="ESch"/>
        <w:rPr>
          <w:lang w:val="pt-PT"/>
        </w:rPr>
      </w:pPr>
      <w:r w:rsidRPr="00F125EF">
        <w:rPr>
          <w:lang w:val="pt-PT"/>
        </w:rPr>
        <w:t>3.</w:t>
      </w:r>
      <w:r w:rsidRPr="00F125EF">
        <w:rPr>
          <w:lang w:val="pt-PT"/>
        </w:rPr>
        <w:tab/>
        <w:t>A kormányállás felemelése és leeresztése közben nem ütközhetnek akadályba az onnan végzett műveleteket. A kormányállásnak helyzetétől függetlenül biztonságosan megközelíthetőnek és elhagyhatónak kell lennie.</w:t>
      </w:r>
    </w:p>
    <w:p w:rsidR="008418DC" w:rsidRPr="00F125EF" w:rsidRDefault="008418DC" w:rsidP="001F1AC2">
      <w:pPr>
        <w:pStyle w:val="ESch"/>
        <w:rPr>
          <w:lang w:val="pt-PT"/>
        </w:rPr>
      </w:pPr>
    </w:p>
    <w:p w:rsidR="008418DC" w:rsidRPr="00F125EF" w:rsidRDefault="008418DC" w:rsidP="001F1AC2">
      <w:pPr>
        <w:pStyle w:val="ESch"/>
        <w:rPr>
          <w:lang w:val="pt-PT"/>
        </w:rPr>
      </w:pPr>
      <w:r w:rsidRPr="00F125EF">
        <w:rPr>
          <w:lang w:val="pt-PT"/>
        </w:rPr>
        <w:t>4.</w:t>
      </w:r>
      <w:r w:rsidRPr="00F125EF">
        <w:rPr>
          <w:lang w:val="pt-PT"/>
        </w:rPr>
        <w:tab/>
        <w:t>Lehetővé kell tenni, hogy az emelőmechanizmus a kormányállásból működtethető legyen. A kormányvezérlő-állásban kijelzőnek kell mutatnia a következőket:</w:t>
      </w:r>
    </w:p>
    <w:p w:rsidR="008418DC" w:rsidRPr="00F125EF" w:rsidRDefault="008418DC" w:rsidP="003B0440">
      <w:pPr>
        <w:pStyle w:val="ESlet"/>
        <w:rPr>
          <w:lang w:val="pt-PT"/>
        </w:rPr>
      </w:pPr>
      <w:r w:rsidRPr="00F125EF">
        <w:rPr>
          <w:lang w:val="pt-PT"/>
        </w:rPr>
        <w:t xml:space="preserve">a) </w:t>
      </w:r>
      <w:r w:rsidRPr="00F125EF">
        <w:rPr>
          <w:lang w:val="pt-PT"/>
        </w:rPr>
        <w:tab/>
        <w:t>a kormányállás emelőmechanizmusa feszültség alatt van,</w:t>
      </w:r>
    </w:p>
    <w:p w:rsidR="008418DC" w:rsidRPr="00F125EF" w:rsidRDefault="008418DC" w:rsidP="003B0440">
      <w:pPr>
        <w:pStyle w:val="ESlet"/>
        <w:rPr>
          <w:lang w:val="pt-PT"/>
        </w:rPr>
      </w:pPr>
      <w:r w:rsidRPr="00F125EF">
        <w:rPr>
          <w:lang w:val="pt-PT"/>
        </w:rPr>
        <w:t xml:space="preserve">b) </w:t>
      </w:r>
      <w:r w:rsidRPr="00F125EF">
        <w:rPr>
          <w:lang w:val="pt-PT"/>
        </w:rPr>
        <w:tab/>
        <w:t>a kormányállás a legalsó pozícióban van,</w:t>
      </w:r>
    </w:p>
    <w:p w:rsidR="008418DC" w:rsidRPr="00F125EF" w:rsidRDefault="008418DC" w:rsidP="003B0440">
      <w:pPr>
        <w:pStyle w:val="ESlet"/>
        <w:rPr>
          <w:lang w:val="pt-PT"/>
        </w:rPr>
      </w:pPr>
      <w:r w:rsidRPr="00F125EF">
        <w:rPr>
          <w:lang w:val="pt-PT"/>
        </w:rPr>
        <w:t xml:space="preserve">c) </w:t>
      </w:r>
      <w:r w:rsidRPr="00F125EF">
        <w:rPr>
          <w:lang w:val="pt-PT"/>
        </w:rPr>
        <w:tab/>
        <w:t>a kormányállás a legfelső pozícióban van,</w:t>
      </w:r>
    </w:p>
    <w:p w:rsidR="008418DC" w:rsidRPr="00F125EF" w:rsidRDefault="008418DC" w:rsidP="003B0440">
      <w:pPr>
        <w:pStyle w:val="ESlet"/>
        <w:rPr>
          <w:lang w:val="pt-PT"/>
        </w:rPr>
      </w:pPr>
      <w:r w:rsidRPr="00F125EF">
        <w:rPr>
          <w:lang w:val="pt-PT"/>
        </w:rPr>
        <w:t xml:space="preserve">d) </w:t>
      </w:r>
      <w:r w:rsidRPr="00F125EF">
        <w:rPr>
          <w:lang w:val="pt-PT"/>
        </w:rPr>
        <w:tab/>
        <w:t>a kormányállás egy adott pozícióban rögzítve van (adott esetben).</w:t>
      </w:r>
    </w:p>
    <w:p w:rsidR="008418DC" w:rsidRPr="00F125EF" w:rsidRDefault="008418DC" w:rsidP="001F1AC2">
      <w:pPr>
        <w:pStyle w:val="ESch"/>
        <w:rPr>
          <w:lang w:val="pt-PT"/>
        </w:rPr>
      </w:pPr>
    </w:p>
    <w:p w:rsidR="008418DC" w:rsidRPr="00F125EF" w:rsidRDefault="008418DC" w:rsidP="001F1AC2">
      <w:pPr>
        <w:pStyle w:val="ESch"/>
        <w:rPr>
          <w:lang w:val="pt-PT"/>
        </w:rPr>
      </w:pPr>
      <w:r w:rsidRPr="00F125EF">
        <w:rPr>
          <w:lang w:val="pt-PT"/>
        </w:rPr>
        <w:t>5.</w:t>
      </w:r>
      <w:r w:rsidRPr="00F125EF">
        <w:rPr>
          <w:lang w:val="pt-PT"/>
        </w:rPr>
        <w:tab/>
        <w:t>Az emelőmechanizmusnak biztosítania kell, hogy a kormányállás képes legyen minden pozícióban megállni. Amennyiben a kormányállás egy adott pozícióban rögzíthető, a rögzítést követően az emelőmechanizmusnak önműködően ki kell kapcsolnia. A rögzítés kioldásának minden üzemi körülmény esetében lehetségesnek kell lennie.</w:t>
      </w:r>
    </w:p>
    <w:p w:rsidR="008418DC" w:rsidRPr="00F125EF" w:rsidRDefault="008418DC" w:rsidP="001F1AC2">
      <w:pPr>
        <w:pStyle w:val="ESch"/>
        <w:rPr>
          <w:lang w:val="pt-PT"/>
        </w:rPr>
      </w:pPr>
    </w:p>
    <w:p w:rsidR="008418DC" w:rsidRPr="00F125EF" w:rsidRDefault="008418DC" w:rsidP="001F1AC2">
      <w:pPr>
        <w:pStyle w:val="ESch"/>
        <w:rPr>
          <w:lang w:val="pt-PT"/>
        </w:rPr>
      </w:pPr>
      <w:r w:rsidRPr="00F125EF">
        <w:rPr>
          <w:lang w:val="pt-PT"/>
        </w:rPr>
        <w:t>6.</w:t>
      </w:r>
      <w:r w:rsidRPr="00F125EF">
        <w:rPr>
          <w:lang w:val="pt-PT"/>
        </w:rPr>
        <w:tab/>
        <w:t>Az emelőmechanizmust úgy kell megtervezni, hogy ne legyen lehetséges a legalsó vagy a legfelső pozíció túllépése.</w:t>
      </w:r>
    </w:p>
    <w:p w:rsidR="008418DC" w:rsidRPr="00F125EF" w:rsidRDefault="008418DC" w:rsidP="001F1AC2">
      <w:pPr>
        <w:pStyle w:val="ESch"/>
        <w:rPr>
          <w:lang w:val="pt-PT"/>
        </w:rPr>
      </w:pPr>
    </w:p>
    <w:p w:rsidR="008418DC" w:rsidRPr="00F125EF" w:rsidRDefault="008418DC" w:rsidP="001F1AC2">
      <w:pPr>
        <w:pStyle w:val="ESch"/>
        <w:rPr>
          <w:lang w:val="pt-PT"/>
        </w:rPr>
      </w:pPr>
      <w:r w:rsidRPr="00F125EF">
        <w:rPr>
          <w:lang w:val="pt-PT"/>
        </w:rPr>
        <w:t>7.</w:t>
      </w:r>
      <w:r w:rsidRPr="00F125EF">
        <w:rPr>
          <w:lang w:val="pt-PT"/>
        </w:rPr>
        <w:tab/>
        <w:t xml:space="preserve">Szabályokat kell megállapítani annak elkerülésére, hogy a kormányállás szándékolatlanul ereszkedni kezdjen. Megfelelő óvintézkedéseket kell hozni azon kockázat elkerülésére, hogy a leeresztés sérülést okozzon. A leeresztési műveletet automatikusan optikai és jól hallható akusztikai figyelmeztető jelzésnek kell kísérnie. </w:t>
      </w:r>
    </w:p>
    <w:p w:rsidR="008418DC" w:rsidRPr="00F125EF" w:rsidRDefault="008418DC" w:rsidP="001F1AC2">
      <w:pPr>
        <w:pStyle w:val="ESch"/>
        <w:rPr>
          <w:lang w:val="pt-PT"/>
        </w:rPr>
      </w:pPr>
    </w:p>
    <w:p w:rsidR="008418DC" w:rsidRPr="00F125EF" w:rsidRDefault="008418DC" w:rsidP="001F1AC2">
      <w:pPr>
        <w:pStyle w:val="ESch"/>
        <w:rPr>
          <w:lang w:val="pt-PT"/>
        </w:rPr>
      </w:pPr>
      <w:r w:rsidRPr="00F125EF">
        <w:rPr>
          <w:lang w:val="pt-PT"/>
        </w:rPr>
        <w:t>8.</w:t>
      </w:r>
      <w:r w:rsidRPr="00F125EF">
        <w:rPr>
          <w:lang w:val="pt-PT"/>
        </w:rPr>
        <w:tab/>
        <w:t>Az állítható magasságú kormányállást vészhelyzeti leeresztő funkcióval kell ellátni, amely független a szokásos emelőmechanizmustól, és energiakimaradás esetén is alkalmazható. E vészhelyzeti funkciónak a kormányállás belsejéből működtethetőnek kell lennie. A vészhelyzeti funkció alkalmazáskor a leeresztési sebesség nem lehet kisebb, mint a rendes körülmények közötti leeresztési sebesség.</w:t>
      </w:r>
    </w:p>
    <w:p w:rsidR="008418DC" w:rsidRPr="00F125EF" w:rsidRDefault="008418DC" w:rsidP="001F1AC2">
      <w:pPr>
        <w:pStyle w:val="ESch"/>
        <w:rPr>
          <w:lang w:val="pt-PT"/>
        </w:rPr>
      </w:pPr>
    </w:p>
    <w:p w:rsidR="008418DC" w:rsidRPr="00F125EF" w:rsidRDefault="008418DC" w:rsidP="001F1AC2">
      <w:pPr>
        <w:pStyle w:val="ESch"/>
        <w:rPr>
          <w:lang w:val="pt-PT"/>
        </w:rPr>
      </w:pPr>
      <w:r w:rsidRPr="00F125EF">
        <w:rPr>
          <w:lang w:val="pt-PT"/>
        </w:rPr>
        <w:t>9.</w:t>
      </w:r>
      <w:r w:rsidRPr="00F125EF">
        <w:rPr>
          <w:lang w:val="pt-PT"/>
        </w:rPr>
        <w:tab/>
        <w:t>(Üres)</w:t>
      </w:r>
    </w:p>
    <w:p w:rsidR="008418DC" w:rsidRPr="00F125EF" w:rsidRDefault="008418DC" w:rsidP="001F1AC2">
      <w:pPr>
        <w:pStyle w:val="ESch"/>
        <w:rPr>
          <w:lang w:val="pt-PT"/>
        </w:rPr>
      </w:pPr>
    </w:p>
    <w:p w:rsidR="008418DC" w:rsidRPr="00F125EF" w:rsidRDefault="008418DC" w:rsidP="001F1AC2">
      <w:pPr>
        <w:pStyle w:val="ESch"/>
        <w:rPr>
          <w:lang w:val="pt-PT"/>
        </w:rPr>
      </w:pPr>
      <w:r w:rsidRPr="00F125EF">
        <w:rPr>
          <w:lang w:val="pt-PT"/>
        </w:rPr>
        <w:t>10.</w:t>
      </w:r>
      <w:r w:rsidRPr="00F125EF">
        <w:rPr>
          <w:lang w:val="pt-PT"/>
        </w:rPr>
        <w:tab/>
        <w:t>A hidarulikatömlők:</w:t>
      </w:r>
    </w:p>
    <w:p w:rsidR="008418DC" w:rsidRPr="00F125EF" w:rsidRDefault="008418DC" w:rsidP="001F1AC2">
      <w:pPr>
        <w:pStyle w:val="ESlet"/>
        <w:rPr>
          <w:lang w:val="pt-PT"/>
        </w:rPr>
      </w:pPr>
      <w:r w:rsidRPr="00F125EF">
        <w:rPr>
          <w:lang w:val="pt-PT"/>
        </w:rPr>
        <w:t>a)</w:t>
      </w:r>
      <w:r w:rsidRPr="00F125EF">
        <w:rPr>
          <w:lang w:val="pt-PT"/>
        </w:rPr>
        <w:tab/>
        <w:t>csak akkor megengedhetők, ha alkalmazásuk a rezgés csillapítása vagy az alkatrészek szabad mozgása érdekében elkerülhetetlen;</w:t>
      </w:r>
    </w:p>
    <w:p w:rsidR="008418DC" w:rsidRPr="00F125EF" w:rsidRDefault="008418DC" w:rsidP="001F1AC2">
      <w:pPr>
        <w:pStyle w:val="ESlet"/>
        <w:rPr>
          <w:lang w:val="pt-PT"/>
        </w:rPr>
      </w:pPr>
      <w:r w:rsidRPr="00F125EF">
        <w:rPr>
          <w:lang w:val="pt-PT"/>
        </w:rPr>
        <w:t>b)</w:t>
      </w:r>
      <w:r w:rsidRPr="00F125EF">
        <w:rPr>
          <w:lang w:val="pt-PT"/>
        </w:rPr>
        <w:tab/>
        <w:t>legalább a legnagyobb üzemi nyomásra méretezendők;</w:t>
      </w:r>
    </w:p>
    <w:p w:rsidR="008418DC" w:rsidRPr="00F125EF" w:rsidRDefault="008418DC" w:rsidP="001F1AC2">
      <w:pPr>
        <w:pStyle w:val="ESlet"/>
        <w:rPr>
          <w:lang w:val="pt-PT"/>
        </w:rPr>
      </w:pPr>
      <w:r w:rsidRPr="00F125EF">
        <w:rPr>
          <w:lang w:val="pt-PT"/>
        </w:rPr>
        <w:t>c)</w:t>
      </w:r>
      <w:r w:rsidRPr="00F125EF">
        <w:rPr>
          <w:lang w:val="pt-PT"/>
        </w:rPr>
        <w:tab/>
        <w:t xml:space="preserve">legalább nyolcévente felújítandók. </w:t>
      </w:r>
    </w:p>
    <w:p w:rsidR="008418DC" w:rsidRPr="00F125EF" w:rsidRDefault="008418DC" w:rsidP="008418DC">
      <w:pPr>
        <w:widowControl w:val="0"/>
        <w:rPr>
          <w:rFonts w:cs="Arial"/>
          <w:szCs w:val="20"/>
          <w:lang w:val="pt-PT"/>
        </w:rPr>
      </w:pPr>
    </w:p>
    <w:p w:rsidR="008418DC" w:rsidRPr="00F125EF" w:rsidRDefault="008418DC" w:rsidP="001F1AC2">
      <w:pPr>
        <w:pStyle w:val="ESch"/>
        <w:rPr>
          <w:lang w:val="pt-PT"/>
        </w:rPr>
      </w:pPr>
      <w:r w:rsidRPr="00F125EF">
        <w:rPr>
          <w:lang w:val="pt-PT"/>
        </w:rPr>
        <w:t>11.</w:t>
      </w:r>
      <w:r w:rsidRPr="00F125EF">
        <w:rPr>
          <w:lang w:val="pt-PT"/>
        </w:rPr>
        <w:tab/>
        <w:t xml:space="preserve">Az állítható magasságú kormányállást és berendezéseit rendszeresen, de legalább tizenkét havonta ellenőrzi egy hozzáértő személy. A létesítmény biztonságosságát szemrevételezéssel és a kielégítő működés ellenőrzésével kell megállapítani. </w:t>
      </w:r>
    </w:p>
    <w:p w:rsidR="008418DC" w:rsidRPr="00F125EF" w:rsidRDefault="008418DC" w:rsidP="003B0440">
      <w:pPr>
        <w:pStyle w:val="ESch"/>
        <w:rPr>
          <w:lang w:val="pt-PT"/>
        </w:rPr>
      </w:pPr>
    </w:p>
    <w:p w:rsidR="008418DC" w:rsidRPr="00F125EF" w:rsidRDefault="008418DC" w:rsidP="003B0440">
      <w:pPr>
        <w:pStyle w:val="ESch"/>
        <w:rPr>
          <w:lang w:val="pt-PT"/>
        </w:rPr>
      </w:pPr>
      <w:r w:rsidRPr="00F125EF">
        <w:rPr>
          <w:lang w:val="pt-PT"/>
        </w:rPr>
        <w:br w:type="page"/>
      </w:r>
    </w:p>
    <w:p w:rsidR="008418DC" w:rsidRPr="00F125EF" w:rsidRDefault="008418DC" w:rsidP="001F1AC2">
      <w:pPr>
        <w:pStyle w:val="ESch"/>
        <w:rPr>
          <w:lang w:val="pt-PT"/>
        </w:rPr>
      </w:pPr>
      <w:r w:rsidRPr="00F125EF">
        <w:rPr>
          <w:lang w:val="pt-PT"/>
        </w:rPr>
        <w:t>12.</w:t>
      </w:r>
      <w:r w:rsidRPr="00F125EF">
        <w:rPr>
          <w:lang w:val="pt-PT"/>
        </w:rPr>
        <w:tab/>
        <w:t xml:space="preserve">Az állítható magasságú kormányállást és berendezéseit szakértő ellenőrzi: </w:t>
      </w:r>
    </w:p>
    <w:p w:rsidR="008418DC" w:rsidRPr="00F125EF" w:rsidRDefault="008418DC" w:rsidP="003B0440">
      <w:pPr>
        <w:pStyle w:val="ESlet"/>
        <w:rPr>
          <w:lang w:val="pt-PT"/>
        </w:rPr>
      </w:pPr>
      <w:r w:rsidRPr="00F125EF">
        <w:rPr>
          <w:lang w:val="pt-PT"/>
        </w:rPr>
        <w:t>a)</w:t>
      </w:r>
      <w:r w:rsidRPr="00F125EF">
        <w:rPr>
          <w:lang w:val="pt-PT"/>
        </w:rPr>
        <w:tab/>
        <w:t xml:space="preserve">az első használatbavétel előtt; </w:t>
      </w:r>
    </w:p>
    <w:p w:rsidR="008418DC" w:rsidRPr="00F125EF" w:rsidRDefault="008418DC" w:rsidP="003B0440">
      <w:pPr>
        <w:pStyle w:val="ESlet"/>
        <w:rPr>
          <w:lang w:val="pt-PT"/>
        </w:rPr>
      </w:pPr>
      <w:r w:rsidRPr="00F125EF">
        <w:rPr>
          <w:lang w:val="pt-PT"/>
        </w:rPr>
        <w:t>b)</w:t>
      </w:r>
      <w:r w:rsidRPr="00F125EF">
        <w:rPr>
          <w:lang w:val="pt-PT"/>
        </w:rPr>
        <w:tab/>
        <w:t>nagyobb módosítást vagy javítást követő újbóli üzembe helyezés előtt; valamint</w:t>
      </w:r>
    </w:p>
    <w:p w:rsidR="008418DC" w:rsidRPr="00F125EF" w:rsidRDefault="008418DC" w:rsidP="003B0440">
      <w:pPr>
        <w:pStyle w:val="ESlet"/>
        <w:rPr>
          <w:lang w:val="pt-PT"/>
        </w:rPr>
      </w:pPr>
      <w:r w:rsidRPr="00F125EF">
        <w:rPr>
          <w:lang w:val="pt-PT"/>
        </w:rPr>
        <w:t>c)</w:t>
      </w:r>
      <w:r w:rsidRPr="00F125EF">
        <w:rPr>
          <w:lang w:val="pt-PT"/>
        </w:rPr>
        <w:tab/>
        <w:t>rendszeresen, de legalább ötévente.</w:t>
      </w:r>
    </w:p>
    <w:p w:rsidR="003B0440" w:rsidRPr="00F125EF" w:rsidRDefault="003B0440" w:rsidP="003B0440">
      <w:pPr>
        <w:pStyle w:val="ESchpar"/>
        <w:rPr>
          <w:lang w:val="pt-PT"/>
        </w:rPr>
      </w:pPr>
    </w:p>
    <w:p w:rsidR="008418DC" w:rsidRPr="00F125EF" w:rsidRDefault="008418DC" w:rsidP="003B0440">
      <w:pPr>
        <w:pStyle w:val="ESchpar"/>
        <w:rPr>
          <w:lang w:val="pt-PT"/>
        </w:rPr>
      </w:pPr>
      <w:r w:rsidRPr="00F125EF">
        <w:rPr>
          <w:lang w:val="pt-PT"/>
        </w:rPr>
        <w:t>Az ellenőrzés során számításokkal kell igazolni a megfelelő szilárdságot és stabilitást.</w:t>
      </w:r>
    </w:p>
    <w:p w:rsidR="008418DC" w:rsidRPr="00F125EF" w:rsidRDefault="008418DC" w:rsidP="003B0440">
      <w:pPr>
        <w:pStyle w:val="ESchpar"/>
        <w:rPr>
          <w:lang w:val="pt-PT"/>
        </w:rPr>
      </w:pPr>
    </w:p>
    <w:p w:rsidR="003F558E" w:rsidRPr="00F125EF" w:rsidRDefault="008418DC" w:rsidP="003B0440">
      <w:pPr>
        <w:pStyle w:val="ESchpar"/>
        <w:rPr>
          <w:lang w:val="pt-PT"/>
        </w:rPr>
      </w:pPr>
      <w:r w:rsidRPr="00F125EF">
        <w:rPr>
          <w:lang w:val="pt-PT"/>
        </w:rPr>
        <w:t>Ellenőrzési igazolást kell kiadni, amely tartalmazza a szakértő aláírását és az ellenőrzés dátumát.</w:t>
      </w:r>
    </w:p>
    <w:p w:rsidR="008418DC" w:rsidRPr="00F125EF" w:rsidRDefault="008418DC" w:rsidP="003B0440">
      <w:pPr>
        <w:pStyle w:val="ESch"/>
        <w:rPr>
          <w:lang w:val="pt-PT"/>
        </w:rPr>
      </w:pPr>
    </w:p>
    <w:p w:rsidR="008418DC" w:rsidRPr="00F125EF" w:rsidRDefault="008418DC" w:rsidP="003B0440">
      <w:pPr>
        <w:pStyle w:val="ESch"/>
        <w:rPr>
          <w:lang w:val="pt-PT"/>
        </w:rPr>
      </w:pPr>
    </w:p>
    <w:p w:rsidR="00822C1C" w:rsidRPr="00F125EF" w:rsidRDefault="00822C1C" w:rsidP="003F558E">
      <w:pPr>
        <w:pStyle w:val="ES-Titre3"/>
        <w:rPr>
          <w:i/>
          <w:lang w:val="pt-PT"/>
        </w:rPr>
      </w:pPr>
      <w:bookmarkStart w:id="108" w:name="_Toc491854054"/>
      <w:bookmarkStart w:id="109" w:name="_Toc535853833"/>
      <w:r w:rsidRPr="00F125EF">
        <w:rPr>
          <w:lang w:val="pt-PT"/>
        </w:rPr>
        <w:t>7.13. cikk</w:t>
      </w:r>
      <w:r w:rsidRPr="00F125EF">
        <w:rPr>
          <w:lang w:val="pt-PT"/>
        </w:rPr>
        <w:br/>
      </w:r>
      <w:r w:rsidRPr="00F125EF">
        <w:rPr>
          <w:i/>
          <w:lang w:val="pt-PT"/>
        </w:rPr>
        <w:t>Bejegyzés az egyszemélyes radarhajózásra kialakított kormányállással rendelkező hajók belvízi hajóbizonyítványába</w:t>
      </w:r>
      <w:bookmarkEnd w:id="108"/>
      <w:bookmarkEnd w:id="109"/>
    </w:p>
    <w:p w:rsidR="003F558E" w:rsidRPr="00F125EF" w:rsidRDefault="003F558E" w:rsidP="00822C1C">
      <w:pPr>
        <w:pStyle w:val="ESch"/>
        <w:rPr>
          <w:szCs w:val="20"/>
          <w:lang w:val="pt-PT"/>
        </w:rPr>
      </w:pPr>
    </w:p>
    <w:p w:rsidR="00822C1C" w:rsidRPr="00F125EF" w:rsidRDefault="00822C1C" w:rsidP="003F558E">
      <w:pPr>
        <w:pStyle w:val="ESgauche"/>
        <w:rPr>
          <w:lang w:val="pt-PT"/>
        </w:rPr>
      </w:pPr>
      <w:r w:rsidRPr="00F125EF">
        <w:rPr>
          <w:lang w:val="pt-PT"/>
        </w:rPr>
        <w:t>Amennyiben egy hajó megfelel a 7.01. cikk 3. bekezdése, a 7.04. cikk 5. és 6. bekezdése, a 7.05. cikk 3. és 4. bekezdése, a 7.06. cikk 2. bekezdése, a 7.07. cikk, a 7.08. cikk és a 7.11. cikk szerinti, egyszemélyes radarhajózásra kialakított kormányállásokra vonatkozó külön rendelkezéseknek, a belvízi hajóbizonyítványba a következőt kell bejegyezni:</w:t>
      </w:r>
    </w:p>
    <w:p w:rsidR="003F558E" w:rsidRPr="00F125EF" w:rsidRDefault="003F558E" w:rsidP="003F558E">
      <w:pPr>
        <w:pStyle w:val="ESgauche"/>
        <w:rPr>
          <w:szCs w:val="20"/>
          <w:lang w:val="pt-PT"/>
        </w:rPr>
      </w:pPr>
    </w:p>
    <w:p w:rsidR="00822C1C" w:rsidRPr="00F125EF" w:rsidRDefault="00461781" w:rsidP="003F558E">
      <w:pPr>
        <w:pStyle w:val="ESgauche"/>
        <w:jc w:val="center"/>
        <w:rPr>
          <w:lang w:val="pt-PT"/>
        </w:rPr>
      </w:pPr>
      <w:r w:rsidRPr="00F125EF">
        <w:rPr>
          <w:lang w:val="pt-PT"/>
        </w:rPr>
        <w:t>„A hajó egyszemélyes radarhajózásra kialakított kormányállással rendelkezik.”</w:t>
      </w:r>
    </w:p>
    <w:p w:rsidR="00DC11E8" w:rsidRPr="00F125EF" w:rsidRDefault="00DC11E8" w:rsidP="00E35772">
      <w:pPr>
        <w:spacing w:line="240" w:lineRule="atLeast"/>
        <w:ind w:left="567" w:hanging="567"/>
        <w:rPr>
          <w:noProof/>
          <w:szCs w:val="20"/>
          <w:lang w:val="pt-PT"/>
        </w:rPr>
      </w:pPr>
    </w:p>
    <w:p w:rsidR="00DC11E8" w:rsidRPr="00F125EF" w:rsidRDefault="00DC11E8" w:rsidP="00E35772">
      <w:pPr>
        <w:spacing w:line="240" w:lineRule="atLeast"/>
        <w:ind w:left="567" w:hanging="567"/>
        <w:rPr>
          <w:noProof/>
          <w:lang w:val="pt-PT"/>
        </w:rPr>
      </w:pPr>
    </w:p>
    <w:p w:rsidR="005344DA" w:rsidRPr="00F125EF" w:rsidRDefault="006D6907" w:rsidP="00E35772">
      <w:pPr>
        <w:spacing w:line="240" w:lineRule="atLeast"/>
        <w:ind w:left="567" w:hanging="567"/>
        <w:rPr>
          <w:noProof/>
          <w:lang w:val="pt-PT"/>
        </w:rPr>
      </w:pPr>
      <w:r w:rsidRPr="00F125EF">
        <w:rPr>
          <w:lang w:val="pt-PT"/>
        </w:rPr>
        <w:br w:type="page"/>
      </w:r>
    </w:p>
    <w:p w:rsidR="00763ADA" w:rsidRPr="00166EA9" w:rsidRDefault="00E24808" w:rsidP="00763ADA">
      <w:pPr>
        <w:pStyle w:val="ES-Titre2"/>
        <w:rPr>
          <w:lang w:val="pt-PT"/>
        </w:rPr>
      </w:pPr>
      <w:bookmarkStart w:id="110" w:name="_Toc491854055"/>
      <w:bookmarkStart w:id="111" w:name="_Toc535853834"/>
      <w:r w:rsidRPr="00166EA9">
        <w:rPr>
          <w:lang w:val="pt-PT"/>
        </w:rPr>
        <w:t>8. fejezet</w:t>
      </w:r>
      <w:r w:rsidRPr="00166EA9">
        <w:rPr>
          <w:lang w:val="pt-PT"/>
        </w:rPr>
        <w:br/>
        <w:t>A motorok kialakítása</w:t>
      </w:r>
      <w:bookmarkEnd w:id="110"/>
      <w:bookmarkEnd w:id="111"/>
    </w:p>
    <w:p w:rsidR="00E24808" w:rsidRPr="00F125EF" w:rsidRDefault="00E24808" w:rsidP="00E24808">
      <w:pPr>
        <w:rPr>
          <w:rFonts w:cs="Arial"/>
          <w:b/>
          <w:i/>
          <w:noProof/>
          <w:szCs w:val="20"/>
          <w:lang w:val="pt-PT"/>
        </w:rPr>
      </w:pPr>
    </w:p>
    <w:p w:rsidR="00E24808" w:rsidRPr="00F125EF" w:rsidRDefault="00E24808" w:rsidP="00E24808">
      <w:pPr>
        <w:pStyle w:val="ES-Titre3"/>
        <w:rPr>
          <w:lang w:val="pt-PT"/>
        </w:rPr>
      </w:pPr>
      <w:bookmarkStart w:id="112" w:name="_Toc491854056"/>
      <w:bookmarkStart w:id="113" w:name="_Toc535853835"/>
      <w:r w:rsidRPr="00F125EF">
        <w:rPr>
          <w:lang w:val="pt-PT"/>
        </w:rPr>
        <w:t>8.01. cikk</w:t>
      </w:r>
      <w:r w:rsidRPr="00F125EF">
        <w:rPr>
          <w:lang w:val="pt-PT"/>
        </w:rPr>
        <w:br/>
      </w:r>
      <w:r w:rsidRPr="00F125EF">
        <w:rPr>
          <w:i/>
          <w:noProof/>
          <w:lang w:val="pt-PT"/>
        </w:rPr>
        <w:t>Általános rendelkezések</w:t>
      </w:r>
      <w:bookmarkEnd w:id="112"/>
      <w:bookmarkEnd w:id="113"/>
    </w:p>
    <w:p w:rsidR="00266522" w:rsidRPr="00F125EF" w:rsidRDefault="00266522" w:rsidP="00E24808">
      <w:pPr>
        <w:rPr>
          <w:rFonts w:cs="Arial"/>
          <w:noProof/>
          <w:szCs w:val="20"/>
          <w:lang w:val="pt-PT"/>
        </w:rPr>
      </w:pPr>
    </w:p>
    <w:p w:rsidR="00E24808" w:rsidRPr="00F125EF" w:rsidRDefault="00E24808" w:rsidP="00266522">
      <w:pPr>
        <w:pStyle w:val="ESch"/>
        <w:rPr>
          <w:lang w:val="pt-PT"/>
        </w:rPr>
      </w:pPr>
      <w:r w:rsidRPr="00F125EF">
        <w:rPr>
          <w:lang w:val="pt-PT"/>
        </w:rPr>
        <w:t>1.</w:t>
      </w:r>
      <w:r w:rsidRPr="00F125EF">
        <w:rPr>
          <w:lang w:val="pt-PT"/>
        </w:rPr>
        <w:tab/>
        <w:t>Valamennyi motort, valamint az azokhoz tartozó berendezéseket a helyes műszaki gyakorlatnak megfelelően kell megtervezni, kivitelezni és beépíteni.</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2.</w:t>
      </w:r>
      <w:r w:rsidRPr="00F125EF">
        <w:rPr>
          <w:lang w:val="pt-PT"/>
        </w:rPr>
        <w:tab/>
        <w:t>A hajó üzemeltetését szolgáló nyomástartó edényeket annak igazolására, hogy azok üzemeltetése biztonságos, szakértő ellenőrzi:</w:t>
      </w:r>
    </w:p>
    <w:p w:rsidR="00E24808" w:rsidRPr="00F125EF" w:rsidRDefault="005C7859" w:rsidP="00266522">
      <w:pPr>
        <w:pStyle w:val="ESlet"/>
        <w:rPr>
          <w:lang w:val="pt-PT"/>
        </w:rPr>
      </w:pPr>
      <w:r w:rsidRPr="00F125EF">
        <w:rPr>
          <w:lang w:val="pt-PT"/>
        </w:rPr>
        <w:t>a)</w:t>
      </w:r>
      <w:r w:rsidRPr="00F125EF">
        <w:rPr>
          <w:lang w:val="pt-PT"/>
        </w:rPr>
        <w:tab/>
        <w:t>az első használatbavétel előtt;</w:t>
      </w:r>
    </w:p>
    <w:p w:rsidR="00E24808" w:rsidRPr="00F125EF" w:rsidRDefault="005C7859" w:rsidP="00266522">
      <w:pPr>
        <w:pStyle w:val="ESlet"/>
        <w:rPr>
          <w:lang w:val="pt-PT"/>
        </w:rPr>
      </w:pPr>
      <w:r w:rsidRPr="00F125EF">
        <w:rPr>
          <w:lang w:val="pt-PT"/>
        </w:rPr>
        <w:t>b)</w:t>
      </w:r>
      <w:r w:rsidRPr="00F125EF">
        <w:rPr>
          <w:lang w:val="pt-PT"/>
        </w:rPr>
        <w:tab/>
        <w:t>módosítást vagy javítást követő újbóli üzembe helyezés előtt; és</w:t>
      </w:r>
    </w:p>
    <w:p w:rsidR="00E24808" w:rsidRPr="00F125EF" w:rsidRDefault="005C7859" w:rsidP="00266522">
      <w:pPr>
        <w:pStyle w:val="ESlet"/>
        <w:rPr>
          <w:lang w:val="pt-PT"/>
        </w:rPr>
      </w:pPr>
      <w:r w:rsidRPr="00F125EF">
        <w:rPr>
          <w:lang w:val="pt-PT"/>
        </w:rPr>
        <w:t>c)</w:t>
      </w:r>
      <w:r w:rsidRPr="00F125EF">
        <w:rPr>
          <w:lang w:val="pt-PT"/>
        </w:rPr>
        <w:tab/>
        <w:t>rendszeresen, de legalább ötévente.</w:t>
      </w:r>
    </w:p>
    <w:p w:rsidR="000B60B9" w:rsidRPr="00F125EF" w:rsidRDefault="000B60B9" w:rsidP="00E24808">
      <w:pPr>
        <w:rPr>
          <w:rFonts w:cs="Arial"/>
          <w:noProof/>
          <w:szCs w:val="20"/>
          <w:lang w:val="pt-PT"/>
        </w:rPr>
      </w:pPr>
    </w:p>
    <w:p w:rsidR="00E24808" w:rsidRPr="00F125EF" w:rsidRDefault="00E24808" w:rsidP="00266522">
      <w:pPr>
        <w:pStyle w:val="ESchpar"/>
        <w:rPr>
          <w:lang w:val="pt-PT"/>
        </w:rPr>
      </w:pPr>
      <w:r w:rsidRPr="00F125EF">
        <w:rPr>
          <w:lang w:val="pt-PT"/>
        </w:rPr>
        <w:t>Az ellenőrzés belső és külső ellenőrzést is foglal magában. Azokat a sűrített levegőt használó edényeket, amelyek belsejét nem lehet megfelelően megvizsgálni, vagy amelyek állapotát nem lehet egyértelműen megállapítani a belső ellenőrzés során, további roncsolásmentes vizsgálatnak vagy hidraulikus nyomáspróbának kell alávetni.</w:t>
      </w:r>
    </w:p>
    <w:p w:rsidR="000B60B9" w:rsidRPr="00F125EF" w:rsidRDefault="000B60B9" w:rsidP="00266522">
      <w:pPr>
        <w:pStyle w:val="ESchpar"/>
        <w:rPr>
          <w:noProof/>
          <w:lang w:val="pt-PT"/>
        </w:rPr>
      </w:pPr>
    </w:p>
    <w:p w:rsidR="00E24808" w:rsidRPr="00F125EF" w:rsidRDefault="00E24808" w:rsidP="00266522">
      <w:pPr>
        <w:pStyle w:val="ESchpar"/>
        <w:rPr>
          <w:lang w:val="pt-PT"/>
        </w:rPr>
      </w:pPr>
      <w:r w:rsidRPr="00F125EF">
        <w:rPr>
          <w:lang w:val="pt-PT"/>
        </w:rPr>
        <w:t>Ellenőrzési igazolást kell kiadni, amely tartalmazza a szakértő aláírását és az ellenőrzés dátumát.</w:t>
      </w:r>
    </w:p>
    <w:p w:rsidR="000B60B9" w:rsidRPr="00F125EF" w:rsidRDefault="000B60B9" w:rsidP="00266522">
      <w:pPr>
        <w:pStyle w:val="ESchpar"/>
        <w:rPr>
          <w:noProof/>
          <w:lang w:val="pt-PT"/>
        </w:rPr>
      </w:pPr>
    </w:p>
    <w:p w:rsidR="00E24808" w:rsidRPr="00F125EF" w:rsidRDefault="00D329B3" w:rsidP="00266522">
      <w:pPr>
        <w:pStyle w:val="ESchpar"/>
        <w:rPr>
          <w:noProof/>
          <w:lang w:val="pt-PT"/>
        </w:rPr>
      </w:pPr>
      <w:r w:rsidRPr="00F125EF">
        <w:rPr>
          <w:lang w:val="pt-PT"/>
        </w:rPr>
        <w:t>A rendszeres ellenőrzést igénylő egyéb berendezéseknek, különösen a gőzkazánoknak, egyéb nyomástartó edényeknek és azok tartozékainak, valamint az emelőknek meg kell felelniük az egyik tagállamban hatályos szabályoknak.</w:t>
      </w:r>
    </w:p>
    <w:p w:rsidR="000B60B9" w:rsidRPr="00F125EF" w:rsidRDefault="000B60B9" w:rsidP="00266522">
      <w:pPr>
        <w:pStyle w:val="ESchpar"/>
        <w:rPr>
          <w:lang w:val="pt-PT"/>
        </w:rPr>
      </w:pPr>
    </w:p>
    <w:p w:rsidR="00E24808" w:rsidRPr="00F125EF" w:rsidRDefault="00E24808" w:rsidP="00266522">
      <w:pPr>
        <w:pStyle w:val="ESch"/>
        <w:rPr>
          <w:lang w:val="pt-PT"/>
        </w:rPr>
      </w:pPr>
      <w:r w:rsidRPr="00F125EF">
        <w:rPr>
          <w:lang w:val="pt-PT"/>
        </w:rPr>
        <w:t>3.</w:t>
      </w:r>
      <w:r w:rsidRPr="00F125EF">
        <w:rPr>
          <w:lang w:val="pt-PT"/>
        </w:rPr>
        <w:tab/>
        <w:t>Csak 55 °C-nál magasabb lobbanáspontú üzemanyaggal működő belsőégésű motorok szerelhetők be.</w:t>
      </w:r>
    </w:p>
    <w:p w:rsidR="00E24808" w:rsidRPr="00F125EF" w:rsidRDefault="00E24808" w:rsidP="00E24808">
      <w:pPr>
        <w:rPr>
          <w:rFonts w:cs="Arial"/>
          <w:szCs w:val="20"/>
          <w:lang w:val="pt-PT"/>
        </w:rPr>
      </w:pPr>
    </w:p>
    <w:p w:rsidR="000B60B9" w:rsidRPr="00F125EF" w:rsidRDefault="000B60B9" w:rsidP="00E24808">
      <w:pPr>
        <w:rPr>
          <w:rFonts w:cs="Arial"/>
          <w:szCs w:val="20"/>
          <w:lang w:val="pt-PT"/>
        </w:rPr>
      </w:pPr>
    </w:p>
    <w:p w:rsidR="00E24808" w:rsidRPr="00F125EF" w:rsidRDefault="00E24808" w:rsidP="000B60B9">
      <w:pPr>
        <w:pStyle w:val="ES-Titre3"/>
        <w:rPr>
          <w:lang w:val="pt-PT"/>
        </w:rPr>
      </w:pPr>
      <w:bookmarkStart w:id="114" w:name="_Toc491854057"/>
      <w:bookmarkStart w:id="115" w:name="_Toc535853836"/>
      <w:r w:rsidRPr="00F125EF">
        <w:rPr>
          <w:lang w:val="pt-PT"/>
        </w:rPr>
        <w:t>8.02. cikk</w:t>
      </w:r>
      <w:r w:rsidRPr="00F125EF">
        <w:rPr>
          <w:lang w:val="pt-PT"/>
        </w:rPr>
        <w:br/>
      </w:r>
      <w:r w:rsidRPr="00F125EF">
        <w:rPr>
          <w:i/>
          <w:noProof/>
          <w:lang w:val="pt-PT"/>
        </w:rPr>
        <w:t>Biztonsági berendezések</w:t>
      </w:r>
      <w:bookmarkEnd w:id="114"/>
      <w:bookmarkEnd w:id="115"/>
    </w:p>
    <w:p w:rsidR="000B60B9" w:rsidRPr="00F125EF" w:rsidRDefault="000B60B9" w:rsidP="00E24808">
      <w:pPr>
        <w:rPr>
          <w:rFonts w:cs="Arial"/>
          <w:noProof/>
          <w:szCs w:val="20"/>
          <w:lang w:val="pt-PT"/>
        </w:rPr>
      </w:pPr>
    </w:p>
    <w:p w:rsidR="00E24808" w:rsidRPr="00F125EF" w:rsidRDefault="00E24808" w:rsidP="00266522">
      <w:pPr>
        <w:pStyle w:val="ESch"/>
        <w:rPr>
          <w:lang w:val="pt-PT"/>
        </w:rPr>
      </w:pPr>
      <w:r w:rsidRPr="00F125EF">
        <w:rPr>
          <w:lang w:val="pt-PT"/>
        </w:rPr>
        <w:t>1.</w:t>
      </w:r>
      <w:r w:rsidRPr="00F125EF">
        <w:rPr>
          <w:lang w:val="pt-PT"/>
        </w:rPr>
        <w:tab/>
        <w:t>A motorokat úgy kell kialakítani és beépíteni, hogy azok a működtetés és karbantartás céljára kellően hozzáférhetőek legyenek, és az e feladatokban érintett személyzetet ne veszélyeztessék. Biztosítani kell, hogy a motorok ne legyenek szándékolatlanul beindíthatók.</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2.</w:t>
      </w:r>
      <w:r w:rsidRPr="00F125EF">
        <w:rPr>
          <w:lang w:val="pt-PT"/>
        </w:rPr>
        <w:tab/>
        <w:t>A fő- és segédmotorokat, a kazánokat és nyomástartó edényeket, valamint azok tartozékait biztonsági berendezésekkel kell felszerelni.</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3.</w:t>
      </w:r>
      <w:r w:rsidRPr="00F125EF">
        <w:rPr>
          <w:lang w:val="pt-PT"/>
        </w:rPr>
        <w:tab/>
        <w:t>Vészhelyzet esetére lehetőséget kell biztosítani a fújó- és szívóventilátorokat meghajtó motorok leállítására azon helyiségen kívülről, ahol elhelyezkednek, illetve a géptéren kívülről.</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4.</w:t>
      </w:r>
      <w:r w:rsidRPr="00F125EF">
        <w:rPr>
          <w:lang w:val="pt-PT"/>
        </w:rPr>
        <w:tab/>
        <w:t>A tüzelőolajat, kenőolajat és az erőátviteli rendszerekben, vezérlő- és indítórendszerekben, valamint fűtőrendszerekben használt olajat szállító csővezetékek csatlakozásait szükség esetén el kell fedni, vagy más megfelelő módon védeni kell annak elkerülése érdekében, hogy forró felületekre, gépek légnyílásaiba vagy egyéb gyulladási forrást képező területekre olaj fröccsenjen vagy szivárogjon. Az ilyen csőrendszerek csatlakozásainak számát minimalizálni kell.</w:t>
      </w:r>
    </w:p>
    <w:p w:rsidR="000B60B9" w:rsidRPr="00F125EF" w:rsidRDefault="000B60B9" w:rsidP="00266522">
      <w:pPr>
        <w:pStyle w:val="ESch"/>
        <w:rPr>
          <w:noProof/>
          <w:lang w:val="pt-PT"/>
        </w:rPr>
      </w:pPr>
    </w:p>
    <w:p w:rsidR="00266522" w:rsidRPr="00F125EF" w:rsidRDefault="00266522" w:rsidP="00266522">
      <w:pPr>
        <w:pStyle w:val="ESch"/>
        <w:rPr>
          <w:noProof/>
          <w:lang w:val="pt-PT"/>
        </w:rPr>
      </w:pPr>
      <w:r w:rsidRPr="00F125EF">
        <w:rPr>
          <w:lang w:val="pt-PT"/>
        </w:rPr>
        <w:br w:type="page"/>
      </w:r>
    </w:p>
    <w:p w:rsidR="00E24808" w:rsidRPr="00F125EF" w:rsidRDefault="00E24808" w:rsidP="00266522">
      <w:pPr>
        <w:pStyle w:val="ESch"/>
        <w:rPr>
          <w:lang w:val="pt-PT"/>
        </w:rPr>
      </w:pPr>
      <w:r w:rsidRPr="00F125EF">
        <w:rPr>
          <w:lang w:val="pt-PT"/>
        </w:rPr>
        <w:t>5.</w:t>
      </w:r>
      <w:r w:rsidRPr="00F125EF">
        <w:rPr>
          <w:lang w:val="pt-PT"/>
        </w:rPr>
        <w:tab/>
        <w:t>A dízelmotorok külső, nagynyomású üzemanyag-szállító csöveit a nagynyomású üzemanyag-szivattyú és az üzemanyag-befecskendezők között borítással kell védeni, amely képes az üzemanyag megtartására a nagynyomású csővezeték meghibásodása esetén. A borítással ellátott csőrendszernek rendelkeznie kell a szivárgó anyag összegyűjtésére alkalmas eszközzel, valamint intézkedéseket kell hozni az üzemanyag-szállító cső meghibásodásakor adandó riasztás érdekében, kivéve a legfeljebb kéthengeres motorok esetét, amelyben a riasztás nem kötelező. Borítással ellátott csőrendszereket kell alkalmazni a csörlőket és függőleges tengelyű csörlőket meghajtó, nyitott fedélzeten elhelyezkedő motorokhoz is.</w:t>
      </w:r>
    </w:p>
    <w:p w:rsidR="000B60B9" w:rsidRPr="00F125EF" w:rsidRDefault="000B60B9" w:rsidP="00E24808">
      <w:pPr>
        <w:rPr>
          <w:rFonts w:cs="Arial"/>
          <w:noProof/>
          <w:szCs w:val="20"/>
          <w:lang w:val="pt-PT"/>
        </w:rPr>
      </w:pPr>
    </w:p>
    <w:p w:rsidR="00E24808" w:rsidRPr="00F125EF" w:rsidRDefault="00E24808" w:rsidP="00266522">
      <w:pPr>
        <w:pStyle w:val="ESch"/>
        <w:rPr>
          <w:lang w:val="pt-PT"/>
        </w:rPr>
      </w:pPr>
      <w:r w:rsidRPr="00F125EF">
        <w:rPr>
          <w:lang w:val="pt-PT"/>
        </w:rPr>
        <w:t>6.</w:t>
      </w:r>
      <w:r w:rsidRPr="00F125EF">
        <w:rPr>
          <w:lang w:val="pt-PT"/>
        </w:rPr>
        <w:tab/>
        <w:t>A motoralkatrészek szigetelésének meg kell felelnie a 3.04. cikk 3. bekezdésének második albekezdésében foglalt követelményeknek.</w:t>
      </w:r>
    </w:p>
    <w:p w:rsidR="00E24808" w:rsidRPr="00F125EF" w:rsidRDefault="00E24808" w:rsidP="00E24808">
      <w:pPr>
        <w:rPr>
          <w:rFonts w:cs="Arial"/>
          <w:szCs w:val="20"/>
          <w:lang w:val="pt-PT"/>
        </w:rPr>
      </w:pPr>
    </w:p>
    <w:p w:rsidR="00266522" w:rsidRPr="00F125EF" w:rsidRDefault="00266522" w:rsidP="00E24808">
      <w:pPr>
        <w:rPr>
          <w:rFonts w:cs="Arial"/>
          <w:szCs w:val="20"/>
          <w:lang w:val="pt-PT"/>
        </w:rPr>
      </w:pPr>
    </w:p>
    <w:p w:rsidR="00E24808" w:rsidRPr="00F125EF" w:rsidRDefault="00E24808" w:rsidP="000B60B9">
      <w:pPr>
        <w:pStyle w:val="ES-Titre3"/>
        <w:rPr>
          <w:lang w:val="pt-PT"/>
        </w:rPr>
      </w:pPr>
      <w:bookmarkStart w:id="116" w:name="_Toc491854058"/>
      <w:bookmarkStart w:id="117" w:name="_Toc535853837"/>
      <w:r w:rsidRPr="00F125EF">
        <w:rPr>
          <w:lang w:val="pt-PT"/>
        </w:rPr>
        <w:t>8.03. cikk</w:t>
      </w:r>
      <w:r w:rsidRPr="00F125EF">
        <w:rPr>
          <w:lang w:val="pt-PT"/>
        </w:rPr>
        <w:br/>
      </w:r>
      <w:r w:rsidRPr="00F125EF">
        <w:rPr>
          <w:i/>
          <w:noProof/>
          <w:lang w:val="pt-PT"/>
        </w:rPr>
        <w:t>Propulziós művek</w:t>
      </w:r>
      <w:bookmarkEnd w:id="116"/>
      <w:bookmarkEnd w:id="117"/>
    </w:p>
    <w:p w:rsidR="000B60B9" w:rsidRPr="00F125EF" w:rsidRDefault="000B60B9" w:rsidP="00E24808">
      <w:pPr>
        <w:rPr>
          <w:rFonts w:cs="Arial"/>
          <w:noProof/>
          <w:szCs w:val="20"/>
          <w:lang w:val="pt-PT"/>
        </w:rPr>
      </w:pPr>
    </w:p>
    <w:p w:rsidR="00E24808" w:rsidRPr="00F125EF" w:rsidRDefault="00E24808" w:rsidP="00266522">
      <w:pPr>
        <w:pStyle w:val="ESch"/>
        <w:rPr>
          <w:lang w:val="pt-PT"/>
        </w:rPr>
      </w:pPr>
      <w:r w:rsidRPr="00F125EF">
        <w:rPr>
          <w:lang w:val="pt-PT"/>
        </w:rPr>
        <w:t>1.</w:t>
      </w:r>
      <w:r w:rsidRPr="00F125EF">
        <w:rPr>
          <w:lang w:val="pt-PT"/>
        </w:rPr>
        <w:tab/>
        <w:t>A hajó propulziós műveinek gyorsan és megbízhatóan beindíthatónak, leállíthatónak és átkapcsolhatónak kell lenniük.</w:t>
      </w:r>
    </w:p>
    <w:p w:rsidR="000B60B9" w:rsidRPr="00F125EF" w:rsidRDefault="000B60B9" w:rsidP="00266522">
      <w:pPr>
        <w:pStyle w:val="ESch"/>
        <w:rPr>
          <w:lang w:val="pt-PT"/>
        </w:rPr>
      </w:pPr>
    </w:p>
    <w:p w:rsidR="00E24808" w:rsidRPr="00F125EF" w:rsidRDefault="00E24808" w:rsidP="00266522">
      <w:pPr>
        <w:pStyle w:val="ESch"/>
        <w:rPr>
          <w:lang w:val="pt-PT"/>
        </w:rPr>
      </w:pPr>
      <w:r w:rsidRPr="00F125EF">
        <w:rPr>
          <w:lang w:val="pt-PT"/>
        </w:rPr>
        <w:t>2.</w:t>
      </w:r>
      <w:r w:rsidRPr="00F125EF">
        <w:rPr>
          <w:lang w:val="pt-PT"/>
        </w:rPr>
        <w:tab/>
        <w:t>Ellenőrizni kell az alábbiakat olyan megfelelő eszközökkel, amelyek a kritikus szint elérése esetén vészjelzést adnak:</w:t>
      </w:r>
    </w:p>
    <w:p w:rsidR="00E24808" w:rsidRPr="00F125EF" w:rsidRDefault="005C7859" w:rsidP="00266522">
      <w:pPr>
        <w:pStyle w:val="ESlet"/>
        <w:rPr>
          <w:lang w:val="pt-PT"/>
        </w:rPr>
      </w:pPr>
      <w:r w:rsidRPr="00F125EF">
        <w:rPr>
          <w:lang w:val="pt-PT"/>
        </w:rPr>
        <w:t>a)</w:t>
      </w:r>
      <w:r w:rsidRPr="00F125EF">
        <w:rPr>
          <w:lang w:val="pt-PT"/>
        </w:rPr>
        <w:tab/>
        <w:t>a főmotorok hűtővizének hőmérséklete;</w:t>
      </w:r>
    </w:p>
    <w:p w:rsidR="00E24808" w:rsidRPr="00F125EF" w:rsidRDefault="005C7859" w:rsidP="00266522">
      <w:pPr>
        <w:pStyle w:val="ESlet"/>
        <w:rPr>
          <w:lang w:val="pt-PT"/>
        </w:rPr>
      </w:pPr>
      <w:r w:rsidRPr="00F125EF">
        <w:rPr>
          <w:lang w:val="pt-PT"/>
        </w:rPr>
        <w:t>b)</w:t>
      </w:r>
      <w:r w:rsidRPr="00F125EF">
        <w:rPr>
          <w:lang w:val="pt-PT"/>
        </w:rPr>
        <w:tab/>
        <w:t>a főmotorok és az áttételek kenőolajnyomása;</w:t>
      </w:r>
    </w:p>
    <w:p w:rsidR="00E24808" w:rsidRPr="00F125EF" w:rsidRDefault="005C7859" w:rsidP="00266522">
      <w:pPr>
        <w:pStyle w:val="ESlet"/>
        <w:rPr>
          <w:lang w:val="pt-PT"/>
        </w:rPr>
      </w:pPr>
      <w:r w:rsidRPr="00F125EF">
        <w:rPr>
          <w:lang w:val="pt-PT"/>
        </w:rPr>
        <w:t>c)</w:t>
      </w:r>
      <w:r w:rsidRPr="00F125EF">
        <w:rPr>
          <w:lang w:val="pt-PT"/>
        </w:rPr>
        <w:tab/>
        <w:t>a főmotor hátrameneti egységeinek, megfordítható áttételeinek vagy propellereinek olaj- és levegőnyomása.</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3.</w:t>
      </w:r>
      <w:r w:rsidRPr="00F125EF">
        <w:rPr>
          <w:lang w:val="pt-PT"/>
        </w:rPr>
        <w:tab/>
        <w:t>Ha a hajónak csak egy propulziós motorja van, ennek a motornak nem szabad automatikusan kikapcsolódnia, kivéve a túl nagy fordulatszám elleni védelem esetét.</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4.</w:t>
      </w:r>
      <w:r w:rsidRPr="00F125EF">
        <w:rPr>
          <w:lang w:val="pt-PT"/>
        </w:rPr>
        <w:tab/>
        <w:t>Ha a hajónak csak egy propulziós motorja van, azt csak akkor szabad a motor fordulatszámának csökkentését szolgáló automatikus berendezéssel felszerelni, ha a motorfordulatszám automatikus csökkenését a kormányállásban optikai és akusztikai jelzés kíséri, és a motorfordulatszám csökkentését szolgáló berendezés a kormányos munkaállomásából kikapcsolható.</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5.</w:t>
      </w:r>
      <w:r w:rsidRPr="00F125EF">
        <w:rPr>
          <w:lang w:val="pt-PT"/>
        </w:rPr>
        <w:tab/>
        <w:t>A tengelykilépéseket úgy kell megtervezni, hogy azokon keresztül vízszennyező kenőanyagok ne juthassanak ki.</w:t>
      </w:r>
    </w:p>
    <w:p w:rsidR="00E24808" w:rsidRPr="00F125EF" w:rsidRDefault="00E24808" w:rsidP="00E24808">
      <w:pPr>
        <w:rPr>
          <w:rFonts w:cs="Arial"/>
          <w:szCs w:val="20"/>
          <w:lang w:val="pt-PT"/>
        </w:rPr>
      </w:pPr>
    </w:p>
    <w:p w:rsidR="00E24808" w:rsidRPr="00F125EF" w:rsidRDefault="00E24808" w:rsidP="000B60B9">
      <w:pPr>
        <w:pStyle w:val="ES-Titre3"/>
        <w:rPr>
          <w:i/>
          <w:lang w:val="pt-PT"/>
        </w:rPr>
      </w:pPr>
      <w:bookmarkStart w:id="118" w:name="_Toc491854059"/>
      <w:bookmarkStart w:id="119" w:name="_Toc535853838"/>
      <w:r w:rsidRPr="00F125EF">
        <w:rPr>
          <w:lang w:val="pt-PT"/>
        </w:rPr>
        <w:t>8.04. cikk</w:t>
      </w:r>
      <w:r w:rsidRPr="00F125EF">
        <w:rPr>
          <w:lang w:val="pt-PT"/>
        </w:rPr>
        <w:br/>
      </w:r>
      <w:r w:rsidRPr="00F125EF">
        <w:rPr>
          <w:i/>
          <w:noProof/>
          <w:lang w:val="pt-PT"/>
        </w:rPr>
        <w:t>A motor kipufogórendszere</w:t>
      </w:r>
      <w:bookmarkEnd w:id="118"/>
      <w:bookmarkEnd w:id="119"/>
    </w:p>
    <w:p w:rsidR="000B60B9" w:rsidRPr="00F125EF" w:rsidRDefault="000B60B9" w:rsidP="00E24808">
      <w:pPr>
        <w:rPr>
          <w:rFonts w:cs="Arial"/>
          <w:noProof/>
          <w:szCs w:val="20"/>
          <w:lang w:val="pt-PT"/>
        </w:rPr>
      </w:pPr>
    </w:p>
    <w:p w:rsidR="00E24808" w:rsidRPr="00F125EF" w:rsidRDefault="00E24808" w:rsidP="00266522">
      <w:pPr>
        <w:pStyle w:val="ESch"/>
        <w:rPr>
          <w:lang w:val="pt-PT"/>
        </w:rPr>
      </w:pPr>
      <w:r w:rsidRPr="00F125EF">
        <w:rPr>
          <w:lang w:val="pt-PT"/>
        </w:rPr>
        <w:t>1.</w:t>
      </w:r>
      <w:r w:rsidRPr="00F125EF">
        <w:rPr>
          <w:lang w:val="pt-PT"/>
        </w:rPr>
        <w:tab/>
        <w:t>A kipufogógázokat teljes mértékben ki kell vezetni a hajón kívülre.</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2.</w:t>
      </w:r>
      <w:r w:rsidRPr="00F125EF">
        <w:rPr>
          <w:lang w:val="pt-PT"/>
        </w:rPr>
        <w:tab/>
        <w:t>A kipufogógázoknak a hajó tereibe való behatolását minden arra alkalmas intézkedéssel meg kell előzni. Amennyiben a kipufogóvezetékek a lakótereken vagy a kormányálláson haladnak át, azokat megfelelő gázzáró védőburkolatban kell elhelyezni. A kipufogóvezeték és a burkolat közötti térnek összeköttetésben kell lennie a szabad levegővel.</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3.</w:t>
      </w:r>
      <w:r w:rsidRPr="00F125EF">
        <w:rPr>
          <w:lang w:val="pt-PT"/>
        </w:rPr>
        <w:tab/>
        <w:t>A kipufogócsöveket úgy kell elhelyezni és védeni, hogy ne okozhassanak tüzet.</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4.</w:t>
      </w:r>
      <w:r w:rsidRPr="00F125EF">
        <w:rPr>
          <w:lang w:val="pt-PT"/>
        </w:rPr>
        <w:tab/>
        <w:t>A gépterekben a kipufogócsöveket megfelelően szigetelni és hűteni kell. A géptereken kívül elegendő lehet a fizikai kontaktus elleni védelem.</w:t>
      </w:r>
    </w:p>
    <w:p w:rsidR="00E24808" w:rsidRPr="00F125EF" w:rsidRDefault="00E24808" w:rsidP="00E24808">
      <w:pPr>
        <w:rPr>
          <w:rFonts w:cs="Arial"/>
          <w:szCs w:val="20"/>
          <w:lang w:val="pt-PT"/>
        </w:rPr>
      </w:pPr>
    </w:p>
    <w:p w:rsidR="000B60B9" w:rsidRPr="00F125EF" w:rsidRDefault="00266522" w:rsidP="00E24808">
      <w:pPr>
        <w:rPr>
          <w:rFonts w:cs="Arial"/>
          <w:szCs w:val="20"/>
          <w:lang w:val="pt-PT"/>
        </w:rPr>
      </w:pPr>
      <w:r w:rsidRPr="00F125EF">
        <w:rPr>
          <w:lang w:val="pt-PT"/>
        </w:rPr>
        <w:br w:type="page"/>
      </w:r>
    </w:p>
    <w:p w:rsidR="00E24808" w:rsidRPr="00F125EF" w:rsidRDefault="00E24808" w:rsidP="000B60B9">
      <w:pPr>
        <w:pStyle w:val="ES-Titre3"/>
        <w:rPr>
          <w:lang w:val="pt-PT"/>
        </w:rPr>
      </w:pPr>
      <w:bookmarkStart w:id="120" w:name="_Toc491854060"/>
      <w:bookmarkStart w:id="121" w:name="_Toc535853839"/>
      <w:r w:rsidRPr="00F125EF">
        <w:rPr>
          <w:lang w:val="pt-PT"/>
        </w:rPr>
        <w:t>8.05. cikk</w:t>
      </w:r>
      <w:r w:rsidRPr="00F125EF">
        <w:rPr>
          <w:lang w:val="pt-PT"/>
        </w:rPr>
        <w:br/>
      </w:r>
      <w:r w:rsidRPr="00F125EF">
        <w:rPr>
          <w:i/>
          <w:noProof/>
          <w:lang w:val="pt-PT"/>
        </w:rPr>
        <w:t>Tüzelőanyag-tartályok, -csövek és tartozékok</w:t>
      </w:r>
      <w:bookmarkEnd w:id="120"/>
      <w:bookmarkEnd w:id="121"/>
    </w:p>
    <w:p w:rsidR="000B60B9" w:rsidRPr="00F125EF" w:rsidRDefault="000B60B9" w:rsidP="00E24808">
      <w:pPr>
        <w:rPr>
          <w:rFonts w:cs="Arial"/>
          <w:noProof/>
          <w:szCs w:val="20"/>
          <w:lang w:val="pt-PT"/>
        </w:rPr>
      </w:pPr>
    </w:p>
    <w:p w:rsidR="00E24808" w:rsidRPr="00F125EF" w:rsidRDefault="000B60B9" w:rsidP="00266522">
      <w:pPr>
        <w:pStyle w:val="ESch"/>
        <w:rPr>
          <w:noProof/>
          <w:lang w:val="pt-PT"/>
        </w:rPr>
      </w:pPr>
      <w:r w:rsidRPr="00F125EF">
        <w:rPr>
          <w:lang w:val="pt-PT"/>
        </w:rPr>
        <w:t xml:space="preserve">1. </w:t>
      </w:r>
      <w:r w:rsidRPr="00F125EF">
        <w:rPr>
          <w:lang w:val="pt-PT"/>
        </w:rPr>
        <w:tab/>
        <w:t>A folyékony tüzelőanyagokat a hajótest részét alkotó vagy ahhoz biztonságosan rögzített acéltartályokban kell tárolni. Ha a hajó szerkezete úgy kívánja meg, az acéllal tűzállósági szempontból egyenértékű anyag is használható. Ezek a követelmények nem vonatkoznak a legfeljebb 12 literes, a gyártáskor a segédberendezésekbe beépített tartályokra. A tüzelőanyag-tartályoknak nem lehetnek közös térelválasztó elemeik az ivóvíztartályokkal.</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2.</w:t>
      </w:r>
      <w:r w:rsidRPr="00F125EF">
        <w:rPr>
          <w:lang w:val="pt-PT"/>
        </w:rPr>
        <w:tab/>
        <w:t>A tüzelőanyag-tartályokat, azok csöveit és egyéb tartozékait úgy kell elrendezni és kialakítani, hogy a hajó belsejébe se tüzelőanyag, se tüzelőanyaggőz ne kerülhessen szándékolatlanul. A tüzelőanyag-mintavételre és a vízelvezetésre szolgáló tartályszelepeknek önműködően kell záródniuk.</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3.</w:t>
      </w:r>
      <w:r w:rsidRPr="00F125EF">
        <w:rPr>
          <w:lang w:val="pt-PT"/>
        </w:rPr>
        <w:tab/>
        <w:t>Az ütközési válaszfal elé és a farválaszfal mögé nem helyezhető el tüzelőanyag-tartály.</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4.</w:t>
      </w:r>
      <w:r w:rsidRPr="00F125EF">
        <w:rPr>
          <w:lang w:val="pt-PT"/>
        </w:rPr>
        <w:tab/>
        <w:t>A tüzelőanyag-tartályok és szerelvényeik nem helyezkedhetnek el közvetlenül a motorok vagy a kipufogócsövek felett.</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5.</w:t>
      </w:r>
      <w:r w:rsidRPr="00F125EF">
        <w:rPr>
          <w:lang w:val="pt-PT"/>
        </w:rPr>
        <w:tab/>
        <w:t>A tüzelőanyag-tartályok töltőnyílásait egyértelműen jelölni kell.</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6.</w:t>
      </w:r>
      <w:r w:rsidRPr="00F125EF">
        <w:rPr>
          <w:lang w:val="pt-PT"/>
        </w:rPr>
        <w:tab/>
        <w:t>A napi fogyasztást biztosító tartályok kivételével a folyékonytüzelőanyag-tartályok töltőcsőnyílásainak a fedélzeten kell lenniük. A töltőcsövet az EN 12827:1999 európai szabványnak megfelelően csatlakozórésszel kell ellátni.</w:t>
      </w:r>
    </w:p>
    <w:p w:rsidR="000B60B9" w:rsidRPr="00F125EF" w:rsidRDefault="000B60B9" w:rsidP="00266522">
      <w:pPr>
        <w:pStyle w:val="ESch"/>
        <w:rPr>
          <w:noProof/>
          <w:lang w:val="pt-PT"/>
        </w:rPr>
      </w:pPr>
    </w:p>
    <w:p w:rsidR="00E24808" w:rsidRPr="00F125EF" w:rsidRDefault="00E24808" w:rsidP="00266522">
      <w:pPr>
        <w:pStyle w:val="ESchpar"/>
        <w:rPr>
          <w:lang w:val="pt-PT"/>
        </w:rPr>
      </w:pPr>
      <w:r w:rsidRPr="00F125EF">
        <w:rPr>
          <w:lang w:val="pt-PT"/>
        </w:rPr>
        <w:t>Az ilyen tartályokat légzőcsővel kell ellátni, amely a fedélzet felett a szabadba vezet, és úgy van kialakítva, hogy nem hatolhat bele víz. A légzőcső átmérője a töltőcső átmérőjének legalább 1,25-szöröse.</w:t>
      </w:r>
    </w:p>
    <w:p w:rsidR="000B60B9" w:rsidRPr="00F125EF" w:rsidRDefault="000B60B9" w:rsidP="00266522">
      <w:pPr>
        <w:pStyle w:val="ESchpar"/>
        <w:rPr>
          <w:noProof/>
          <w:lang w:val="pt-PT"/>
        </w:rPr>
      </w:pPr>
    </w:p>
    <w:p w:rsidR="00E24808" w:rsidRPr="00F125EF" w:rsidRDefault="004004C5" w:rsidP="00266522">
      <w:pPr>
        <w:pStyle w:val="ESchpar"/>
        <w:rPr>
          <w:lang w:val="pt-PT"/>
        </w:rPr>
      </w:pPr>
      <w:r w:rsidRPr="00F125EF">
        <w:rPr>
          <w:lang w:val="pt-PT"/>
        </w:rPr>
        <w:t>Ha a tartályok egymáshoz kapcsolódnak, a csatlakozócsövek átmérője a töltőcső átmérőjének legalább 1,25-szöröse.</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7.</w:t>
      </w:r>
      <w:r w:rsidRPr="00F125EF">
        <w:rPr>
          <w:lang w:val="pt-PT"/>
        </w:rPr>
        <w:tab/>
        <w:t>A közvetlenül a tartályok kimeneténél elhelyezkedő tüzelőanyag-elosztó csővezetékeket olyan gyorszáró sze</w:t>
      </w:r>
      <w:r w:rsidR="00AA2973">
        <w:rPr>
          <w:lang w:val="pt-PT"/>
        </w:rPr>
        <w:t>l</w:t>
      </w:r>
      <w:r w:rsidRPr="00F125EF">
        <w:rPr>
          <w:lang w:val="pt-PT"/>
        </w:rPr>
        <w:t>eppel kell ellátni, amely a fedélzetről – az érintett helyiségek lezárása esetén is – működtethető.</w:t>
      </w:r>
    </w:p>
    <w:p w:rsidR="000B60B9" w:rsidRPr="00F125EF" w:rsidRDefault="000B60B9" w:rsidP="00266522">
      <w:pPr>
        <w:pStyle w:val="ESch"/>
        <w:rPr>
          <w:noProof/>
          <w:lang w:val="pt-PT"/>
        </w:rPr>
      </w:pPr>
    </w:p>
    <w:p w:rsidR="00E24808" w:rsidRPr="00F125EF" w:rsidRDefault="00E24808" w:rsidP="00266522">
      <w:pPr>
        <w:pStyle w:val="ESchpar"/>
        <w:rPr>
          <w:lang w:val="pt-PT"/>
        </w:rPr>
      </w:pPr>
      <w:r w:rsidRPr="00F125EF">
        <w:rPr>
          <w:lang w:val="pt-PT"/>
        </w:rPr>
        <w:t>Ha a működtető berendezés fedett, a fedél nem lehet zárható.</w:t>
      </w:r>
    </w:p>
    <w:p w:rsidR="000B60B9" w:rsidRPr="00F125EF" w:rsidRDefault="000B60B9" w:rsidP="00266522">
      <w:pPr>
        <w:pStyle w:val="ESchpar"/>
        <w:rPr>
          <w:noProof/>
          <w:lang w:val="pt-PT"/>
        </w:rPr>
      </w:pPr>
    </w:p>
    <w:p w:rsidR="00E24808" w:rsidRPr="00F125EF" w:rsidRDefault="00E24808" w:rsidP="00266522">
      <w:pPr>
        <w:pStyle w:val="ESchpar"/>
        <w:rPr>
          <w:lang w:val="pt-PT"/>
        </w:rPr>
      </w:pPr>
      <w:r w:rsidRPr="00F125EF">
        <w:rPr>
          <w:lang w:val="pt-PT"/>
        </w:rPr>
        <w:t>A működtető berendezést pirossal jelölni kell. Ha a berendezés fedett, a fedelet a 4. melléklet 9. ábrája szerinti „Gyorszáró szelep a tartályon” szimbólummal kell jelölni, amelynek oldalhosszúsága legalább 10 cm.</w:t>
      </w:r>
    </w:p>
    <w:p w:rsidR="000B60B9" w:rsidRPr="00F125EF" w:rsidRDefault="000B60B9" w:rsidP="00266522">
      <w:pPr>
        <w:pStyle w:val="ESch"/>
        <w:rPr>
          <w:noProof/>
          <w:lang w:val="pt-PT"/>
        </w:rPr>
      </w:pPr>
    </w:p>
    <w:p w:rsidR="00E24808" w:rsidRPr="00F125EF" w:rsidRDefault="00E24808" w:rsidP="00266522">
      <w:pPr>
        <w:pStyle w:val="ESchpar"/>
        <w:rPr>
          <w:lang w:val="pt-PT"/>
        </w:rPr>
      </w:pPr>
      <w:r w:rsidRPr="00F125EF">
        <w:rPr>
          <w:lang w:val="pt-PT"/>
        </w:rPr>
        <w:t>Az első albekezdés nem vonatkozik a közvetlenül a motorra felszerelt tüzelőanyag-tartályokra.</w:t>
      </w:r>
    </w:p>
    <w:p w:rsidR="000B60B9" w:rsidRPr="00F125EF" w:rsidRDefault="000B60B9" w:rsidP="00266522">
      <w:pPr>
        <w:pStyle w:val="ESch"/>
        <w:rPr>
          <w:noProof/>
          <w:lang w:val="pt-PT"/>
        </w:rPr>
      </w:pPr>
    </w:p>
    <w:p w:rsidR="00E24808" w:rsidRPr="00F125EF" w:rsidRDefault="00E24808" w:rsidP="00266522">
      <w:pPr>
        <w:pStyle w:val="ESch"/>
        <w:rPr>
          <w:lang w:val="pt-PT"/>
        </w:rPr>
      </w:pPr>
      <w:r w:rsidRPr="00F125EF">
        <w:rPr>
          <w:lang w:val="pt-PT"/>
        </w:rPr>
        <w:t>8.</w:t>
      </w:r>
      <w:r w:rsidRPr="00F125EF">
        <w:rPr>
          <w:lang w:val="pt-PT"/>
        </w:rPr>
        <w:tab/>
        <w:t>A tüzelőanyag-csöveket, azok csatlakozásait, tömítéseit és szerelvényeit olyan anyagokból kell készíteni, amelyek ellenállnak az őket várhatóan érő mechanikai, kémiai és hőhatásoknak. A tüzelőanyag-vezetékek nem lehetnek kitéve káros hőhatásoknak, és azoknak a teljes hosszukon ellenőrizhetőknek kell lenniük.</w:t>
      </w:r>
    </w:p>
    <w:p w:rsidR="000B60B9" w:rsidRPr="00F125EF" w:rsidRDefault="000B60B9" w:rsidP="00266522">
      <w:pPr>
        <w:pStyle w:val="ESch"/>
        <w:rPr>
          <w:noProof/>
          <w:lang w:val="pt-PT"/>
        </w:rPr>
      </w:pPr>
    </w:p>
    <w:p w:rsidR="00266522" w:rsidRPr="00F125EF" w:rsidRDefault="00266522" w:rsidP="00266522">
      <w:pPr>
        <w:pStyle w:val="ESch"/>
        <w:rPr>
          <w:noProof/>
          <w:lang w:val="pt-PT"/>
        </w:rPr>
      </w:pPr>
      <w:r w:rsidRPr="00F125EF">
        <w:rPr>
          <w:lang w:val="pt-PT"/>
        </w:rPr>
        <w:br w:type="page"/>
      </w:r>
    </w:p>
    <w:p w:rsidR="00E24808" w:rsidRPr="00F125EF" w:rsidRDefault="00E24808" w:rsidP="00266522">
      <w:pPr>
        <w:pStyle w:val="ESch"/>
        <w:rPr>
          <w:lang w:val="pt-PT"/>
        </w:rPr>
      </w:pPr>
      <w:r w:rsidRPr="00F125EF">
        <w:rPr>
          <w:lang w:val="pt-PT"/>
        </w:rPr>
        <w:t>9.</w:t>
      </w:r>
      <w:r w:rsidRPr="00F125EF">
        <w:rPr>
          <w:lang w:val="pt-PT"/>
        </w:rPr>
        <w:tab/>
        <w:t>A tüzelőanyag-tartályokra megfelelő kapacitásmérő eszközt kell szerelni. A kapacitásmérő eszköznek egészen a maximális feltöltés szintjéig olvashatónak kell lennie. A mérőüvegeket megfelelően módon védeni kell a behatások ellen, az aljukra önzáródó eszközt kell felszerelni, felső végüket pedig a tartályokhoz kell csatlakoztatni maximális feltöltési szintjük felett. A mérőüvegek készítéséhez használt anyag normál környezeti hőmérséklet mellett nem deformálódhat. A szondacsövek nem végződhetnek lakóterekben. A géptérben vagy kazántérben végződő szondacsöveket megfelelő önzáródó eszközzel kell felszerelni.</w:t>
      </w:r>
    </w:p>
    <w:p w:rsidR="000B60B9" w:rsidRPr="00F125EF" w:rsidRDefault="000B60B9" w:rsidP="00266522">
      <w:pPr>
        <w:pStyle w:val="ESch"/>
        <w:rPr>
          <w:noProof/>
          <w:lang w:val="pt-PT"/>
        </w:rPr>
      </w:pPr>
    </w:p>
    <w:p w:rsidR="00E24808" w:rsidRPr="00F125EF" w:rsidRDefault="00E24808" w:rsidP="00266522">
      <w:pPr>
        <w:pStyle w:val="ESch"/>
        <w:tabs>
          <w:tab w:val="left" w:pos="567"/>
        </w:tabs>
        <w:ind w:left="993" w:hanging="993"/>
        <w:rPr>
          <w:lang w:val="pt-PT"/>
        </w:rPr>
      </w:pPr>
      <w:r w:rsidRPr="00F125EF">
        <w:rPr>
          <w:lang w:val="pt-PT"/>
        </w:rPr>
        <w:t>10.</w:t>
      </w:r>
      <w:r w:rsidRPr="00F125EF">
        <w:rPr>
          <w:lang w:val="pt-PT"/>
        </w:rPr>
        <w:tab/>
        <w:t>a)</w:t>
      </w:r>
      <w:r w:rsidRPr="00F125EF">
        <w:rPr>
          <w:lang w:val="pt-PT"/>
        </w:rPr>
        <w:tab/>
        <w:t>A tüzelőanyag-tartályokat a töltés folyamán a tüzelőanyag kiömlése ellen megfelelő fedélzeti műszaki eszközökkel kell védeni, amelyeket a belvízi hajóbizonyítvány 52. rovatába be kell jegyezni.</w:t>
      </w:r>
    </w:p>
    <w:p w:rsidR="000B60B9" w:rsidRPr="00F125EF" w:rsidRDefault="000B60B9" w:rsidP="000B60B9">
      <w:pPr>
        <w:rPr>
          <w:rFonts w:cs="Arial"/>
          <w:noProof/>
          <w:szCs w:val="20"/>
          <w:lang w:val="pt-PT"/>
        </w:rPr>
      </w:pPr>
    </w:p>
    <w:p w:rsidR="00E24808" w:rsidRPr="00F125EF" w:rsidRDefault="005C7859" w:rsidP="00266522">
      <w:pPr>
        <w:pStyle w:val="ESlet"/>
        <w:rPr>
          <w:noProof/>
          <w:lang w:val="pt-PT"/>
        </w:rPr>
      </w:pPr>
      <w:r w:rsidRPr="00F125EF">
        <w:rPr>
          <w:lang w:val="pt-PT"/>
        </w:rPr>
        <w:t>b)</w:t>
      </w:r>
      <w:r w:rsidRPr="00F125EF">
        <w:rPr>
          <w:lang w:val="pt-PT"/>
        </w:rPr>
        <w:tab/>
        <w:t>Ha a tüzelőanyagot a töltőállomásokról saját, a töltés során a fedélre történő kiömlést gátló műszaki eszközökkel együtt szállítják, az a) pontban és a 11. bekezdésben említett berendezésre vonatkozó követelmények nem érvényesek.</w:t>
      </w:r>
    </w:p>
    <w:p w:rsidR="000B60B9" w:rsidRPr="00F125EF" w:rsidRDefault="000B60B9" w:rsidP="00E24808">
      <w:pPr>
        <w:rPr>
          <w:rFonts w:cs="Arial"/>
          <w:noProof/>
          <w:szCs w:val="20"/>
          <w:lang w:val="pt-PT"/>
        </w:rPr>
      </w:pPr>
    </w:p>
    <w:p w:rsidR="00E24808" w:rsidRPr="00F125EF" w:rsidRDefault="00E24808" w:rsidP="00266522">
      <w:pPr>
        <w:pStyle w:val="ESch"/>
        <w:rPr>
          <w:lang w:val="pt-PT"/>
        </w:rPr>
      </w:pPr>
      <w:r w:rsidRPr="00F125EF">
        <w:rPr>
          <w:lang w:val="pt-PT"/>
        </w:rPr>
        <w:t>11.</w:t>
      </w:r>
      <w:r w:rsidRPr="00F125EF">
        <w:rPr>
          <w:lang w:val="pt-PT"/>
        </w:rPr>
        <w:tab/>
        <w:t>Ha a tüzelőanyag-tartályok fel vannak szerelve automata kikapcsolóberendezéssel, az érzékelők leállítják a töltést, amikor a tartály töltöttsége 97 %-os; ennek a berendezésnek meg kell felelnie az üzembiztossági követelményeknek.</w:t>
      </w:r>
    </w:p>
    <w:p w:rsidR="000B60B9" w:rsidRPr="00F125EF" w:rsidRDefault="000B60B9" w:rsidP="00266522">
      <w:pPr>
        <w:pStyle w:val="ESch"/>
        <w:rPr>
          <w:noProof/>
          <w:lang w:val="pt-PT"/>
        </w:rPr>
      </w:pPr>
    </w:p>
    <w:p w:rsidR="000B60B9" w:rsidRPr="00F125EF" w:rsidRDefault="008418DC" w:rsidP="008418DC">
      <w:pPr>
        <w:pStyle w:val="ESch"/>
        <w:ind w:firstLine="0"/>
        <w:rPr>
          <w:noProof/>
          <w:lang w:val="pt-PT"/>
        </w:rPr>
      </w:pPr>
      <w:r w:rsidRPr="00F125EF">
        <w:rPr>
          <w:lang w:val="pt-PT"/>
        </w:rPr>
        <w:t>Ha az érzékelő egy villamos érintkezést kapcsol be, amely bináris jellel megszakíthatja a töltőállomás által szolgáltatott áramkört, a jelet át kell tudni küldeni a töltőállomásra egy olyan vízmentes csatlakozón, amely megfelel az IEC 60309</w:t>
      </w:r>
      <w:r w:rsidRPr="00F125EF">
        <w:rPr>
          <w:lang w:val="pt-PT"/>
        </w:rPr>
        <w:softHyphen/>
        <w:t>1:2012 nemzetközi szabvány 40–50 V DC-re vonatkozó követelményeinek, és amelynek borítása fehér, földelő érintkezőjének helyzete pedig tíz óránál van.</w:t>
      </w:r>
    </w:p>
    <w:p w:rsidR="008418DC" w:rsidRPr="00F125EF" w:rsidRDefault="008418DC" w:rsidP="00266522">
      <w:pPr>
        <w:pStyle w:val="ESch"/>
        <w:rPr>
          <w:noProof/>
          <w:lang w:val="pt-PT"/>
        </w:rPr>
      </w:pPr>
    </w:p>
    <w:p w:rsidR="00E24808" w:rsidRPr="00F125EF" w:rsidRDefault="00E24808" w:rsidP="00266522">
      <w:pPr>
        <w:pStyle w:val="ESch"/>
        <w:rPr>
          <w:lang w:val="pt-PT"/>
        </w:rPr>
      </w:pPr>
      <w:r w:rsidRPr="00F125EF">
        <w:rPr>
          <w:lang w:val="pt-PT"/>
        </w:rPr>
        <w:t>12.</w:t>
      </w:r>
      <w:r w:rsidRPr="00F125EF">
        <w:rPr>
          <w:lang w:val="pt-PT"/>
        </w:rPr>
        <w:tab/>
        <w:t>A tüzelőanyagok-tartályokat olyan szivárgásmentesen zárható nyílásokkal kell ellátni, amelyek lehetővé teszik a tisztítást és az ellenőrzést.</w:t>
      </w:r>
    </w:p>
    <w:p w:rsidR="000B60B9" w:rsidRPr="00F125EF" w:rsidRDefault="000B60B9" w:rsidP="00266522">
      <w:pPr>
        <w:pStyle w:val="ESch"/>
        <w:rPr>
          <w:noProof/>
          <w:lang w:val="pt-PT"/>
        </w:rPr>
      </w:pPr>
    </w:p>
    <w:p w:rsidR="00E24808" w:rsidRPr="00F125EF" w:rsidRDefault="00E24808" w:rsidP="008418DC">
      <w:pPr>
        <w:pStyle w:val="ESch"/>
        <w:rPr>
          <w:noProof/>
          <w:lang w:val="pt-PT"/>
        </w:rPr>
      </w:pPr>
      <w:r w:rsidRPr="00F125EF">
        <w:rPr>
          <w:lang w:val="pt-PT"/>
        </w:rPr>
        <w:t>13.</w:t>
      </w:r>
      <w:r w:rsidRPr="00F125EF">
        <w:rPr>
          <w:lang w:val="pt-PT"/>
        </w:rPr>
        <w:tab/>
        <w:t>A propulziós motorokat és a hajózáshoz szükséges motorokat közvetlenül ellátó tüzelőanyag-tartályokat fel kell szerelni egy olyan eszközzel, amely a kormányállásban látható és hallható jelzésekkel jelzi, ha a töltöttségi szint túl alacsony a további biztonságos üzemeléshez.</w:t>
      </w:r>
    </w:p>
    <w:p w:rsidR="008418DC" w:rsidRPr="00F125EF" w:rsidRDefault="008418DC" w:rsidP="008418DC">
      <w:pPr>
        <w:pStyle w:val="ESch"/>
        <w:rPr>
          <w:rFonts w:cs="Arial"/>
          <w:szCs w:val="20"/>
          <w:lang w:val="pt-PT"/>
        </w:rPr>
      </w:pPr>
    </w:p>
    <w:p w:rsidR="000B60B9" w:rsidRPr="00F125EF" w:rsidRDefault="000B60B9" w:rsidP="00E24808">
      <w:pPr>
        <w:rPr>
          <w:rFonts w:cs="Arial"/>
          <w:szCs w:val="20"/>
          <w:lang w:val="pt-PT"/>
        </w:rPr>
      </w:pPr>
    </w:p>
    <w:p w:rsidR="00E24808" w:rsidRPr="00F125EF" w:rsidRDefault="00E24808" w:rsidP="000B60B9">
      <w:pPr>
        <w:pStyle w:val="ES-Titre3"/>
        <w:rPr>
          <w:lang w:val="pt-PT"/>
        </w:rPr>
      </w:pPr>
      <w:bookmarkStart w:id="122" w:name="_Toc491854061"/>
      <w:bookmarkStart w:id="123" w:name="_Toc535853840"/>
      <w:r w:rsidRPr="00F125EF">
        <w:rPr>
          <w:lang w:val="pt-PT"/>
        </w:rPr>
        <w:t>8.06. cikk</w:t>
      </w:r>
      <w:r w:rsidRPr="00F125EF">
        <w:rPr>
          <w:lang w:val="pt-PT"/>
        </w:rPr>
        <w:br/>
      </w:r>
      <w:r w:rsidRPr="00F125EF">
        <w:rPr>
          <w:i/>
          <w:noProof/>
          <w:lang w:val="pt-PT"/>
        </w:rPr>
        <w:t>Kenőolaj tárolása, csövek és tartozékok</w:t>
      </w:r>
      <w:bookmarkEnd w:id="122"/>
      <w:bookmarkEnd w:id="123"/>
    </w:p>
    <w:p w:rsidR="000B60B9" w:rsidRPr="00F125EF" w:rsidRDefault="000B60B9" w:rsidP="00E24808">
      <w:pPr>
        <w:rPr>
          <w:rFonts w:cs="Arial"/>
          <w:noProof/>
          <w:szCs w:val="20"/>
          <w:lang w:val="pt-PT"/>
        </w:rPr>
      </w:pPr>
    </w:p>
    <w:p w:rsidR="00E24808" w:rsidRPr="00F125EF" w:rsidRDefault="00E24808" w:rsidP="005A3E0D">
      <w:pPr>
        <w:pStyle w:val="ESch"/>
        <w:rPr>
          <w:lang w:val="pt-PT"/>
        </w:rPr>
      </w:pPr>
      <w:r w:rsidRPr="00F125EF">
        <w:rPr>
          <w:lang w:val="pt-PT"/>
        </w:rPr>
        <w:t>1.</w:t>
      </w:r>
      <w:r w:rsidRPr="00F125EF">
        <w:rPr>
          <w:lang w:val="pt-PT"/>
        </w:rPr>
        <w:tab/>
        <w:t>A kenőolajat a hajótest részét alkotó vagy ahhoz biztonságosan rögzített acéltartályokban kell tárolni. Ha a hajó szerkezete úgy kívánja meg, az acéllal tűzállósági szempontból egyenértékű anyag is használható. E követelmények nem alkalmazandók a legfeljebb 25 literes tartályokra. A kenőolajtartályoknak nem lehetnek közös térelválasztó elemeik az ivóvíztartályokkal.</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2.</w:t>
      </w:r>
      <w:r w:rsidRPr="00F125EF">
        <w:rPr>
          <w:lang w:val="pt-PT"/>
        </w:rPr>
        <w:tab/>
        <w:t>A kenőolajtartályokat, azok csöveit és egyéb tartozékait úgy kell elrendezni és kialakítani, hogy a hajó belsejébe se kenőolaj, se kenőolajgőz ne kerülhessen szándékolatlanul.</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3.</w:t>
      </w:r>
      <w:r w:rsidRPr="00F125EF">
        <w:rPr>
          <w:lang w:val="pt-PT"/>
        </w:rPr>
        <w:tab/>
        <w:t>Az ütközési válaszfal elé nem helyezhető el kenőolajtartály.</w:t>
      </w:r>
    </w:p>
    <w:p w:rsidR="000B60B9" w:rsidRPr="00F125EF" w:rsidRDefault="000B60B9" w:rsidP="005A3E0D">
      <w:pPr>
        <w:pStyle w:val="ESch"/>
        <w:rPr>
          <w:noProof/>
          <w:lang w:val="pt-PT"/>
        </w:rPr>
      </w:pPr>
    </w:p>
    <w:p w:rsidR="005A3E0D" w:rsidRPr="00F125EF" w:rsidRDefault="005A3E0D" w:rsidP="005A3E0D">
      <w:pPr>
        <w:pStyle w:val="ESch"/>
        <w:rPr>
          <w:noProof/>
          <w:lang w:val="pt-PT"/>
        </w:rPr>
      </w:pPr>
      <w:r w:rsidRPr="00F125EF">
        <w:rPr>
          <w:lang w:val="pt-PT"/>
        </w:rPr>
        <w:br w:type="page"/>
      </w:r>
    </w:p>
    <w:p w:rsidR="00E24808" w:rsidRPr="00F125EF" w:rsidRDefault="00E24808" w:rsidP="005A3E0D">
      <w:pPr>
        <w:pStyle w:val="ESch"/>
        <w:rPr>
          <w:lang w:val="pt-PT"/>
        </w:rPr>
      </w:pPr>
      <w:r w:rsidRPr="00F125EF">
        <w:rPr>
          <w:lang w:val="pt-PT"/>
        </w:rPr>
        <w:t>4.</w:t>
      </w:r>
      <w:r w:rsidRPr="00F125EF">
        <w:rPr>
          <w:lang w:val="pt-PT"/>
        </w:rPr>
        <w:tab/>
        <w:t>A kenőolajtartályok és szerelvényeik nem helyezkedhetnek el közvetlenül a motorok vagy a kipufogócsövek felett.</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5.</w:t>
      </w:r>
      <w:r w:rsidRPr="00F125EF">
        <w:rPr>
          <w:lang w:val="pt-PT"/>
        </w:rPr>
        <w:tab/>
        <w:t>A kenőolajtartályok töltőnyílásait egyértelműen jelölni kell.</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6.</w:t>
      </w:r>
      <w:r w:rsidRPr="00F125EF">
        <w:rPr>
          <w:lang w:val="pt-PT"/>
        </w:rPr>
        <w:tab/>
        <w:t>A kenőolajcsöveket, azok csatlakozásait, tömítéseit és szerelvényeit olyan anyagokból kell készíteni, amelyek ellenállnak az őket várhatóan érő mechanikai, kémiai és hőhatásoknak. A vezetékek nem lehetnek kitéve káros hőhatásoknak, és azoknak a teljes hosszukon ellenőrizhetőknek kell lenniük.</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7.</w:t>
      </w:r>
      <w:r w:rsidRPr="00F125EF">
        <w:rPr>
          <w:lang w:val="pt-PT"/>
        </w:rPr>
        <w:tab/>
        <w:t>A kenőolajtartályokra megfelelő kapacitásmérő eszközt kell szerelni. A kapacitásmérő eszköznek egészen a maximális feltöltés szintjéig olvashatónak kell lennie. A mérőüvegeket megfelelően módon védeni kell a behatások ellen, az aljukra önzáródó eszközt kell felszerelni, felső végüket pedig a tartályokhoz kell csatlakoztatni maximális feltöltési szintjük felett. A mérőüvegek készítéséhez használt anyag normál környezeti hőmérséklet mellett nem deformálódhat. A szondacsövek nem végződhetnek lakóterekben. A géptérben vagy kazántérben végződő szondacsöveket megfelelő önzáródó eszközzel kell felszerelni.</w:t>
      </w:r>
    </w:p>
    <w:p w:rsidR="00E24808" w:rsidRPr="00F125EF" w:rsidRDefault="00E24808" w:rsidP="00E24808">
      <w:pPr>
        <w:rPr>
          <w:rFonts w:cs="Arial"/>
          <w:szCs w:val="20"/>
          <w:lang w:val="pt-PT"/>
        </w:rPr>
      </w:pPr>
    </w:p>
    <w:p w:rsidR="000B60B9" w:rsidRPr="00F125EF" w:rsidRDefault="000B60B9" w:rsidP="00E24808">
      <w:pPr>
        <w:rPr>
          <w:rFonts w:cs="Arial"/>
          <w:szCs w:val="20"/>
          <w:lang w:val="pt-PT"/>
        </w:rPr>
      </w:pPr>
    </w:p>
    <w:p w:rsidR="00E24808" w:rsidRPr="00F125EF" w:rsidRDefault="00E24808" w:rsidP="000B60B9">
      <w:pPr>
        <w:pStyle w:val="ES-Titre3"/>
        <w:rPr>
          <w:i/>
          <w:lang w:val="pt-PT"/>
        </w:rPr>
      </w:pPr>
      <w:bookmarkStart w:id="124" w:name="_Toc491854062"/>
      <w:bookmarkStart w:id="125" w:name="_Toc535853841"/>
      <w:r w:rsidRPr="00F125EF">
        <w:rPr>
          <w:lang w:val="pt-PT"/>
        </w:rPr>
        <w:t>8.07. cikk</w:t>
      </w:r>
      <w:r w:rsidRPr="00F125EF">
        <w:rPr>
          <w:lang w:val="pt-PT"/>
        </w:rPr>
        <w:br/>
      </w:r>
      <w:r w:rsidRPr="00F125EF">
        <w:rPr>
          <w:i/>
          <w:noProof/>
          <w:lang w:val="pt-PT"/>
        </w:rPr>
        <w:t>Az erőátviteli rendszerben, a vezérlő- és indítórendszerben, valamint a fűtőrendszerben, a csövekben és tartozékokban használt olaj tárolása</w:t>
      </w:r>
      <w:bookmarkEnd w:id="124"/>
      <w:bookmarkEnd w:id="125"/>
    </w:p>
    <w:p w:rsidR="005A3E0D" w:rsidRPr="00F125EF" w:rsidRDefault="005A3E0D" w:rsidP="00E24808">
      <w:pPr>
        <w:rPr>
          <w:rFonts w:cs="Arial"/>
          <w:noProof/>
          <w:szCs w:val="20"/>
          <w:lang w:val="pt-PT"/>
        </w:rPr>
      </w:pPr>
    </w:p>
    <w:p w:rsidR="00E24808" w:rsidRPr="00F125EF" w:rsidRDefault="00E24808" w:rsidP="005A3E0D">
      <w:pPr>
        <w:pStyle w:val="ESch"/>
        <w:rPr>
          <w:lang w:val="pt-PT"/>
        </w:rPr>
      </w:pPr>
      <w:r w:rsidRPr="00F125EF">
        <w:rPr>
          <w:lang w:val="pt-PT"/>
        </w:rPr>
        <w:t>1.</w:t>
      </w:r>
      <w:r w:rsidRPr="00F125EF">
        <w:rPr>
          <w:lang w:val="pt-PT"/>
        </w:rPr>
        <w:tab/>
        <w:t>Az erőátviteli rendszerekben, vezérlő- és indítórendszerekben, valamint fűtőrendszerekben használt olajat a hajótest részét alkotó vagy ahhoz biztonságosan rögzített acéltartályokban kell tárolni. Ha a hajó szerkezete úgy kívánja meg, az acéllal tűzállósági szempontból egyenértékű anyag is használható. E követelmények nem alkalmazandók a legfeljebb 25 literes tartályokra. Az első mondatban említett olajtartályoknak nem lehetnek közös térelválasztó elemeik az ivóvíztartályokkal.</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2.</w:t>
      </w:r>
      <w:r w:rsidRPr="00F125EF">
        <w:rPr>
          <w:lang w:val="pt-PT"/>
        </w:rPr>
        <w:tab/>
        <w:t>Az 1. bekezdés szerinti olajtartályokat, azok csöveit és egyéb tartozékait úgy kell elrendezni és kialakítani, hogy a hajó belsejébe se olaj, se olajgőz ne kerülhessen szándékolatlanul.</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3.</w:t>
      </w:r>
      <w:r w:rsidRPr="00F125EF">
        <w:rPr>
          <w:lang w:val="pt-PT"/>
        </w:rPr>
        <w:tab/>
        <w:t>Az ütközési válaszfal elé nem helyezhetők az 1. bekezdés szerinti olajtartályok.</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4.</w:t>
      </w:r>
      <w:r w:rsidRPr="00F125EF">
        <w:rPr>
          <w:lang w:val="pt-PT"/>
        </w:rPr>
        <w:tab/>
        <w:t>Az 1. bekezdés szerinti olajtartályok és szerelvényeik nem helyezkedhetnek el közvetlenül a motorok vagy a kipufogócsövek felett.</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5.</w:t>
      </w:r>
      <w:r w:rsidRPr="00F125EF">
        <w:rPr>
          <w:lang w:val="pt-PT"/>
        </w:rPr>
        <w:tab/>
        <w:t>Az 1. bekezdés szerinti olajtartályok töltőnyílásait egyértelműen jelölni kell.</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6.</w:t>
      </w:r>
      <w:r w:rsidRPr="00F125EF">
        <w:rPr>
          <w:lang w:val="pt-PT"/>
        </w:rPr>
        <w:tab/>
        <w:t>Az 1. bekezdés szerinti olajcsöveket, azok csatlakozásait, tömítéseit és szerelvényeit olyan anyagokból kell készíteni, amelyek ellenállnak az őket várhatóan érő mechanikai, kémiai és hőhatásoknak. A vezetékek nem lehetnek kitéve káros hőhatásoknak, és azoknak a teljes hosszukon ellenőrizhetőknek kell lenniük.</w:t>
      </w:r>
    </w:p>
    <w:p w:rsidR="000B60B9" w:rsidRPr="00F125EF" w:rsidRDefault="000B60B9" w:rsidP="005A3E0D">
      <w:pPr>
        <w:pStyle w:val="ESch"/>
        <w:rPr>
          <w:noProof/>
          <w:lang w:val="pt-PT"/>
        </w:rPr>
      </w:pPr>
    </w:p>
    <w:p w:rsidR="005A3E0D" w:rsidRPr="00F125EF" w:rsidRDefault="005A3E0D" w:rsidP="005A3E0D">
      <w:pPr>
        <w:pStyle w:val="ESch"/>
        <w:rPr>
          <w:noProof/>
          <w:lang w:val="pt-PT"/>
        </w:rPr>
      </w:pPr>
      <w:r w:rsidRPr="00F125EF">
        <w:rPr>
          <w:lang w:val="pt-PT"/>
        </w:rPr>
        <w:br w:type="page"/>
      </w:r>
    </w:p>
    <w:p w:rsidR="00E24808" w:rsidRPr="00F125EF" w:rsidRDefault="00E24808" w:rsidP="005A3E0D">
      <w:pPr>
        <w:pStyle w:val="ESch"/>
        <w:rPr>
          <w:noProof/>
          <w:lang w:val="pt-PT"/>
        </w:rPr>
      </w:pPr>
      <w:r w:rsidRPr="00F125EF">
        <w:rPr>
          <w:lang w:val="pt-PT"/>
        </w:rPr>
        <w:t>7.</w:t>
      </w:r>
      <w:r w:rsidRPr="00F125EF">
        <w:rPr>
          <w:lang w:val="pt-PT"/>
        </w:rPr>
        <w:tab/>
        <w:t>Az 1. bekezdés szerinti olajtartályokra megfelelő kapacitásmérő eszközt kell szerelni. A kapacitásmérő eszköznek egészen a maximális feltöltés szintjéig olvashatónak kell lennie. A mérőüvegeket megfelelően módon védeni kell a behatások ellen, az aljukra önzáródó eszközt kell felszerelni, felső végüket pedig a tartályokhoz kell csatlakoztatni maximális feltöltési szintjük felett. A mérőüvegek készítéséhez használt anyag normál környezeti hőmérséklet mellett nem deformálódhat. A szondacsövek nem végződhetnek lakóterekben. A géptérben vagy kazántérben végződő szondacsöveket megfelelő önzáródó eszközzel kell felszerelni.</w:t>
      </w:r>
    </w:p>
    <w:p w:rsidR="000B60B9" w:rsidRPr="00F125EF" w:rsidRDefault="000B60B9" w:rsidP="00E24808">
      <w:pPr>
        <w:rPr>
          <w:rFonts w:cs="Arial"/>
          <w:szCs w:val="20"/>
          <w:lang w:val="pt-PT"/>
        </w:rPr>
      </w:pPr>
    </w:p>
    <w:p w:rsidR="00E24808" w:rsidRPr="00F125EF" w:rsidRDefault="00E24808" w:rsidP="00E24808">
      <w:pPr>
        <w:rPr>
          <w:rFonts w:cs="Arial"/>
          <w:szCs w:val="20"/>
          <w:lang w:val="pt-PT"/>
        </w:rPr>
      </w:pPr>
    </w:p>
    <w:p w:rsidR="00E24808" w:rsidRPr="00F125EF" w:rsidRDefault="00E24808" w:rsidP="000B60B9">
      <w:pPr>
        <w:pStyle w:val="ES-Titre3"/>
        <w:rPr>
          <w:i/>
          <w:lang w:val="pt-PT"/>
        </w:rPr>
      </w:pPr>
      <w:bookmarkStart w:id="126" w:name="_Toc491854063"/>
      <w:bookmarkStart w:id="127" w:name="_Toc535853842"/>
      <w:r w:rsidRPr="00F125EF">
        <w:rPr>
          <w:lang w:val="pt-PT"/>
        </w:rPr>
        <w:t>8.08. cikk</w:t>
      </w:r>
      <w:r w:rsidRPr="00F125EF">
        <w:rPr>
          <w:lang w:val="pt-PT"/>
        </w:rPr>
        <w:br/>
      </w:r>
      <w:r w:rsidRPr="00F125EF">
        <w:rPr>
          <w:i/>
          <w:noProof/>
          <w:lang w:val="pt-PT"/>
        </w:rPr>
        <w:t>Fenékvízszivattyúk és vízelvezető rendszerek</w:t>
      </w:r>
      <w:bookmarkEnd w:id="126"/>
      <w:bookmarkEnd w:id="127"/>
    </w:p>
    <w:p w:rsidR="000B60B9" w:rsidRPr="00F125EF" w:rsidRDefault="000B60B9" w:rsidP="00E24808">
      <w:pPr>
        <w:rPr>
          <w:rFonts w:cs="Arial"/>
          <w:noProof/>
          <w:szCs w:val="20"/>
          <w:lang w:val="pt-PT"/>
        </w:rPr>
      </w:pPr>
    </w:p>
    <w:p w:rsidR="00E24808" w:rsidRPr="00F125EF" w:rsidRDefault="00E24808" w:rsidP="005A3E0D">
      <w:pPr>
        <w:pStyle w:val="ESch"/>
        <w:rPr>
          <w:lang w:val="pt-PT"/>
        </w:rPr>
      </w:pPr>
      <w:r w:rsidRPr="00F125EF">
        <w:rPr>
          <w:lang w:val="pt-PT"/>
        </w:rPr>
        <w:t>1.</w:t>
      </w:r>
      <w:r w:rsidRPr="00F125EF">
        <w:rPr>
          <w:lang w:val="pt-PT"/>
        </w:rPr>
        <w:tab/>
        <w:t>Lehetővé kell tenni minden egyes vízmentes rekesz külön kiszivattyúzását. Ez a követelmény azonban nem érinti az üzemelés folyamán általában hermetikusan tömített vízmentes rekeszeket.</w:t>
      </w:r>
    </w:p>
    <w:p w:rsidR="000B60B9" w:rsidRPr="00F125EF" w:rsidRDefault="000B60B9" w:rsidP="005A3E0D">
      <w:pPr>
        <w:pStyle w:val="ESch"/>
        <w:rPr>
          <w:noProof/>
          <w:lang w:val="pt-PT"/>
        </w:rPr>
      </w:pPr>
    </w:p>
    <w:p w:rsidR="00E24808" w:rsidRPr="00F125EF" w:rsidRDefault="00E24808" w:rsidP="005A3E0D">
      <w:pPr>
        <w:pStyle w:val="ESch"/>
        <w:rPr>
          <w:lang w:val="pt-PT"/>
        </w:rPr>
      </w:pPr>
      <w:r w:rsidRPr="00F125EF">
        <w:rPr>
          <w:lang w:val="pt-PT"/>
        </w:rPr>
        <w:t>2.</w:t>
      </w:r>
      <w:r w:rsidRPr="00F125EF">
        <w:rPr>
          <w:lang w:val="pt-PT"/>
        </w:rPr>
        <w:tab/>
        <w:t>A legénységgel ellátott hajókon két fenékvízszivattyúnak kell lennie, amelyeket nem szabad ugyanabban a térben felszerelni. Ezek közül legalább az egyiknek motormeghajtásúnak kell lennie. Azonban azokon a hajókon, amelyek teljesítménye 225 kW-nál kisebb, illetve amelyek hordképessége 350 t-nál kisebb, valamint a nem áruszállításra szolgáló, 250 m</w:t>
      </w:r>
      <w:r w:rsidRPr="00F125EF">
        <w:rPr>
          <w:noProof/>
          <w:vertAlign w:val="superscript"/>
          <w:lang w:val="pt-PT"/>
        </w:rPr>
        <w:t>3</w:t>
      </w:r>
      <w:r w:rsidRPr="00F125EF">
        <w:rPr>
          <w:lang w:val="pt-PT"/>
        </w:rPr>
        <w:t>-nél kisebb vízkiszorítási tömegű hajókon elegendő egy kézi vagy motormeghajtású szivattyú.</w:t>
      </w:r>
    </w:p>
    <w:p w:rsidR="000B60B9" w:rsidRPr="00F125EF" w:rsidRDefault="000B60B9" w:rsidP="005A3E0D">
      <w:pPr>
        <w:pStyle w:val="ESch"/>
        <w:rPr>
          <w:noProof/>
          <w:lang w:val="pt-PT"/>
        </w:rPr>
      </w:pPr>
    </w:p>
    <w:p w:rsidR="00E24808" w:rsidRPr="00F125EF" w:rsidRDefault="00E24808" w:rsidP="005A3E0D">
      <w:pPr>
        <w:pStyle w:val="ESchpar"/>
        <w:rPr>
          <w:noProof/>
          <w:lang w:val="pt-PT"/>
        </w:rPr>
      </w:pPr>
      <w:r w:rsidRPr="00F125EF">
        <w:rPr>
          <w:lang w:val="pt-PT"/>
        </w:rPr>
        <w:t>Az előírt szivattyúknak alkalmasnak kell lenniük bármely vízmentes rekeszben történő használatra.</w:t>
      </w:r>
    </w:p>
    <w:p w:rsidR="000B60B9" w:rsidRPr="00F125EF" w:rsidRDefault="000B60B9" w:rsidP="005A3E0D">
      <w:pPr>
        <w:pStyle w:val="ESch"/>
        <w:rPr>
          <w:noProof/>
          <w:lang w:val="pt-PT"/>
        </w:rPr>
      </w:pPr>
    </w:p>
    <w:p w:rsidR="00E24808" w:rsidRPr="00F125EF" w:rsidRDefault="00E24808" w:rsidP="005A3E0D">
      <w:pPr>
        <w:pStyle w:val="ESch"/>
        <w:rPr>
          <w:noProof/>
          <w:lang w:val="pt-PT"/>
        </w:rPr>
      </w:pPr>
      <w:r w:rsidRPr="00F125EF">
        <w:rPr>
          <w:lang w:val="pt-PT"/>
        </w:rPr>
        <w:t>3.</w:t>
      </w:r>
      <w:r w:rsidRPr="00F125EF">
        <w:rPr>
          <w:lang w:val="pt-PT"/>
        </w:rPr>
        <w:tab/>
        <w:t xml:space="preserve">Az első fenékvízszivattyúra vonatkozó </w:t>
      </w:r>
      <m:oMath>
        <m:sSub>
          <m:sSubPr>
            <m:ctrlPr>
              <w:rPr>
                <w:rFonts w:ascii="Cambria Math" w:hAnsi="Cambria Math"/>
                <w:i/>
                <w:noProof/>
              </w:rPr>
            </m:ctrlPr>
          </m:sSubPr>
          <m:e>
            <m:r>
              <w:rPr>
                <w:rFonts w:ascii="Cambria Math" w:hAnsi="Cambria Math"/>
                <w:noProof/>
              </w:rPr>
              <m:t>Q</m:t>
            </m:r>
          </m:e>
          <m:sub>
            <m:r>
              <w:rPr>
                <w:rFonts w:ascii="Cambria Math" w:hAnsi="Cambria Math"/>
                <w:noProof/>
                <w:lang w:val="pt-PT"/>
              </w:rPr>
              <m:t>1</m:t>
            </m:r>
          </m:sub>
        </m:sSub>
      </m:oMath>
      <w:r w:rsidRPr="00F125EF">
        <w:rPr>
          <w:lang w:val="pt-PT"/>
        </w:rPr>
        <w:t xml:space="preserve"> minimális szivattyúteljesítményt az alábbi képlettel kell kiszámítani:</w:t>
      </w:r>
    </w:p>
    <w:p w:rsidR="00E000F9" w:rsidRPr="00C903F8" w:rsidRDefault="003142CA" w:rsidP="00E000F9">
      <w:pPr>
        <w:pStyle w:val="ESch"/>
        <w:ind w:left="0" w:firstLine="0"/>
        <w:jc w:val="center"/>
        <w:rPr>
          <w:noProof/>
        </w:rPr>
      </w:pPr>
      <m:oMathPara>
        <m:oMath>
          <m:sSub>
            <m:sSubPr>
              <m:ctrlPr>
                <w:rPr>
                  <w:rFonts w:ascii="Cambria Math" w:hAnsi="Cambria Math"/>
                  <w:i/>
                  <w:noProof/>
                </w:rPr>
              </m:ctrlPr>
            </m:sSubPr>
            <m:e>
              <m:r>
                <w:rPr>
                  <w:rFonts w:ascii="Cambria Math" w:hAnsi="Cambria Math"/>
                  <w:noProof/>
                </w:rPr>
                <m:t>Q</m:t>
              </m:r>
            </m:e>
            <m:sub>
              <m:r>
                <w:rPr>
                  <w:rFonts w:ascii="Cambria Math" w:hAnsi="Cambria Math"/>
                  <w:noProof/>
                </w:rPr>
                <m:t>1</m:t>
              </m:r>
            </m:sub>
          </m:sSub>
          <m:r>
            <w:rPr>
              <w:rFonts w:ascii="Cambria Math" w:hAnsi="Cambria Math"/>
              <w:noProof/>
            </w:rPr>
            <m:t xml:space="preserve">=0,1 ∙ </m:t>
          </m:r>
          <m:sSup>
            <m:sSupPr>
              <m:ctrlPr>
                <w:rPr>
                  <w:rFonts w:ascii="Cambria Math" w:hAnsi="Cambria Math"/>
                  <w:i/>
                  <w:noProof/>
                </w:rPr>
              </m:ctrlPr>
            </m:sSupPr>
            <m:e>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e>
            <m:sup>
              <m:r>
                <w:rPr>
                  <w:rFonts w:ascii="Cambria Math" w:hAnsi="Cambria Math"/>
                  <w:noProof/>
                </w:rPr>
                <m:t>2</m:t>
              </m:r>
            </m:sup>
          </m:sSup>
          <m:r>
            <w:rPr>
              <w:rFonts w:ascii="Cambria Math" w:hAnsi="Cambria Math"/>
              <w:noProof/>
            </w:rPr>
            <m:t xml:space="preserve"> [l/min]</m:t>
          </m:r>
        </m:oMath>
      </m:oMathPara>
    </w:p>
    <w:p w:rsidR="00E000F9" w:rsidRPr="00C903F8" w:rsidRDefault="00E000F9" w:rsidP="00E000F9">
      <w:pPr>
        <w:pStyle w:val="ESch"/>
        <w:ind w:left="0" w:firstLine="0"/>
        <w:rPr>
          <w:noProof/>
        </w:rPr>
      </w:pPr>
    </w:p>
    <w:p w:rsidR="000B60B9" w:rsidRPr="00C903F8" w:rsidRDefault="003142CA" w:rsidP="0089015B">
      <w:pPr>
        <w:pStyle w:val="ESchpar"/>
        <w:spacing w:before="60"/>
      </w:pP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rsidR="000505FE">
        <w:t xml:space="preserve"> kiszámításának képlete:</w:t>
      </w:r>
    </w:p>
    <w:p w:rsidR="00230288" w:rsidRPr="00C903F8" w:rsidRDefault="00230288" w:rsidP="0089015B">
      <w:pPr>
        <w:pStyle w:val="ESchpar"/>
        <w:spacing w:before="60"/>
      </w:pPr>
    </w:p>
    <w:p w:rsidR="00230288" w:rsidRPr="00C903F8" w:rsidRDefault="003142CA" w:rsidP="00230288">
      <w:pPr>
        <w:pStyle w:val="ESch"/>
        <w:ind w:left="0" w:firstLine="0"/>
        <w:jc w:val="center"/>
        <w:rPr>
          <w:noProof/>
        </w:rPr>
      </w:pPr>
      <m:oMathPara>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r>
            <w:rPr>
              <w:rFonts w:ascii="Cambria Math" w:hAnsi="Cambria Math"/>
              <w:noProof/>
            </w:rPr>
            <m:t xml:space="preserve">=1,5 ∙ </m:t>
          </m:r>
          <m:rad>
            <m:radPr>
              <m:degHide m:val="1"/>
              <m:ctrlPr>
                <w:rPr>
                  <w:rFonts w:ascii="Cambria Math" w:hAnsi="Cambria Math"/>
                  <w:i/>
                  <w:noProof/>
                </w:rPr>
              </m:ctrlPr>
            </m:radPr>
            <m:deg/>
            <m:e>
              <m:r>
                <w:rPr>
                  <w:rFonts w:ascii="Cambria Math" w:hAnsi="Cambria Math"/>
                  <w:noProof/>
                </w:rPr>
                <m:t xml:space="preserve">L </m:t>
              </m:r>
              <m:d>
                <m:dPr>
                  <m:ctrlPr>
                    <w:rPr>
                      <w:rFonts w:ascii="Cambria Math" w:hAnsi="Cambria Math"/>
                      <w:i/>
                      <w:noProof/>
                    </w:rPr>
                  </m:ctrlPr>
                </m:dPr>
                <m:e>
                  <m:r>
                    <w:rPr>
                      <w:rFonts w:ascii="Cambria Math" w:hAnsi="Cambria Math"/>
                      <w:noProof/>
                    </w:rPr>
                    <m:t>B+H</m:t>
                  </m:r>
                </m:e>
              </m:d>
            </m:e>
          </m:rad>
          <m:r>
            <w:rPr>
              <w:rFonts w:ascii="Cambria Math" w:hAnsi="Cambria Math"/>
              <w:noProof/>
            </w:rPr>
            <m:t>+25  [mm]</m:t>
          </m:r>
        </m:oMath>
      </m:oMathPara>
    </w:p>
    <w:p w:rsidR="000B60B9" w:rsidRPr="00C903F8" w:rsidRDefault="000B60B9" w:rsidP="0089015B">
      <w:pPr>
        <w:pStyle w:val="ESchpar"/>
      </w:pPr>
    </w:p>
    <w:p w:rsidR="000B60B9" w:rsidRPr="00C903F8" w:rsidRDefault="000B60B9" w:rsidP="0089015B">
      <w:pPr>
        <w:pStyle w:val="ESchpar"/>
        <w:rPr>
          <w:rFonts w:cs="Arial"/>
          <w:noProof/>
          <w:szCs w:val="20"/>
        </w:rPr>
      </w:pPr>
      <w:r>
        <w:t xml:space="preserve">A második fenékvízszivattyúra vonatkozó </w:t>
      </w:r>
      <m:oMath>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oMath>
      <w:r>
        <w:t xml:space="preserve"> minimális szivattyúteljesítményt az alábbi képlettel kell kiszámítani:</w:t>
      </w:r>
    </w:p>
    <w:p w:rsidR="000B60B9" w:rsidRPr="00C903F8" w:rsidRDefault="003142CA" w:rsidP="00B079AF">
      <w:pPr>
        <w:pStyle w:val="ESchpar"/>
        <w:spacing w:before="60"/>
        <w:jc w:val="center"/>
      </w:pPr>
      <m:oMathPara>
        <m:oMath>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r>
            <w:rPr>
              <w:rFonts w:ascii="Cambria Math" w:hAnsi="Cambria Math"/>
              <w:noProof/>
            </w:rPr>
            <m:t xml:space="preserve">=0,1 ∙ </m:t>
          </m:r>
          <m:sSup>
            <m:sSupPr>
              <m:ctrlPr>
                <w:rPr>
                  <w:rFonts w:ascii="Cambria Math" w:hAnsi="Cambria Math"/>
                  <w:i/>
                  <w:noProof/>
                </w:rPr>
              </m:ctrlPr>
            </m:sSupPr>
            <m:e>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e>
            <m:sup>
              <m:r>
                <w:rPr>
                  <w:rFonts w:ascii="Cambria Math" w:hAnsi="Cambria Math"/>
                  <w:noProof/>
                </w:rPr>
                <m:t>2</m:t>
              </m:r>
            </m:sup>
          </m:sSup>
          <m:r>
            <w:rPr>
              <w:rFonts w:ascii="Cambria Math" w:hAnsi="Cambria Math"/>
              <w:noProof/>
            </w:rPr>
            <m:t xml:space="preserve"> [l/min]</m:t>
          </m:r>
        </m:oMath>
      </m:oMathPara>
    </w:p>
    <w:p w:rsidR="000B60B9" w:rsidRPr="00C903F8" w:rsidRDefault="003142CA" w:rsidP="0089015B">
      <w:pPr>
        <w:pStyle w:val="ESchpar"/>
        <w:spacing w:before="60"/>
        <w:rPr>
          <w:rFonts w:cs="Arial"/>
          <w:szCs w:val="20"/>
        </w:rPr>
      </w:pP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rsidR="000505FE">
        <w:t xml:space="preserve"> kiszámításának képlete:</w:t>
      </w:r>
    </w:p>
    <w:p w:rsidR="00230288" w:rsidRPr="00C903F8" w:rsidRDefault="00230288" w:rsidP="0089015B">
      <w:pPr>
        <w:pStyle w:val="ESchpar"/>
        <w:spacing w:before="60"/>
      </w:pPr>
    </w:p>
    <w:p w:rsidR="00230288" w:rsidRPr="00C903F8" w:rsidRDefault="003142CA" w:rsidP="00230288">
      <w:pPr>
        <w:pStyle w:val="ESch"/>
        <w:ind w:left="0" w:firstLine="0"/>
        <w:jc w:val="center"/>
        <w:rPr>
          <w:noProof/>
        </w:rPr>
      </w:pPr>
      <m:oMathPara>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r>
            <w:rPr>
              <w:rFonts w:ascii="Cambria Math" w:hAnsi="Cambria Math"/>
              <w:noProof/>
            </w:rPr>
            <m:t xml:space="preserve">=2 ∙ </m:t>
          </m:r>
          <m:rad>
            <m:radPr>
              <m:degHide m:val="1"/>
              <m:ctrlPr>
                <w:rPr>
                  <w:rFonts w:ascii="Cambria Math" w:hAnsi="Cambria Math"/>
                  <w:i/>
                  <w:noProof/>
                </w:rPr>
              </m:ctrlPr>
            </m:radPr>
            <m:deg/>
            <m:e>
              <m:r>
                <w:rPr>
                  <w:rFonts w:ascii="Cambria Math" w:hAnsi="Cambria Math"/>
                  <w:noProof/>
                </w:rPr>
                <m:t xml:space="preserve">l </m:t>
              </m:r>
              <m:d>
                <m:dPr>
                  <m:ctrlPr>
                    <w:rPr>
                      <w:rFonts w:ascii="Cambria Math" w:hAnsi="Cambria Math"/>
                      <w:i/>
                      <w:noProof/>
                    </w:rPr>
                  </m:ctrlPr>
                </m:dPr>
                <m:e>
                  <m:r>
                    <w:rPr>
                      <w:rFonts w:ascii="Cambria Math" w:hAnsi="Cambria Math"/>
                      <w:noProof/>
                    </w:rPr>
                    <m:t>B+H</m:t>
                  </m:r>
                </m:e>
              </m:d>
            </m:e>
          </m:rad>
          <m:r>
            <w:rPr>
              <w:rFonts w:ascii="Cambria Math" w:hAnsi="Cambria Math"/>
              <w:noProof/>
            </w:rPr>
            <m:t>+25  [mm]</m:t>
          </m:r>
        </m:oMath>
      </m:oMathPara>
    </w:p>
    <w:p w:rsidR="00230288" w:rsidRPr="00C903F8" w:rsidRDefault="00230288" w:rsidP="0089015B">
      <w:pPr>
        <w:pStyle w:val="ESchpar"/>
        <w:spacing w:before="60"/>
      </w:pPr>
    </w:p>
    <w:p w:rsidR="00E24808" w:rsidRPr="00C903F8" w:rsidRDefault="00480E5E" w:rsidP="002C0EB8">
      <w:pPr>
        <w:pStyle w:val="ESlet"/>
      </w:pPr>
      <w:r>
        <w:t xml:space="preserve">Azonban a </w:t>
      </w: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t xml:space="preserve"> értéknek nem kell meghaladnia a </w:t>
      </w: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t xml:space="preserve"> értéket.</w:t>
      </w:r>
    </w:p>
    <w:p w:rsidR="00E24808" w:rsidRPr="00C903F8" w:rsidRDefault="00E24808" w:rsidP="002C0EB8">
      <w:pPr>
        <w:pStyle w:val="ESlet"/>
      </w:pPr>
      <w:r>
        <w:t xml:space="preserve">A </w:t>
      </w:r>
      <m:oMath>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oMath>
      <w:r>
        <w:t xml:space="preserve"> kiszámításánál a leghosszabb vízmentes rekesz hosszát kell </w:t>
      </w:r>
      <m:oMath>
        <m:r>
          <w:rPr>
            <w:rFonts w:ascii="Cambria Math" w:hAnsi="Cambria Math"/>
          </w:rPr>
          <m:t>l</m:t>
        </m:r>
      </m:oMath>
      <w:r>
        <w:t xml:space="preserve"> értéknek venni.</w:t>
      </w:r>
    </w:p>
    <w:p w:rsidR="00FA096B" w:rsidRPr="00C903F8" w:rsidRDefault="00FA096B" w:rsidP="000B60B9"/>
    <w:p w:rsidR="00E24808" w:rsidRPr="00F125EF" w:rsidRDefault="00E24808" w:rsidP="002C0EB8">
      <w:pPr>
        <w:pStyle w:val="ESlet"/>
        <w:rPr>
          <w:lang w:val="es-ES"/>
        </w:rPr>
      </w:pPr>
      <w:r w:rsidRPr="00F125EF">
        <w:rPr>
          <w:lang w:val="es-ES"/>
        </w:rPr>
        <w:t xml:space="preserve">Ezekben a képletekben: </w:t>
      </w:r>
    </w:p>
    <w:p w:rsidR="00E24808" w:rsidRPr="00F125EF" w:rsidRDefault="00230288" w:rsidP="002C0EB8">
      <w:pPr>
        <w:pStyle w:val="ESlet"/>
        <w:rPr>
          <w:lang w:val="es-ES"/>
        </w:rPr>
      </w:pPr>
      <m:oMath>
        <m:r>
          <w:rPr>
            <w:rFonts w:ascii="Cambria Math" w:hAnsi="Cambria Math"/>
          </w:rPr>
          <m:t>l</m:t>
        </m:r>
      </m:oMath>
      <w:r w:rsidRPr="00F125EF">
        <w:rPr>
          <w:lang w:val="es-ES"/>
        </w:rPr>
        <w:tab/>
        <w:t>a szóban forgó vízmentes rekesz hossza [m]-ben;</w:t>
      </w:r>
    </w:p>
    <w:p w:rsidR="00E24808" w:rsidRPr="00F125EF" w:rsidRDefault="003142CA" w:rsidP="002C0EB8">
      <w:pPr>
        <w:pStyle w:val="ESlet"/>
        <w:rPr>
          <w:lang w:val="es-ES"/>
        </w:rPr>
      </w:pPr>
      <m:oMath>
        <m:sSub>
          <m:sSubPr>
            <m:ctrlPr>
              <w:rPr>
                <w:rFonts w:ascii="Cambria Math" w:hAnsi="Cambria Math"/>
                <w:i/>
                <w:noProof/>
              </w:rPr>
            </m:ctrlPr>
          </m:sSubPr>
          <m:e>
            <m:r>
              <w:rPr>
                <w:rFonts w:ascii="Cambria Math" w:hAnsi="Cambria Math"/>
                <w:noProof/>
              </w:rPr>
              <m:t>d</m:t>
            </m:r>
          </m:e>
          <m:sub>
            <m:r>
              <w:rPr>
                <w:rFonts w:ascii="Cambria Math" w:hAnsi="Cambria Math"/>
                <w:noProof/>
                <w:lang w:val="es-ES"/>
              </w:rPr>
              <m:t>1</m:t>
            </m:r>
          </m:sub>
        </m:sSub>
      </m:oMath>
      <w:r w:rsidR="000505FE" w:rsidRPr="00F125EF">
        <w:rPr>
          <w:lang w:val="es-ES"/>
        </w:rPr>
        <w:tab/>
        <w:t>a fő vízelvezető cső kalkulált belső átmérője [mm]-ben;</w:t>
      </w:r>
    </w:p>
    <w:p w:rsidR="00E24808" w:rsidRPr="00F125EF" w:rsidRDefault="003142CA" w:rsidP="002C0EB8">
      <w:pPr>
        <w:pStyle w:val="ESlet"/>
        <w:rPr>
          <w:lang w:val="es-ES"/>
        </w:rPr>
      </w:pPr>
      <m:oMath>
        <m:sSub>
          <m:sSubPr>
            <m:ctrlPr>
              <w:rPr>
                <w:rFonts w:ascii="Cambria Math" w:hAnsi="Cambria Math"/>
                <w:i/>
                <w:noProof/>
              </w:rPr>
            </m:ctrlPr>
          </m:sSubPr>
          <m:e>
            <m:r>
              <w:rPr>
                <w:rFonts w:ascii="Cambria Math" w:hAnsi="Cambria Math"/>
                <w:noProof/>
              </w:rPr>
              <m:t>d</m:t>
            </m:r>
          </m:e>
          <m:sub>
            <m:r>
              <w:rPr>
                <w:rFonts w:ascii="Cambria Math" w:hAnsi="Cambria Math"/>
                <w:noProof/>
                <w:lang w:val="es-ES"/>
              </w:rPr>
              <m:t>2</m:t>
            </m:r>
          </m:sub>
        </m:sSub>
      </m:oMath>
      <w:r w:rsidR="000505FE" w:rsidRPr="00F125EF">
        <w:rPr>
          <w:lang w:val="es-ES"/>
        </w:rPr>
        <w:tab/>
        <w:t>az elágazócső kalkulált belső átmérője [mm]-ben.</w:t>
      </w:r>
    </w:p>
    <w:p w:rsidR="00FA096B" w:rsidRPr="00F125EF" w:rsidRDefault="00FA096B" w:rsidP="00E24808">
      <w:pPr>
        <w:rPr>
          <w:rFonts w:cs="Arial"/>
          <w:noProof/>
          <w:szCs w:val="20"/>
          <w:lang w:val="es-ES"/>
        </w:rPr>
      </w:pPr>
    </w:p>
    <w:p w:rsidR="0089015B" w:rsidRPr="00F125EF" w:rsidRDefault="0089015B" w:rsidP="00E24808">
      <w:pPr>
        <w:rPr>
          <w:rFonts w:cs="Arial"/>
          <w:noProof/>
          <w:szCs w:val="20"/>
          <w:lang w:val="es-ES"/>
        </w:rPr>
      </w:pPr>
      <w:r w:rsidRPr="00F125EF">
        <w:rPr>
          <w:lang w:val="es-ES"/>
        </w:rPr>
        <w:br w:type="page"/>
      </w:r>
    </w:p>
    <w:p w:rsidR="00E24808" w:rsidRPr="00F125EF" w:rsidRDefault="00E24808" w:rsidP="0089015B">
      <w:pPr>
        <w:pStyle w:val="ESch"/>
        <w:rPr>
          <w:lang w:val="es-ES"/>
        </w:rPr>
      </w:pPr>
      <w:r w:rsidRPr="00F125EF">
        <w:rPr>
          <w:lang w:val="es-ES"/>
        </w:rPr>
        <w:t>4.</w:t>
      </w:r>
      <w:r w:rsidRPr="00F125EF">
        <w:rPr>
          <w:lang w:val="es-ES"/>
        </w:rPr>
        <w:tab/>
        <w:t xml:space="preserve">Ha a fenékvízszivattyúk csatlakoznak a vízelvezető rendszerhez, a vízelvezető csövek belső átmérője legalább </w:t>
      </w:r>
      <m:oMath>
        <m:sSub>
          <m:sSubPr>
            <m:ctrlPr>
              <w:rPr>
                <w:rFonts w:ascii="Cambria Math" w:hAnsi="Cambria Math"/>
                <w:i/>
                <w:noProof/>
              </w:rPr>
            </m:ctrlPr>
          </m:sSubPr>
          <m:e>
            <m:r>
              <w:rPr>
                <w:rFonts w:ascii="Cambria Math" w:hAnsi="Cambria Math"/>
                <w:noProof/>
              </w:rPr>
              <m:t>d</m:t>
            </m:r>
          </m:e>
          <m:sub>
            <m:r>
              <w:rPr>
                <w:rFonts w:ascii="Cambria Math" w:hAnsi="Cambria Math"/>
                <w:noProof/>
                <w:lang w:val="es-ES"/>
              </w:rPr>
              <m:t>1</m:t>
            </m:r>
          </m:sub>
        </m:sSub>
      </m:oMath>
      <w:r w:rsidRPr="00F125EF">
        <w:rPr>
          <w:lang w:val="es-ES"/>
        </w:rPr>
        <w:t xml:space="preserve"> (mm-ben), az elágazócsövek belső átmérője pedig legalább </w:t>
      </w:r>
      <m:oMath>
        <m:sSub>
          <m:sSubPr>
            <m:ctrlPr>
              <w:rPr>
                <w:rFonts w:ascii="Cambria Math" w:hAnsi="Cambria Math"/>
                <w:i/>
                <w:noProof/>
              </w:rPr>
            </m:ctrlPr>
          </m:sSubPr>
          <m:e>
            <m:r>
              <w:rPr>
                <w:rFonts w:ascii="Cambria Math" w:hAnsi="Cambria Math"/>
                <w:noProof/>
              </w:rPr>
              <m:t>d</m:t>
            </m:r>
          </m:e>
          <m:sub>
            <m:r>
              <w:rPr>
                <w:rFonts w:ascii="Cambria Math" w:hAnsi="Cambria Math"/>
                <w:noProof/>
                <w:lang w:val="es-ES"/>
              </w:rPr>
              <m:t>2</m:t>
            </m:r>
          </m:sub>
        </m:sSub>
      </m:oMath>
      <w:r w:rsidRPr="00F125EF">
        <w:rPr>
          <w:lang w:val="es-ES"/>
        </w:rPr>
        <w:t xml:space="preserve"> (mm-ben).</w:t>
      </w:r>
    </w:p>
    <w:p w:rsidR="00FA096B" w:rsidRPr="00F125EF" w:rsidRDefault="00FA096B" w:rsidP="00E24808">
      <w:pPr>
        <w:rPr>
          <w:rFonts w:cs="Arial"/>
          <w:noProof/>
          <w:szCs w:val="20"/>
          <w:lang w:val="es-ES"/>
        </w:rPr>
      </w:pPr>
    </w:p>
    <w:p w:rsidR="00E24808" w:rsidRPr="00F125EF" w:rsidRDefault="00E24808" w:rsidP="0089015B">
      <w:pPr>
        <w:pStyle w:val="ESchpar"/>
        <w:rPr>
          <w:lang w:val="es-ES"/>
        </w:rPr>
      </w:pPr>
      <w:r w:rsidRPr="00F125EF">
        <w:rPr>
          <w:lang w:val="es-ES"/>
        </w:rPr>
        <w:t>Amennyiben a hajó hossza (</w:t>
      </w:r>
      <m:oMath>
        <m:r>
          <w:rPr>
            <w:rFonts w:ascii="Cambria Math" w:hAnsi="Cambria Math"/>
            <w:noProof/>
          </w:rPr>
          <m:t>L</m:t>
        </m:r>
      </m:oMath>
      <w:r w:rsidRPr="00F125EF">
        <w:rPr>
          <w:lang w:val="es-ES"/>
        </w:rPr>
        <w:t xml:space="preserve">) 25 m-nél kevesebb, a </w:t>
      </w:r>
      <m:oMath>
        <m:sSub>
          <m:sSubPr>
            <m:ctrlPr>
              <w:rPr>
                <w:rFonts w:ascii="Cambria Math" w:hAnsi="Cambria Math"/>
                <w:i/>
                <w:noProof/>
              </w:rPr>
            </m:ctrlPr>
          </m:sSubPr>
          <m:e>
            <m:r>
              <w:rPr>
                <w:rFonts w:ascii="Cambria Math" w:hAnsi="Cambria Math"/>
                <w:noProof/>
              </w:rPr>
              <m:t>d</m:t>
            </m:r>
          </m:e>
          <m:sub>
            <m:r>
              <w:rPr>
                <w:rFonts w:ascii="Cambria Math" w:hAnsi="Cambria Math"/>
                <w:noProof/>
                <w:lang w:val="es-ES"/>
              </w:rPr>
              <m:t>1</m:t>
            </m:r>
          </m:sub>
        </m:sSub>
      </m:oMath>
      <w:r w:rsidRPr="00F125EF">
        <w:rPr>
          <w:lang w:val="es-ES"/>
        </w:rPr>
        <w:t xml:space="preserve"> és a </w:t>
      </w:r>
      <m:oMath>
        <m:sSub>
          <m:sSubPr>
            <m:ctrlPr>
              <w:rPr>
                <w:rFonts w:ascii="Cambria Math" w:hAnsi="Cambria Math"/>
                <w:i/>
                <w:noProof/>
              </w:rPr>
            </m:ctrlPr>
          </m:sSubPr>
          <m:e>
            <m:r>
              <w:rPr>
                <w:rFonts w:ascii="Cambria Math" w:hAnsi="Cambria Math"/>
                <w:noProof/>
              </w:rPr>
              <m:t>d</m:t>
            </m:r>
          </m:e>
          <m:sub>
            <m:r>
              <w:rPr>
                <w:rFonts w:ascii="Cambria Math" w:hAnsi="Cambria Math"/>
                <w:noProof/>
                <w:lang w:val="es-ES"/>
              </w:rPr>
              <m:t>2</m:t>
            </m:r>
          </m:sub>
        </m:sSub>
      </m:oMath>
      <w:r w:rsidRPr="00F125EF">
        <w:rPr>
          <w:lang w:val="es-ES"/>
        </w:rPr>
        <w:t xml:space="preserve"> 35 mm-re csökkenthető.</w:t>
      </w:r>
    </w:p>
    <w:p w:rsidR="00FA096B" w:rsidRPr="00F125EF" w:rsidRDefault="00FA096B" w:rsidP="0089015B">
      <w:pPr>
        <w:pStyle w:val="ESch"/>
        <w:rPr>
          <w:noProof/>
          <w:lang w:val="es-ES"/>
        </w:rPr>
      </w:pPr>
    </w:p>
    <w:p w:rsidR="00E24808" w:rsidRPr="00F125EF" w:rsidRDefault="00E24808" w:rsidP="0089015B">
      <w:pPr>
        <w:pStyle w:val="ESch"/>
        <w:rPr>
          <w:lang w:val="es-ES"/>
        </w:rPr>
      </w:pPr>
      <w:r w:rsidRPr="00F125EF">
        <w:rPr>
          <w:lang w:val="es-ES"/>
        </w:rPr>
        <w:t>5.</w:t>
      </w:r>
      <w:r w:rsidRPr="00F125EF">
        <w:rPr>
          <w:lang w:val="es-ES"/>
        </w:rPr>
        <w:tab/>
        <w:t>Csak önfelszívó fenékvízszivattyúk engedélyezhetők.</w:t>
      </w:r>
    </w:p>
    <w:p w:rsidR="00FA096B" w:rsidRPr="00F125EF" w:rsidRDefault="00FA096B" w:rsidP="0089015B">
      <w:pPr>
        <w:pStyle w:val="ESch"/>
        <w:rPr>
          <w:noProof/>
          <w:lang w:val="es-ES"/>
        </w:rPr>
      </w:pPr>
    </w:p>
    <w:p w:rsidR="00E24808" w:rsidRPr="00F125EF" w:rsidRDefault="00E24808" w:rsidP="0089015B">
      <w:pPr>
        <w:pStyle w:val="ESch"/>
        <w:rPr>
          <w:lang w:val="es-ES"/>
        </w:rPr>
      </w:pPr>
      <w:r w:rsidRPr="00F125EF">
        <w:rPr>
          <w:lang w:val="es-ES"/>
        </w:rPr>
        <w:t>6.</w:t>
      </w:r>
      <w:r w:rsidRPr="00F125EF">
        <w:rPr>
          <w:lang w:val="es-ES"/>
        </w:rPr>
        <w:tab/>
        <w:t>Minden lapos fenekű, vízteleníthető, 5 m-t meghaladó szélességű rekesz jobb és a bal oldalán legalább egy-egy szívófejet kell elhelyezni.</w:t>
      </w:r>
    </w:p>
    <w:p w:rsidR="00FA096B" w:rsidRPr="00F125EF" w:rsidRDefault="00FA096B" w:rsidP="0089015B">
      <w:pPr>
        <w:pStyle w:val="ESch"/>
        <w:rPr>
          <w:noProof/>
          <w:lang w:val="es-ES"/>
        </w:rPr>
      </w:pPr>
    </w:p>
    <w:p w:rsidR="00E24808" w:rsidRPr="00F125EF" w:rsidRDefault="00E24808" w:rsidP="0089015B">
      <w:pPr>
        <w:pStyle w:val="ESch"/>
        <w:rPr>
          <w:lang w:val="es-ES"/>
        </w:rPr>
      </w:pPr>
      <w:r w:rsidRPr="00F125EF">
        <w:rPr>
          <w:lang w:val="es-ES"/>
        </w:rPr>
        <w:t>7.</w:t>
      </w:r>
      <w:r w:rsidRPr="00F125EF">
        <w:rPr>
          <w:lang w:val="es-ES"/>
        </w:rPr>
        <w:tab/>
        <w:t>A fartérnek könnyen megközelíthető, önzáró csöveken keresztül vízteleníthetőnek kell lennie a főgéptéren keresztül.</w:t>
      </w:r>
    </w:p>
    <w:p w:rsidR="00FA096B" w:rsidRPr="00F125EF" w:rsidRDefault="00FA096B" w:rsidP="0089015B">
      <w:pPr>
        <w:pStyle w:val="ESch"/>
        <w:rPr>
          <w:noProof/>
          <w:lang w:val="es-ES"/>
        </w:rPr>
      </w:pPr>
    </w:p>
    <w:p w:rsidR="00E24808" w:rsidRPr="00F125EF" w:rsidRDefault="00E24808" w:rsidP="0089015B">
      <w:pPr>
        <w:pStyle w:val="ESch"/>
        <w:rPr>
          <w:lang w:val="es-ES"/>
        </w:rPr>
      </w:pPr>
      <w:r w:rsidRPr="00F125EF">
        <w:rPr>
          <w:lang w:val="es-ES"/>
        </w:rPr>
        <w:t>8.</w:t>
      </w:r>
      <w:r w:rsidRPr="00F125EF">
        <w:rPr>
          <w:lang w:val="es-ES"/>
        </w:rPr>
        <w:tab/>
        <w:t>Az egyes rekeszek elágazócsöveit lezárható visszacsapó szelepen keresztül kell csatlakoztatni a fő vízelvezető csőhöz.</w:t>
      </w:r>
    </w:p>
    <w:p w:rsidR="00FA096B" w:rsidRPr="00F125EF" w:rsidRDefault="00FA096B" w:rsidP="0089015B">
      <w:pPr>
        <w:pStyle w:val="ESch"/>
        <w:rPr>
          <w:noProof/>
          <w:lang w:val="es-ES"/>
        </w:rPr>
      </w:pPr>
    </w:p>
    <w:p w:rsidR="00E24808" w:rsidRPr="00F125EF" w:rsidRDefault="00E24808" w:rsidP="0089015B">
      <w:pPr>
        <w:pStyle w:val="ESchpar"/>
        <w:rPr>
          <w:lang w:val="es-ES"/>
        </w:rPr>
      </w:pPr>
      <w:r w:rsidRPr="00F125EF">
        <w:rPr>
          <w:lang w:val="es-ES"/>
        </w:rPr>
        <w:t>A ballaszt felvételére alkalmas rekeszeket és egyéb tereket elég csak egy egyszerű elzárószerkezeten keresztül csatlakoztatni a vízelvezető rendszerhez. Ez a követelmény nem érinti a ballaszt felvételére alkalmas rakománytereket. Az ilyen rakománytereket fel kell tölteni ballasztvízzel tartósan rögzített és a vízelvezető csövektől független ballasztcsövek segítségével, vagy a fő vízelvezető csőhöz rugalmas csövekkel vagy rugalmas átalakítókkal csatlakoztatható elágazócsövek segítségével. A rakománytér alján elhelyezkedő, vízfelvételre szolgáló szelepek erre a célra nem használhatók.</w:t>
      </w:r>
    </w:p>
    <w:p w:rsidR="00FA096B" w:rsidRPr="00F125EF" w:rsidRDefault="00FA096B" w:rsidP="0089015B">
      <w:pPr>
        <w:pStyle w:val="ESch"/>
        <w:rPr>
          <w:noProof/>
          <w:lang w:val="es-ES"/>
        </w:rPr>
      </w:pPr>
    </w:p>
    <w:p w:rsidR="00E24808" w:rsidRPr="00F125EF" w:rsidRDefault="00E24808" w:rsidP="0089015B">
      <w:pPr>
        <w:pStyle w:val="ESch"/>
        <w:rPr>
          <w:lang w:val="es-ES"/>
        </w:rPr>
      </w:pPr>
      <w:r w:rsidRPr="00F125EF">
        <w:rPr>
          <w:lang w:val="es-ES"/>
        </w:rPr>
        <w:t>9.</w:t>
      </w:r>
      <w:r w:rsidRPr="00F125EF">
        <w:rPr>
          <w:lang w:val="es-ES"/>
        </w:rPr>
        <w:tab/>
        <w:t>A rakományterek fenekét mérőműszerrel kell felszerelni.</w:t>
      </w:r>
    </w:p>
    <w:p w:rsidR="00FA096B" w:rsidRPr="00F125EF" w:rsidRDefault="00FA096B" w:rsidP="0089015B">
      <w:pPr>
        <w:pStyle w:val="ESch"/>
        <w:rPr>
          <w:noProof/>
          <w:lang w:val="es-ES"/>
        </w:rPr>
      </w:pPr>
    </w:p>
    <w:p w:rsidR="00E24808" w:rsidRPr="00F125EF" w:rsidRDefault="00E24808" w:rsidP="0089015B">
      <w:pPr>
        <w:pStyle w:val="ESch"/>
        <w:rPr>
          <w:lang w:val="es-ES"/>
        </w:rPr>
      </w:pPr>
      <w:r w:rsidRPr="00F125EF">
        <w:rPr>
          <w:lang w:val="es-ES"/>
        </w:rPr>
        <w:t>10.</w:t>
      </w:r>
      <w:r w:rsidRPr="00F125EF">
        <w:rPr>
          <w:lang w:val="es-ES"/>
        </w:rPr>
        <w:tab/>
        <w:t>Ha a vízelvezető rendszer tartósan rögzített csövekkel rendelkezik, az olajos víz eltávolítására szolgáló fenékvíz-elvezető csöveket olyan zárószerkezettel kell ellátni, amelyet egy ellenőrző szerv leplombált az adott helyen. A belvízi hajóbizonyítványban fel kell tüntetni a zárószerkezetek számát és helyét.</w:t>
      </w:r>
    </w:p>
    <w:p w:rsidR="0089015B" w:rsidRPr="00F125EF" w:rsidRDefault="0089015B" w:rsidP="0089015B">
      <w:pPr>
        <w:pStyle w:val="ESch"/>
        <w:rPr>
          <w:noProof/>
          <w:lang w:val="es-ES"/>
        </w:rPr>
      </w:pPr>
    </w:p>
    <w:p w:rsidR="00E24808" w:rsidRPr="00F125EF" w:rsidRDefault="00E24808" w:rsidP="0089015B">
      <w:pPr>
        <w:pStyle w:val="ESch"/>
        <w:rPr>
          <w:lang w:val="es-ES"/>
        </w:rPr>
      </w:pPr>
      <w:r w:rsidRPr="00F125EF">
        <w:rPr>
          <w:lang w:val="es-ES"/>
        </w:rPr>
        <w:t>11.</w:t>
      </w:r>
      <w:r w:rsidRPr="00F125EF">
        <w:rPr>
          <w:lang w:val="es-ES"/>
        </w:rPr>
        <w:tab/>
        <w:t>A zárószerkezetek adott helyen történő lezárását a 10. bekezdésben említett plombálással egyenértékűnek kell tekinteni. A zárószerkezeteket működtető kulcso(ka)t megfelelően meg kell jelölni, és a géptérben kell tárolni egy ekként jelölt és könnyen hozzáférhető helyen.</w:t>
      </w:r>
    </w:p>
    <w:p w:rsidR="00E24808" w:rsidRPr="00F125EF" w:rsidRDefault="00E24808" w:rsidP="00E24808">
      <w:pPr>
        <w:rPr>
          <w:rFonts w:cs="Arial"/>
          <w:szCs w:val="20"/>
          <w:lang w:val="es-ES"/>
        </w:rPr>
      </w:pPr>
    </w:p>
    <w:p w:rsidR="00FA096B" w:rsidRPr="00F125EF" w:rsidRDefault="00FA096B" w:rsidP="00E24808">
      <w:pPr>
        <w:rPr>
          <w:rFonts w:cs="Arial"/>
          <w:szCs w:val="20"/>
          <w:lang w:val="es-ES"/>
        </w:rPr>
      </w:pPr>
    </w:p>
    <w:p w:rsidR="00E24808" w:rsidRPr="00F125EF" w:rsidRDefault="00E24808" w:rsidP="00FA096B">
      <w:pPr>
        <w:pStyle w:val="ES-Titre3"/>
        <w:rPr>
          <w:lang w:val="es-ES"/>
        </w:rPr>
      </w:pPr>
      <w:bookmarkStart w:id="128" w:name="_Toc491854064"/>
      <w:bookmarkStart w:id="129" w:name="_Toc535853843"/>
      <w:r w:rsidRPr="00F125EF">
        <w:rPr>
          <w:lang w:val="es-ES"/>
        </w:rPr>
        <w:t>8.09. cikk</w:t>
      </w:r>
      <w:r w:rsidRPr="00F125EF">
        <w:rPr>
          <w:lang w:val="es-ES"/>
        </w:rPr>
        <w:br/>
      </w:r>
      <w:r w:rsidRPr="00F125EF">
        <w:rPr>
          <w:i/>
          <w:noProof/>
          <w:lang w:val="es-ES"/>
        </w:rPr>
        <w:t>Olajos víz és fáradtolaj tárolása</w:t>
      </w:r>
      <w:bookmarkEnd w:id="128"/>
      <w:bookmarkEnd w:id="129"/>
    </w:p>
    <w:p w:rsidR="00FA096B" w:rsidRPr="00F125EF" w:rsidRDefault="00FA096B" w:rsidP="00E24808">
      <w:pPr>
        <w:rPr>
          <w:rFonts w:cs="Arial"/>
          <w:noProof/>
          <w:szCs w:val="20"/>
          <w:lang w:val="es-ES"/>
        </w:rPr>
      </w:pPr>
    </w:p>
    <w:p w:rsidR="00E24808" w:rsidRPr="00F125EF" w:rsidRDefault="00E24808" w:rsidP="0089015B">
      <w:pPr>
        <w:pStyle w:val="ESch"/>
        <w:rPr>
          <w:lang w:val="es-ES"/>
        </w:rPr>
      </w:pPr>
      <w:r w:rsidRPr="00F125EF">
        <w:rPr>
          <w:lang w:val="es-ES"/>
        </w:rPr>
        <w:t>1.</w:t>
      </w:r>
      <w:r w:rsidRPr="00F125EF">
        <w:rPr>
          <w:lang w:val="es-ES"/>
        </w:rPr>
        <w:tab/>
        <w:t>Lehetővé kell tenni az üzemelés során felgyülemlett olajos víz fedélzeten történő tárolását. Erre a célra a megfelelő tárolóhely a géptér feneke.</w:t>
      </w:r>
    </w:p>
    <w:p w:rsidR="00FA096B" w:rsidRPr="00F125EF" w:rsidRDefault="00FA096B" w:rsidP="0089015B">
      <w:pPr>
        <w:pStyle w:val="ESch"/>
        <w:rPr>
          <w:noProof/>
          <w:lang w:val="es-ES"/>
        </w:rPr>
      </w:pPr>
    </w:p>
    <w:p w:rsidR="00E24808" w:rsidRPr="00F125EF" w:rsidRDefault="00E24808" w:rsidP="0089015B">
      <w:pPr>
        <w:pStyle w:val="ESch"/>
        <w:rPr>
          <w:lang w:val="es-ES"/>
        </w:rPr>
      </w:pPr>
      <w:r w:rsidRPr="00F125EF">
        <w:rPr>
          <w:lang w:val="es-ES"/>
        </w:rPr>
        <w:t>2.</w:t>
      </w:r>
      <w:r w:rsidRPr="00F125EF">
        <w:rPr>
          <w:lang w:val="es-ES"/>
        </w:rPr>
        <w:tab/>
        <w:t>A fáradtolaj tárolása a géptérben egy vagy több külön erre a célra szolgáló gyűjtőedényben történik, amelyek tárolókapacitása legalább 1,5-szöröse annak a fáradtolaj-mennyiségnek, amelyet a beszerelt belsőégésű motorok és erőátviteli rendszerek zsompjából származó fáradtolaj, valamint a hidraulikafolyadék-tartályokból származó hidraulikafolyadék együttesen képez.</w:t>
      </w:r>
    </w:p>
    <w:p w:rsidR="00FA096B" w:rsidRPr="00F125EF" w:rsidRDefault="00FA096B" w:rsidP="0089015B">
      <w:pPr>
        <w:pStyle w:val="ESch"/>
        <w:rPr>
          <w:noProof/>
          <w:lang w:val="es-ES"/>
        </w:rPr>
      </w:pPr>
    </w:p>
    <w:p w:rsidR="00E24808" w:rsidRPr="00F125EF" w:rsidRDefault="00E24808" w:rsidP="0089015B">
      <w:pPr>
        <w:pStyle w:val="ESchpar"/>
        <w:rPr>
          <w:lang w:val="es-ES"/>
        </w:rPr>
      </w:pPr>
      <w:r w:rsidRPr="00F125EF">
        <w:rPr>
          <w:lang w:val="es-ES"/>
        </w:rPr>
        <w:t xml:space="preserve">A fent említett edények kiürítésére szolgáló csatlakozásoknak meg kell felelniük az EN 1305:1996 európai szabványnak. </w:t>
      </w:r>
    </w:p>
    <w:p w:rsidR="0063454C" w:rsidRPr="00F125EF" w:rsidRDefault="0063454C" w:rsidP="0089015B">
      <w:pPr>
        <w:pStyle w:val="ESch"/>
        <w:rPr>
          <w:noProof/>
          <w:lang w:val="es-ES"/>
        </w:rPr>
      </w:pPr>
    </w:p>
    <w:p w:rsidR="00E24808" w:rsidRPr="00F125EF" w:rsidRDefault="00E24808" w:rsidP="0089015B">
      <w:pPr>
        <w:pStyle w:val="ESch"/>
        <w:rPr>
          <w:lang w:val="es-ES"/>
        </w:rPr>
      </w:pPr>
      <w:r w:rsidRPr="00F125EF">
        <w:rPr>
          <w:lang w:val="es-ES"/>
        </w:rPr>
        <w:t>3.</w:t>
      </w:r>
      <w:r w:rsidRPr="00F125EF">
        <w:rPr>
          <w:lang w:val="es-ES"/>
        </w:rPr>
        <w:tab/>
        <w:t>Ha a hajót csak rövid távú műveletekre használják, az ellenőrző szerv mentességet biztosíthat a 2. bekezdés szerinti követelmények alól.</w:t>
      </w:r>
    </w:p>
    <w:p w:rsidR="00E24808" w:rsidRPr="00F125EF" w:rsidRDefault="00E24808" w:rsidP="009622D2">
      <w:pPr>
        <w:pStyle w:val="ESch"/>
        <w:rPr>
          <w:lang w:val="es-ES"/>
        </w:rPr>
      </w:pPr>
    </w:p>
    <w:p w:rsidR="00FA096B" w:rsidRPr="00F125EF" w:rsidRDefault="00FA096B" w:rsidP="009622D2">
      <w:pPr>
        <w:pStyle w:val="ESch"/>
        <w:rPr>
          <w:lang w:val="es-ES"/>
        </w:rPr>
      </w:pPr>
    </w:p>
    <w:p w:rsidR="0063454C" w:rsidRPr="00F125EF" w:rsidRDefault="0063454C">
      <w:pPr>
        <w:rPr>
          <w:rFonts w:eastAsia="Calibri"/>
          <w:b/>
          <w:noProof/>
          <w:lang w:val="es-ES"/>
        </w:rPr>
      </w:pPr>
      <w:r w:rsidRPr="00F125EF">
        <w:rPr>
          <w:lang w:val="es-ES"/>
        </w:rPr>
        <w:br w:type="page"/>
      </w:r>
    </w:p>
    <w:p w:rsidR="00E24808" w:rsidRPr="00F125EF" w:rsidRDefault="00E24808" w:rsidP="00FA096B">
      <w:pPr>
        <w:pStyle w:val="ES-Titre3"/>
        <w:rPr>
          <w:lang w:val="es-ES"/>
        </w:rPr>
      </w:pPr>
      <w:bookmarkStart w:id="130" w:name="_Toc491854065"/>
      <w:bookmarkStart w:id="131" w:name="_Toc535853844"/>
      <w:r w:rsidRPr="00F125EF">
        <w:rPr>
          <w:lang w:val="es-ES"/>
        </w:rPr>
        <w:t>8.10. cikk</w:t>
      </w:r>
      <w:r w:rsidRPr="00F125EF">
        <w:rPr>
          <w:lang w:val="es-ES"/>
        </w:rPr>
        <w:br/>
      </w:r>
      <w:r w:rsidRPr="00F125EF">
        <w:rPr>
          <w:i/>
          <w:noProof/>
          <w:lang w:val="es-ES"/>
        </w:rPr>
        <w:t>A hajók által keltett zaj</w:t>
      </w:r>
      <w:bookmarkEnd w:id="130"/>
      <w:bookmarkEnd w:id="131"/>
    </w:p>
    <w:p w:rsidR="00FA096B" w:rsidRPr="00F125EF" w:rsidRDefault="00FA096B" w:rsidP="00E24808">
      <w:pPr>
        <w:rPr>
          <w:rFonts w:cs="Arial"/>
          <w:noProof/>
          <w:szCs w:val="20"/>
          <w:lang w:val="es-ES"/>
        </w:rPr>
      </w:pPr>
    </w:p>
    <w:p w:rsidR="00E24808" w:rsidRPr="00F125EF" w:rsidRDefault="00E24808" w:rsidP="0089015B">
      <w:pPr>
        <w:pStyle w:val="ESch"/>
        <w:rPr>
          <w:lang w:val="es-ES"/>
        </w:rPr>
      </w:pPr>
      <w:r w:rsidRPr="00F125EF">
        <w:rPr>
          <w:lang w:val="es-ES"/>
        </w:rPr>
        <w:t>1.</w:t>
      </w:r>
      <w:r w:rsidRPr="00F125EF">
        <w:rPr>
          <w:lang w:val="es-ES"/>
        </w:rPr>
        <w:tab/>
        <w:t>A hajó menetzaját, különösen a motorok légbeszívási és kipufogási zaját megfelelő eszközzel csillapítani kell.</w:t>
      </w:r>
    </w:p>
    <w:p w:rsidR="00FA096B" w:rsidRPr="00F125EF" w:rsidRDefault="00FA096B" w:rsidP="0089015B">
      <w:pPr>
        <w:pStyle w:val="ESch"/>
        <w:rPr>
          <w:noProof/>
          <w:lang w:val="es-ES"/>
        </w:rPr>
      </w:pPr>
    </w:p>
    <w:p w:rsidR="00E24808" w:rsidRPr="00F125EF" w:rsidRDefault="00E24808" w:rsidP="0089015B">
      <w:pPr>
        <w:pStyle w:val="ESch"/>
        <w:rPr>
          <w:lang w:val="es-ES"/>
        </w:rPr>
      </w:pPr>
      <w:r w:rsidRPr="00F125EF">
        <w:rPr>
          <w:lang w:val="es-ES"/>
        </w:rPr>
        <w:t>2.</w:t>
      </w:r>
      <w:r w:rsidRPr="00F125EF">
        <w:rPr>
          <w:lang w:val="es-ES"/>
        </w:rPr>
        <w:tab/>
        <w:t>A menetben lévő hajó által keltett zaj a hajó oldalától mért 25 m-es távolságban nem lépheti túl a 75 dB(A) értéket.</w:t>
      </w:r>
    </w:p>
    <w:p w:rsidR="00FA096B" w:rsidRPr="00F125EF" w:rsidRDefault="00FA096B" w:rsidP="0089015B">
      <w:pPr>
        <w:pStyle w:val="ESch"/>
        <w:rPr>
          <w:noProof/>
          <w:lang w:val="es-ES"/>
        </w:rPr>
      </w:pPr>
    </w:p>
    <w:p w:rsidR="00E24808" w:rsidRPr="00F125EF" w:rsidRDefault="00E24808" w:rsidP="0089015B">
      <w:pPr>
        <w:pStyle w:val="ESch"/>
        <w:rPr>
          <w:lang w:val="es-ES"/>
        </w:rPr>
      </w:pPr>
      <w:r w:rsidRPr="00F125EF">
        <w:rPr>
          <w:lang w:val="es-ES"/>
        </w:rPr>
        <w:t>3.</w:t>
      </w:r>
      <w:r w:rsidRPr="00F125EF">
        <w:rPr>
          <w:lang w:val="es-ES"/>
        </w:rPr>
        <w:tab/>
        <w:t>Álló helyzetben lévő hajó esetében – az átrakodási műveletek kivételével – a hajó által keltett zaj a hajó oldalától mért 25 m-es távolságban nem lépheti túl a 65 dB(A) értéket.</w:t>
      </w:r>
    </w:p>
    <w:p w:rsidR="0033095A" w:rsidRPr="00F125EF" w:rsidRDefault="0033095A" w:rsidP="00763ADA">
      <w:pPr>
        <w:rPr>
          <w:noProof/>
          <w:lang w:val="es-ES"/>
        </w:rPr>
      </w:pPr>
    </w:p>
    <w:p w:rsidR="00917628" w:rsidRPr="00F125EF" w:rsidRDefault="00917628" w:rsidP="00763ADA">
      <w:pPr>
        <w:rPr>
          <w:noProof/>
          <w:lang w:val="es-ES"/>
        </w:rPr>
      </w:pPr>
    </w:p>
    <w:p w:rsidR="00917628" w:rsidRPr="00F125EF" w:rsidRDefault="00917628" w:rsidP="00763ADA">
      <w:pPr>
        <w:rPr>
          <w:noProof/>
          <w:lang w:val="es-ES"/>
        </w:rPr>
      </w:pPr>
    </w:p>
    <w:p w:rsidR="00917628" w:rsidRPr="00F125EF" w:rsidRDefault="00917628" w:rsidP="00763ADA">
      <w:pPr>
        <w:rPr>
          <w:noProof/>
          <w:lang w:val="es-ES"/>
        </w:rPr>
      </w:pPr>
    </w:p>
    <w:p w:rsidR="00917628" w:rsidRPr="00F125EF" w:rsidRDefault="00917628" w:rsidP="00763ADA">
      <w:pPr>
        <w:rPr>
          <w:noProof/>
          <w:lang w:val="es-ES"/>
        </w:rPr>
      </w:pPr>
    </w:p>
    <w:p w:rsidR="00917628" w:rsidRPr="00F125EF" w:rsidRDefault="00917628" w:rsidP="00763ADA">
      <w:pPr>
        <w:rPr>
          <w:noProof/>
          <w:lang w:val="es-ES"/>
        </w:rPr>
      </w:pPr>
    </w:p>
    <w:p w:rsidR="0033095A" w:rsidRPr="00166EA9" w:rsidRDefault="002D2D76" w:rsidP="0033095A">
      <w:pPr>
        <w:pStyle w:val="ES-Titre2"/>
        <w:rPr>
          <w:lang w:val="es-ES"/>
        </w:rPr>
      </w:pPr>
      <w:bookmarkStart w:id="132" w:name="_Toc491854066"/>
      <w:bookmarkStart w:id="133" w:name="_Toc535853845"/>
      <w:r w:rsidRPr="00166EA9">
        <w:rPr>
          <w:lang w:val="es-ES"/>
        </w:rPr>
        <w:t>9. fejezet</w:t>
      </w:r>
      <w:r w:rsidRPr="00166EA9">
        <w:rPr>
          <w:lang w:val="es-ES"/>
        </w:rPr>
        <w:br/>
        <w:t>A belső égésű motorok gáz- és szilárd halmazállapotú szennyezőanyag-kibocsátása</w:t>
      </w:r>
      <w:bookmarkEnd w:id="132"/>
      <w:bookmarkEnd w:id="133"/>
      <w:r w:rsidRPr="00166EA9">
        <w:rPr>
          <w:lang w:val="es-ES"/>
        </w:rPr>
        <w:t xml:space="preserve"> </w:t>
      </w:r>
    </w:p>
    <w:p w:rsidR="003915AC" w:rsidRPr="00F125EF" w:rsidRDefault="003915AC" w:rsidP="00917628">
      <w:pPr>
        <w:pStyle w:val="ESch"/>
        <w:rPr>
          <w:lang w:val="es-ES"/>
        </w:rPr>
      </w:pPr>
    </w:p>
    <w:p w:rsidR="004B6F54" w:rsidRPr="00F125EF" w:rsidRDefault="004B6F54" w:rsidP="004B6F54">
      <w:pPr>
        <w:pStyle w:val="ES-Titre3"/>
        <w:rPr>
          <w:lang w:val="es-ES"/>
        </w:rPr>
      </w:pPr>
      <w:bookmarkStart w:id="134" w:name="_Toc491854067"/>
      <w:bookmarkStart w:id="135" w:name="_Toc535853846"/>
      <w:r w:rsidRPr="00F125EF">
        <w:rPr>
          <w:lang w:val="es-ES"/>
        </w:rPr>
        <w:t>9.00. cikk</w:t>
      </w:r>
      <w:r w:rsidRPr="00F125EF">
        <w:rPr>
          <w:lang w:val="es-ES"/>
        </w:rPr>
        <w:br/>
      </w:r>
      <w:r w:rsidRPr="00F125EF">
        <w:rPr>
          <w:i/>
          <w:lang w:val="es-ES"/>
        </w:rPr>
        <w:t>Fogalommeghatározások</w:t>
      </w:r>
      <w:bookmarkEnd w:id="134"/>
      <w:bookmarkEnd w:id="135"/>
    </w:p>
    <w:p w:rsidR="002A434E" w:rsidRPr="00F125EF" w:rsidRDefault="002A434E" w:rsidP="004B6F54">
      <w:pPr>
        <w:rPr>
          <w:rFonts w:cs="Arial"/>
          <w:noProof/>
          <w:szCs w:val="20"/>
          <w:lang w:val="es-ES"/>
        </w:rPr>
      </w:pPr>
    </w:p>
    <w:p w:rsidR="00DE2419" w:rsidRPr="00F125EF" w:rsidRDefault="00DE2419" w:rsidP="00DE2419">
      <w:pPr>
        <w:pStyle w:val="ESgauche"/>
        <w:rPr>
          <w:lang w:val="es-ES"/>
        </w:rPr>
      </w:pPr>
      <w:r w:rsidRPr="00F125EF">
        <w:rPr>
          <w:lang w:val="es-ES"/>
        </w:rPr>
        <w:t>E fejezet alkalmazásában:</w:t>
      </w:r>
    </w:p>
    <w:p w:rsidR="00DE2419" w:rsidRPr="00F125EF" w:rsidRDefault="00DE2419" w:rsidP="00DE2419">
      <w:pPr>
        <w:pStyle w:val="ESch"/>
        <w:rPr>
          <w:noProof/>
          <w:lang w:val="es-ES"/>
        </w:rPr>
      </w:pPr>
    </w:p>
    <w:p w:rsidR="00DE2419" w:rsidRPr="00F125EF" w:rsidRDefault="00DE2419" w:rsidP="00DE2419">
      <w:pPr>
        <w:pStyle w:val="ESch"/>
        <w:rPr>
          <w:lang w:val="es-ES"/>
        </w:rPr>
      </w:pPr>
      <w:r w:rsidRPr="00F125EF">
        <w:rPr>
          <w:lang w:val="es-ES"/>
        </w:rPr>
        <w:t>1.</w:t>
      </w:r>
      <w:r w:rsidRPr="00F125EF">
        <w:rPr>
          <w:lang w:val="es-ES"/>
        </w:rPr>
        <w:tab/>
        <w:t>„belső égésű motor”: olyan, gázturbinától eltérő energiaátalakító, amelyet arra terveztek, hogy a kémiai energiát (bemenet) belső égési folyamat során mechanikai energiává (kimenet) alakítsa át; és amely magában foglalja – amennyiben ezeket beépítették – a kibocsátás-szabályozási rendszert, valamint az elektronikus motorvezérlő egység(ek) és az egyéb vezérlő egységek közötti kommunikációs felületet (hardvert és üzeneteket);</w:t>
      </w:r>
    </w:p>
    <w:p w:rsidR="00DE2419" w:rsidRPr="00F125EF" w:rsidRDefault="00DE2419" w:rsidP="00DE2419">
      <w:pPr>
        <w:pStyle w:val="ESch"/>
        <w:rPr>
          <w:lang w:val="es-ES"/>
        </w:rPr>
      </w:pPr>
    </w:p>
    <w:p w:rsidR="00DE2419" w:rsidRPr="00F125EF" w:rsidRDefault="00DE2419" w:rsidP="00DE2419">
      <w:pPr>
        <w:pStyle w:val="ESch"/>
        <w:rPr>
          <w:lang w:val="es-ES"/>
        </w:rPr>
      </w:pPr>
      <w:r w:rsidRPr="00F125EF">
        <w:rPr>
          <w:lang w:val="es-ES"/>
        </w:rPr>
        <w:t>2.</w:t>
      </w:r>
      <w:r w:rsidRPr="00F125EF">
        <w:rPr>
          <w:lang w:val="es-ES"/>
        </w:rPr>
        <w:tab/>
        <w:t>„típusjóváhagyás”: olyan eljárás, amellyel az illetékes hatóság igazolja, hogy egy motortípus vagy motorcsalád a motor(ok) által kibocsátott gáz- és szilárd halmazállapotú szennyező anyagok szintje tekintetében megfelel a vonatkozó közigazgatási rendelkezéseknek és műszaki követelményeknek;</w:t>
      </w:r>
    </w:p>
    <w:p w:rsidR="00DE2419" w:rsidRPr="00F125EF" w:rsidRDefault="00DE2419" w:rsidP="00DE2419">
      <w:pPr>
        <w:pStyle w:val="ESch"/>
        <w:rPr>
          <w:lang w:val="es-ES"/>
        </w:rPr>
      </w:pPr>
    </w:p>
    <w:p w:rsidR="00DE2419" w:rsidRPr="00F125EF" w:rsidRDefault="00DE2419" w:rsidP="00DE2419">
      <w:pPr>
        <w:pStyle w:val="ESch"/>
        <w:rPr>
          <w:lang w:val="es-ES"/>
        </w:rPr>
      </w:pPr>
      <w:r w:rsidRPr="00F125EF">
        <w:rPr>
          <w:lang w:val="es-ES"/>
        </w:rPr>
        <w:t>3.</w:t>
      </w:r>
      <w:r w:rsidRPr="00F125EF">
        <w:rPr>
          <w:lang w:val="es-ES"/>
        </w:rPr>
        <w:tab/>
        <w:t>„motorcsalád”: a gyártó által azonos csoportba sorolt motorok, amelyek kialakításuk révén hasonló szennyezőanyag-kibocsátási jellemzőkkel bírnak, és megfelelnek az alkalmazandó kibocsátási határértékeknek;</w:t>
      </w:r>
    </w:p>
    <w:p w:rsidR="00DE2419" w:rsidRPr="00F125EF" w:rsidRDefault="00DE2419" w:rsidP="00DE2419">
      <w:pPr>
        <w:pStyle w:val="ESch"/>
        <w:rPr>
          <w:lang w:val="es-ES"/>
        </w:rPr>
      </w:pPr>
    </w:p>
    <w:p w:rsidR="00DE2419" w:rsidRPr="00F125EF" w:rsidRDefault="00DE2419" w:rsidP="00DE2419">
      <w:pPr>
        <w:pStyle w:val="ESch"/>
        <w:rPr>
          <w:sz w:val="18"/>
          <w:lang w:val="es-ES"/>
        </w:rPr>
      </w:pPr>
      <w:r w:rsidRPr="00F125EF">
        <w:rPr>
          <w:lang w:val="es-ES"/>
        </w:rPr>
        <w:t>4.</w:t>
      </w:r>
      <w:r w:rsidRPr="00F125EF">
        <w:rPr>
          <w:lang w:val="es-ES"/>
        </w:rPr>
        <w:tab/>
        <w:t xml:space="preserve">„referenciateljesítmény”: az a hasznos teljesítmény, amelyet </w:t>
      </w:r>
      <w:bookmarkStart w:id="136" w:name="_DV_C386"/>
      <w:bookmarkStart w:id="137" w:name="_DV_M298"/>
      <w:bookmarkEnd w:id="136"/>
      <w:bookmarkEnd w:id="137"/>
      <w:r w:rsidRPr="00F125EF">
        <w:rPr>
          <w:lang w:val="es-ES"/>
        </w:rPr>
        <w:t xml:space="preserve"> a motorra vonatkozó kibocsátási határértékek megállapításához alkalmaznak; </w:t>
      </w:r>
    </w:p>
    <w:p w:rsidR="00DE2419" w:rsidRPr="00F125EF" w:rsidRDefault="00DE2419" w:rsidP="00DE2419">
      <w:pPr>
        <w:pStyle w:val="ESch"/>
        <w:rPr>
          <w:noProof/>
          <w:lang w:val="es-ES"/>
        </w:rPr>
      </w:pPr>
    </w:p>
    <w:p w:rsidR="00DE2419" w:rsidRPr="00F125EF" w:rsidRDefault="00DE2419" w:rsidP="00DE2419">
      <w:pPr>
        <w:pStyle w:val="ESch"/>
        <w:rPr>
          <w:lang w:val="es-ES"/>
        </w:rPr>
      </w:pPr>
      <w:r w:rsidRPr="00F125EF">
        <w:rPr>
          <w:lang w:val="es-ES"/>
        </w:rPr>
        <w:t>5.</w:t>
      </w:r>
      <w:r w:rsidRPr="00F125EF">
        <w:rPr>
          <w:lang w:val="es-ES"/>
        </w:rPr>
        <w:tab/>
        <w:t>„a motor gyártója”: az a természetes vagy jogi személy, aki vagy amely a jóváhagyó hatósággal szemben a motor típusjóváhagyási vagy engedélyezési eljárásának minden vonatkozásáért és a motorgyártás megfelelőségének biztosításáért felelős, és a piacfelügyelet során felmerülő problémák tekintetében is felelősséggel tartozik a gyártott motorokért, függetlenül attól, hogy részt vesz-e közvetlenül a típusjóváhagyási eljárás tárgyát képező motor tervezésének és gyártásának valamennyi szakaszában;</w:t>
      </w:r>
      <w:bookmarkStart w:id="138" w:name="_DV_C457"/>
      <w:bookmarkStart w:id="139" w:name="_DV_M380"/>
      <w:bookmarkEnd w:id="138"/>
      <w:bookmarkEnd w:id="139"/>
      <w:r w:rsidRPr="00F125EF">
        <w:rPr>
          <w:lang w:val="es-ES"/>
        </w:rPr>
        <w:t xml:space="preserve"> </w:t>
      </w:r>
    </w:p>
    <w:p w:rsidR="00DE2419" w:rsidRPr="00F125EF" w:rsidRDefault="00DE2419" w:rsidP="00DE2419">
      <w:pPr>
        <w:pStyle w:val="ESch"/>
        <w:rPr>
          <w:lang w:val="es-ES"/>
        </w:rPr>
      </w:pPr>
    </w:p>
    <w:p w:rsidR="00DE2419" w:rsidRPr="00F125EF" w:rsidRDefault="00DE2419" w:rsidP="00DE2419">
      <w:pPr>
        <w:pStyle w:val="ESch"/>
        <w:rPr>
          <w:lang w:val="es-ES"/>
        </w:rPr>
      </w:pPr>
      <w:r w:rsidRPr="00F125EF">
        <w:rPr>
          <w:lang w:val="es-ES"/>
        </w:rPr>
        <w:t>6.</w:t>
      </w:r>
      <w:r w:rsidRPr="00F125EF">
        <w:rPr>
          <w:lang w:val="es-ES"/>
        </w:rPr>
        <w:tab/>
        <w:t>„motorparaméter-jegyzőkönyv”: a 6. mellékletben meghatározott dokumentum, amelyben megfelelően rögzítik az összes olyan paramétert és azok módosításait, valamint az összes olyan alkatrészt és motorbeállítást, amely befolyásolja a motor gáz- és szilárd halmazállapotú szennyezőanyag-kibocsátását.</w:t>
      </w:r>
    </w:p>
    <w:p w:rsidR="00DE2419" w:rsidRPr="00F125EF" w:rsidRDefault="00DE2419" w:rsidP="00DE2419">
      <w:pPr>
        <w:pStyle w:val="ESch"/>
        <w:rPr>
          <w:lang w:val="es-ES"/>
        </w:rPr>
      </w:pPr>
    </w:p>
    <w:p w:rsidR="00DE2419" w:rsidRPr="00F125EF" w:rsidRDefault="00DE2419" w:rsidP="00DE2419">
      <w:pPr>
        <w:rPr>
          <w:szCs w:val="20"/>
          <w:lang w:val="es-ES"/>
        </w:rPr>
      </w:pPr>
    </w:p>
    <w:p w:rsidR="00DE2419" w:rsidRPr="00F125EF" w:rsidRDefault="00DE2419" w:rsidP="00DE2419">
      <w:pPr>
        <w:pStyle w:val="ES-Titre3"/>
        <w:rPr>
          <w:i/>
          <w:lang w:val="es-ES"/>
        </w:rPr>
      </w:pPr>
      <w:bookmarkStart w:id="140" w:name="_Toc453317268"/>
      <w:bookmarkStart w:id="141" w:name="_Toc491854068"/>
      <w:bookmarkStart w:id="142" w:name="_Toc535853847"/>
      <w:r w:rsidRPr="00F125EF">
        <w:rPr>
          <w:lang w:val="es-ES"/>
        </w:rPr>
        <w:t>9.01. cikk</w:t>
      </w:r>
      <w:r w:rsidRPr="00F125EF">
        <w:rPr>
          <w:lang w:val="es-ES"/>
        </w:rPr>
        <w:br/>
      </w:r>
      <w:r w:rsidRPr="00F125EF">
        <w:rPr>
          <w:i/>
          <w:lang w:val="es-ES"/>
        </w:rPr>
        <w:t>Általános rendelkezések</w:t>
      </w:r>
      <w:bookmarkEnd w:id="140"/>
      <w:bookmarkEnd w:id="141"/>
      <w:bookmarkEnd w:id="142"/>
    </w:p>
    <w:p w:rsidR="00DE2419" w:rsidRPr="00F125EF" w:rsidRDefault="00DE2419" w:rsidP="00DE2419">
      <w:pPr>
        <w:pStyle w:val="ESgauche"/>
        <w:rPr>
          <w:lang w:val="es-ES"/>
        </w:rPr>
      </w:pPr>
    </w:p>
    <w:p w:rsidR="00DE2419" w:rsidRPr="00F125EF" w:rsidRDefault="00DE2419" w:rsidP="00DE2419">
      <w:pPr>
        <w:pStyle w:val="ESch"/>
        <w:rPr>
          <w:lang w:val="es-ES"/>
        </w:rPr>
      </w:pPr>
      <w:r w:rsidRPr="00F125EF">
        <w:rPr>
          <w:lang w:val="es-ES"/>
        </w:rPr>
        <w:t>1.</w:t>
      </w:r>
      <w:r w:rsidRPr="00F125EF">
        <w:rPr>
          <w:lang w:val="es-ES"/>
        </w:rPr>
        <w:tab/>
        <w:t xml:space="preserve">E fejezet rendelkezései a vízi járművek fedélzetén beépített minden olyan belső égésű motorra alkalmazandók, amelyek referenciateljesítménye 19 kW vagy annál nagyobb. </w:t>
      </w:r>
    </w:p>
    <w:p w:rsidR="00DE2419" w:rsidRPr="00F125EF" w:rsidRDefault="00DE2419" w:rsidP="00DE2419">
      <w:pPr>
        <w:pStyle w:val="ESch"/>
        <w:rPr>
          <w:lang w:val="es-ES"/>
        </w:rPr>
      </w:pPr>
    </w:p>
    <w:p w:rsidR="00211AAA" w:rsidRPr="00F125EF" w:rsidRDefault="00211AAA">
      <w:pPr>
        <w:rPr>
          <w:lang w:val="es-ES"/>
        </w:rPr>
      </w:pPr>
      <w:r w:rsidRPr="00F125EF">
        <w:rPr>
          <w:lang w:val="es-ES"/>
        </w:rPr>
        <w:br w:type="page"/>
      </w:r>
    </w:p>
    <w:p w:rsidR="00211AAA" w:rsidRPr="00F125EF" w:rsidRDefault="00211AAA" w:rsidP="00DE2419">
      <w:pPr>
        <w:pStyle w:val="ESch"/>
        <w:rPr>
          <w:lang w:val="es-ES"/>
        </w:rPr>
      </w:pPr>
    </w:p>
    <w:p w:rsidR="00DE2419" w:rsidRPr="00F125EF" w:rsidRDefault="00DE2419" w:rsidP="00DE2419">
      <w:pPr>
        <w:pStyle w:val="ESch"/>
        <w:rPr>
          <w:lang w:val="nb-NO"/>
        </w:rPr>
      </w:pPr>
      <w:r w:rsidRPr="00F125EF">
        <w:rPr>
          <w:lang w:val="nb-NO"/>
        </w:rPr>
        <w:t>2.</w:t>
      </w:r>
      <w:r w:rsidRPr="00F125EF">
        <w:rPr>
          <w:lang w:val="nb-NO"/>
        </w:rPr>
        <w:tab/>
        <w:t>A belső égésű motornak meg kell felelnie az (EU) 2016/1628 rendelet</w:t>
      </w:r>
      <w:r>
        <w:rPr>
          <w:rStyle w:val="FootnoteReference"/>
        </w:rPr>
        <w:footnoteReference w:id="8"/>
      </w:r>
      <w:r w:rsidRPr="00F125EF">
        <w:rPr>
          <w:lang w:val="nb-NO"/>
        </w:rPr>
        <w:t xml:space="preserve"> követelményeinek. A hajók fedélzetén kizárólag a következő kategóriájú belső égésű motorok építhetők be: </w:t>
      </w:r>
    </w:p>
    <w:p w:rsidR="00DE2419" w:rsidRPr="00F125EF" w:rsidRDefault="00DE2419" w:rsidP="00DE2419">
      <w:pPr>
        <w:pStyle w:val="ESlet"/>
        <w:rPr>
          <w:lang w:val="nb-NO"/>
        </w:rPr>
      </w:pPr>
      <w:r w:rsidRPr="00F125EF">
        <w:rPr>
          <w:lang w:val="nb-NO"/>
        </w:rPr>
        <w:t>a)</w:t>
      </w:r>
      <w:r w:rsidRPr="00F125EF">
        <w:rPr>
          <w:lang w:val="nb-NO"/>
        </w:rPr>
        <w:tab/>
        <w:t xml:space="preserve">IWP, </w:t>
      </w:r>
    </w:p>
    <w:p w:rsidR="00DE2419" w:rsidRPr="00F125EF" w:rsidRDefault="00DE2419" w:rsidP="00DE2419">
      <w:pPr>
        <w:pStyle w:val="ESlet"/>
        <w:rPr>
          <w:lang w:val="nb-NO"/>
        </w:rPr>
      </w:pPr>
      <w:r w:rsidRPr="00F125EF">
        <w:rPr>
          <w:lang w:val="nb-NO"/>
        </w:rPr>
        <w:t>b)</w:t>
      </w:r>
      <w:r w:rsidRPr="00F125EF">
        <w:rPr>
          <w:lang w:val="nb-NO"/>
        </w:rPr>
        <w:tab/>
        <w:t xml:space="preserve">IWA, </w:t>
      </w:r>
    </w:p>
    <w:p w:rsidR="00DE2419" w:rsidRPr="00F125EF" w:rsidRDefault="00DE2419" w:rsidP="00DE2419">
      <w:pPr>
        <w:pStyle w:val="ESlet"/>
        <w:rPr>
          <w:lang w:val="nb-NO"/>
        </w:rPr>
      </w:pPr>
      <w:r w:rsidRPr="00F125EF">
        <w:rPr>
          <w:lang w:val="nb-NO"/>
        </w:rPr>
        <w:t>c)</w:t>
      </w:r>
      <w:r w:rsidRPr="00F125EF">
        <w:rPr>
          <w:lang w:val="nb-NO"/>
        </w:rPr>
        <w:tab/>
        <w:t xml:space="preserve">NRE 560 kW-nál kisebb referenciateljesítménnyel, vagy </w:t>
      </w:r>
    </w:p>
    <w:p w:rsidR="00DE2419" w:rsidRPr="00F125EF" w:rsidRDefault="00DE2419" w:rsidP="00DE2419">
      <w:pPr>
        <w:pStyle w:val="ESlet"/>
        <w:rPr>
          <w:lang w:val="nb-NO"/>
        </w:rPr>
      </w:pPr>
      <w:r w:rsidRPr="00F125EF">
        <w:rPr>
          <w:lang w:val="nb-NO"/>
        </w:rPr>
        <w:t>d)</w:t>
      </w:r>
      <w:r w:rsidRPr="00F125EF">
        <w:rPr>
          <w:lang w:val="nb-NO"/>
        </w:rPr>
        <w:tab/>
        <w:t>az (EU) 2016/1628 rendelettel összhangban egyenértékűnek elismert motorok</w:t>
      </w:r>
    </w:p>
    <w:p w:rsidR="00DE2419" w:rsidRPr="00F125EF" w:rsidRDefault="00DE2419" w:rsidP="00DE2419">
      <w:pPr>
        <w:pStyle w:val="ESletpar"/>
        <w:ind w:left="567"/>
        <w:rPr>
          <w:lang w:val="nb-NO"/>
        </w:rPr>
      </w:pPr>
      <w:r w:rsidRPr="00F125EF">
        <w:rPr>
          <w:lang w:val="nb-NO"/>
        </w:rPr>
        <w:t>. A megfelelést típusbizonyítványnak kell igazolnia.</w:t>
      </w:r>
    </w:p>
    <w:p w:rsidR="00DE2419" w:rsidRPr="00F125EF" w:rsidRDefault="00DE2419" w:rsidP="00DE2419">
      <w:pPr>
        <w:pStyle w:val="ESch"/>
        <w:rPr>
          <w:lang w:val="nb-NO"/>
        </w:rPr>
      </w:pPr>
    </w:p>
    <w:p w:rsidR="00DE2419" w:rsidRPr="00F125EF" w:rsidRDefault="00DE2419" w:rsidP="00DE2419">
      <w:pPr>
        <w:pStyle w:val="ESch"/>
        <w:rPr>
          <w:lang w:val="nb-NO"/>
        </w:rPr>
      </w:pPr>
      <w:r w:rsidRPr="00F125EF">
        <w:rPr>
          <w:lang w:val="nb-NO"/>
        </w:rPr>
        <w:t>3.</w:t>
      </w:r>
      <w:r w:rsidRPr="00F125EF">
        <w:rPr>
          <w:lang w:val="nb-NO"/>
        </w:rPr>
        <w:tab/>
        <w:t>A típusbizonyítvány, a motor gyártójának utasításai és a motorparaméter-jegyzőkönyv egy-egy példányát a hajó fedélzetén kell tartani.</w:t>
      </w:r>
    </w:p>
    <w:p w:rsidR="00DE2419" w:rsidRPr="00F125EF" w:rsidRDefault="00DE2419" w:rsidP="00DE2419">
      <w:pPr>
        <w:pStyle w:val="ESch"/>
        <w:rPr>
          <w:lang w:val="nb-NO"/>
        </w:rPr>
      </w:pPr>
    </w:p>
    <w:p w:rsidR="00DE2419" w:rsidRPr="00F125EF" w:rsidRDefault="00DE2419" w:rsidP="00DE2419">
      <w:pPr>
        <w:pStyle w:val="ESch"/>
        <w:rPr>
          <w:lang w:val="nb-NO"/>
        </w:rPr>
      </w:pPr>
      <w:r w:rsidRPr="00F125EF">
        <w:rPr>
          <w:lang w:val="nb-NO"/>
        </w:rPr>
        <w:t>4.</w:t>
      </w:r>
      <w:r w:rsidRPr="00F125EF">
        <w:rPr>
          <w:lang w:val="nb-NO"/>
        </w:rPr>
        <w:tab/>
        <w:t>Az (EU) 2016/1628 rendelet szerinti cseremotorok beépítése tilos.</w:t>
      </w:r>
    </w:p>
    <w:p w:rsidR="00DE2419" w:rsidRPr="00F125EF" w:rsidRDefault="00DE2419" w:rsidP="00DE2419">
      <w:pPr>
        <w:pStyle w:val="ESch"/>
        <w:rPr>
          <w:rFonts w:cs="Arial"/>
          <w:szCs w:val="20"/>
          <w:lang w:val="nb-NO"/>
        </w:rPr>
      </w:pPr>
    </w:p>
    <w:p w:rsidR="00DE2419" w:rsidRPr="00F125EF" w:rsidRDefault="00DE2419" w:rsidP="00DE2419">
      <w:pPr>
        <w:pStyle w:val="ESch"/>
        <w:rPr>
          <w:lang w:val="nb-NO"/>
        </w:rPr>
      </w:pPr>
      <w:r w:rsidRPr="00F125EF">
        <w:rPr>
          <w:lang w:val="nb-NO"/>
        </w:rPr>
        <w:t>5.</w:t>
      </w:r>
      <w:r w:rsidRPr="00F125EF">
        <w:rPr>
          <w:lang w:val="nb-NO"/>
        </w:rPr>
        <w:tab/>
        <w:t>Az e fejezetben szereplő feladatok ellátásának céljából az ellenőrző szerv műszaki szolgálatot alkalmazhat. E szabvány alkalmazásában csak az (EU) 2016/1628 rendeletnek megfelelően bejelentett műszaki szolgálatok elismertek.</w:t>
      </w:r>
    </w:p>
    <w:p w:rsidR="00DE2419" w:rsidRPr="00F125EF" w:rsidRDefault="00DE2419" w:rsidP="00DE2419">
      <w:pPr>
        <w:pStyle w:val="ESch"/>
        <w:rPr>
          <w:lang w:val="nb-NO"/>
        </w:rPr>
      </w:pPr>
    </w:p>
    <w:p w:rsidR="00DE2419" w:rsidRPr="00F125EF" w:rsidRDefault="00DE2419" w:rsidP="00DE2419">
      <w:pPr>
        <w:pStyle w:val="ESch"/>
        <w:rPr>
          <w:lang w:val="nb-NO"/>
        </w:rPr>
      </w:pPr>
    </w:p>
    <w:p w:rsidR="00DE2419" w:rsidRPr="00F125EF" w:rsidRDefault="00DE2419" w:rsidP="00DE2419">
      <w:pPr>
        <w:pStyle w:val="ES-Titre3"/>
        <w:rPr>
          <w:i/>
          <w:lang w:val="nb-NO"/>
        </w:rPr>
      </w:pPr>
      <w:bookmarkStart w:id="143" w:name="_Toc491854069"/>
      <w:bookmarkStart w:id="144" w:name="_Toc535853848"/>
      <w:r w:rsidRPr="00F125EF">
        <w:rPr>
          <w:lang w:val="nb-NO"/>
        </w:rPr>
        <w:t>9.02. cikk</w:t>
      </w:r>
      <w:r w:rsidRPr="00F125EF">
        <w:rPr>
          <w:lang w:val="nb-NO"/>
        </w:rPr>
        <w:br/>
      </w:r>
      <w:r w:rsidRPr="00F125EF">
        <w:rPr>
          <w:i/>
          <w:lang w:val="nb-NO"/>
        </w:rPr>
        <w:t>Bejegyzés a belvízi hajóbizonyítványba</w:t>
      </w:r>
      <w:bookmarkEnd w:id="143"/>
      <w:bookmarkEnd w:id="144"/>
    </w:p>
    <w:p w:rsidR="00DE2419" w:rsidRPr="00F125EF" w:rsidRDefault="00DE2419" w:rsidP="00DE2419">
      <w:pPr>
        <w:pStyle w:val="ESch"/>
        <w:rPr>
          <w:lang w:val="nb-NO"/>
        </w:rPr>
      </w:pPr>
    </w:p>
    <w:p w:rsidR="00DE2419" w:rsidRPr="00F125EF" w:rsidRDefault="00DE2419" w:rsidP="00DE2419">
      <w:pPr>
        <w:pStyle w:val="ESgauche"/>
        <w:rPr>
          <w:lang w:val="nb-NO"/>
        </w:rPr>
      </w:pPr>
      <w:r w:rsidRPr="00F125EF">
        <w:rPr>
          <w:lang w:val="nb-NO"/>
        </w:rPr>
        <w:t xml:space="preserve">A vízi jármű fedélzetén lévő valamennyi belső égésű motor azonosító számát, valamint adott esetben típusjóváhagyási számát be kell jegyezni a belvízi hajóbizonyítvány 52. rovatába. </w:t>
      </w:r>
    </w:p>
    <w:p w:rsidR="00DE2419" w:rsidRPr="00F125EF" w:rsidRDefault="00DE2419" w:rsidP="00DE2419">
      <w:pPr>
        <w:pStyle w:val="ESch"/>
        <w:rPr>
          <w:lang w:val="nb-NO"/>
        </w:rPr>
      </w:pPr>
    </w:p>
    <w:p w:rsidR="00DE2419" w:rsidRPr="00F125EF" w:rsidRDefault="00DE2419" w:rsidP="00DE2419">
      <w:pPr>
        <w:pStyle w:val="ESch"/>
        <w:rPr>
          <w:lang w:val="nb-NO"/>
        </w:rPr>
      </w:pPr>
    </w:p>
    <w:p w:rsidR="00DE2419" w:rsidRPr="00F125EF" w:rsidRDefault="00DE2419" w:rsidP="00DE2419">
      <w:pPr>
        <w:pStyle w:val="ES-Titre3"/>
        <w:spacing w:line="240" w:lineRule="atLeast"/>
        <w:rPr>
          <w:lang w:val="nb-NO"/>
        </w:rPr>
      </w:pPr>
      <w:bookmarkStart w:id="145" w:name="_Toc491854070"/>
      <w:bookmarkStart w:id="146" w:name="_Toc535853849"/>
      <w:r w:rsidRPr="00F125EF">
        <w:rPr>
          <w:lang w:val="nb-NO"/>
        </w:rPr>
        <w:t>9.03. cikk</w:t>
      </w:r>
      <w:r w:rsidRPr="00F125EF">
        <w:rPr>
          <w:i/>
          <w:lang w:val="nb-NO"/>
        </w:rPr>
        <w:br/>
        <w:t>A belső égésű motorok beépítésével kapcsolatos rendelkezés</w:t>
      </w:r>
      <w:bookmarkEnd w:id="145"/>
      <w:bookmarkEnd w:id="146"/>
    </w:p>
    <w:p w:rsidR="00DE2419" w:rsidRPr="00F125EF" w:rsidRDefault="00DE2419" w:rsidP="00DE2419">
      <w:pPr>
        <w:pStyle w:val="ESch"/>
        <w:rPr>
          <w:lang w:val="nb-NO"/>
        </w:rPr>
      </w:pPr>
    </w:p>
    <w:p w:rsidR="00DE2419" w:rsidRPr="00F125EF" w:rsidRDefault="00DE2419" w:rsidP="00DE2419">
      <w:pPr>
        <w:pStyle w:val="ESgauche"/>
        <w:rPr>
          <w:lang w:val="nb-NO"/>
        </w:rPr>
      </w:pPr>
      <w:r w:rsidRPr="00F125EF">
        <w:rPr>
          <w:lang w:val="nb-NO"/>
        </w:rPr>
        <w:t>A motorok vízi járművekbe történő beépítésének meg kell felelnie a típusjóváhagyás alkalmazási körében meghatározott korlátozásoknak.</w:t>
      </w:r>
    </w:p>
    <w:p w:rsidR="00DE2419" w:rsidRPr="00F125EF" w:rsidRDefault="00DE2419" w:rsidP="00DE2419">
      <w:pPr>
        <w:pStyle w:val="ESch"/>
        <w:ind w:left="0" w:firstLine="0"/>
        <w:rPr>
          <w:szCs w:val="20"/>
          <w:lang w:val="nb-NO"/>
        </w:rPr>
      </w:pPr>
    </w:p>
    <w:p w:rsidR="00DE2419" w:rsidRPr="00F125EF" w:rsidRDefault="00DE2419" w:rsidP="00DE2419">
      <w:pPr>
        <w:pStyle w:val="ESch"/>
        <w:ind w:left="0" w:firstLine="0"/>
        <w:rPr>
          <w:lang w:val="nb-NO"/>
        </w:rPr>
      </w:pPr>
    </w:p>
    <w:p w:rsidR="00DE2419" w:rsidRPr="00F125EF" w:rsidRDefault="00DE2419" w:rsidP="00DE2419">
      <w:pPr>
        <w:pStyle w:val="ES-Titre3"/>
        <w:spacing w:line="240" w:lineRule="atLeast"/>
        <w:rPr>
          <w:lang w:val="nb-NO"/>
        </w:rPr>
      </w:pPr>
      <w:bookmarkStart w:id="147" w:name="_Toc491854071"/>
      <w:bookmarkStart w:id="148" w:name="_Toc535853850"/>
      <w:r w:rsidRPr="00F125EF">
        <w:rPr>
          <w:lang w:val="nb-NO"/>
        </w:rPr>
        <w:t>9.04. cikk</w:t>
      </w:r>
      <w:r w:rsidRPr="00F125EF">
        <w:rPr>
          <w:i/>
          <w:lang w:val="nb-NO"/>
        </w:rPr>
        <w:br/>
        <w:t>A motor gyártójának utasításai</w:t>
      </w:r>
      <w:bookmarkEnd w:id="147"/>
      <w:bookmarkEnd w:id="148"/>
    </w:p>
    <w:p w:rsidR="00DE2419" w:rsidRPr="00F125EF" w:rsidRDefault="00DE2419" w:rsidP="00DE2419">
      <w:pPr>
        <w:pStyle w:val="ESch"/>
        <w:rPr>
          <w:lang w:val="nb-NO"/>
        </w:rPr>
      </w:pPr>
    </w:p>
    <w:p w:rsidR="00DE2419" w:rsidRPr="00F125EF" w:rsidRDefault="00DE2419" w:rsidP="00DE2419">
      <w:pPr>
        <w:pStyle w:val="ESch"/>
        <w:rPr>
          <w:lang w:val="nb-NO"/>
        </w:rPr>
      </w:pPr>
      <w:r w:rsidRPr="00F125EF">
        <w:rPr>
          <w:lang w:val="nb-NO"/>
        </w:rPr>
        <w:t>1.</w:t>
      </w:r>
      <w:r w:rsidRPr="00F125EF">
        <w:rPr>
          <w:lang w:val="nb-NO"/>
        </w:rPr>
        <w:tab/>
        <w:t xml:space="preserve">A motor gyártója által összeállítandó utasításokban, meg kell határozni a kipufogógáz szempontjából lényeges alkatrészeket, valamint azokat a beállításokat és paramétereket, amelyek alapján a kipufogógáz-kibocsátási határértékeknek való megfelelés feltételezhető. </w:t>
      </w:r>
    </w:p>
    <w:p w:rsidR="00DE2419" w:rsidRPr="00F125EF" w:rsidRDefault="00DE2419" w:rsidP="00DE2419">
      <w:pPr>
        <w:pStyle w:val="ListParagraph"/>
        <w:spacing w:line="240" w:lineRule="atLeast"/>
        <w:ind w:left="567" w:hanging="567"/>
        <w:rPr>
          <w:rFonts w:ascii="Arial" w:eastAsia="Times New Roman" w:hAnsi="Arial" w:cs="Arial"/>
          <w:sz w:val="20"/>
          <w:szCs w:val="20"/>
          <w:lang w:val="nb-NO"/>
        </w:rPr>
      </w:pPr>
    </w:p>
    <w:p w:rsidR="00DE2419" w:rsidRPr="00F125EF" w:rsidRDefault="00DE2419" w:rsidP="00DE2419">
      <w:pPr>
        <w:pStyle w:val="ESch"/>
        <w:rPr>
          <w:lang w:val="nb-NO"/>
        </w:rPr>
      </w:pPr>
      <w:r w:rsidRPr="00F125EF">
        <w:rPr>
          <w:lang w:val="nb-NO"/>
        </w:rPr>
        <w:t>2.</w:t>
      </w:r>
      <w:r w:rsidRPr="00F125EF">
        <w:rPr>
          <w:lang w:val="nb-NO"/>
        </w:rPr>
        <w:tab/>
        <w:t>Az utasítások legalább a következő részleteket tartalmazzák:</w:t>
      </w:r>
    </w:p>
    <w:p w:rsidR="00DE2419" w:rsidRPr="00F125EF" w:rsidRDefault="00DE2419" w:rsidP="00DE2419">
      <w:pPr>
        <w:pStyle w:val="ESlet"/>
        <w:rPr>
          <w:lang w:val="nb-NO"/>
        </w:rPr>
      </w:pPr>
      <w:r w:rsidRPr="00F125EF">
        <w:rPr>
          <w:lang w:val="nb-NO"/>
        </w:rPr>
        <w:t>a)</w:t>
      </w:r>
      <w:r w:rsidRPr="00F125EF">
        <w:rPr>
          <w:lang w:val="nb-NO"/>
        </w:rPr>
        <w:tab/>
        <w:t>a motortípus és adott esetben a motorcsalád, a referenciateljesítmény és a névleges fordulatszám feltüntetésével;</w:t>
      </w:r>
    </w:p>
    <w:p w:rsidR="00DE2419" w:rsidRPr="00F125EF" w:rsidRDefault="00DE2419" w:rsidP="00DE2419">
      <w:pPr>
        <w:pStyle w:val="ESlet"/>
        <w:rPr>
          <w:lang w:val="nb-NO"/>
        </w:rPr>
      </w:pPr>
      <w:r w:rsidRPr="00F125EF">
        <w:rPr>
          <w:lang w:val="nb-NO"/>
        </w:rPr>
        <w:t>b)</w:t>
      </w:r>
      <w:r w:rsidRPr="00F125EF">
        <w:rPr>
          <w:lang w:val="nb-NO"/>
        </w:rPr>
        <w:tab/>
        <w:t>a kipufogógázok kibocsátása szempontjából lényeges alkatrészek és motorparaméterek felsorolása;</w:t>
      </w:r>
    </w:p>
    <w:p w:rsidR="00211AAA" w:rsidRPr="00F125EF" w:rsidRDefault="00211AAA">
      <w:pPr>
        <w:rPr>
          <w:lang w:val="nb-NO"/>
        </w:rPr>
      </w:pPr>
      <w:r w:rsidRPr="00F125EF">
        <w:rPr>
          <w:lang w:val="nb-NO"/>
        </w:rPr>
        <w:br w:type="page"/>
      </w:r>
    </w:p>
    <w:p w:rsidR="00211AAA" w:rsidRPr="00F125EF" w:rsidRDefault="00211AAA" w:rsidP="00DE2419">
      <w:pPr>
        <w:pStyle w:val="ESlet"/>
        <w:rPr>
          <w:lang w:val="nb-NO"/>
        </w:rPr>
      </w:pPr>
    </w:p>
    <w:p w:rsidR="00DE2419" w:rsidRPr="00F125EF" w:rsidRDefault="00DE2419" w:rsidP="00DE2419">
      <w:pPr>
        <w:pStyle w:val="ESlet"/>
        <w:rPr>
          <w:lang w:val="nb-NO"/>
        </w:rPr>
      </w:pPr>
      <w:r w:rsidRPr="00F125EF">
        <w:rPr>
          <w:lang w:val="nb-NO"/>
        </w:rPr>
        <w:t>c)</w:t>
      </w:r>
      <w:r w:rsidRPr="00F125EF">
        <w:rPr>
          <w:lang w:val="nb-NO"/>
        </w:rPr>
        <w:tab/>
        <w:t>a kipufogógázok kibocsátása szempontjából lényeges engedélyezett alkatrészek azonosításához szükséges egyértelmű jellemzők (pl. az alkatrészeken feltüntetett alkatrészszámok);</w:t>
      </w:r>
    </w:p>
    <w:p w:rsidR="00DE2419" w:rsidRPr="00F125EF" w:rsidRDefault="00DE2419" w:rsidP="00DE2419">
      <w:pPr>
        <w:pStyle w:val="ESlet"/>
        <w:rPr>
          <w:lang w:val="nb-NO"/>
        </w:rPr>
      </w:pPr>
      <w:r w:rsidRPr="00F125EF">
        <w:rPr>
          <w:lang w:val="nb-NO"/>
        </w:rPr>
        <w:t>d)</w:t>
      </w:r>
      <w:r w:rsidRPr="00F125EF">
        <w:rPr>
          <w:lang w:val="nb-NO"/>
        </w:rPr>
        <w:tab/>
        <w:t>a kipufogógázok kibocsátása szempontjából lényeges motorparaméterek, például a befecskendezési idők beállítási tartományai, a hűtővíz engedélyezett hőmérséklete, a kipufogógáz maximális ellennyomása.</w:t>
      </w:r>
    </w:p>
    <w:p w:rsidR="00DE2419" w:rsidRPr="00F125EF" w:rsidRDefault="00DE2419" w:rsidP="00DE2419">
      <w:pPr>
        <w:pStyle w:val="ESch"/>
        <w:rPr>
          <w:lang w:val="nb-NO"/>
        </w:rPr>
      </w:pPr>
    </w:p>
    <w:p w:rsidR="00DE2419" w:rsidRPr="00F125EF" w:rsidRDefault="00DE2419" w:rsidP="00DE2419">
      <w:pPr>
        <w:pStyle w:val="ESch"/>
        <w:rPr>
          <w:lang w:val="nb-NO"/>
        </w:rPr>
      </w:pPr>
    </w:p>
    <w:p w:rsidR="00DE2419" w:rsidRPr="00F125EF" w:rsidRDefault="00DE2419" w:rsidP="00DE2419">
      <w:pPr>
        <w:pStyle w:val="ES-Titre3"/>
        <w:rPr>
          <w:i/>
          <w:lang w:val="nb-NO"/>
        </w:rPr>
      </w:pPr>
      <w:bookmarkStart w:id="149" w:name="_Toc491854072"/>
      <w:bookmarkStart w:id="150" w:name="_Toc535853851"/>
      <w:r w:rsidRPr="00F125EF">
        <w:rPr>
          <w:lang w:val="nb-NO"/>
        </w:rPr>
        <w:t>9.05. cikk</w:t>
      </w:r>
      <w:r w:rsidRPr="00F125EF">
        <w:rPr>
          <w:lang w:val="nb-NO"/>
        </w:rPr>
        <w:br/>
      </w:r>
      <w:r w:rsidRPr="00F125EF">
        <w:rPr>
          <w:i/>
          <w:lang w:val="nb-NO"/>
        </w:rPr>
        <w:t>A belső égésű motorok vizsgálatai</w:t>
      </w:r>
      <w:bookmarkEnd w:id="149"/>
      <w:bookmarkEnd w:id="150"/>
    </w:p>
    <w:p w:rsidR="00DE2419" w:rsidRPr="00F125EF" w:rsidRDefault="00DE2419" w:rsidP="00DE2419">
      <w:pPr>
        <w:pStyle w:val="ESch"/>
        <w:rPr>
          <w:lang w:val="nb-NO"/>
        </w:rPr>
      </w:pPr>
    </w:p>
    <w:p w:rsidR="00DE2419" w:rsidRPr="00F125EF" w:rsidRDefault="00DE2419" w:rsidP="00DE2419">
      <w:pPr>
        <w:pStyle w:val="ESch"/>
        <w:rPr>
          <w:rFonts w:cs="Arial"/>
          <w:szCs w:val="20"/>
          <w:lang w:val="nb-NO"/>
        </w:rPr>
      </w:pPr>
      <w:r w:rsidRPr="00F125EF">
        <w:rPr>
          <w:lang w:val="nb-NO"/>
        </w:rPr>
        <w:t>1.</w:t>
      </w:r>
      <w:r w:rsidRPr="00F125EF">
        <w:rPr>
          <w:lang w:val="nb-NO"/>
        </w:rPr>
        <w:tab/>
        <w:t>Az átvételi vizsgálatkor, valamint az időközi vizsgálatok és rendkívüli vizsgálatok során az ellenőrző szerv megvizsgálja a motor aktuális állapotát a motor gyártójának utasításaiban és a motorparaméter-jegyzőkönyvben meghatározott alkatrészek, beállítások és paraméterek tekintetében.</w:t>
      </w:r>
    </w:p>
    <w:p w:rsidR="00DE2419" w:rsidRPr="00F125EF" w:rsidRDefault="00DE2419" w:rsidP="00DE2419">
      <w:pPr>
        <w:pStyle w:val="ESch"/>
        <w:rPr>
          <w:lang w:val="nb-NO"/>
        </w:rPr>
      </w:pPr>
    </w:p>
    <w:p w:rsidR="00DE2419" w:rsidRPr="00F125EF" w:rsidRDefault="00DE2419" w:rsidP="00DE2419">
      <w:pPr>
        <w:pStyle w:val="ESch"/>
        <w:rPr>
          <w:rFonts w:cs="Arial"/>
          <w:szCs w:val="20"/>
          <w:lang w:val="nb-NO"/>
        </w:rPr>
      </w:pPr>
      <w:r w:rsidRPr="00F125EF">
        <w:rPr>
          <w:lang w:val="nb-NO"/>
        </w:rPr>
        <w:t>2.</w:t>
      </w:r>
      <w:r w:rsidRPr="00F125EF">
        <w:rPr>
          <w:lang w:val="nb-NO"/>
        </w:rPr>
        <w:tab/>
        <w:t>Az 1. bekezdés szerinti vizsgálatok eredményeit a 6. melléklet szerint rögzíteni kell a motorparaméter-jegyzőkönyvben.</w:t>
      </w:r>
    </w:p>
    <w:p w:rsidR="00DE2419" w:rsidRPr="00F125EF" w:rsidRDefault="00DE2419" w:rsidP="00DE2419">
      <w:pPr>
        <w:pStyle w:val="ESch"/>
        <w:rPr>
          <w:rFonts w:cs="Arial"/>
          <w:szCs w:val="20"/>
          <w:lang w:val="nb-NO"/>
        </w:rPr>
      </w:pPr>
    </w:p>
    <w:p w:rsidR="00DE2419" w:rsidRPr="00F125EF" w:rsidRDefault="00DE2419" w:rsidP="00DE2419">
      <w:pPr>
        <w:pStyle w:val="ESch"/>
        <w:rPr>
          <w:lang w:val="nb-NO"/>
        </w:rPr>
      </w:pPr>
      <w:r w:rsidRPr="00F125EF">
        <w:rPr>
          <w:lang w:val="nb-NO"/>
        </w:rPr>
        <w:t>3.</w:t>
      </w:r>
      <w:r w:rsidRPr="00F125EF">
        <w:rPr>
          <w:lang w:val="nb-NO"/>
        </w:rPr>
        <w:tab/>
        <w:t>Ha az átvételi, időközi és rendkívüli vizsgálatok azt mutatják, hogy a hajóba beépített belső égésű motorok a paramétereik, alkatrészeik és szabályozható jellemzőik szempontjából teljesítik a 9.01. cikk 3. bekezdése szerinti dokumentumokban meghatározott előírásokat, akkor feltételezhető, hogy a belső égésű motorok kipufogógáz- és szilárd halmazállapotú szennyezőanyag-kibocsátása is megfelel a határértékeknek.</w:t>
      </w:r>
    </w:p>
    <w:p w:rsidR="00DE2419" w:rsidRPr="00F125EF" w:rsidRDefault="00DE2419" w:rsidP="00DE2419">
      <w:pPr>
        <w:pStyle w:val="ESch"/>
        <w:rPr>
          <w:rFonts w:cs="Arial"/>
          <w:szCs w:val="20"/>
          <w:lang w:val="nb-NO"/>
        </w:rPr>
      </w:pPr>
    </w:p>
    <w:p w:rsidR="00DE2419" w:rsidRPr="00F125EF" w:rsidRDefault="00DE2419" w:rsidP="00DE2419">
      <w:pPr>
        <w:pStyle w:val="ESchpar"/>
        <w:rPr>
          <w:snapToGrid w:val="0"/>
          <w:color w:val="000000"/>
          <w:lang w:val="nb-NO"/>
        </w:rPr>
      </w:pPr>
      <w:r w:rsidRPr="00F125EF">
        <w:rPr>
          <w:lang w:val="nb-NO"/>
        </w:rPr>
        <w:t xml:space="preserve">Ha az ellenőrző szerv megállapítja, hogy a belső égésű motor nem felel meg a 9.01. cikk 3. bekezdésében említett dokumentumokban meghatározott követelményeknek, </w:t>
      </w:r>
      <w:r w:rsidRPr="00F125EF">
        <w:rPr>
          <w:snapToGrid w:val="0"/>
          <w:color w:val="000000"/>
          <w:lang w:val="nb-NO"/>
        </w:rPr>
        <w:t>akkor előírja, hogy tegyenek lépéseket a belső égésű motor megfelelőségének helyreállítása érdekében</w:t>
      </w:r>
      <w:r w:rsidRPr="00F125EF">
        <w:rPr>
          <w:lang w:val="nb-NO"/>
        </w:rPr>
        <w:t>.</w:t>
      </w:r>
    </w:p>
    <w:p w:rsidR="00DE2419" w:rsidRPr="00F125EF" w:rsidRDefault="00DE2419" w:rsidP="00DE2419">
      <w:pPr>
        <w:pStyle w:val="ESch"/>
        <w:rPr>
          <w:lang w:val="nb-NO"/>
        </w:rPr>
      </w:pPr>
    </w:p>
    <w:p w:rsidR="00DE2419" w:rsidRPr="00F125EF" w:rsidRDefault="00DE2419" w:rsidP="00DE2419">
      <w:pPr>
        <w:pStyle w:val="ESch"/>
        <w:rPr>
          <w:lang w:val="nb-NO"/>
        </w:rPr>
      </w:pPr>
      <w:r w:rsidRPr="00F125EF">
        <w:rPr>
          <w:lang w:val="nb-NO"/>
        </w:rPr>
        <w:t>4.</w:t>
      </w:r>
      <w:r w:rsidRPr="00F125EF">
        <w:rPr>
          <w:lang w:val="nb-NO"/>
        </w:rPr>
        <w:tab/>
        <w:t xml:space="preserve">Kipufogógáz-utókezelő rendszerrel felszerelt </w:t>
      </w:r>
      <w:r w:rsidRPr="00F125EF">
        <w:rPr>
          <w:snapToGrid w:val="0"/>
          <w:color w:val="000000"/>
          <w:lang w:val="nb-NO"/>
        </w:rPr>
        <w:t>belső égésű</w:t>
      </w:r>
      <w:r w:rsidRPr="00F125EF">
        <w:rPr>
          <w:lang w:val="nb-NO"/>
        </w:rPr>
        <w:t xml:space="preserve"> motorok esetében az átvételi, időközi és rendkívüli vizsgálatok alkalmával ellenőrzéseket kell végrehajtani annak megállapítása érdekében, hogy ezek a rendszerek megfelelően működnek-e. </w:t>
      </w:r>
    </w:p>
    <w:p w:rsidR="00DE2419" w:rsidRPr="00F125EF" w:rsidRDefault="00DE2419" w:rsidP="00DE2419">
      <w:pPr>
        <w:pStyle w:val="ESch"/>
        <w:rPr>
          <w:lang w:val="nb-NO"/>
        </w:rPr>
      </w:pPr>
    </w:p>
    <w:p w:rsidR="00DE2419" w:rsidRPr="00F125EF" w:rsidRDefault="00DE2419" w:rsidP="00DE2419">
      <w:pPr>
        <w:pStyle w:val="ESch"/>
        <w:rPr>
          <w:lang w:val="nb-NO"/>
        </w:rPr>
      </w:pPr>
    </w:p>
    <w:p w:rsidR="00DE2419" w:rsidRPr="00F125EF" w:rsidRDefault="00DE2419" w:rsidP="00DE2419">
      <w:pPr>
        <w:pStyle w:val="ES-Titre3"/>
        <w:rPr>
          <w:i/>
          <w:lang w:val="nb-NO"/>
        </w:rPr>
      </w:pPr>
      <w:bookmarkStart w:id="151" w:name="_Toc491854073"/>
      <w:bookmarkStart w:id="152" w:name="_Toc535853852"/>
      <w:r w:rsidRPr="00F125EF">
        <w:rPr>
          <w:lang w:val="nb-NO"/>
        </w:rPr>
        <w:t>9.06. cikk</w:t>
      </w:r>
      <w:r w:rsidRPr="00F125EF">
        <w:rPr>
          <w:lang w:val="nb-NO"/>
        </w:rPr>
        <w:br/>
      </w:r>
      <w:r w:rsidRPr="00F125EF">
        <w:rPr>
          <w:i/>
          <w:lang w:val="nb-NO"/>
        </w:rPr>
        <w:t>Átvételi vizsgálatok</w:t>
      </w:r>
      <w:bookmarkEnd w:id="151"/>
      <w:bookmarkEnd w:id="152"/>
    </w:p>
    <w:p w:rsidR="00DE2419" w:rsidRPr="00F125EF" w:rsidRDefault="00DE2419" w:rsidP="00DE2419">
      <w:pPr>
        <w:pStyle w:val="ESch"/>
        <w:rPr>
          <w:lang w:val="nb-NO"/>
        </w:rPr>
      </w:pPr>
    </w:p>
    <w:p w:rsidR="00DE2419" w:rsidRPr="00F125EF" w:rsidRDefault="00DE2419" w:rsidP="00DE2419">
      <w:pPr>
        <w:pStyle w:val="ESch"/>
        <w:rPr>
          <w:lang w:val="nb-NO"/>
        </w:rPr>
      </w:pPr>
      <w:r w:rsidRPr="00F125EF">
        <w:rPr>
          <w:lang w:val="nb-NO"/>
        </w:rPr>
        <w:t>1.</w:t>
      </w:r>
      <w:r w:rsidRPr="00F125EF">
        <w:rPr>
          <w:lang w:val="nb-NO"/>
        </w:rPr>
        <w:tab/>
        <w:t xml:space="preserve">A </w:t>
      </w:r>
      <w:r w:rsidRPr="00F125EF">
        <w:rPr>
          <w:snapToGrid w:val="0"/>
          <w:color w:val="000000"/>
          <w:lang w:val="nb-NO"/>
        </w:rPr>
        <w:t>belső égésű</w:t>
      </w:r>
      <w:r w:rsidRPr="00F125EF">
        <w:rPr>
          <w:lang w:val="nb-NO"/>
        </w:rPr>
        <w:t xml:space="preserve"> motor hajóra történő beszerelése után, de még a használatbavétel előtt átvételi vizsgálatot kell végezni. E vizsgálat nyomán, amely részét képezi a vízi jármű kezdeti vizsgálatának vagy a megfelelő </w:t>
      </w:r>
      <w:r w:rsidRPr="00F125EF">
        <w:rPr>
          <w:snapToGrid w:val="0"/>
          <w:color w:val="000000"/>
          <w:lang w:val="nb-NO"/>
        </w:rPr>
        <w:t>belső égésű</w:t>
      </w:r>
      <w:r w:rsidRPr="00F125EF">
        <w:rPr>
          <w:lang w:val="nb-NO"/>
        </w:rPr>
        <w:t xml:space="preserve"> motor beszereléséhez kapcsolódó különleges vizsgálatnak, a motort bejegyzik az első alkalommal kibocsátandó belvízi hajóbizonyítványba, vagy pedig módosítják a meglévő belvízi hajóbizonyítványt.</w:t>
      </w:r>
    </w:p>
    <w:p w:rsidR="00DE2419" w:rsidRPr="00F125EF" w:rsidRDefault="00DE2419" w:rsidP="00DE2419">
      <w:pPr>
        <w:pStyle w:val="ESch"/>
        <w:rPr>
          <w:lang w:val="nb-NO"/>
        </w:rPr>
      </w:pPr>
    </w:p>
    <w:p w:rsidR="00DE2419" w:rsidRPr="00F125EF" w:rsidRDefault="00DE2419" w:rsidP="00DE2419">
      <w:pPr>
        <w:pStyle w:val="ESch"/>
        <w:rPr>
          <w:rFonts w:cs="Arial"/>
          <w:szCs w:val="20"/>
          <w:lang w:val="nb-NO"/>
        </w:rPr>
      </w:pPr>
      <w:r w:rsidRPr="00F125EF">
        <w:rPr>
          <w:lang w:val="nb-NO"/>
        </w:rPr>
        <w:t>2.</w:t>
      </w:r>
      <w:r w:rsidRPr="00F125EF">
        <w:rPr>
          <w:lang w:val="nb-NO"/>
        </w:rPr>
        <w:tab/>
        <w:t xml:space="preserve">Az átvételi vizsgálat során az ellenőrző szerv meggyőződik arról, hogy a hajóba beépített motor – adott esetben a rajta a típusjóváhagyás kibocsátása óta elvégzett módosítások vagy kiigazítások ellenére – továbbra is megfelel a gáz- és szilárd halmazállapotú szennyezőanyag-kibocsátás szintjére vonatkozó műszaki követelményeknek. </w:t>
      </w:r>
    </w:p>
    <w:p w:rsidR="00DE2419" w:rsidRPr="00F125EF" w:rsidRDefault="00DE2419" w:rsidP="00DE2419">
      <w:pPr>
        <w:pStyle w:val="ESch"/>
        <w:rPr>
          <w:lang w:val="nb-NO"/>
        </w:rPr>
      </w:pPr>
    </w:p>
    <w:p w:rsidR="00211AAA" w:rsidRPr="00F125EF" w:rsidRDefault="00211AAA">
      <w:pPr>
        <w:rPr>
          <w:lang w:val="nb-NO"/>
        </w:rPr>
      </w:pPr>
      <w:r w:rsidRPr="00F125EF">
        <w:rPr>
          <w:lang w:val="nb-NO"/>
        </w:rPr>
        <w:br w:type="page"/>
      </w:r>
    </w:p>
    <w:p w:rsidR="00211AAA" w:rsidRPr="00F125EF" w:rsidRDefault="00211AAA" w:rsidP="00DE2419">
      <w:pPr>
        <w:pStyle w:val="ESch"/>
        <w:rPr>
          <w:lang w:val="nb-NO"/>
        </w:rPr>
      </w:pPr>
    </w:p>
    <w:p w:rsidR="00DE2419" w:rsidRPr="00F125EF" w:rsidRDefault="00DE2419" w:rsidP="00DE2419">
      <w:pPr>
        <w:pStyle w:val="ESch"/>
        <w:rPr>
          <w:lang w:val="nb-NO"/>
        </w:rPr>
      </w:pPr>
      <w:r w:rsidRPr="00F125EF">
        <w:rPr>
          <w:lang w:val="nb-NO"/>
        </w:rPr>
        <w:t>3.</w:t>
      </w:r>
      <w:r w:rsidRPr="00F125EF">
        <w:rPr>
          <w:lang w:val="nb-NO"/>
        </w:rPr>
        <w:tab/>
        <w:t>Az ellenőrző szerv eltekinthet az 1. bekezdés szerinti átvételi vizsgálattól, ha egy 130 kW-nál kisebb referenciateljesítményű (</w:t>
      </w:r>
      <m:oMath>
        <m:sSub>
          <m:sSubPr>
            <m:ctrlPr>
              <w:rPr>
                <w:rFonts w:ascii="Cambria Math" w:hAnsi="Cambria Math" w:cs="Arial"/>
                <w:i/>
                <w:szCs w:val="20"/>
              </w:rPr>
            </m:ctrlPr>
          </m:sSubPr>
          <m:e>
            <m:r>
              <w:rPr>
                <w:rFonts w:ascii="Cambria Math" w:hAnsi="Cambria Math" w:cs="Arial"/>
                <w:szCs w:val="20"/>
              </w:rPr>
              <m:t>P</m:t>
            </m:r>
          </m:e>
          <m:sub>
            <m:r>
              <w:rPr>
                <w:rFonts w:ascii="Cambria Math" w:hAnsi="Cambria Math" w:cs="Arial"/>
                <w:szCs w:val="20"/>
              </w:rPr>
              <m:t>N</m:t>
            </m:r>
          </m:sub>
        </m:sSub>
      </m:oMath>
      <w:r w:rsidRPr="00F125EF">
        <w:rPr>
          <w:lang w:val="nb-NO"/>
        </w:rPr>
        <w:t xml:space="preserve">) </w:t>
      </w:r>
      <w:r w:rsidRPr="00F125EF">
        <w:rPr>
          <w:snapToGrid w:val="0"/>
          <w:color w:val="000000"/>
          <w:lang w:val="nb-NO"/>
        </w:rPr>
        <w:t>belső égésű</w:t>
      </w:r>
      <w:r w:rsidRPr="00F125EF">
        <w:rPr>
          <w:lang w:val="nb-NO"/>
        </w:rPr>
        <w:t xml:space="preserve"> motort a 9.01. cikk 2. bekezdése szerinti, ugyanazon típusjóváhagyás hatálya alá tartozó belső égésű motorra cserélnek. Előfeltételként az ellenőrző szervet értesíteni kell a motor cseréjéről, továbbá mellékelni kell a típusjóváhagyási dokumentum egy példányát és az újonnan beépített motor azonosító számát. Az ellenőrző szerv megfelelően módosítja a belvízi hajóbizonyítvány 52. rovatának bejegyzését.</w:t>
      </w:r>
    </w:p>
    <w:p w:rsidR="00DE2419" w:rsidRPr="00F125EF" w:rsidRDefault="00DE2419" w:rsidP="00DE2419">
      <w:pPr>
        <w:pStyle w:val="ESch"/>
        <w:rPr>
          <w:noProof/>
          <w:lang w:val="nb-NO"/>
        </w:rPr>
      </w:pPr>
    </w:p>
    <w:p w:rsidR="00DE2419" w:rsidRPr="00F125EF" w:rsidRDefault="00DE2419" w:rsidP="00DE2419">
      <w:pPr>
        <w:pStyle w:val="ESlet"/>
        <w:spacing w:before="0"/>
        <w:ind w:left="567" w:hanging="567"/>
        <w:rPr>
          <w:noProof/>
          <w:lang w:val="nb-NO"/>
        </w:rPr>
      </w:pPr>
    </w:p>
    <w:p w:rsidR="00DE2419" w:rsidRPr="00F125EF" w:rsidRDefault="00DE2419" w:rsidP="00DE2419">
      <w:pPr>
        <w:pStyle w:val="ES-Titre3"/>
        <w:rPr>
          <w:i/>
          <w:lang w:val="nb-NO"/>
        </w:rPr>
      </w:pPr>
      <w:bookmarkStart w:id="153" w:name="_Toc491854074"/>
      <w:bookmarkStart w:id="154" w:name="_Toc535853853"/>
      <w:r w:rsidRPr="00F125EF">
        <w:rPr>
          <w:lang w:val="nb-NO"/>
        </w:rPr>
        <w:t>9.07. cikk</w:t>
      </w:r>
      <w:r w:rsidRPr="00F125EF">
        <w:rPr>
          <w:lang w:val="nb-NO"/>
        </w:rPr>
        <w:br/>
      </w:r>
      <w:r w:rsidRPr="00F125EF">
        <w:rPr>
          <w:i/>
          <w:lang w:val="nb-NO"/>
        </w:rPr>
        <w:t>Időközi vizsgálatok</w:t>
      </w:r>
      <w:bookmarkEnd w:id="153"/>
      <w:bookmarkEnd w:id="154"/>
    </w:p>
    <w:p w:rsidR="00DE2419" w:rsidRPr="00F125EF" w:rsidRDefault="00DE2419" w:rsidP="00DE2419">
      <w:pPr>
        <w:pStyle w:val="ESch"/>
        <w:rPr>
          <w:lang w:val="nb-NO"/>
        </w:rPr>
      </w:pPr>
    </w:p>
    <w:p w:rsidR="00DE2419" w:rsidRPr="00F125EF" w:rsidRDefault="00DE2419" w:rsidP="00DE2419">
      <w:pPr>
        <w:pStyle w:val="ESch"/>
        <w:rPr>
          <w:szCs w:val="20"/>
          <w:lang w:val="nb-NO"/>
        </w:rPr>
      </w:pPr>
      <w:r w:rsidRPr="00F125EF">
        <w:rPr>
          <w:lang w:val="nb-NO"/>
        </w:rPr>
        <w:t>1.</w:t>
      </w:r>
      <w:r w:rsidRPr="00F125EF">
        <w:rPr>
          <w:lang w:val="nb-NO"/>
        </w:rPr>
        <w:tab/>
        <w:t xml:space="preserve">Az időközi vizsgálatok során az ellenőrző szerv meggyőződik arról, hogy a hajóba beépített motor – adott esetben a rajta az átvételi vizsgálat óta elvégzett módosítások vagy kiigazítások ellenére – továbbra is megfelel a gáz- és szilárd halmazállapotú szennyezőanyag-kibocsátás szintjére vonatkozó műszaki követelményeknek. </w:t>
      </w:r>
    </w:p>
    <w:p w:rsidR="00DE2419" w:rsidRPr="00F125EF" w:rsidRDefault="00DE2419" w:rsidP="00DE2419">
      <w:pPr>
        <w:pStyle w:val="ESch"/>
        <w:rPr>
          <w:szCs w:val="20"/>
          <w:lang w:val="nb-NO"/>
        </w:rPr>
      </w:pPr>
    </w:p>
    <w:p w:rsidR="00DE2419" w:rsidRPr="00F125EF" w:rsidRDefault="00DE2419" w:rsidP="00DE2419">
      <w:pPr>
        <w:pStyle w:val="ESch"/>
        <w:rPr>
          <w:szCs w:val="20"/>
          <w:lang w:val="nb-NO"/>
        </w:rPr>
      </w:pPr>
      <w:r w:rsidRPr="00F125EF">
        <w:rPr>
          <w:lang w:val="nb-NO"/>
        </w:rPr>
        <w:t>2.</w:t>
      </w:r>
      <w:r w:rsidRPr="00F125EF">
        <w:rPr>
          <w:lang w:val="nb-NO"/>
        </w:rPr>
        <w:tab/>
        <w:t xml:space="preserve">A belső égésű motorok időközi vizsgálatait a vízi jármű időszakos </w:t>
      </w:r>
      <w:r w:rsidR="0092642D">
        <w:rPr>
          <w:lang w:val="nb-NO"/>
        </w:rPr>
        <w:t>vizsgálataihoz</w:t>
      </w:r>
      <w:r w:rsidRPr="00F125EF">
        <w:rPr>
          <w:lang w:val="nb-NO"/>
        </w:rPr>
        <w:t xml:space="preserve"> kapcsolódóan kell elvégezni.</w:t>
      </w:r>
    </w:p>
    <w:p w:rsidR="00DE2419" w:rsidRPr="00F125EF" w:rsidRDefault="00DE2419" w:rsidP="00DE2419">
      <w:pPr>
        <w:pStyle w:val="ESch"/>
        <w:rPr>
          <w:szCs w:val="20"/>
          <w:lang w:val="nb-NO"/>
        </w:rPr>
      </w:pPr>
    </w:p>
    <w:p w:rsidR="00DE2419" w:rsidRPr="00F125EF" w:rsidRDefault="00DE2419" w:rsidP="00DE2419">
      <w:pPr>
        <w:pStyle w:val="ESch"/>
        <w:rPr>
          <w:szCs w:val="20"/>
          <w:lang w:val="nb-NO"/>
        </w:rPr>
      </w:pPr>
    </w:p>
    <w:p w:rsidR="00DE2419" w:rsidRPr="00F125EF" w:rsidRDefault="00DE2419" w:rsidP="00DE2419">
      <w:pPr>
        <w:pStyle w:val="ES-Titre3"/>
        <w:rPr>
          <w:i/>
          <w:lang w:val="nb-NO"/>
        </w:rPr>
      </w:pPr>
      <w:bookmarkStart w:id="155" w:name="_Toc491854075"/>
      <w:bookmarkStart w:id="156" w:name="_Toc535853854"/>
      <w:r w:rsidRPr="00F125EF">
        <w:rPr>
          <w:lang w:val="nb-NO"/>
        </w:rPr>
        <w:t>9.08. cikk</w:t>
      </w:r>
      <w:r w:rsidRPr="00F125EF">
        <w:rPr>
          <w:lang w:val="nb-NO"/>
        </w:rPr>
        <w:br/>
      </w:r>
      <w:r w:rsidRPr="00F125EF">
        <w:rPr>
          <w:i/>
          <w:lang w:val="nb-NO"/>
        </w:rPr>
        <w:t>Rendkívüli vizsgálatok</w:t>
      </w:r>
      <w:bookmarkEnd w:id="155"/>
      <w:bookmarkEnd w:id="156"/>
    </w:p>
    <w:p w:rsidR="00DE2419" w:rsidRPr="00F125EF" w:rsidRDefault="00DE2419" w:rsidP="00DE2419">
      <w:pPr>
        <w:pStyle w:val="ESch"/>
        <w:rPr>
          <w:lang w:val="nb-NO"/>
        </w:rPr>
      </w:pPr>
    </w:p>
    <w:p w:rsidR="00DE2419" w:rsidRPr="00F125EF" w:rsidRDefault="00DE2419" w:rsidP="00DE2419">
      <w:pPr>
        <w:pStyle w:val="ESch"/>
        <w:rPr>
          <w:szCs w:val="20"/>
          <w:lang w:val="nb-NO"/>
        </w:rPr>
      </w:pPr>
      <w:r w:rsidRPr="00F125EF">
        <w:rPr>
          <w:lang w:val="nb-NO"/>
        </w:rPr>
        <w:t>1.</w:t>
      </w:r>
      <w:r w:rsidRPr="00F125EF">
        <w:rPr>
          <w:lang w:val="nb-NO"/>
        </w:rPr>
        <w:tab/>
        <w:t xml:space="preserve">A rendkívüli vizsgálatok során az ellenőrző szerv minden egyes jelentős módosítást követően meggyőződik arról, hogy a hajóba beépített motor továbbra is megfelel a gáz- és szilárd halmazállapotú szennyezőanyag-kibocsátás szintjére vonatkozó műszaki követelményeknek. </w:t>
      </w:r>
    </w:p>
    <w:p w:rsidR="00DE2419" w:rsidRPr="00F125EF" w:rsidRDefault="00DE2419" w:rsidP="00DE2419">
      <w:pPr>
        <w:pStyle w:val="ESch"/>
        <w:rPr>
          <w:lang w:val="nb-NO"/>
        </w:rPr>
      </w:pPr>
    </w:p>
    <w:p w:rsidR="00DE2419" w:rsidRPr="00F125EF" w:rsidRDefault="00DE2419" w:rsidP="00DE2419">
      <w:pPr>
        <w:pStyle w:val="ESch"/>
        <w:rPr>
          <w:lang w:val="nb-NO"/>
        </w:rPr>
      </w:pPr>
      <w:r w:rsidRPr="00F125EF">
        <w:rPr>
          <w:lang w:val="nb-NO"/>
        </w:rPr>
        <w:t>2.</w:t>
      </w:r>
      <w:r w:rsidRPr="00F125EF">
        <w:rPr>
          <w:lang w:val="nb-NO"/>
        </w:rPr>
        <w:tab/>
        <w:t>A motor minden egyes jelentős módosítását követően újabb rendkívüli vizsgálatot kell végezni, ha az ilyen jellegű módosítások hatást gyakorolhatnak a belső égésű motor gáz- és szilárd halmazállapotú szennyezőanyag-kibocsátására.</w:t>
      </w:r>
    </w:p>
    <w:p w:rsidR="00DE2419" w:rsidRPr="00F125EF" w:rsidRDefault="00DE2419" w:rsidP="00DE2419">
      <w:pPr>
        <w:rPr>
          <w:rFonts w:cs="Arial"/>
          <w:szCs w:val="20"/>
          <w:lang w:val="nb-NO"/>
        </w:rPr>
      </w:pPr>
    </w:p>
    <w:p w:rsidR="00DE2419" w:rsidRPr="00F125EF" w:rsidRDefault="00DE2419" w:rsidP="00DE2419">
      <w:pPr>
        <w:pStyle w:val="ESch"/>
        <w:rPr>
          <w:lang w:val="nb-NO"/>
        </w:rPr>
      </w:pPr>
    </w:p>
    <w:p w:rsidR="00DE2419" w:rsidRPr="00F125EF" w:rsidRDefault="00DE2419" w:rsidP="00DE2419">
      <w:pPr>
        <w:pStyle w:val="ES-Titre3"/>
        <w:rPr>
          <w:i/>
          <w:lang w:val="nb-NO"/>
        </w:rPr>
      </w:pPr>
      <w:bookmarkStart w:id="157" w:name="_Toc491854076"/>
      <w:bookmarkStart w:id="158" w:name="_Toc535853855"/>
      <w:r w:rsidRPr="00F125EF">
        <w:rPr>
          <w:lang w:val="nb-NO"/>
        </w:rPr>
        <w:t>9.09. cikk</w:t>
      </w:r>
      <w:r w:rsidRPr="00F125EF">
        <w:rPr>
          <w:lang w:val="nb-NO"/>
        </w:rPr>
        <w:br/>
      </w:r>
      <w:r w:rsidRPr="00F125EF">
        <w:rPr>
          <w:i/>
          <w:lang w:val="nb-NO"/>
        </w:rPr>
        <w:t>A kipufogógáz-utókezelő rendszerekre vonatkozó külön követelmények</w:t>
      </w:r>
      <w:bookmarkEnd w:id="157"/>
      <w:bookmarkEnd w:id="158"/>
    </w:p>
    <w:p w:rsidR="00DE2419" w:rsidRPr="00F125EF" w:rsidRDefault="00DE2419" w:rsidP="00DE2419">
      <w:pPr>
        <w:pStyle w:val="ESch"/>
        <w:rPr>
          <w:lang w:val="nb-NO"/>
        </w:rPr>
      </w:pPr>
    </w:p>
    <w:p w:rsidR="00DE2419" w:rsidRPr="00F125EF" w:rsidRDefault="00DE2419" w:rsidP="00DE2419">
      <w:pPr>
        <w:pStyle w:val="ESch"/>
        <w:rPr>
          <w:rFonts w:cs="Arial"/>
          <w:szCs w:val="20"/>
          <w:lang w:val="nb-NO"/>
        </w:rPr>
      </w:pPr>
      <w:r w:rsidRPr="00F125EF">
        <w:rPr>
          <w:lang w:val="nb-NO"/>
        </w:rPr>
        <w:t>1.</w:t>
      </w:r>
      <w:r w:rsidRPr="00F125EF">
        <w:rPr>
          <w:lang w:val="nb-NO"/>
        </w:rPr>
        <w:tab/>
        <w:t xml:space="preserve">A kipufogógáz-utókezelő rendszer nem befolyásolhatja a vízi jármű biztonságos működését, beleértve a propulziós rendszert és az energiaellátást is, és nem blokkolja a kipufogórendszert. </w:t>
      </w:r>
    </w:p>
    <w:p w:rsidR="00DE2419" w:rsidRPr="00F125EF" w:rsidRDefault="00DE2419" w:rsidP="00DE2419">
      <w:pPr>
        <w:pStyle w:val="ESch"/>
        <w:rPr>
          <w:rFonts w:cs="Arial"/>
          <w:szCs w:val="20"/>
          <w:lang w:val="nb-NO"/>
        </w:rPr>
      </w:pPr>
    </w:p>
    <w:p w:rsidR="00DE2419" w:rsidRPr="00F125EF" w:rsidRDefault="00DE2419" w:rsidP="00DE2419">
      <w:pPr>
        <w:pStyle w:val="ESch"/>
        <w:rPr>
          <w:lang w:val="nb-NO"/>
        </w:rPr>
      </w:pPr>
      <w:r w:rsidRPr="00EF4E57">
        <w:rPr>
          <w:lang w:val="nb-NO"/>
        </w:rPr>
        <w:t>2.</w:t>
      </w:r>
      <w:r w:rsidRPr="00F125EF">
        <w:rPr>
          <w:lang w:val="nb-NO"/>
        </w:rPr>
        <w:tab/>
        <w:t>Amennyiben a vízi jármű fő meghajtását biztosító belső égésű motorok kipufogógáz-utókezelő rendszerét a megkerülését lehetővé tévő eszközzel szerelték fel, a megkerülést biztosító eszköznek meg kell felelnie a következő feltételeknek:</w:t>
      </w:r>
    </w:p>
    <w:p w:rsidR="00DE2419" w:rsidRPr="00F125EF" w:rsidRDefault="00DE2419" w:rsidP="00DE2419">
      <w:pPr>
        <w:pStyle w:val="ESlet"/>
        <w:rPr>
          <w:lang w:val="nb-NO"/>
        </w:rPr>
      </w:pPr>
      <w:r w:rsidRPr="00F125EF">
        <w:rPr>
          <w:lang w:val="nb-NO"/>
        </w:rPr>
        <w:t>a)</w:t>
      </w:r>
      <w:r w:rsidRPr="00F125EF">
        <w:rPr>
          <w:lang w:val="nb-NO"/>
        </w:rPr>
        <w:tab/>
        <w:t>A kipufogógáz-utókezelő rendszer meghibásodása esetén a megkerülést biztosító eszközt működtető funkciónak lehetővé kell tennie a vízi jármű számára, hogy saját erejéből kormányozható maradjon.</w:t>
      </w:r>
    </w:p>
    <w:p w:rsidR="00DE2419" w:rsidRPr="00F125EF" w:rsidRDefault="00DE2419" w:rsidP="00DE2419">
      <w:pPr>
        <w:pStyle w:val="ESlet"/>
        <w:rPr>
          <w:lang w:val="nb-NO"/>
        </w:rPr>
      </w:pPr>
      <w:r w:rsidRPr="00F125EF">
        <w:rPr>
          <w:lang w:val="nb-NO"/>
        </w:rPr>
        <w:t>b)</w:t>
      </w:r>
      <w:r w:rsidRPr="00F125EF">
        <w:rPr>
          <w:lang w:val="nb-NO"/>
        </w:rPr>
        <w:tab/>
        <w:t>A megkerülést biztosító eszköz működésbe lépésekor a megkerülést biztosító eszköz vezérlése akusztikai és optikai vészjelzést ad a kormányállásban.</w:t>
      </w:r>
    </w:p>
    <w:p w:rsidR="00DE2419" w:rsidRPr="00F125EF" w:rsidRDefault="00DE2419" w:rsidP="00DE2419">
      <w:pPr>
        <w:pStyle w:val="ESlet"/>
        <w:rPr>
          <w:rFonts w:cs="Arial"/>
          <w:lang w:val="nb-NO"/>
        </w:rPr>
      </w:pPr>
      <w:r w:rsidRPr="00F125EF">
        <w:rPr>
          <w:lang w:val="nb-NO"/>
        </w:rPr>
        <w:t>c)</w:t>
      </w:r>
      <w:r w:rsidRPr="00F125EF">
        <w:rPr>
          <w:lang w:val="nb-NO"/>
        </w:rPr>
        <w:tab/>
        <w:t>A megkerülést biztosító eszköz vezérlése nem felejtő számítógépes memóriával rögzít minden olyan eseményt, amikor a motor megkerülést biztosító eszköz használata mellett üzemelt. Az információnak az illetékes hatóságok számára könnyen hozzáférhetőnek kell lennie.</w:t>
      </w:r>
    </w:p>
    <w:p w:rsidR="00DE2419" w:rsidRPr="00F125EF" w:rsidRDefault="00DE2419" w:rsidP="00DE2419">
      <w:pPr>
        <w:pStyle w:val="ESch"/>
        <w:rPr>
          <w:lang w:val="nb-NO"/>
        </w:rPr>
      </w:pPr>
    </w:p>
    <w:p w:rsidR="00211AAA" w:rsidRPr="00F125EF" w:rsidRDefault="00211AAA">
      <w:pPr>
        <w:rPr>
          <w:lang w:val="nb-NO"/>
        </w:rPr>
      </w:pPr>
      <w:r w:rsidRPr="00F125EF">
        <w:rPr>
          <w:lang w:val="nb-NO"/>
        </w:rPr>
        <w:br w:type="page"/>
      </w:r>
    </w:p>
    <w:p w:rsidR="00211AAA" w:rsidRPr="00F125EF" w:rsidRDefault="00211AAA" w:rsidP="00DE2419">
      <w:pPr>
        <w:pStyle w:val="ESch"/>
        <w:rPr>
          <w:lang w:val="nb-NO"/>
        </w:rPr>
      </w:pPr>
    </w:p>
    <w:p w:rsidR="00DE2419" w:rsidRPr="00F125EF" w:rsidRDefault="00DE2419" w:rsidP="00DE2419">
      <w:pPr>
        <w:pStyle w:val="ESch"/>
        <w:rPr>
          <w:lang w:val="nb-NO"/>
        </w:rPr>
      </w:pPr>
      <w:r w:rsidRPr="00F125EF">
        <w:rPr>
          <w:lang w:val="nb-NO"/>
        </w:rPr>
        <w:t>3.</w:t>
      </w:r>
      <w:r w:rsidRPr="00F125EF">
        <w:rPr>
          <w:lang w:val="nb-NO"/>
        </w:rPr>
        <w:tab/>
        <w:t>Amennyiben az (EU) 2016/1628 rendelet 25. cikke (3) bekezdésének f) pontja szerint szabályozásdiagnosztikai rendszert szerelnek fel, az előírt riasztás akusztikai és optikai vészjelzést ad a kormányállásban működési hiba esetén.</w:t>
      </w:r>
    </w:p>
    <w:p w:rsidR="00DE2419" w:rsidRPr="00F125EF" w:rsidRDefault="00DE2419" w:rsidP="00DE2419">
      <w:pPr>
        <w:pStyle w:val="ESch"/>
        <w:rPr>
          <w:lang w:val="nb-NO"/>
        </w:rPr>
      </w:pPr>
    </w:p>
    <w:p w:rsidR="00DE2419" w:rsidRPr="00F125EF" w:rsidRDefault="00DE2419" w:rsidP="00DE2419">
      <w:pPr>
        <w:pStyle w:val="ESch"/>
        <w:rPr>
          <w:lang w:val="nb-NO"/>
        </w:rPr>
      </w:pPr>
      <w:r w:rsidRPr="00F125EF">
        <w:rPr>
          <w:lang w:val="nb-NO"/>
        </w:rPr>
        <w:t>4.</w:t>
      </w:r>
      <w:r w:rsidRPr="00F125EF">
        <w:rPr>
          <w:lang w:val="nb-NO"/>
        </w:rPr>
        <w:tab/>
        <w:t xml:space="preserve">Ha az utókezelő rendszer a kibocsátás csökkentése érdekében reagenst használ, akkor az előírt riasztásnak figyelmeztetnie kell a legénységet a reagenstartály feltöltésére annak kiürülése előtt, vagy a reagens cseréjére, amennyiben az nem felel meg a koncentrációra vonatkozó előírásoknak. </w:t>
      </w:r>
    </w:p>
    <w:p w:rsidR="00DE2419" w:rsidRPr="00F125EF" w:rsidRDefault="00DE2419" w:rsidP="00DE2419">
      <w:pPr>
        <w:pStyle w:val="ESch"/>
        <w:rPr>
          <w:lang w:val="nb-NO"/>
        </w:rPr>
      </w:pPr>
    </w:p>
    <w:p w:rsidR="00DE2419" w:rsidRPr="00F125EF" w:rsidRDefault="00DE2419" w:rsidP="00DE2419">
      <w:pPr>
        <w:pStyle w:val="ESchpar"/>
        <w:rPr>
          <w:lang w:val="nb-NO"/>
        </w:rPr>
      </w:pPr>
      <w:r w:rsidRPr="00F125EF">
        <w:rPr>
          <w:lang w:val="nb-NO"/>
        </w:rPr>
        <w:t>Ha az (EU) 2016/1628 rendelet 25. cikke (3) bekezdésének f) pontja szerint felszerelt diagnosztikai szabályozási rendszer képes aktiválni a belső égésű motor teljesítménycsökkentését, a következő követelményeknek kell teljesülniük:</w:t>
      </w:r>
    </w:p>
    <w:p w:rsidR="00DE2419" w:rsidRPr="00F125EF" w:rsidRDefault="00DE2419" w:rsidP="00DE2419">
      <w:pPr>
        <w:spacing w:before="60" w:line="240" w:lineRule="atLeast"/>
        <w:ind w:left="993" w:hanging="426"/>
        <w:rPr>
          <w:lang w:val="nb-NO"/>
        </w:rPr>
      </w:pPr>
      <w:r w:rsidRPr="00F125EF">
        <w:rPr>
          <w:lang w:val="nb-NO"/>
        </w:rPr>
        <w:t>a)</w:t>
      </w:r>
      <w:r w:rsidRPr="00F125EF">
        <w:rPr>
          <w:lang w:val="nb-NO"/>
        </w:rPr>
        <w:tab/>
        <w:t>A teljesítménycsökkentést aktiváló funkciónak lehetővé kell tennie a vízi jármű számára, hogy saját erejéből kormányozható maradjon.</w:t>
      </w:r>
    </w:p>
    <w:p w:rsidR="00DE2419" w:rsidRPr="00F125EF" w:rsidRDefault="00DE2419" w:rsidP="00DE2419">
      <w:pPr>
        <w:spacing w:before="60" w:line="240" w:lineRule="atLeast"/>
        <w:ind w:left="993" w:hanging="426"/>
        <w:rPr>
          <w:lang w:val="nb-NO"/>
        </w:rPr>
      </w:pPr>
      <w:r w:rsidRPr="00F125EF">
        <w:rPr>
          <w:lang w:val="nb-NO"/>
        </w:rPr>
        <w:t>b)</w:t>
      </w:r>
      <w:r w:rsidRPr="00F125EF">
        <w:rPr>
          <w:lang w:val="nb-NO"/>
        </w:rPr>
        <w:tab/>
        <w:t>A teljesítménycsökkentés működésbe lépésekor a vezérlés akusztikai és optikai vészjelzést ad a kormányállásban.</w:t>
      </w:r>
    </w:p>
    <w:p w:rsidR="00DE2419" w:rsidRPr="00F125EF" w:rsidRDefault="00DE2419" w:rsidP="00DE2419">
      <w:pPr>
        <w:pStyle w:val="ESch"/>
        <w:rPr>
          <w:lang w:val="nb-NO"/>
        </w:rPr>
      </w:pPr>
    </w:p>
    <w:p w:rsidR="00DE2419" w:rsidRPr="00F125EF" w:rsidRDefault="00DE2419" w:rsidP="00DE2419">
      <w:pPr>
        <w:pStyle w:val="ESch"/>
        <w:rPr>
          <w:lang w:val="nb-NO"/>
        </w:rPr>
      </w:pPr>
      <w:r w:rsidRPr="00EF4E57">
        <w:rPr>
          <w:lang w:val="nb-NO"/>
        </w:rPr>
        <w:t>5.</w:t>
      </w:r>
      <w:r w:rsidRPr="00F125EF">
        <w:rPr>
          <w:lang w:val="nb-NO"/>
        </w:rPr>
        <w:tab/>
        <w:t xml:space="preserve">Az 1. bekezdés szerinti követelmény teljesítettnek tekintendő, ha a hajó fel van szerelve: </w:t>
      </w:r>
    </w:p>
    <w:p w:rsidR="00DE2419" w:rsidRPr="00F125EF" w:rsidRDefault="00DE2419" w:rsidP="00DE2419">
      <w:pPr>
        <w:pStyle w:val="ESlet"/>
        <w:rPr>
          <w:lang w:val="nb-NO"/>
        </w:rPr>
      </w:pPr>
      <w:r w:rsidRPr="00F125EF">
        <w:rPr>
          <w:lang w:val="nb-NO"/>
        </w:rPr>
        <w:t>a)</w:t>
      </w:r>
      <w:r w:rsidRPr="00F125EF">
        <w:rPr>
          <w:lang w:val="nb-NO"/>
        </w:rPr>
        <w:tab/>
        <w:t>egy második független propulziós rendszerrel (még akkor is, ha a második rendszer is magában foglal egy kipufogógáz-utókezelő rendszert), lehetővé téve a vízi jármű számára, hogy saját erejéből kormányozható maradjon; vagy</w:t>
      </w:r>
    </w:p>
    <w:p w:rsidR="00DE2419" w:rsidRPr="00F125EF" w:rsidRDefault="00DE2419" w:rsidP="00DE2419">
      <w:pPr>
        <w:pStyle w:val="ESlet"/>
        <w:rPr>
          <w:lang w:val="nb-NO"/>
        </w:rPr>
      </w:pPr>
      <w:r w:rsidRPr="00F125EF">
        <w:rPr>
          <w:lang w:val="nb-NO"/>
        </w:rPr>
        <w:t>b)</w:t>
      </w:r>
      <w:r w:rsidRPr="00F125EF">
        <w:rPr>
          <w:lang w:val="nb-NO"/>
        </w:rPr>
        <w:tab/>
        <w:t xml:space="preserve">egy 2. bekezdés szerinti, megkerülést biztosító eszközzel ellátott utókezelő rendszerrel. </w:t>
      </w:r>
    </w:p>
    <w:p w:rsidR="002D2D76" w:rsidRPr="00F125EF" w:rsidRDefault="002D2D76" w:rsidP="002D2D76">
      <w:pPr>
        <w:rPr>
          <w:rFonts w:cs="Arial"/>
          <w:szCs w:val="20"/>
          <w:lang w:val="nb-NO"/>
        </w:rPr>
      </w:pPr>
    </w:p>
    <w:p w:rsidR="00E9195A" w:rsidRPr="00F125EF" w:rsidRDefault="00E9195A" w:rsidP="00245091">
      <w:pPr>
        <w:rPr>
          <w:lang w:val="nb-NO"/>
        </w:rPr>
      </w:pPr>
    </w:p>
    <w:p w:rsidR="00ED1CB3" w:rsidRPr="00F125EF" w:rsidRDefault="00ED1CB3" w:rsidP="00245091">
      <w:pPr>
        <w:rPr>
          <w:lang w:val="nb-NO"/>
        </w:rPr>
      </w:pPr>
    </w:p>
    <w:p w:rsidR="00ED1CB3" w:rsidRPr="00F125EF" w:rsidRDefault="00ED1CB3">
      <w:pPr>
        <w:rPr>
          <w:lang w:val="nb-NO"/>
        </w:rPr>
      </w:pPr>
      <w:r w:rsidRPr="00F125EF">
        <w:rPr>
          <w:lang w:val="nb-NO"/>
        </w:rPr>
        <w:br w:type="page"/>
      </w:r>
    </w:p>
    <w:p w:rsidR="00ED1CB3" w:rsidRPr="00F125EF" w:rsidRDefault="00ED1CB3" w:rsidP="00245091">
      <w:pPr>
        <w:rPr>
          <w:lang w:val="nb-NO"/>
        </w:rPr>
      </w:pPr>
    </w:p>
    <w:p w:rsidR="00ED1CB3" w:rsidRPr="00F125EF" w:rsidRDefault="00ED1CB3" w:rsidP="00245091">
      <w:pPr>
        <w:rPr>
          <w:lang w:val="nb-NO"/>
        </w:rPr>
      </w:pPr>
    </w:p>
    <w:p w:rsidR="00ED1CB3" w:rsidRPr="00F125EF" w:rsidRDefault="00ED1CB3" w:rsidP="00245091">
      <w:pPr>
        <w:rPr>
          <w:lang w:val="nb-NO"/>
        </w:rPr>
      </w:pPr>
    </w:p>
    <w:p w:rsidR="00E9195A" w:rsidRPr="00F125EF" w:rsidRDefault="00E9195A" w:rsidP="00245091">
      <w:pPr>
        <w:rPr>
          <w:lang w:val="nb-NO"/>
        </w:rPr>
      </w:pPr>
    </w:p>
    <w:p w:rsidR="0033095A" w:rsidRPr="00166EA9" w:rsidRDefault="008A12E7" w:rsidP="0033095A">
      <w:pPr>
        <w:pStyle w:val="ES-Titre2"/>
        <w:rPr>
          <w:lang w:val="nb-NO"/>
        </w:rPr>
      </w:pPr>
      <w:bookmarkStart w:id="159" w:name="_Toc491854077"/>
      <w:bookmarkStart w:id="160" w:name="_Toc535853856"/>
      <w:r w:rsidRPr="00166EA9">
        <w:rPr>
          <w:lang w:val="nb-NO"/>
        </w:rPr>
        <w:t>10. fejezet</w:t>
      </w:r>
      <w:r w:rsidRPr="00166EA9">
        <w:rPr>
          <w:lang w:val="nb-NO"/>
        </w:rPr>
        <w:br/>
        <w:t>Elektromos berendezések és felszerelések</w:t>
      </w:r>
      <w:bookmarkEnd w:id="159"/>
      <w:bookmarkEnd w:id="160"/>
    </w:p>
    <w:p w:rsidR="0033095A" w:rsidRPr="00F125EF" w:rsidRDefault="0033095A" w:rsidP="00763ADA">
      <w:pPr>
        <w:rPr>
          <w:lang w:val="nb-NO"/>
        </w:rPr>
      </w:pPr>
    </w:p>
    <w:p w:rsidR="008A12E7" w:rsidRPr="00F125EF" w:rsidRDefault="008A12E7" w:rsidP="008A12E7">
      <w:pPr>
        <w:pStyle w:val="ES-Titre3"/>
        <w:rPr>
          <w:i/>
          <w:noProof/>
          <w:lang w:val="nb-NO"/>
        </w:rPr>
      </w:pPr>
      <w:bookmarkStart w:id="161" w:name="_Toc491854078"/>
      <w:bookmarkStart w:id="162" w:name="_Toc535853857"/>
      <w:r w:rsidRPr="00F125EF">
        <w:rPr>
          <w:lang w:val="nb-NO"/>
        </w:rPr>
        <w:t>10.01. cikk</w:t>
      </w:r>
      <w:r w:rsidRPr="00F125EF">
        <w:rPr>
          <w:lang w:val="nb-NO"/>
        </w:rPr>
        <w:br/>
      </w:r>
      <w:r w:rsidRPr="00F125EF">
        <w:rPr>
          <w:i/>
          <w:noProof/>
          <w:lang w:val="nb-NO"/>
        </w:rPr>
        <w:t>Általános rendelkezések</w:t>
      </w:r>
      <w:bookmarkEnd w:id="161"/>
      <w:bookmarkEnd w:id="162"/>
    </w:p>
    <w:p w:rsidR="008A12E7" w:rsidRPr="00F125EF" w:rsidRDefault="008A12E7" w:rsidP="008A12E7">
      <w:pPr>
        <w:rPr>
          <w:rFonts w:cs="Arial"/>
          <w:noProof/>
          <w:szCs w:val="20"/>
          <w:lang w:val="nb-NO"/>
        </w:rPr>
      </w:pPr>
    </w:p>
    <w:p w:rsidR="001F02E6" w:rsidRPr="00F125EF" w:rsidRDefault="001F02E6" w:rsidP="001F02E6">
      <w:pPr>
        <w:pStyle w:val="ESch"/>
        <w:rPr>
          <w:rFonts w:eastAsia="Calibri"/>
          <w:lang w:val="nb-NO"/>
        </w:rPr>
      </w:pPr>
      <w:r w:rsidRPr="00F125EF">
        <w:rPr>
          <w:lang w:val="nb-NO"/>
        </w:rPr>
        <w:t>1.</w:t>
      </w:r>
      <w:r w:rsidRPr="00F125EF">
        <w:rPr>
          <w:lang w:val="nb-NO"/>
        </w:rPr>
        <w:tab/>
        <w:t>Ha egy elektromos felszerelés vagy elektromos berendezés bizonyos részeire nem írnak elő különleges követelményeket, a biztonsági szint akkor tekinthető kielégítőnek, ha ezeket a részeket jóváhagyott európai szabvány szerint vagy egy elismert hajóosztályozó társaság követelményeivel összhangban szerelték fel.</w:t>
      </w:r>
    </w:p>
    <w:p w:rsidR="001F02E6" w:rsidRPr="00F125EF" w:rsidRDefault="001F02E6" w:rsidP="001F02E6">
      <w:pPr>
        <w:pStyle w:val="ESchpar"/>
        <w:rPr>
          <w:rFonts w:eastAsia="Calibri"/>
          <w:lang w:val="nb-NO"/>
        </w:rPr>
      </w:pPr>
    </w:p>
    <w:p w:rsidR="001F02E6" w:rsidRPr="00F125EF" w:rsidRDefault="001F02E6" w:rsidP="001F02E6">
      <w:pPr>
        <w:pStyle w:val="ESchpar"/>
        <w:rPr>
          <w:rFonts w:eastAsia="Calibri"/>
          <w:lang w:val="nb-NO"/>
        </w:rPr>
      </w:pPr>
      <w:r w:rsidRPr="00F125EF">
        <w:rPr>
          <w:lang w:val="nb-NO"/>
        </w:rPr>
        <w:t>A vonatkozó okmányokat be kell nyújtani az ellenőrző szervnek.</w:t>
      </w:r>
    </w:p>
    <w:p w:rsidR="001F02E6" w:rsidRPr="00F125EF" w:rsidRDefault="001F02E6" w:rsidP="001F02E6">
      <w:pPr>
        <w:pStyle w:val="ESch"/>
        <w:rPr>
          <w:rFonts w:eastAsia="Calibri"/>
          <w:lang w:val="nb-NO"/>
        </w:rPr>
      </w:pPr>
    </w:p>
    <w:p w:rsidR="001F02E6" w:rsidRPr="00F125EF" w:rsidRDefault="001F02E6" w:rsidP="001F02E6">
      <w:pPr>
        <w:pStyle w:val="ESch"/>
        <w:rPr>
          <w:rFonts w:eastAsia="Calibri"/>
          <w:lang w:val="nb-NO"/>
        </w:rPr>
      </w:pPr>
      <w:r w:rsidRPr="00F125EF">
        <w:rPr>
          <w:lang w:val="nb-NO"/>
        </w:rPr>
        <w:t>2.</w:t>
      </w:r>
      <w:r w:rsidRPr="00F125EF">
        <w:rPr>
          <w:lang w:val="nb-NO"/>
        </w:rPr>
        <w:tab/>
        <w:t>A fedélzeten kell tartani az ellenőrző szerv bélyegzőjével ellátott következő dokumentumokat:</w:t>
      </w:r>
    </w:p>
    <w:p w:rsidR="001F02E6" w:rsidRPr="00F125EF" w:rsidRDefault="001F02E6" w:rsidP="001F02E6">
      <w:pPr>
        <w:pStyle w:val="ESlet"/>
        <w:rPr>
          <w:rFonts w:eastAsia="Calibri"/>
          <w:lang w:val="nb-NO"/>
        </w:rPr>
      </w:pPr>
      <w:r w:rsidRPr="00F125EF">
        <w:rPr>
          <w:lang w:val="nb-NO"/>
        </w:rPr>
        <w:t>a)</w:t>
      </w:r>
      <w:r w:rsidRPr="00F125EF">
        <w:rPr>
          <w:lang w:val="nb-NO"/>
        </w:rPr>
        <w:tab/>
        <w:t>a teljes elektromos felszerelésre vonatkozó általános tervrajzok;</w:t>
      </w:r>
    </w:p>
    <w:p w:rsidR="001F02E6" w:rsidRPr="00F125EF" w:rsidRDefault="001F02E6" w:rsidP="001F02E6">
      <w:pPr>
        <w:pStyle w:val="ESlet"/>
        <w:rPr>
          <w:rFonts w:eastAsia="Calibri" w:cs="Arial"/>
          <w:szCs w:val="20"/>
          <w:lang w:val="nb-NO"/>
        </w:rPr>
      </w:pPr>
      <w:r w:rsidRPr="00F125EF">
        <w:rPr>
          <w:lang w:val="nb-NO"/>
        </w:rPr>
        <w:t>b)</w:t>
      </w:r>
      <w:r w:rsidRPr="00F125EF">
        <w:rPr>
          <w:lang w:val="nb-NO"/>
        </w:rPr>
        <w:tab/>
        <w:t>a fő kapcsolótáblákra, a vészhelyzeti kapcsolótáblákra és az elosztó kapcsolótáblákra vonatkozó tervrajzok, amelyeken szerepelnek a legfontosabb műszaki adatok, például a biztosítékok és a kapcsolóberendezések névleges áramerőssége;</w:t>
      </w:r>
    </w:p>
    <w:p w:rsidR="001F02E6" w:rsidRPr="00F125EF" w:rsidRDefault="001F02E6" w:rsidP="001F02E6">
      <w:pPr>
        <w:pStyle w:val="ESlet"/>
        <w:rPr>
          <w:rFonts w:eastAsia="Calibri"/>
          <w:lang w:val="nb-NO"/>
        </w:rPr>
      </w:pPr>
      <w:r w:rsidRPr="00F125EF">
        <w:rPr>
          <w:lang w:val="nb-NO"/>
        </w:rPr>
        <w:t>c)</w:t>
      </w:r>
      <w:r w:rsidRPr="00F125EF">
        <w:rPr>
          <w:lang w:val="nb-NO"/>
        </w:rPr>
        <w:tab/>
        <w:t>az elektromos kiszolgáló berendezések teljesítményére vonatkozó követelmények;</w:t>
      </w:r>
    </w:p>
    <w:p w:rsidR="001F02E6" w:rsidRPr="00F125EF" w:rsidRDefault="001F02E6" w:rsidP="001F02E6">
      <w:pPr>
        <w:pStyle w:val="ESlet"/>
        <w:rPr>
          <w:rFonts w:eastAsia="Calibri"/>
          <w:lang w:val="nb-NO"/>
        </w:rPr>
      </w:pPr>
      <w:r w:rsidRPr="00F125EF">
        <w:rPr>
          <w:lang w:val="nb-NO"/>
        </w:rPr>
        <w:t>d)</w:t>
      </w:r>
      <w:r w:rsidRPr="00F125EF">
        <w:rPr>
          <w:lang w:val="nb-NO"/>
        </w:rPr>
        <w:tab/>
        <w:t>kábeltípusok, a vezető-keresztmetszet megadásával;</w:t>
      </w:r>
    </w:p>
    <w:p w:rsidR="001F02E6" w:rsidRPr="00F125EF" w:rsidRDefault="001F02E6" w:rsidP="001F02E6">
      <w:pPr>
        <w:pStyle w:val="ESlet"/>
        <w:rPr>
          <w:rFonts w:eastAsia="Calibri"/>
          <w:lang w:val="nb-NO"/>
        </w:rPr>
      </w:pPr>
      <w:r w:rsidRPr="00F125EF">
        <w:rPr>
          <w:lang w:val="nb-NO"/>
        </w:rPr>
        <w:t>e)</w:t>
      </w:r>
      <w:r w:rsidRPr="00F125EF">
        <w:rPr>
          <w:lang w:val="nb-NO"/>
        </w:rPr>
        <w:tab/>
        <w:t>elektromos hajópropulziós rendszerek esetében a kapcsolótáblák tervrajzai, valamint az elektromos propulziós motorok dokumentációja;</w:t>
      </w:r>
    </w:p>
    <w:p w:rsidR="001F02E6" w:rsidRPr="00F125EF" w:rsidRDefault="001F02E6" w:rsidP="001F02E6">
      <w:pPr>
        <w:pStyle w:val="ESlet"/>
        <w:rPr>
          <w:rFonts w:eastAsia="Calibri"/>
          <w:lang w:val="nb-NO"/>
        </w:rPr>
      </w:pPr>
      <w:r w:rsidRPr="00F125EF">
        <w:rPr>
          <w:lang w:val="nb-NO"/>
        </w:rPr>
        <w:t>f)</w:t>
      </w:r>
      <w:r w:rsidRPr="00F125EF">
        <w:rPr>
          <w:lang w:val="nb-NO"/>
        </w:rPr>
        <w:tab/>
        <w:t>az elektronikus kormányvezérlő, szabályozó, riasztó és biztonsági rendszerek tervrajzai;</w:t>
      </w:r>
    </w:p>
    <w:p w:rsidR="001F02E6" w:rsidRPr="00F125EF" w:rsidRDefault="001F02E6" w:rsidP="001F02E6">
      <w:pPr>
        <w:pStyle w:val="ESlet"/>
        <w:rPr>
          <w:rFonts w:eastAsia="Calibri"/>
          <w:lang w:val="nb-NO"/>
        </w:rPr>
      </w:pPr>
      <w:r w:rsidRPr="00F125EF">
        <w:rPr>
          <w:lang w:val="nb-NO"/>
        </w:rPr>
        <w:t>g)</w:t>
      </w:r>
      <w:r w:rsidRPr="00F125EF">
        <w:rPr>
          <w:lang w:val="nb-NO"/>
        </w:rPr>
        <w:tab/>
        <w:t>a vezérlőkörök tervrajzai.</w:t>
      </w:r>
    </w:p>
    <w:p w:rsidR="001F02E6" w:rsidRPr="00F125EF" w:rsidRDefault="001F02E6" w:rsidP="001F02E6">
      <w:pPr>
        <w:pStyle w:val="ESchpar"/>
        <w:rPr>
          <w:rFonts w:eastAsia="Calibri"/>
          <w:lang w:val="nb-NO"/>
        </w:rPr>
      </w:pPr>
    </w:p>
    <w:p w:rsidR="001F02E6" w:rsidRPr="00F125EF" w:rsidRDefault="001F02E6" w:rsidP="001F02E6">
      <w:pPr>
        <w:pStyle w:val="ESchpar"/>
        <w:rPr>
          <w:rFonts w:eastAsia="Calibri"/>
          <w:lang w:val="nb-NO"/>
        </w:rPr>
      </w:pPr>
      <w:r w:rsidRPr="00F125EF">
        <w:rPr>
          <w:lang w:val="nb-NO"/>
        </w:rPr>
        <w:t>A legénység nélküli vízi járművek esetében ezeket a dokumentumokat nem kell a fedélzeten tartani, de a tulajdonosnál mindenkor rendelkezésre kell állniuk.</w:t>
      </w:r>
    </w:p>
    <w:p w:rsidR="001F02E6" w:rsidRPr="00F125EF" w:rsidRDefault="001F02E6" w:rsidP="001F02E6">
      <w:pPr>
        <w:pStyle w:val="ESch"/>
        <w:rPr>
          <w:rFonts w:eastAsia="Calibri"/>
          <w:lang w:val="nb-NO"/>
        </w:rPr>
      </w:pPr>
    </w:p>
    <w:p w:rsidR="001F02E6" w:rsidRPr="00F125EF" w:rsidRDefault="001F02E6" w:rsidP="001F02E6">
      <w:pPr>
        <w:pStyle w:val="ESch"/>
        <w:rPr>
          <w:rFonts w:eastAsia="Calibri"/>
          <w:lang w:val="nb-NO"/>
        </w:rPr>
      </w:pPr>
      <w:r w:rsidRPr="00F125EF">
        <w:rPr>
          <w:lang w:val="nb-NO"/>
        </w:rPr>
        <w:t>3.</w:t>
      </w:r>
      <w:r w:rsidRPr="00F125EF">
        <w:rPr>
          <w:lang w:val="nb-NO"/>
        </w:rPr>
        <w:tab/>
        <w:t>A berendezéseket és felszereléseket a vízi jármű legfeljebb 15°-os állandó dőlésszögének, 0 °C és +40 °C közötti belső környezeti hőmérsékletének, valamint –20 °C és +40 °C közötti fedélzeti hőmérsékletének figyelembevételével kell megtervezni. A berendezéseknek és felszereléseknek e határokon belül teljes mértékben működőképeseknek kell lenniük.</w:t>
      </w:r>
    </w:p>
    <w:p w:rsidR="001F02E6" w:rsidRPr="00F125EF" w:rsidRDefault="001F02E6" w:rsidP="001F02E6">
      <w:pPr>
        <w:pStyle w:val="ESch"/>
        <w:rPr>
          <w:rFonts w:eastAsia="Calibri"/>
          <w:lang w:val="nb-NO"/>
        </w:rPr>
      </w:pPr>
    </w:p>
    <w:p w:rsidR="001F02E6" w:rsidRPr="00F125EF" w:rsidRDefault="001F02E6" w:rsidP="001F02E6">
      <w:pPr>
        <w:pStyle w:val="ESch"/>
        <w:rPr>
          <w:rFonts w:eastAsia="Calibri"/>
          <w:lang w:val="nb-NO"/>
        </w:rPr>
      </w:pPr>
      <w:r w:rsidRPr="00F125EF">
        <w:rPr>
          <w:lang w:val="nb-NO"/>
        </w:rPr>
        <w:t>4.</w:t>
      </w:r>
      <w:r w:rsidRPr="00F125EF">
        <w:rPr>
          <w:lang w:val="nb-NO"/>
        </w:rPr>
        <w:tab/>
        <w:t>Az elektromos berendezéseknek és felszereléseknek könnyen elérhetőknek és könnyen karbantarthatóknak kell lenniük.</w:t>
      </w:r>
    </w:p>
    <w:p w:rsidR="001F02E6" w:rsidRPr="00F125EF" w:rsidRDefault="001F02E6" w:rsidP="001F02E6">
      <w:pPr>
        <w:pStyle w:val="ESch"/>
        <w:rPr>
          <w:rFonts w:eastAsia="Calibri"/>
          <w:lang w:val="nb-NO"/>
        </w:rPr>
      </w:pPr>
    </w:p>
    <w:p w:rsidR="001F02E6" w:rsidRPr="00F125EF" w:rsidRDefault="001F02E6" w:rsidP="001F02E6">
      <w:pPr>
        <w:pStyle w:val="ESch"/>
        <w:rPr>
          <w:rFonts w:eastAsia="Calibri"/>
          <w:lang w:val="nb-NO"/>
        </w:rPr>
      </w:pPr>
      <w:r w:rsidRPr="00F125EF">
        <w:rPr>
          <w:lang w:val="nb-NO"/>
        </w:rPr>
        <w:t>5.</w:t>
      </w:r>
      <w:r w:rsidRPr="00F125EF">
        <w:rPr>
          <w:lang w:val="nb-NO"/>
        </w:rPr>
        <w:tab/>
        <w:t>Az elektromos berendezéseket és felszereléseket úgy kell megtervezni és telepíteni, hogy a vízi jármű szokásos üzeme során a fedélzeten keletkező rezgések ne okozzanak bennük működési zavart vagy sérülést.</w:t>
      </w:r>
    </w:p>
    <w:p w:rsidR="008A12E7" w:rsidRPr="00F125EF" w:rsidRDefault="008A12E7" w:rsidP="008A12E7">
      <w:pPr>
        <w:rPr>
          <w:rFonts w:cs="Arial"/>
          <w:szCs w:val="20"/>
          <w:lang w:val="nb-NO"/>
        </w:rPr>
      </w:pPr>
    </w:p>
    <w:p w:rsidR="008A12E7" w:rsidRPr="00F125EF" w:rsidRDefault="008A12E7" w:rsidP="008A12E7">
      <w:pPr>
        <w:rPr>
          <w:rFonts w:cs="Arial"/>
          <w:szCs w:val="20"/>
          <w:lang w:val="nb-NO"/>
        </w:rPr>
      </w:pPr>
    </w:p>
    <w:p w:rsidR="008A12E7" w:rsidRPr="00F125EF" w:rsidRDefault="008A12E7" w:rsidP="008A12E7">
      <w:pPr>
        <w:pStyle w:val="ES-Titre3"/>
        <w:rPr>
          <w:noProof/>
          <w:lang w:val="nb-NO"/>
        </w:rPr>
      </w:pPr>
      <w:bookmarkStart w:id="163" w:name="_Toc491854079"/>
      <w:bookmarkStart w:id="164" w:name="_Toc535853858"/>
      <w:r w:rsidRPr="00F125EF">
        <w:rPr>
          <w:lang w:val="nb-NO"/>
        </w:rPr>
        <w:t>10.02. cikk</w:t>
      </w:r>
      <w:r w:rsidRPr="00F125EF">
        <w:rPr>
          <w:lang w:val="nb-NO"/>
        </w:rPr>
        <w:br/>
      </w:r>
      <w:r w:rsidRPr="00F125EF">
        <w:rPr>
          <w:i/>
          <w:noProof/>
          <w:lang w:val="nb-NO"/>
        </w:rPr>
        <w:t>Áramellátó rendszerek</w:t>
      </w:r>
      <w:bookmarkEnd w:id="163"/>
      <w:bookmarkEnd w:id="164"/>
    </w:p>
    <w:p w:rsidR="008A12E7" w:rsidRPr="00F125EF" w:rsidRDefault="008A12E7" w:rsidP="008A12E7">
      <w:pPr>
        <w:rPr>
          <w:rFonts w:cs="Arial"/>
          <w:noProof/>
          <w:szCs w:val="20"/>
          <w:lang w:val="nb-NO"/>
        </w:rPr>
      </w:pPr>
    </w:p>
    <w:p w:rsidR="001F02E6" w:rsidRPr="00F125EF" w:rsidRDefault="001F02E6" w:rsidP="001F02E6">
      <w:pPr>
        <w:pStyle w:val="ESch"/>
        <w:rPr>
          <w:rFonts w:eastAsia="Calibri"/>
          <w:lang w:val="nb-NO"/>
        </w:rPr>
      </w:pPr>
      <w:r w:rsidRPr="00F125EF">
        <w:rPr>
          <w:lang w:val="nb-NO"/>
        </w:rPr>
        <w:t>1.</w:t>
      </w:r>
      <w:r w:rsidRPr="00F125EF">
        <w:rPr>
          <w:lang w:val="nb-NO"/>
        </w:rPr>
        <w:tab/>
        <w:t>Ha a vízi jármű el van látva elektromos felszerelésekkel, akkor azoknak legalább két áramforrással kell rendelkezniük oly módon, hogy ha az egyik áramforrás leáll, a fennmaradó áramforrás legalább 30 percig ki tudja szolgálni a biztonságos üzemeléshez szükséges áramfogyasztó berendezéseket.</w:t>
      </w:r>
    </w:p>
    <w:p w:rsidR="001F02E6" w:rsidRPr="00F125EF" w:rsidRDefault="001F02E6" w:rsidP="001F02E6">
      <w:pPr>
        <w:pStyle w:val="ESch"/>
        <w:rPr>
          <w:rFonts w:eastAsia="Calibri"/>
          <w:lang w:val="nb-NO"/>
        </w:rPr>
      </w:pPr>
    </w:p>
    <w:p w:rsidR="001F02E6" w:rsidRPr="00F125EF" w:rsidRDefault="001F02E6" w:rsidP="001F02E6">
      <w:pPr>
        <w:pStyle w:val="ESch"/>
        <w:rPr>
          <w:rFonts w:eastAsia="Calibri"/>
          <w:lang w:val="nb-NO"/>
        </w:rPr>
      </w:pPr>
      <w:r w:rsidRPr="00F125EF">
        <w:rPr>
          <w:lang w:val="nb-NO"/>
        </w:rPr>
        <w:t>2.</w:t>
      </w:r>
      <w:r w:rsidRPr="00F125EF">
        <w:rPr>
          <w:lang w:val="nb-NO"/>
        </w:rPr>
        <w:tab/>
        <w:t>Az áramellátás megfelelő méretezését energiagazdálkodási számítással kell kimutatni. Ennek során figyelembe lehet venni egy megfelelő felhasználási tényezőt.</w:t>
      </w:r>
    </w:p>
    <w:p w:rsidR="001F02E6" w:rsidRPr="00F125EF" w:rsidRDefault="001F02E6" w:rsidP="001F02E6">
      <w:pPr>
        <w:pStyle w:val="ESch"/>
        <w:rPr>
          <w:rFonts w:eastAsia="Calibri"/>
          <w:lang w:val="nb-NO"/>
        </w:rPr>
      </w:pPr>
    </w:p>
    <w:p w:rsidR="00481591" w:rsidRPr="00F125EF" w:rsidRDefault="001F02E6" w:rsidP="001F02E6">
      <w:pPr>
        <w:pStyle w:val="ESch"/>
        <w:rPr>
          <w:lang w:val="nb-NO"/>
        </w:rPr>
      </w:pPr>
      <w:r w:rsidRPr="00F125EF">
        <w:rPr>
          <w:lang w:val="nb-NO"/>
        </w:rPr>
        <w:t>3.</w:t>
      </w:r>
      <w:r w:rsidRPr="00F125EF">
        <w:rPr>
          <w:lang w:val="nb-NO"/>
        </w:rPr>
        <w:tab/>
        <w:t>A fenti 1. bekezdéstől függetlenül a kormányberendezések energiaforrására a 6.04. cikk alkalmazandó.</w:t>
      </w:r>
    </w:p>
    <w:p w:rsidR="008A12E7" w:rsidRPr="00F125EF" w:rsidRDefault="008A12E7" w:rsidP="001F02E6">
      <w:pPr>
        <w:pStyle w:val="ESch"/>
        <w:rPr>
          <w:rFonts w:eastAsia="Calibri"/>
          <w:lang w:val="nb-NO"/>
        </w:rPr>
      </w:pPr>
      <w:r w:rsidRPr="00F125EF">
        <w:rPr>
          <w:lang w:val="nb-NO"/>
        </w:rPr>
        <w:br w:type="page"/>
      </w:r>
    </w:p>
    <w:p w:rsidR="008A12E7" w:rsidRPr="00F125EF" w:rsidRDefault="008A12E7" w:rsidP="008A12E7">
      <w:pPr>
        <w:pStyle w:val="ES-Titre3"/>
        <w:rPr>
          <w:i/>
          <w:lang w:val="nb-NO"/>
        </w:rPr>
      </w:pPr>
      <w:bookmarkStart w:id="165" w:name="_Toc491854080"/>
      <w:bookmarkStart w:id="166" w:name="_Toc535853859"/>
      <w:r w:rsidRPr="00F125EF">
        <w:rPr>
          <w:lang w:val="nb-NO"/>
        </w:rPr>
        <w:t>10.03. cikk</w:t>
      </w:r>
      <w:r w:rsidRPr="00F125EF">
        <w:rPr>
          <w:lang w:val="nb-NO"/>
        </w:rPr>
        <w:br/>
      </w:r>
      <w:r w:rsidRPr="00F125EF">
        <w:rPr>
          <w:i/>
          <w:lang w:val="nb-NO"/>
        </w:rPr>
        <w:t>Védelem veszélyes alkatrészekhez való hozzáférés, szilárd idegen tárgyak és víz behatolása ellen</w:t>
      </w:r>
      <w:bookmarkEnd w:id="165"/>
      <w:bookmarkEnd w:id="166"/>
    </w:p>
    <w:p w:rsidR="008A12E7" w:rsidRPr="00F125EF" w:rsidRDefault="008A12E7" w:rsidP="008A12E7">
      <w:pPr>
        <w:rPr>
          <w:rFonts w:cs="Arial"/>
          <w:noProof/>
          <w:szCs w:val="20"/>
          <w:lang w:val="nb-NO"/>
        </w:rPr>
      </w:pPr>
    </w:p>
    <w:p w:rsidR="001F02E6" w:rsidRPr="00F125EF" w:rsidRDefault="001F02E6" w:rsidP="001F02E6">
      <w:pPr>
        <w:pStyle w:val="ESgauche"/>
        <w:rPr>
          <w:rFonts w:eastAsia="Calibri"/>
          <w:noProof w:val="0"/>
          <w:lang w:val="nb-NO"/>
        </w:rPr>
      </w:pPr>
      <w:r w:rsidRPr="00F125EF">
        <w:rPr>
          <w:lang w:val="nb-NO"/>
        </w:rPr>
        <w:t>Az állandó elektromos felszerelések részei minimális védelmének típusát a következő táblázat határozza meg:</w:t>
      </w:r>
    </w:p>
    <w:p w:rsidR="008A12E7" w:rsidRPr="00F125EF" w:rsidRDefault="008A12E7" w:rsidP="008A12E7">
      <w:pPr>
        <w:rPr>
          <w:rFonts w:cs="Arial"/>
          <w:szCs w:val="20"/>
          <w:lang w:val="nb-NO"/>
        </w:rPr>
      </w:pPr>
    </w:p>
    <w:tbl>
      <w:tblPr>
        <w:tblW w:w="9356" w:type="dxa"/>
        <w:tblInd w:w="8" w:type="dxa"/>
        <w:tblLayout w:type="fixed"/>
        <w:tblCellMar>
          <w:left w:w="0" w:type="dxa"/>
          <w:right w:w="0" w:type="dxa"/>
        </w:tblCellMar>
        <w:tblLook w:val="0000" w:firstRow="0" w:lastRow="0" w:firstColumn="0" w:lastColumn="0" w:noHBand="0" w:noVBand="0"/>
      </w:tblPr>
      <w:tblGrid>
        <w:gridCol w:w="2835"/>
        <w:gridCol w:w="1080"/>
        <w:gridCol w:w="960"/>
        <w:gridCol w:w="960"/>
        <w:gridCol w:w="1253"/>
        <w:gridCol w:w="1154"/>
        <w:gridCol w:w="1114"/>
      </w:tblGrid>
      <w:tr w:rsidR="001F02E6" w:rsidRPr="003142CA" w:rsidTr="001F02E6">
        <w:trPr>
          <w:cantSplit/>
        </w:trPr>
        <w:tc>
          <w:tcPr>
            <w:tcW w:w="2835" w:type="dxa"/>
            <w:tcBorders>
              <w:top w:val="single" w:sz="6" w:space="0" w:color="auto"/>
              <w:left w:val="single" w:sz="6" w:space="0" w:color="auto"/>
              <w:right w:val="single" w:sz="6" w:space="0" w:color="auto"/>
            </w:tcBorders>
          </w:tcPr>
          <w:p w:rsidR="001F02E6" w:rsidRPr="00F125EF" w:rsidRDefault="001F02E6" w:rsidP="001F02E6">
            <w:pPr>
              <w:keepNext/>
              <w:keepLines/>
              <w:spacing w:before="60" w:after="60" w:line="240" w:lineRule="atLeast"/>
              <w:jc w:val="center"/>
              <w:rPr>
                <w:rFonts w:eastAsia="Calibri" w:cs="Arial"/>
                <w:sz w:val="18"/>
                <w:szCs w:val="18"/>
                <w:lang w:val="nb-NO"/>
              </w:rPr>
            </w:pPr>
          </w:p>
        </w:tc>
        <w:tc>
          <w:tcPr>
            <w:tcW w:w="6521" w:type="dxa"/>
            <w:gridSpan w:val="6"/>
            <w:tcBorders>
              <w:top w:val="single" w:sz="6" w:space="0" w:color="auto"/>
              <w:left w:val="nil"/>
              <w:bottom w:val="single" w:sz="6" w:space="0" w:color="auto"/>
              <w:right w:val="single" w:sz="6" w:space="0" w:color="auto"/>
            </w:tcBorders>
          </w:tcPr>
          <w:p w:rsidR="001F02E6" w:rsidRPr="00F125EF" w:rsidRDefault="001F02E6" w:rsidP="00481591">
            <w:pPr>
              <w:keepNext/>
              <w:keepLines/>
              <w:spacing w:before="60" w:after="60" w:line="240" w:lineRule="atLeast"/>
              <w:jc w:val="center"/>
              <w:rPr>
                <w:rFonts w:eastAsia="Calibri" w:cs="Arial"/>
                <w:sz w:val="18"/>
                <w:szCs w:val="18"/>
                <w:lang w:val="nb-NO"/>
              </w:rPr>
            </w:pPr>
            <w:r w:rsidRPr="00F125EF">
              <w:rPr>
                <w:sz w:val="18"/>
                <w:lang w:val="nb-NO"/>
              </w:rPr>
              <w:t>A minimális védelem EN 60529:2014 európai szabvány szerinti típusa.</w:t>
            </w:r>
          </w:p>
        </w:tc>
      </w:tr>
      <w:tr w:rsidR="001F02E6" w:rsidRPr="00481591" w:rsidTr="001F02E6">
        <w:trPr>
          <w:cantSplit/>
          <w:trHeight w:val="668"/>
        </w:trPr>
        <w:tc>
          <w:tcPr>
            <w:tcW w:w="2835" w:type="dxa"/>
            <w:tcBorders>
              <w:left w:val="single" w:sz="6" w:space="0" w:color="auto"/>
              <w:bottom w:val="single" w:sz="12" w:space="0" w:color="auto"/>
              <w:right w:val="single" w:sz="6" w:space="0" w:color="auto"/>
            </w:tcBorders>
          </w:tcPr>
          <w:p w:rsidR="001F02E6" w:rsidRPr="00481591" w:rsidRDefault="001F02E6" w:rsidP="001F02E6">
            <w:pPr>
              <w:keepNext/>
              <w:keepLines/>
              <w:spacing w:before="60" w:after="60" w:line="240" w:lineRule="atLeast"/>
              <w:jc w:val="center"/>
              <w:rPr>
                <w:rFonts w:eastAsia="Calibri" w:cs="Arial"/>
                <w:sz w:val="18"/>
                <w:szCs w:val="18"/>
              </w:rPr>
            </w:pPr>
            <w:r>
              <w:rPr>
                <w:sz w:val="18"/>
              </w:rPr>
              <w:t>Hely</w:t>
            </w:r>
          </w:p>
        </w:tc>
        <w:tc>
          <w:tcPr>
            <w:tcW w:w="1080" w:type="dxa"/>
            <w:tcBorders>
              <w:top w:val="single" w:sz="6" w:space="0" w:color="auto"/>
              <w:left w:val="nil"/>
              <w:bottom w:val="single" w:sz="12" w:space="0" w:color="auto"/>
              <w:right w:val="single" w:sz="6" w:space="0" w:color="auto"/>
            </w:tcBorders>
          </w:tcPr>
          <w:p w:rsidR="001F02E6" w:rsidRPr="00481591" w:rsidRDefault="001F02E6" w:rsidP="00481591">
            <w:pPr>
              <w:keepNext/>
              <w:keepLines/>
              <w:spacing w:before="40" w:after="40" w:line="220" w:lineRule="atLeast"/>
              <w:jc w:val="center"/>
              <w:rPr>
                <w:rFonts w:eastAsia="Calibri" w:cs="Arial"/>
                <w:sz w:val="18"/>
                <w:szCs w:val="18"/>
              </w:rPr>
            </w:pPr>
            <w:r>
              <w:rPr>
                <w:sz w:val="18"/>
              </w:rPr>
              <w:t>Generátorok</w:t>
            </w:r>
          </w:p>
        </w:tc>
        <w:tc>
          <w:tcPr>
            <w:tcW w:w="960" w:type="dxa"/>
            <w:tcBorders>
              <w:top w:val="single" w:sz="6" w:space="0" w:color="auto"/>
              <w:left w:val="single" w:sz="6" w:space="0" w:color="auto"/>
              <w:bottom w:val="single" w:sz="12" w:space="0" w:color="auto"/>
              <w:right w:val="single" w:sz="6" w:space="0" w:color="auto"/>
            </w:tcBorders>
          </w:tcPr>
          <w:p w:rsidR="001F02E6" w:rsidRPr="00481591" w:rsidRDefault="001F02E6" w:rsidP="00481591">
            <w:pPr>
              <w:keepNext/>
              <w:keepLines/>
              <w:spacing w:before="40" w:after="40" w:line="220" w:lineRule="atLeast"/>
              <w:jc w:val="center"/>
              <w:rPr>
                <w:rFonts w:eastAsia="Calibri" w:cs="Arial"/>
                <w:sz w:val="18"/>
                <w:szCs w:val="18"/>
              </w:rPr>
            </w:pPr>
            <w:r>
              <w:rPr>
                <w:sz w:val="18"/>
              </w:rPr>
              <w:t>Motorok</w:t>
            </w:r>
          </w:p>
        </w:tc>
        <w:tc>
          <w:tcPr>
            <w:tcW w:w="960" w:type="dxa"/>
            <w:tcBorders>
              <w:top w:val="single" w:sz="6" w:space="0" w:color="auto"/>
              <w:left w:val="single" w:sz="6" w:space="0" w:color="auto"/>
              <w:bottom w:val="single" w:sz="12" w:space="0" w:color="auto"/>
              <w:right w:val="single" w:sz="6" w:space="0" w:color="auto"/>
            </w:tcBorders>
          </w:tcPr>
          <w:p w:rsidR="001F02E6" w:rsidRPr="00481591" w:rsidRDefault="001F02E6" w:rsidP="00481591">
            <w:pPr>
              <w:keepNext/>
              <w:keepLines/>
              <w:spacing w:before="40" w:after="40" w:line="220" w:lineRule="atLeast"/>
              <w:jc w:val="center"/>
              <w:rPr>
                <w:rFonts w:eastAsia="Calibri" w:cs="Arial"/>
                <w:sz w:val="18"/>
                <w:szCs w:val="18"/>
              </w:rPr>
            </w:pPr>
            <w:r>
              <w:rPr>
                <w:sz w:val="18"/>
              </w:rPr>
              <w:t>Transzformátorok</w:t>
            </w:r>
          </w:p>
        </w:tc>
        <w:tc>
          <w:tcPr>
            <w:tcW w:w="1253" w:type="dxa"/>
            <w:tcBorders>
              <w:top w:val="single" w:sz="6" w:space="0" w:color="auto"/>
              <w:left w:val="single" w:sz="6" w:space="0" w:color="auto"/>
              <w:bottom w:val="single" w:sz="12" w:space="0" w:color="auto"/>
              <w:right w:val="single" w:sz="6" w:space="0" w:color="auto"/>
            </w:tcBorders>
          </w:tcPr>
          <w:p w:rsidR="001F02E6" w:rsidRPr="00481591" w:rsidRDefault="001F02E6" w:rsidP="00481591">
            <w:pPr>
              <w:keepNext/>
              <w:keepLines/>
              <w:spacing w:before="40" w:after="40" w:line="220" w:lineRule="atLeast"/>
              <w:jc w:val="center"/>
              <w:rPr>
                <w:rFonts w:eastAsia="Calibri" w:cs="Arial"/>
                <w:sz w:val="18"/>
                <w:szCs w:val="18"/>
              </w:rPr>
            </w:pPr>
            <w:r>
              <w:rPr>
                <w:sz w:val="18"/>
              </w:rPr>
              <w:t>Kapcsolótáblák</w:t>
            </w:r>
            <w:r>
              <w:rPr>
                <w:sz w:val="18"/>
                <w:szCs w:val="18"/>
              </w:rPr>
              <w:br/>
            </w:r>
            <w:r>
              <w:rPr>
                <w:sz w:val="18"/>
              </w:rPr>
              <w:t>Elosztók</w:t>
            </w:r>
            <w:r>
              <w:rPr>
                <w:sz w:val="18"/>
                <w:szCs w:val="18"/>
              </w:rPr>
              <w:br/>
            </w:r>
            <w:r>
              <w:rPr>
                <w:sz w:val="18"/>
              </w:rPr>
              <w:t>Kapcsolóberendezések</w:t>
            </w:r>
          </w:p>
        </w:tc>
        <w:tc>
          <w:tcPr>
            <w:tcW w:w="1154" w:type="dxa"/>
            <w:tcBorders>
              <w:top w:val="single" w:sz="6" w:space="0" w:color="auto"/>
              <w:left w:val="single" w:sz="6" w:space="0" w:color="auto"/>
              <w:bottom w:val="single" w:sz="12" w:space="0" w:color="auto"/>
              <w:right w:val="single" w:sz="6" w:space="0" w:color="auto"/>
            </w:tcBorders>
          </w:tcPr>
          <w:p w:rsidR="001F02E6" w:rsidRPr="00481591" w:rsidRDefault="001F02E6" w:rsidP="00481591">
            <w:pPr>
              <w:keepNext/>
              <w:keepLines/>
              <w:spacing w:before="40" w:after="40" w:line="220" w:lineRule="atLeast"/>
              <w:jc w:val="center"/>
              <w:rPr>
                <w:rFonts w:eastAsia="Calibri" w:cs="Arial"/>
                <w:sz w:val="18"/>
                <w:szCs w:val="18"/>
              </w:rPr>
            </w:pPr>
            <w:r>
              <w:rPr>
                <w:sz w:val="18"/>
              </w:rPr>
              <w:t>Berendezések szerelvényei</w:t>
            </w:r>
            <w:r>
              <w:rPr>
                <w:sz w:val="18"/>
                <w:vertAlign w:val="superscript"/>
              </w:rPr>
              <w:t>(4)</w:t>
            </w:r>
          </w:p>
        </w:tc>
        <w:tc>
          <w:tcPr>
            <w:tcW w:w="1114" w:type="dxa"/>
            <w:tcBorders>
              <w:top w:val="single" w:sz="6" w:space="0" w:color="auto"/>
              <w:left w:val="single" w:sz="6" w:space="0" w:color="auto"/>
              <w:bottom w:val="single" w:sz="12" w:space="0" w:color="auto"/>
              <w:right w:val="single" w:sz="6" w:space="0" w:color="auto"/>
            </w:tcBorders>
          </w:tcPr>
          <w:p w:rsidR="001F02E6" w:rsidRPr="00481591" w:rsidRDefault="001F02E6" w:rsidP="00481591">
            <w:pPr>
              <w:keepNext/>
              <w:keepLines/>
              <w:spacing w:before="40" w:after="40" w:line="220" w:lineRule="atLeast"/>
              <w:jc w:val="center"/>
              <w:rPr>
                <w:rFonts w:eastAsia="Calibri" w:cs="Arial"/>
                <w:sz w:val="18"/>
                <w:szCs w:val="18"/>
              </w:rPr>
            </w:pPr>
            <w:r>
              <w:rPr>
                <w:sz w:val="18"/>
              </w:rPr>
              <w:t>Világítótestek / tűzérzékelők</w:t>
            </w:r>
          </w:p>
        </w:tc>
      </w:tr>
      <w:tr w:rsidR="001F02E6" w:rsidRPr="00481591" w:rsidTr="00481591">
        <w:trPr>
          <w:cantSplit/>
        </w:trPr>
        <w:tc>
          <w:tcPr>
            <w:tcW w:w="2835" w:type="dxa"/>
            <w:tcBorders>
              <w:top w:val="single" w:sz="12"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Pr>
                <w:sz w:val="18"/>
              </w:rPr>
              <w:t xml:space="preserve">Műveleti helyiségek, gépterek, kormánygépterek </w:t>
            </w:r>
            <w:r>
              <w:tab/>
            </w:r>
            <w:r>
              <w:tab/>
            </w:r>
          </w:p>
        </w:tc>
        <w:tc>
          <w:tcPr>
            <w:tcW w:w="1080" w:type="dxa"/>
            <w:tcBorders>
              <w:top w:val="single" w:sz="12"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r>
              <w:rPr>
                <w:sz w:val="18"/>
                <w:vertAlign w:val="superscript"/>
              </w:rPr>
              <w:t>(2)</w:t>
            </w:r>
          </w:p>
        </w:tc>
        <w:tc>
          <w:tcPr>
            <w:tcW w:w="1253" w:type="dxa"/>
            <w:tcBorders>
              <w:top w:val="single" w:sz="12"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r>
              <w:rPr>
                <w:sz w:val="18"/>
                <w:vertAlign w:val="superscript"/>
              </w:rPr>
              <w:t>(1) (2)</w:t>
            </w:r>
          </w:p>
        </w:tc>
        <w:tc>
          <w:tcPr>
            <w:tcW w:w="1154" w:type="dxa"/>
            <w:tcBorders>
              <w:top w:val="single" w:sz="12"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44</w:t>
            </w:r>
          </w:p>
        </w:tc>
        <w:tc>
          <w:tcPr>
            <w:tcW w:w="1114" w:type="dxa"/>
            <w:tcBorders>
              <w:top w:val="single" w:sz="12"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p>
        </w:tc>
      </w:tr>
      <w:tr w:rsidR="001F02E6" w:rsidRPr="00481591" w:rsidTr="00481591">
        <w:trPr>
          <w:cantSplit/>
          <w:trHeight w:val="292"/>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Pr>
                <w:sz w:val="18"/>
              </w:rPr>
              <w:t xml:space="preserve">Rakományterek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r>
      <w:tr w:rsidR="001F02E6" w:rsidRPr="0048159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Pr>
                <w:sz w:val="18"/>
              </w:rPr>
              <w:t xml:space="preserve">Akkumulátorterek és festékraktárak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44 és (Ex)</w:t>
            </w:r>
            <w:r>
              <w:rPr>
                <w:sz w:val="18"/>
                <w:vertAlign w:val="superscript"/>
              </w:rPr>
              <w:t>(3)</w:t>
            </w:r>
          </w:p>
        </w:tc>
      </w:tr>
      <w:tr w:rsidR="001F02E6" w:rsidRPr="0048159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Pr>
                <w:sz w:val="18"/>
              </w:rPr>
              <w:t xml:space="preserve">Tető nélküli fedélzetek és nyitott kormányállások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r>
      <w:tr w:rsidR="001F02E6" w:rsidRPr="0048159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Pr>
                <w:sz w:val="18"/>
              </w:rPr>
              <w:t xml:space="preserve">Zárt kormányállások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p>
        </w:tc>
      </w:tr>
      <w:tr w:rsidR="001F02E6" w:rsidRPr="0048159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Pr>
                <w:sz w:val="18"/>
              </w:rPr>
              <w:t xml:space="preserve">Lakóterek, a szaniterhelyiségek és vizes terek kivételével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20</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20</w:t>
            </w:r>
          </w:p>
        </w:tc>
      </w:tr>
      <w:tr w:rsidR="001F02E6" w:rsidRPr="0048159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Pr>
                <w:sz w:val="18"/>
              </w:rPr>
              <w:t xml:space="preserve">Szaniterhelyiségek és vizes terek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44</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44</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44</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jc w:val="center"/>
              <w:rPr>
                <w:rFonts w:eastAsia="Calibri" w:cs="Arial"/>
                <w:sz w:val="18"/>
                <w:szCs w:val="18"/>
              </w:rPr>
            </w:pPr>
            <w:r>
              <w:rPr>
                <w:sz w:val="18"/>
              </w:rPr>
              <w:t>IP 44</w:t>
            </w:r>
          </w:p>
        </w:tc>
      </w:tr>
      <w:tr w:rsidR="001F02E6" w:rsidRPr="00A0619C" w:rsidTr="001F02E6">
        <w:trPr>
          <w:cantSplit/>
        </w:trPr>
        <w:tc>
          <w:tcPr>
            <w:tcW w:w="9356" w:type="dxa"/>
            <w:gridSpan w:val="7"/>
            <w:tcBorders>
              <w:top w:val="single" w:sz="6" w:space="0" w:color="auto"/>
              <w:left w:val="single" w:sz="6" w:space="0" w:color="auto"/>
              <w:bottom w:val="single" w:sz="6" w:space="0" w:color="auto"/>
              <w:right w:val="single" w:sz="6" w:space="0" w:color="auto"/>
            </w:tcBorders>
          </w:tcPr>
          <w:p w:rsidR="001F02E6" w:rsidRPr="008F6ABB" w:rsidRDefault="001F02E6" w:rsidP="001F02E6">
            <w:pPr>
              <w:widowControl w:val="0"/>
              <w:tabs>
                <w:tab w:val="left" w:pos="142"/>
              </w:tabs>
              <w:overflowPunct w:val="0"/>
              <w:adjustRightInd w:val="0"/>
              <w:spacing w:before="40" w:after="20" w:line="240" w:lineRule="atLeast"/>
              <w:ind w:left="57"/>
              <w:textAlignment w:val="baseline"/>
              <w:rPr>
                <w:rFonts w:eastAsia="Calibri" w:cs="Arial"/>
                <w:sz w:val="18"/>
                <w:szCs w:val="18"/>
              </w:rPr>
            </w:pPr>
            <w:r>
              <w:rPr>
                <w:sz w:val="18"/>
              </w:rPr>
              <w:t>Megjegyzések:</w:t>
            </w:r>
          </w:p>
          <w:p w:rsidR="001F02E6" w:rsidRPr="008F6ABB" w:rsidRDefault="001F02E6" w:rsidP="001F02E6">
            <w:pPr>
              <w:widowControl w:val="0"/>
              <w:overflowPunct w:val="0"/>
              <w:adjustRightInd w:val="0"/>
              <w:spacing w:before="20" w:after="20"/>
              <w:ind w:left="426" w:hanging="369"/>
              <w:textAlignment w:val="baseline"/>
              <w:rPr>
                <w:rFonts w:eastAsia="Calibri" w:cs="Arial"/>
                <w:sz w:val="18"/>
                <w:szCs w:val="18"/>
              </w:rPr>
            </w:pPr>
            <w:r>
              <w:rPr>
                <w:sz w:val="18"/>
                <w:vertAlign w:val="superscript"/>
              </w:rPr>
              <w:t>(1)</w:t>
            </w:r>
            <w:r>
              <w:tab/>
            </w:r>
            <w:r>
              <w:rPr>
                <w:sz w:val="18"/>
              </w:rPr>
              <w:t>Amennyiben a berendezés nagy mennyiségű hőt bocsát ki: IP 12.</w:t>
            </w:r>
          </w:p>
          <w:p w:rsidR="001F02E6" w:rsidRPr="008F6ABB" w:rsidRDefault="001F02E6" w:rsidP="001F02E6">
            <w:pPr>
              <w:widowControl w:val="0"/>
              <w:overflowPunct w:val="0"/>
              <w:adjustRightInd w:val="0"/>
              <w:spacing w:before="20" w:after="20"/>
              <w:ind w:left="426" w:hanging="369"/>
              <w:textAlignment w:val="baseline"/>
              <w:rPr>
                <w:rFonts w:eastAsia="Calibri" w:cs="Arial"/>
                <w:sz w:val="18"/>
                <w:szCs w:val="18"/>
              </w:rPr>
            </w:pPr>
            <w:r>
              <w:rPr>
                <w:sz w:val="18"/>
                <w:vertAlign w:val="superscript"/>
              </w:rPr>
              <w:t>(2)</w:t>
            </w:r>
            <w:r>
              <w:tab/>
            </w:r>
            <w:r>
              <w:rPr>
                <w:sz w:val="18"/>
              </w:rPr>
              <w:t>Ha a védelem típusát maga a berendezés nem biztosítja, a berendezés helyének meg kell felelnie a táblázatban feltüntetett feltételeknek.</w:t>
            </w:r>
          </w:p>
          <w:p w:rsidR="001F02E6" w:rsidRPr="008F6ABB" w:rsidRDefault="001F02E6" w:rsidP="001F02E6">
            <w:pPr>
              <w:widowControl w:val="0"/>
              <w:tabs>
                <w:tab w:val="left" w:pos="567"/>
              </w:tabs>
              <w:overflowPunct w:val="0"/>
              <w:adjustRightInd w:val="0"/>
              <w:spacing w:before="20" w:after="20"/>
              <w:ind w:left="426" w:hanging="369"/>
              <w:textAlignment w:val="baseline"/>
              <w:rPr>
                <w:rFonts w:eastAsia="Calibri" w:cs="Arial"/>
                <w:sz w:val="18"/>
                <w:szCs w:val="18"/>
              </w:rPr>
            </w:pPr>
            <w:r>
              <w:rPr>
                <w:sz w:val="18"/>
                <w:vertAlign w:val="superscript"/>
              </w:rPr>
              <w:t>(3)</w:t>
            </w:r>
            <w:r>
              <w:tab/>
            </w:r>
            <w:r>
              <w:rPr>
                <w:sz w:val="18"/>
              </w:rPr>
              <w:t xml:space="preserve">Hitelesített biztonsági típusú elektromos berendezések, például: </w:t>
            </w:r>
          </w:p>
          <w:p w:rsidR="001F02E6" w:rsidRPr="00881113" w:rsidRDefault="001F02E6" w:rsidP="001F02E6">
            <w:pPr>
              <w:widowControl w:val="0"/>
              <w:overflowPunct w:val="0"/>
              <w:adjustRightInd w:val="0"/>
              <w:spacing w:before="20" w:after="20"/>
              <w:ind w:left="709" w:hanging="283"/>
              <w:textAlignment w:val="baseline"/>
              <w:rPr>
                <w:rFonts w:eastAsia="Calibri" w:cs="Arial"/>
                <w:sz w:val="18"/>
                <w:szCs w:val="18"/>
              </w:rPr>
            </w:pPr>
            <w:r>
              <w:rPr>
                <w:sz w:val="18"/>
              </w:rPr>
              <w:t>a)</w:t>
            </w:r>
            <w:r>
              <w:tab/>
            </w:r>
            <w:r>
              <w:rPr>
                <w:sz w:val="18"/>
              </w:rPr>
              <w:t>az EN 60079 európai szabványsorozat 2017. július 6-án hatályos változatának megfelelően engedélyezett felszerelések;</w:t>
            </w:r>
          </w:p>
          <w:p w:rsidR="001F02E6" w:rsidRPr="00881113" w:rsidRDefault="001F02E6" w:rsidP="001F02E6">
            <w:pPr>
              <w:spacing w:line="240" w:lineRule="atLeast"/>
              <w:ind w:left="709" w:hanging="283"/>
              <w:rPr>
                <w:sz w:val="18"/>
                <w:szCs w:val="18"/>
              </w:rPr>
            </w:pPr>
            <w:r>
              <w:rPr>
                <w:sz w:val="18"/>
              </w:rPr>
              <w:t>b)</w:t>
            </w:r>
            <w:r>
              <w:tab/>
            </w:r>
            <w:r>
              <w:rPr>
                <w:sz w:val="18"/>
              </w:rPr>
              <w:t>a kialakítástól függően alacsonyabb szintű minimális védelmi típusú felszerelések, például egyes tűzérzékelő-típusok.</w:t>
            </w:r>
          </w:p>
          <w:p w:rsidR="001F02E6" w:rsidRPr="00881113" w:rsidRDefault="001F02E6" w:rsidP="001F02E6">
            <w:pPr>
              <w:widowControl w:val="0"/>
              <w:overflowPunct w:val="0"/>
              <w:adjustRightInd w:val="0"/>
              <w:spacing w:before="40" w:after="40"/>
              <w:ind w:left="57"/>
              <w:textAlignment w:val="baseline"/>
              <w:rPr>
                <w:rFonts w:cs="Arial"/>
                <w:sz w:val="18"/>
                <w:szCs w:val="18"/>
                <w:vertAlign w:val="superscript"/>
              </w:rPr>
            </w:pPr>
            <w:r>
              <w:rPr>
                <w:sz w:val="18"/>
              </w:rPr>
              <w:t>Világítótestek és tűzérzékelők akkumulátorterekben és festékraktárakban való alkalmazása esetén mindkét feltételnek meg kell felelni.</w:t>
            </w:r>
          </w:p>
          <w:p w:rsidR="001F02E6" w:rsidRPr="008F6ABB" w:rsidRDefault="001F02E6" w:rsidP="000403EC">
            <w:pPr>
              <w:widowControl w:val="0"/>
              <w:tabs>
                <w:tab w:val="left" w:pos="426"/>
              </w:tabs>
              <w:overflowPunct w:val="0"/>
              <w:adjustRightInd w:val="0"/>
              <w:spacing w:before="20" w:after="40" w:line="240" w:lineRule="atLeast"/>
              <w:ind w:left="426" w:hanging="369"/>
              <w:textAlignment w:val="baseline"/>
              <w:rPr>
                <w:rFonts w:eastAsia="Calibri" w:cs="Arial"/>
                <w:sz w:val="16"/>
                <w:szCs w:val="16"/>
              </w:rPr>
            </w:pPr>
            <w:r>
              <w:rPr>
                <w:sz w:val="18"/>
                <w:vertAlign w:val="superscript"/>
              </w:rPr>
              <w:t>(4)</w:t>
            </w:r>
            <w:r>
              <w:tab/>
            </w:r>
            <w:r>
              <w:rPr>
                <w:sz w:val="18"/>
              </w:rPr>
              <w:t>A felszerelések 125 A vagy annál nagyobb áramerősségre tervezett szerelvényei esetében: IP 66 (EN 60529:2014).</w:t>
            </w:r>
          </w:p>
        </w:tc>
      </w:tr>
    </w:tbl>
    <w:p w:rsidR="008A12E7" w:rsidRPr="001F02E6" w:rsidRDefault="008A12E7" w:rsidP="008A12E7">
      <w:pPr>
        <w:rPr>
          <w:rFonts w:cs="Arial"/>
          <w:szCs w:val="20"/>
        </w:rPr>
      </w:pPr>
    </w:p>
    <w:p w:rsidR="008A12E7" w:rsidRPr="00533048" w:rsidRDefault="008A12E7" w:rsidP="00533048">
      <w:pPr>
        <w:rPr>
          <w:rFonts w:cs="Arial"/>
          <w:szCs w:val="20"/>
        </w:rPr>
      </w:pPr>
    </w:p>
    <w:p w:rsidR="008A12E7" w:rsidRPr="00C903F8" w:rsidRDefault="008A12E7" w:rsidP="001D61F0">
      <w:pPr>
        <w:pStyle w:val="ES-Titre3"/>
      </w:pPr>
      <w:bookmarkStart w:id="167" w:name="_Toc491854081"/>
      <w:bookmarkStart w:id="168" w:name="_Toc535853860"/>
      <w:r>
        <w:t>10.04. cikk</w:t>
      </w:r>
      <w:r>
        <w:br/>
      </w:r>
      <w:r>
        <w:rPr>
          <w:i/>
          <w:noProof/>
        </w:rPr>
        <w:t>Robbanásvédelem</w:t>
      </w:r>
      <w:bookmarkEnd w:id="167"/>
      <w:bookmarkEnd w:id="168"/>
    </w:p>
    <w:p w:rsidR="001D61F0" w:rsidRPr="00C903F8" w:rsidRDefault="001D61F0" w:rsidP="001D61F0">
      <w:pPr>
        <w:rPr>
          <w:rFonts w:cs="Arial"/>
          <w:noProof/>
          <w:szCs w:val="20"/>
        </w:rPr>
      </w:pPr>
    </w:p>
    <w:p w:rsidR="001F02E6" w:rsidRPr="008F6ABB" w:rsidRDefault="001F02E6" w:rsidP="001F02E6">
      <w:pPr>
        <w:pStyle w:val="ESch"/>
        <w:rPr>
          <w:rFonts w:eastAsia="Calibri" w:cs="Arial"/>
        </w:rPr>
      </w:pPr>
      <w:r>
        <w:t>1.</w:t>
      </w:r>
      <w:r>
        <w:tab/>
        <w:t xml:space="preserve">Olyan terekben vagy területeken, ahol a légkörben robbanásveszélyes gázok halmozódhatnak fel, csak robbanásbiztos (hitelesített biztonsági típusú) elektromos berendezéseket szabad telepíteni.  Az ilyen berendezéseket az egyik tagállam nemzeti rendelkezései alapján elismert vizsgáló intézmény megvizsgálja és jóváhagyja a robbanásveszélyes légkörben való üzembiztonság tekintetében. </w:t>
      </w:r>
    </w:p>
    <w:p w:rsidR="001F02E6" w:rsidRPr="008F6ABB" w:rsidRDefault="001F02E6" w:rsidP="001F02E6">
      <w:pPr>
        <w:pStyle w:val="ESch"/>
        <w:rPr>
          <w:rFonts w:eastAsia="Calibri"/>
        </w:rPr>
      </w:pPr>
    </w:p>
    <w:p w:rsidR="001F02E6" w:rsidRPr="008F6ABB" w:rsidRDefault="001F02E6" w:rsidP="001F02E6">
      <w:pPr>
        <w:pStyle w:val="ESchpar"/>
        <w:rPr>
          <w:rFonts w:eastAsia="Calibri"/>
        </w:rPr>
      </w:pPr>
      <w:r>
        <w:t>Az említett terekben vagy területeken, amennyire csak lehetséges, kerülni kell világítótestek kapcsolóberendezéseinek vagy egyéb elektromos berendezéseknek a felszerelését. A robbanásbiztosság szempontjából figyelembe kell venni a légkörben várhatóan megjelenő robbanásveszélyes gázok jellemzőit (robbanásveszélyességi csoport, hőmérsékletosztály) és az érintett zónára vonatkozó követelményeket.</w:t>
      </w:r>
    </w:p>
    <w:p w:rsidR="001F02E6" w:rsidRDefault="001F02E6" w:rsidP="001F02E6">
      <w:pPr>
        <w:pStyle w:val="ESchpar"/>
        <w:rPr>
          <w:rFonts w:eastAsia="Calibri"/>
        </w:rPr>
      </w:pPr>
    </w:p>
    <w:p w:rsidR="00AA5633" w:rsidRDefault="00AA5633">
      <w:pPr>
        <w:rPr>
          <w:rFonts w:eastAsia="Calibri"/>
        </w:rPr>
      </w:pPr>
      <w:r>
        <w:br w:type="page"/>
      </w:r>
    </w:p>
    <w:p w:rsidR="00AA5633" w:rsidRPr="008F6ABB" w:rsidRDefault="00AA5633" w:rsidP="001F02E6">
      <w:pPr>
        <w:pStyle w:val="ESchpar"/>
        <w:rPr>
          <w:rFonts w:eastAsia="Calibri"/>
        </w:rPr>
      </w:pPr>
    </w:p>
    <w:p w:rsidR="001F02E6" w:rsidRPr="008F6ABB" w:rsidRDefault="001F02E6" w:rsidP="001F02E6">
      <w:pPr>
        <w:pStyle w:val="ESchpar"/>
        <w:rPr>
          <w:rFonts w:eastAsia="Calibri"/>
          <w:strike/>
        </w:rPr>
      </w:pPr>
      <w:r>
        <w:t xml:space="preserve">A berendezések jóváhagyási bizonyítványaiban szereplő információkat és korlátozásokat figyelembe kell venni. </w:t>
      </w:r>
    </w:p>
    <w:p w:rsidR="001F02E6" w:rsidRPr="008F6ABB" w:rsidRDefault="001F02E6" w:rsidP="001F02E6">
      <w:pPr>
        <w:pStyle w:val="ESchpar"/>
        <w:rPr>
          <w:rFonts w:eastAsia="Calibri"/>
        </w:rPr>
      </w:pPr>
    </w:p>
    <w:p w:rsidR="001F02E6" w:rsidRPr="001717EA" w:rsidRDefault="001F02E6" w:rsidP="001F02E6">
      <w:pPr>
        <w:pStyle w:val="ESchpar"/>
      </w:pPr>
      <w:r>
        <w:t>A robbanásveszélynek kitett területek osztályozását és értékelését az EN 60079-10-1:2015 és az EN 60079</w:t>
      </w:r>
      <w:r>
        <w:softHyphen/>
        <w:t>10-2:2015 nemzetközi szabványnak megfelelően kell végezni és dokumentálni.</w:t>
      </w:r>
    </w:p>
    <w:p w:rsidR="001F02E6" w:rsidRPr="008F6ABB" w:rsidRDefault="001F02E6" w:rsidP="001F02E6">
      <w:pPr>
        <w:pStyle w:val="ESch"/>
        <w:rPr>
          <w:rFonts w:eastAsia="Calibri"/>
        </w:rPr>
      </w:pPr>
    </w:p>
    <w:p w:rsidR="001F02E6" w:rsidRPr="001717EA" w:rsidRDefault="001F02E6" w:rsidP="001F02E6">
      <w:pPr>
        <w:pStyle w:val="ESch"/>
        <w:rPr>
          <w:rFonts w:eastAsia="Calibri"/>
        </w:rPr>
      </w:pPr>
      <w:r>
        <w:t>2.</w:t>
      </w:r>
      <w:r>
        <w:tab/>
        <w:t>A veszélyes területek tekintetében a következő szabályok alkalmazandók:</w:t>
      </w:r>
    </w:p>
    <w:p w:rsidR="001F02E6" w:rsidRPr="008F6ABB" w:rsidRDefault="001F02E6" w:rsidP="001F02E6">
      <w:pPr>
        <w:pStyle w:val="ESlet"/>
        <w:rPr>
          <w:rFonts w:eastAsia="Calibri"/>
        </w:rPr>
      </w:pPr>
      <w:r>
        <w:t>a)</w:t>
      </w:r>
      <w:r>
        <w:tab/>
        <w:t>A 0. zónába tartozó területeken az IEC 60079</w:t>
      </w:r>
      <w:r>
        <w:softHyphen/>
        <w:t>11:2012 nemzetközi szabványnak megfelelően csak eredendően biztonságos áramkörök (Ex ia) védelmi osztály) használata engedélyezett;</w:t>
      </w:r>
    </w:p>
    <w:p w:rsidR="001F02E6" w:rsidRPr="008F6ABB" w:rsidRDefault="001F02E6" w:rsidP="001F02E6">
      <w:pPr>
        <w:pStyle w:val="ESlet"/>
        <w:rPr>
          <w:rFonts w:eastAsia="Calibri"/>
        </w:rPr>
      </w:pPr>
      <w:r>
        <w:t>b)</w:t>
      </w:r>
      <w:r>
        <w:tab/>
        <w:t xml:space="preserve">Az 1. zónába tartozó területeken csak robbanásvédett (hitelesített biztonsági típusú) elektromos berendezések használata engedélyezett; </w:t>
      </w:r>
    </w:p>
    <w:p w:rsidR="001F02E6" w:rsidRPr="008F6ABB" w:rsidRDefault="001F02E6" w:rsidP="001F02E6">
      <w:pPr>
        <w:pStyle w:val="ESlet"/>
        <w:rPr>
          <w:rFonts w:eastAsia="Calibri"/>
        </w:rPr>
      </w:pPr>
      <w:r>
        <w:t>c)</w:t>
      </w:r>
      <w:r>
        <w:tab/>
        <w:t xml:space="preserve">A 2. zónában intézkedéseket kell hozni azon elektromos berendezések védelmére, amelyek megfelelnek a kiszolgáló berendezés típusának és rendeltetésének. </w:t>
      </w:r>
    </w:p>
    <w:p w:rsidR="001F02E6" w:rsidRPr="008F6ABB" w:rsidRDefault="001F02E6" w:rsidP="001F02E6">
      <w:pPr>
        <w:pStyle w:val="EStiret"/>
        <w:rPr>
          <w:rFonts w:eastAsia="Calibri"/>
          <w:noProof w:val="0"/>
        </w:rPr>
      </w:pPr>
      <w:r>
        <w:t>E területeken a jóváhagyás a következőkre korlátozódik:</w:t>
      </w:r>
    </w:p>
    <w:p w:rsidR="001F02E6" w:rsidRPr="008F6ABB" w:rsidRDefault="001F02E6" w:rsidP="001F02E6">
      <w:pPr>
        <w:pStyle w:val="EStiret"/>
        <w:rPr>
          <w:rFonts w:eastAsia="Calibri"/>
          <w:noProof w:val="0"/>
        </w:rPr>
      </w:pPr>
      <w:r>
        <w:t>aa)</w:t>
      </w:r>
      <w:r>
        <w:tab/>
        <w:t>robbanásvédett (hitelesített biztonsági típusú) elektromos berendezések, vagy</w:t>
      </w:r>
    </w:p>
    <w:p w:rsidR="001F02E6" w:rsidRPr="008F6ABB" w:rsidRDefault="001F02E6" w:rsidP="001F02E6">
      <w:pPr>
        <w:pStyle w:val="EStiret"/>
        <w:rPr>
          <w:rFonts w:eastAsia="Calibri"/>
          <w:noProof w:val="0"/>
        </w:rPr>
      </w:pPr>
      <w:r>
        <w:t>bb)</w:t>
      </w:r>
      <w:r>
        <w:tab/>
        <w:t xml:space="preserve">olyan kiszolgáló berendezések, amelyek szokásos használatuk során nem állítanak elő szikrát, és amelyek felülete érintkezhet a külső levegővel, illetve nem lépi túl a megengedett hőmérsékletet, vagy </w:t>
      </w:r>
    </w:p>
    <w:p w:rsidR="001F02E6" w:rsidRPr="008F6ABB" w:rsidRDefault="001F02E6" w:rsidP="001F02E6">
      <w:pPr>
        <w:pStyle w:val="EStiret"/>
        <w:rPr>
          <w:rFonts w:eastAsia="Calibri"/>
          <w:noProof w:val="0"/>
        </w:rPr>
      </w:pPr>
      <w:r>
        <w:t>cc)</w:t>
      </w:r>
      <w:r>
        <w:tab/>
        <w:t>nyomás alatt tartással védett vagy páramentes tokba zárt kiszolgáló berendezések (IP 55 minimális védelmi osztály), amelyek felülete nem lépi túl a megengedett hőmérsékletet.</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Porrobbanás-védelem tekintetében az EN 60079-10-2:2015 nemzetközi szabványnak megfelelő követelmények alkalmazandók.</w:t>
      </w:r>
    </w:p>
    <w:p w:rsidR="008A12E7" w:rsidRPr="001F02E6" w:rsidRDefault="008A12E7" w:rsidP="008A12E7">
      <w:pPr>
        <w:rPr>
          <w:rFonts w:cs="Arial"/>
          <w:szCs w:val="20"/>
        </w:rPr>
      </w:pPr>
    </w:p>
    <w:p w:rsidR="001D61F0" w:rsidRPr="00C903F8" w:rsidRDefault="001D61F0" w:rsidP="008A12E7">
      <w:pPr>
        <w:rPr>
          <w:rFonts w:cs="Arial"/>
          <w:szCs w:val="20"/>
        </w:rPr>
      </w:pPr>
    </w:p>
    <w:p w:rsidR="008A12E7" w:rsidRPr="00C903F8" w:rsidRDefault="008A12E7" w:rsidP="001D61F0">
      <w:pPr>
        <w:pStyle w:val="ES-Titre3"/>
      </w:pPr>
      <w:bookmarkStart w:id="169" w:name="_Toc491854082"/>
      <w:bookmarkStart w:id="170" w:name="_Toc535853861"/>
      <w:r>
        <w:t>10.05. cikk</w:t>
      </w:r>
      <w:r>
        <w:br/>
      </w:r>
      <w:r>
        <w:rPr>
          <w:i/>
          <w:noProof/>
        </w:rPr>
        <w:t>Földelés</w:t>
      </w:r>
      <w:bookmarkEnd w:id="169"/>
      <w:bookmarkEnd w:id="170"/>
    </w:p>
    <w:p w:rsidR="001D61F0" w:rsidRPr="00C903F8" w:rsidRDefault="001D61F0" w:rsidP="008A12E7">
      <w:pPr>
        <w:rPr>
          <w:rFonts w:cs="Arial"/>
          <w:noProof/>
          <w:szCs w:val="20"/>
        </w:rPr>
      </w:pPr>
    </w:p>
    <w:p w:rsidR="001F02E6" w:rsidRPr="008F6ABB" w:rsidRDefault="001F02E6" w:rsidP="001F02E6">
      <w:pPr>
        <w:pStyle w:val="ESch"/>
        <w:rPr>
          <w:rFonts w:eastAsia="Calibri"/>
        </w:rPr>
      </w:pPr>
      <w:r>
        <w:t>1.</w:t>
      </w:r>
      <w:r>
        <w:tab/>
        <w:t>Az 50 V-nál nagyobb feszültségű elektromos felszereléseknél földelés szükséges.</w:t>
      </w:r>
    </w:p>
    <w:p w:rsidR="001F02E6" w:rsidRPr="008F6ABB" w:rsidRDefault="001F02E6" w:rsidP="001F02E6">
      <w:pPr>
        <w:pStyle w:val="ESch"/>
        <w:rPr>
          <w:rFonts w:eastAsia="Calibri"/>
          <w:sz w:val="18"/>
        </w:rPr>
      </w:pPr>
    </w:p>
    <w:p w:rsidR="001F02E6" w:rsidRPr="008F6ABB" w:rsidRDefault="001F02E6" w:rsidP="001F02E6">
      <w:pPr>
        <w:pStyle w:val="ESch"/>
        <w:rPr>
          <w:rFonts w:eastAsia="Calibri"/>
        </w:rPr>
      </w:pPr>
      <w:r>
        <w:t>2.</w:t>
      </w:r>
      <w:r>
        <w:tab/>
        <w:t>Az olyan szabadon lévő fémalkatrészeket, amelyek szokásos üzemi körülmények között nincsenek feszültség alatt, például az elektromos rendszer kereteit és az elektromos felszerelések és a nem mobil elektromos berendezések burkolatát, külön le kell földelni, ha azokat nem úgy szerelték fel eleve, hogy a hajótesttel elektromosan érintkeznek.</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A mobil elektromos berendezések burkolatát olyan kiegészítő vezeték segítségével kell földelni, amely a szokásos működés szerint nem szállít áramot és bele van foglalva a tápkábelbe. Ez a követelmény nem vonatkozik az elválasztó transzformátor használatára vagy a védőszigeteléssel (kettős szigetelés) ellátott berendezésekre.</w:t>
      </w:r>
    </w:p>
    <w:p w:rsidR="001F02E6" w:rsidRDefault="001F02E6" w:rsidP="001F02E6">
      <w:pPr>
        <w:pStyle w:val="ESch"/>
        <w:rPr>
          <w:rFonts w:eastAsia="Calibri"/>
        </w:rPr>
      </w:pPr>
    </w:p>
    <w:p w:rsidR="00666810" w:rsidRDefault="00666810">
      <w:pPr>
        <w:rPr>
          <w:rFonts w:eastAsia="Calibri"/>
        </w:rPr>
      </w:pPr>
      <w:r>
        <w:br w:type="page"/>
      </w:r>
    </w:p>
    <w:p w:rsidR="00666810" w:rsidRPr="008F6ABB" w:rsidRDefault="00666810" w:rsidP="001F02E6">
      <w:pPr>
        <w:pStyle w:val="ESch"/>
        <w:rPr>
          <w:rFonts w:eastAsia="Calibri"/>
        </w:rPr>
      </w:pPr>
    </w:p>
    <w:p w:rsidR="001F02E6" w:rsidRPr="008F6ABB" w:rsidRDefault="001F02E6" w:rsidP="001F02E6">
      <w:pPr>
        <w:pStyle w:val="ESch"/>
        <w:rPr>
          <w:rFonts w:eastAsia="Calibri"/>
        </w:rPr>
      </w:pPr>
      <w:r>
        <w:t>4.</w:t>
      </w:r>
      <w:r>
        <w:tab/>
        <w:t>A földelőkábelek keresztmetszete nem lehet kisebb az alábbi táblázatban megadott értékeknél:</w:t>
      </w:r>
    </w:p>
    <w:p w:rsidR="008A12E7" w:rsidRPr="001F02E6" w:rsidRDefault="008A12E7" w:rsidP="008A12E7">
      <w:pPr>
        <w:rPr>
          <w:rFonts w:cs="Arial"/>
          <w:szCs w:val="20"/>
        </w:rPr>
      </w:pPr>
    </w:p>
    <w:tbl>
      <w:tblPr>
        <w:tblW w:w="0" w:type="auto"/>
        <w:jc w:val="center"/>
        <w:tblLayout w:type="fixed"/>
        <w:tblCellMar>
          <w:left w:w="70" w:type="dxa"/>
          <w:right w:w="70" w:type="dxa"/>
        </w:tblCellMar>
        <w:tblLook w:val="0000" w:firstRow="0" w:lastRow="0" w:firstColumn="0" w:lastColumn="0" w:noHBand="0" w:noVBand="0"/>
      </w:tblPr>
      <w:tblGrid>
        <w:gridCol w:w="2214"/>
        <w:gridCol w:w="2833"/>
        <w:gridCol w:w="3062"/>
      </w:tblGrid>
      <w:tr w:rsidR="001F02E6" w:rsidRPr="00A0619C" w:rsidTr="001F02E6">
        <w:trPr>
          <w:cantSplit/>
          <w:jc w:val="center"/>
        </w:trPr>
        <w:tc>
          <w:tcPr>
            <w:tcW w:w="2214" w:type="dxa"/>
            <w:vMerge w:val="restart"/>
            <w:tcBorders>
              <w:top w:val="single" w:sz="6" w:space="0" w:color="auto"/>
              <w:left w:val="single" w:sz="6"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Kültéri vezetékek keresztmetszete (S)</w:t>
            </w:r>
            <w:r>
              <w:rPr>
                <w:sz w:val="18"/>
                <w:szCs w:val="18"/>
              </w:rPr>
              <w:br/>
            </w:r>
            <w:r>
              <w:rPr>
                <w:sz w:val="18"/>
              </w:rPr>
              <w:t>[mm</w:t>
            </w:r>
            <w:r>
              <w:rPr>
                <w:sz w:val="16"/>
                <w:vertAlign w:val="superscript"/>
              </w:rPr>
              <w:t>2</w:t>
            </w:r>
            <w:r>
              <w:rPr>
                <w:sz w:val="18"/>
              </w:rPr>
              <w:t>]</w:t>
            </w:r>
          </w:p>
        </w:tc>
        <w:tc>
          <w:tcPr>
            <w:tcW w:w="5895" w:type="dxa"/>
            <w:gridSpan w:val="2"/>
            <w:tcBorders>
              <w:top w:val="single" w:sz="6"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ind w:left="17" w:hanging="17"/>
              <w:jc w:val="center"/>
              <w:rPr>
                <w:rFonts w:cs="Arial"/>
                <w:sz w:val="18"/>
                <w:szCs w:val="18"/>
              </w:rPr>
            </w:pPr>
            <w:r>
              <w:rPr>
                <w:sz w:val="18"/>
              </w:rPr>
              <w:t>Földelőkábelek minimális keresztmetszete</w:t>
            </w:r>
          </w:p>
        </w:tc>
      </w:tr>
      <w:tr w:rsidR="001F02E6" w:rsidRPr="008F6ABB" w:rsidTr="001F02E6">
        <w:trPr>
          <w:cantSplit/>
          <w:jc w:val="center"/>
        </w:trPr>
        <w:tc>
          <w:tcPr>
            <w:tcW w:w="2214" w:type="dxa"/>
            <w:vMerge/>
            <w:tcBorders>
              <w:left w:val="single" w:sz="6" w:space="0" w:color="auto"/>
              <w:bottom w:val="single" w:sz="12"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p>
        </w:tc>
        <w:tc>
          <w:tcPr>
            <w:tcW w:w="2833" w:type="dxa"/>
            <w:tcBorders>
              <w:bottom w:val="single" w:sz="12"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szigetelt kábelekben</w:t>
            </w:r>
            <w:r>
              <w:rPr>
                <w:sz w:val="18"/>
                <w:szCs w:val="18"/>
              </w:rPr>
              <w:br/>
            </w:r>
            <w:r>
              <w:rPr>
                <w:sz w:val="18"/>
              </w:rPr>
              <w:t>[mm</w:t>
            </w:r>
            <w:r>
              <w:rPr>
                <w:sz w:val="16"/>
                <w:vertAlign w:val="superscript"/>
              </w:rPr>
              <w:t>2</w:t>
            </w:r>
            <w:r>
              <w:rPr>
                <w:sz w:val="18"/>
              </w:rPr>
              <w:t>]</w:t>
            </w:r>
          </w:p>
        </w:tc>
        <w:tc>
          <w:tcPr>
            <w:tcW w:w="3062" w:type="dxa"/>
            <w:tcBorders>
              <w:left w:val="single" w:sz="6" w:space="0" w:color="auto"/>
              <w:bottom w:val="single" w:sz="12"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külön szerelve</w:t>
            </w:r>
            <w:r>
              <w:rPr>
                <w:sz w:val="18"/>
                <w:szCs w:val="18"/>
              </w:rPr>
              <w:br/>
            </w:r>
            <w:r>
              <w:rPr>
                <w:sz w:val="18"/>
              </w:rPr>
              <w:t>[mm</w:t>
            </w:r>
            <w:r>
              <w:rPr>
                <w:sz w:val="16"/>
                <w:vertAlign w:val="superscript"/>
              </w:rPr>
              <w:t>2</w:t>
            </w:r>
            <w:r>
              <w:rPr>
                <w:sz w:val="18"/>
              </w:rPr>
              <w:t>]</w:t>
            </w:r>
          </w:p>
        </w:tc>
      </w:tr>
      <w:tr w:rsidR="001F02E6" w:rsidRPr="008F6ABB" w:rsidTr="001F02E6">
        <w:trPr>
          <w:cantSplit/>
          <w:jc w:val="center"/>
        </w:trPr>
        <w:tc>
          <w:tcPr>
            <w:tcW w:w="2214" w:type="dxa"/>
            <w:tcBorders>
              <w:top w:val="single" w:sz="12" w:space="0" w:color="auto"/>
              <w:left w:val="single" w:sz="6" w:space="0" w:color="auto"/>
              <w:bottom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0,5 ≤ S ≤ 4</w:t>
            </w:r>
          </w:p>
        </w:tc>
        <w:tc>
          <w:tcPr>
            <w:tcW w:w="2833" w:type="dxa"/>
            <w:tcBorders>
              <w:top w:val="single" w:sz="12" w:space="0" w:color="auto"/>
              <w:left w:val="single" w:sz="6" w:space="0" w:color="auto"/>
              <w:bottom w:val="single" w:sz="6" w:space="0" w:color="auto"/>
              <w:right w:val="single" w:sz="6" w:space="0" w:color="auto"/>
            </w:tcBorders>
            <w:vAlign w:val="center"/>
          </w:tcPr>
          <w:p w:rsidR="001F02E6" w:rsidRPr="008F6ABB" w:rsidRDefault="001F02E6" w:rsidP="00AA5633">
            <w:pPr>
              <w:tabs>
                <w:tab w:val="left" w:pos="1632"/>
                <w:tab w:val="left" w:pos="3456"/>
              </w:tabs>
              <w:spacing w:before="60" w:after="60" w:line="240" w:lineRule="atLeast"/>
              <w:jc w:val="center"/>
              <w:rPr>
                <w:rFonts w:cs="Arial"/>
                <w:sz w:val="18"/>
                <w:szCs w:val="18"/>
              </w:rPr>
            </w:pPr>
            <w:r>
              <w:rPr>
                <w:sz w:val="18"/>
              </w:rPr>
              <w:t>a kültéri vezetékek</w:t>
            </w:r>
            <w:r>
              <w:rPr>
                <w:rFonts w:ascii="MS Gothic" w:hAnsi="MS Gothic"/>
                <w:sz w:val="18"/>
                <w:szCs w:val="18"/>
              </w:rPr>
              <w:br/>
            </w:r>
            <w:r>
              <w:rPr>
                <w:sz w:val="18"/>
              </w:rPr>
              <w:t>keresztmetszetével megegyező</w:t>
            </w:r>
          </w:p>
        </w:tc>
        <w:tc>
          <w:tcPr>
            <w:tcW w:w="3062" w:type="dxa"/>
            <w:tcBorders>
              <w:top w:val="single" w:sz="12" w:space="0" w:color="auto"/>
              <w:left w:val="single" w:sz="6" w:space="0" w:color="auto"/>
              <w:bottom w:val="single" w:sz="6" w:space="0" w:color="auto"/>
              <w:right w:val="single" w:sz="6" w:space="0" w:color="auto"/>
            </w:tcBorders>
            <w:vAlign w:val="center"/>
          </w:tcPr>
          <w:p w:rsidR="001F02E6" w:rsidRPr="008F6ABB" w:rsidRDefault="001F02E6" w:rsidP="00AA5633">
            <w:pPr>
              <w:tabs>
                <w:tab w:val="left" w:pos="1632"/>
                <w:tab w:val="left" w:pos="3456"/>
              </w:tabs>
              <w:spacing w:before="60" w:after="60" w:line="240" w:lineRule="atLeast"/>
              <w:jc w:val="center"/>
              <w:rPr>
                <w:rFonts w:cs="Arial"/>
                <w:sz w:val="18"/>
                <w:szCs w:val="18"/>
              </w:rPr>
            </w:pPr>
            <w:r>
              <w:rPr>
                <w:sz w:val="18"/>
              </w:rPr>
              <w:t>4</w:t>
            </w:r>
          </w:p>
        </w:tc>
      </w:tr>
      <w:tr w:rsidR="001F02E6" w:rsidRPr="00A0619C"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4 &lt; S ≤ 16</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8F6ABB" w:rsidRDefault="001F02E6" w:rsidP="00AA5633">
            <w:pPr>
              <w:tabs>
                <w:tab w:val="left" w:pos="1632"/>
                <w:tab w:val="left" w:pos="3456"/>
              </w:tabs>
              <w:spacing w:before="60" w:after="60" w:line="240" w:lineRule="atLeast"/>
              <w:jc w:val="center"/>
              <w:rPr>
                <w:rFonts w:cs="Arial"/>
                <w:sz w:val="18"/>
                <w:szCs w:val="18"/>
              </w:rPr>
            </w:pPr>
            <w:r>
              <w:rPr>
                <w:sz w:val="18"/>
              </w:rPr>
              <w:t>a kültéri vezetékek keresztmetszetével megegyező</w:t>
            </w:r>
          </w:p>
        </w:tc>
      </w:tr>
      <w:tr w:rsidR="001F02E6" w:rsidRPr="008F6ABB"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16 &lt; S ≤ 35</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8F6ABB" w:rsidRDefault="001F02E6" w:rsidP="00AA5633">
            <w:pPr>
              <w:tabs>
                <w:tab w:val="left" w:pos="1632"/>
                <w:tab w:val="left" w:pos="3456"/>
              </w:tabs>
              <w:spacing w:before="60" w:after="60" w:line="240" w:lineRule="atLeast"/>
              <w:jc w:val="center"/>
              <w:rPr>
                <w:rFonts w:cs="Arial"/>
                <w:sz w:val="18"/>
                <w:szCs w:val="18"/>
              </w:rPr>
            </w:pPr>
            <w:r>
              <w:rPr>
                <w:sz w:val="18"/>
              </w:rPr>
              <w:t>16</w:t>
            </w:r>
          </w:p>
        </w:tc>
      </w:tr>
      <w:tr w:rsidR="001F02E6" w:rsidRPr="00A0619C"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35 &lt; S ≤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8F6ABB" w:rsidRDefault="001F02E6" w:rsidP="00AA5633">
            <w:pPr>
              <w:tabs>
                <w:tab w:val="left" w:pos="1632"/>
                <w:tab w:val="left" w:pos="3456"/>
              </w:tabs>
              <w:spacing w:before="60" w:after="60" w:line="240" w:lineRule="atLeast"/>
              <w:jc w:val="center"/>
              <w:rPr>
                <w:rFonts w:cs="Arial"/>
                <w:sz w:val="18"/>
                <w:szCs w:val="18"/>
              </w:rPr>
            </w:pPr>
            <w:r>
              <w:rPr>
                <w:sz w:val="18"/>
              </w:rPr>
              <w:t>a kültéri vezetékek keresztmetszetének fele</w:t>
            </w:r>
          </w:p>
        </w:tc>
      </w:tr>
      <w:tr w:rsidR="001F02E6" w:rsidRPr="008F6ABB"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S &gt;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70</w:t>
            </w:r>
          </w:p>
        </w:tc>
      </w:tr>
    </w:tbl>
    <w:p w:rsidR="001D61F0" w:rsidRPr="00C903F8" w:rsidRDefault="001D61F0" w:rsidP="008A12E7">
      <w:pPr>
        <w:rPr>
          <w:rFonts w:cs="Arial"/>
          <w:szCs w:val="20"/>
        </w:rPr>
      </w:pPr>
    </w:p>
    <w:p w:rsidR="001D61F0" w:rsidRDefault="001D61F0" w:rsidP="008A12E7">
      <w:pPr>
        <w:rPr>
          <w:rFonts w:cs="Arial"/>
          <w:szCs w:val="20"/>
        </w:rPr>
      </w:pPr>
    </w:p>
    <w:p w:rsidR="00C5222B" w:rsidRDefault="00C5222B">
      <w:pPr>
        <w:rPr>
          <w:rFonts w:cs="Arial"/>
          <w:szCs w:val="20"/>
        </w:rPr>
      </w:pPr>
      <w:r>
        <w:br w:type="page"/>
      </w:r>
    </w:p>
    <w:p w:rsidR="00C5222B" w:rsidRPr="00C903F8" w:rsidRDefault="00C5222B" w:rsidP="008A12E7">
      <w:pPr>
        <w:rPr>
          <w:rFonts w:cs="Arial"/>
          <w:szCs w:val="20"/>
        </w:rPr>
      </w:pPr>
    </w:p>
    <w:p w:rsidR="008A12E7" w:rsidRPr="00C903F8" w:rsidRDefault="008A12E7" w:rsidP="001D61F0">
      <w:pPr>
        <w:pStyle w:val="ES-Titre3"/>
      </w:pPr>
      <w:bookmarkStart w:id="171" w:name="_Toc491854083"/>
      <w:bookmarkStart w:id="172" w:name="_Toc535853862"/>
      <w:r>
        <w:t>10.06. cikk</w:t>
      </w:r>
      <w:r>
        <w:br/>
      </w:r>
      <w:r>
        <w:rPr>
          <w:i/>
          <w:noProof/>
        </w:rPr>
        <w:t>Legnagyobb megengedett feszültség</w:t>
      </w:r>
      <w:bookmarkEnd w:id="171"/>
      <w:bookmarkEnd w:id="172"/>
    </w:p>
    <w:p w:rsidR="001D61F0" w:rsidRPr="00C903F8" w:rsidRDefault="001D61F0" w:rsidP="008A12E7">
      <w:pPr>
        <w:rPr>
          <w:rFonts w:cs="Arial"/>
          <w:noProof/>
          <w:szCs w:val="20"/>
        </w:rPr>
      </w:pPr>
    </w:p>
    <w:p w:rsidR="008A12E7" w:rsidRDefault="008A12E7" w:rsidP="001F02E6">
      <w:pPr>
        <w:pStyle w:val="ESch"/>
        <w:numPr>
          <w:ilvl w:val="0"/>
          <w:numId w:val="17"/>
        </w:numPr>
        <w:rPr>
          <w:noProof/>
        </w:rPr>
      </w:pPr>
      <w:r>
        <w:t>A következő feszültségértékeket nem szabad túllépni:</w:t>
      </w:r>
    </w:p>
    <w:p w:rsidR="001F02E6" w:rsidRPr="00C903F8" w:rsidRDefault="001F02E6" w:rsidP="001F02E6">
      <w:pPr>
        <w:pStyle w:val="ESch"/>
        <w:ind w:left="930" w:firstLine="0"/>
      </w:pPr>
    </w:p>
    <w:tbl>
      <w:tblPr>
        <w:tblW w:w="9116" w:type="dxa"/>
        <w:tblInd w:w="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60"/>
        <w:gridCol w:w="1680"/>
        <w:gridCol w:w="1680"/>
        <w:gridCol w:w="1796"/>
      </w:tblGrid>
      <w:tr w:rsidR="001F02E6" w:rsidRPr="008F6ABB" w:rsidTr="001F02E6">
        <w:trPr>
          <w:cantSplit/>
          <w:tblHeader/>
        </w:trPr>
        <w:tc>
          <w:tcPr>
            <w:tcW w:w="3960" w:type="dxa"/>
            <w:vMerge w:val="restart"/>
            <w:vAlign w:val="center"/>
          </w:tcPr>
          <w:p w:rsidR="001F02E6" w:rsidRPr="008F6ABB" w:rsidRDefault="001F02E6" w:rsidP="00666810">
            <w:pPr>
              <w:spacing w:before="60" w:after="60" w:line="240" w:lineRule="atLeast"/>
              <w:jc w:val="center"/>
              <w:rPr>
                <w:rFonts w:eastAsia="Calibri" w:cs="Arial"/>
                <w:sz w:val="18"/>
                <w:szCs w:val="18"/>
              </w:rPr>
            </w:pPr>
            <w:r>
              <w:rPr>
                <w:sz w:val="18"/>
              </w:rPr>
              <w:t xml:space="preserve">A berendezés vagy felszerelés típusa </w:t>
            </w:r>
          </w:p>
        </w:tc>
        <w:tc>
          <w:tcPr>
            <w:tcW w:w="5156" w:type="dxa"/>
            <w:gridSpan w:val="3"/>
          </w:tcPr>
          <w:p w:rsidR="001F02E6" w:rsidRPr="008F6ABB" w:rsidRDefault="001F02E6" w:rsidP="00666810">
            <w:pPr>
              <w:spacing w:before="60" w:after="60" w:line="240" w:lineRule="atLeast"/>
              <w:jc w:val="center"/>
              <w:rPr>
                <w:rFonts w:eastAsia="Calibri" w:cs="Arial"/>
                <w:sz w:val="18"/>
                <w:szCs w:val="18"/>
              </w:rPr>
            </w:pPr>
            <w:r>
              <w:rPr>
                <w:sz w:val="18"/>
              </w:rPr>
              <w:t>Legnagyobb megengedett feszültség</w:t>
            </w:r>
          </w:p>
        </w:tc>
      </w:tr>
      <w:tr w:rsidR="001F02E6" w:rsidRPr="008F6ABB" w:rsidTr="001F02E6">
        <w:trPr>
          <w:cantSplit/>
          <w:tblHeader/>
        </w:trPr>
        <w:tc>
          <w:tcPr>
            <w:tcW w:w="3960" w:type="dxa"/>
            <w:vMerge/>
            <w:tcBorders>
              <w:bottom w:val="single" w:sz="12" w:space="0" w:color="auto"/>
            </w:tcBorders>
          </w:tcPr>
          <w:p w:rsidR="001F02E6" w:rsidRPr="008F6ABB" w:rsidRDefault="001F02E6" w:rsidP="00666810">
            <w:pPr>
              <w:spacing w:before="60" w:after="60" w:line="240" w:lineRule="atLeast"/>
              <w:rPr>
                <w:rFonts w:eastAsia="Calibri" w:cs="Arial"/>
                <w:sz w:val="18"/>
                <w:szCs w:val="18"/>
              </w:rPr>
            </w:pPr>
          </w:p>
        </w:tc>
        <w:tc>
          <w:tcPr>
            <w:tcW w:w="1680" w:type="dxa"/>
            <w:tcBorders>
              <w:bottom w:val="single" w:sz="12" w:space="0" w:color="auto"/>
            </w:tcBorders>
            <w:vAlign w:val="center"/>
          </w:tcPr>
          <w:p w:rsidR="001F02E6" w:rsidRPr="008F6ABB" w:rsidRDefault="001F02E6" w:rsidP="00666810">
            <w:pPr>
              <w:spacing w:before="60" w:after="60" w:line="240" w:lineRule="atLeast"/>
              <w:jc w:val="center"/>
              <w:rPr>
                <w:rFonts w:eastAsia="Calibri" w:cs="Arial"/>
                <w:sz w:val="18"/>
                <w:szCs w:val="18"/>
              </w:rPr>
            </w:pPr>
            <w:r>
              <w:rPr>
                <w:sz w:val="18"/>
              </w:rPr>
              <w:t>Egyenáram</w:t>
            </w:r>
          </w:p>
        </w:tc>
        <w:tc>
          <w:tcPr>
            <w:tcW w:w="1680" w:type="dxa"/>
            <w:tcBorders>
              <w:bottom w:val="single" w:sz="12" w:space="0" w:color="auto"/>
            </w:tcBorders>
            <w:vAlign w:val="center"/>
          </w:tcPr>
          <w:p w:rsidR="001F02E6" w:rsidRPr="008F6ABB" w:rsidRDefault="001F02E6" w:rsidP="00666810">
            <w:pPr>
              <w:spacing w:before="60" w:after="60" w:line="240" w:lineRule="atLeast"/>
              <w:jc w:val="center"/>
              <w:rPr>
                <w:rFonts w:eastAsia="Calibri" w:cs="Arial"/>
                <w:sz w:val="18"/>
                <w:szCs w:val="18"/>
              </w:rPr>
            </w:pPr>
            <w:r>
              <w:rPr>
                <w:sz w:val="18"/>
              </w:rPr>
              <w:t>Egyfázisú váltóáram</w:t>
            </w:r>
          </w:p>
        </w:tc>
        <w:tc>
          <w:tcPr>
            <w:tcW w:w="1796" w:type="dxa"/>
            <w:tcBorders>
              <w:bottom w:val="single" w:sz="12" w:space="0" w:color="auto"/>
            </w:tcBorders>
            <w:vAlign w:val="center"/>
          </w:tcPr>
          <w:p w:rsidR="001F02E6" w:rsidRPr="008F6ABB" w:rsidRDefault="001F02E6" w:rsidP="00666810">
            <w:pPr>
              <w:spacing w:before="60" w:after="60" w:line="240" w:lineRule="atLeast"/>
              <w:jc w:val="center"/>
              <w:rPr>
                <w:rFonts w:eastAsia="Calibri" w:cs="Arial"/>
                <w:sz w:val="18"/>
                <w:szCs w:val="18"/>
              </w:rPr>
            </w:pPr>
            <w:r>
              <w:rPr>
                <w:sz w:val="18"/>
              </w:rPr>
              <w:t>Háromfázisú váltóáram</w:t>
            </w:r>
          </w:p>
        </w:tc>
      </w:tr>
      <w:tr w:rsidR="001F02E6" w:rsidRPr="008F6ABB" w:rsidTr="00AA5633">
        <w:tc>
          <w:tcPr>
            <w:tcW w:w="3960" w:type="dxa"/>
            <w:tcBorders>
              <w:top w:val="single" w:sz="12" w:space="0" w:color="auto"/>
            </w:tcBorders>
            <w:vAlign w:val="bottom"/>
          </w:tcPr>
          <w:p w:rsidR="001F02E6" w:rsidRPr="008F6ABB" w:rsidRDefault="001F02E6" w:rsidP="00666810">
            <w:pPr>
              <w:tabs>
                <w:tab w:val="left" w:leader="dot" w:pos="3621"/>
              </w:tabs>
              <w:spacing w:before="60" w:after="60" w:line="240" w:lineRule="atLeast"/>
              <w:ind w:left="360" w:hanging="357"/>
              <w:rPr>
                <w:rFonts w:eastAsia="Calibri" w:cs="Arial"/>
                <w:sz w:val="18"/>
                <w:szCs w:val="18"/>
              </w:rPr>
            </w:pPr>
            <w:r>
              <w:rPr>
                <w:sz w:val="18"/>
              </w:rPr>
              <w:t>a)</w:t>
            </w:r>
            <w:r>
              <w:tab/>
            </w:r>
            <w:r>
              <w:rPr>
                <w:sz w:val="18"/>
              </w:rPr>
              <w:t xml:space="preserve">Erőátviteli és fűtőberendezések, beleértve az általánosan használt dugaszolóaljzatokat </w:t>
            </w:r>
            <w:r>
              <w:tab/>
            </w:r>
          </w:p>
        </w:tc>
        <w:tc>
          <w:tcPr>
            <w:tcW w:w="1680" w:type="dxa"/>
            <w:tcBorders>
              <w:top w:val="single" w:sz="12" w:space="0" w:color="auto"/>
            </w:tcBorders>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680" w:type="dxa"/>
            <w:tcBorders>
              <w:top w:val="single" w:sz="12" w:space="0" w:color="auto"/>
            </w:tcBorders>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796" w:type="dxa"/>
            <w:tcBorders>
              <w:top w:val="single" w:sz="12" w:space="0" w:color="auto"/>
            </w:tcBorders>
            <w:vAlign w:val="bottom"/>
          </w:tcPr>
          <w:p w:rsidR="001F02E6" w:rsidRPr="008F6ABB" w:rsidRDefault="001F02E6" w:rsidP="00666810">
            <w:pPr>
              <w:spacing w:before="60" w:after="60" w:line="240" w:lineRule="atLeast"/>
              <w:jc w:val="center"/>
              <w:rPr>
                <w:rFonts w:eastAsia="Calibri" w:cs="Arial"/>
                <w:sz w:val="18"/>
                <w:szCs w:val="18"/>
              </w:rPr>
            </w:pPr>
            <w:r>
              <w:rPr>
                <w:sz w:val="18"/>
              </w:rPr>
              <w:t>690 V</w:t>
            </w:r>
          </w:p>
        </w:tc>
      </w:tr>
      <w:tr w:rsidR="001F02E6" w:rsidRPr="008F6ABB" w:rsidTr="00AA5633">
        <w:tc>
          <w:tcPr>
            <w:tcW w:w="3960" w:type="dxa"/>
            <w:vAlign w:val="bottom"/>
          </w:tcPr>
          <w:p w:rsidR="001F02E6" w:rsidRPr="008F6ABB" w:rsidRDefault="001F02E6" w:rsidP="00666810">
            <w:pPr>
              <w:tabs>
                <w:tab w:val="left" w:leader="dot" w:pos="3621"/>
              </w:tabs>
              <w:spacing w:before="60" w:after="60" w:line="240" w:lineRule="atLeast"/>
              <w:ind w:left="360" w:hanging="357"/>
              <w:rPr>
                <w:rFonts w:eastAsia="Calibri" w:cs="Arial"/>
                <w:sz w:val="18"/>
                <w:szCs w:val="18"/>
              </w:rPr>
            </w:pPr>
            <w:r>
              <w:rPr>
                <w:sz w:val="18"/>
              </w:rPr>
              <w:t>b)</w:t>
            </w:r>
            <w:r>
              <w:tab/>
            </w:r>
            <w:r>
              <w:rPr>
                <w:sz w:val="18"/>
              </w:rPr>
              <w:t xml:space="preserve">Világító-, kommunikációs, parancstovábbítási és információs berendezések, beleértve az általánosan használt dugaszolóaljzatokat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r>
      <w:tr w:rsidR="001F02E6" w:rsidRPr="00A0619C" w:rsidTr="00AA5633">
        <w:tc>
          <w:tcPr>
            <w:tcW w:w="3960" w:type="dxa"/>
            <w:vAlign w:val="bottom"/>
          </w:tcPr>
          <w:p w:rsidR="001F02E6" w:rsidRPr="008F6ABB" w:rsidRDefault="001F02E6" w:rsidP="005C5181">
            <w:pPr>
              <w:tabs>
                <w:tab w:val="left" w:leader="dot" w:pos="3621"/>
              </w:tabs>
              <w:spacing w:before="60" w:after="60" w:line="240" w:lineRule="atLeast"/>
              <w:ind w:left="360" w:hanging="357"/>
              <w:rPr>
                <w:rFonts w:eastAsia="Calibri" w:cs="Arial"/>
                <w:sz w:val="18"/>
                <w:szCs w:val="18"/>
              </w:rPr>
            </w:pPr>
            <w:r>
              <w:rPr>
                <w:sz w:val="18"/>
              </w:rPr>
              <w:t>c)</w:t>
            </w:r>
            <w:r>
              <w:tab/>
            </w:r>
            <w:r>
              <w:rPr>
                <w:sz w:val="18"/>
              </w:rPr>
              <w:t>Nyitott fedélzeten vagy szűk, nedves, fém falú terekben, de nem kazánokban és tartályokban használt, mobil elektromos készülékek ellátására szolgáló dugaszolóaljzatok</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p>
        </w:tc>
      </w:tr>
      <w:tr w:rsidR="001F02E6" w:rsidRPr="008F6ABB" w:rsidTr="00AA5633">
        <w:tc>
          <w:tcPr>
            <w:tcW w:w="3960" w:type="dxa"/>
            <w:vAlign w:val="bottom"/>
          </w:tcPr>
          <w:p w:rsidR="001F02E6" w:rsidRPr="008F6ABB" w:rsidRDefault="001F02E6" w:rsidP="00666810">
            <w:pPr>
              <w:tabs>
                <w:tab w:val="left" w:leader="dot" w:pos="3621"/>
              </w:tabs>
              <w:spacing w:before="60" w:after="60" w:line="240" w:lineRule="atLeast"/>
              <w:ind w:left="720" w:hanging="357"/>
              <w:rPr>
                <w:rFonts w:eastAsia="Calibri" w:cs="Arial"/>
                <w:sz w:val="18"/>
                <w:szCs w:val="18"/>
              </w:rPr>
            </w:pPr>
            <w:r>
              <w:rPr>
                <w:sz w:val="18"/>
              </w:rPr>
              <w:t>1.</w:t>
            </w:r>
            <w:r>
              <w:tab/>
            </w:r>
            <w:r>
              <w:rPr>
                <w:sz w:val="18"/>
              </w:rPr>
              <w:t xml:space="preserve">általában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50 V</w:t>
            </w:r>
            <w:r>
              <w:rPr>
                <w:sz w:val="18"/>
                <w:vertAlign w:val="superscript"/>
              </w:rPr>
              <w:t>(1)</w:t>
            </w:r>
          </w:p>
        </w:tc>
        <w:tc>
          <w:tcPr>
            <w:tcW w:w="1680" w:type="dxa"/>
            <w:vAlign w:val="bottom"/>
          </w:tcPr>
          <w:p w:rsidR="001F02E6" w:rsidRPr="008F6ABB" w:rsidRDefault="001F02E6" w:rsidP="00666810">
            <w:pPr>
              <w:spacing w:before="60" w:after="60" w:line="240" w:lineRule="atLeast"/>
              <w:jc w:val="center"/>
              <w:rPr>
                <w:rFonts w:eastAsia="Calibri" w:cs="Arial"/>
                <w:sz w:val="18"/>
                <w:szCs w:val="18"/>
                <w:vertAlign w:val="superscript"/>
              </w:rPr>
            </w:pPr>
            <w:r>
              <w:rPr>
                <w:sz w:val="18"/>
              </w:rPr>
              <w:t>50 V</w:t>
            </w:r>
            <w:r>
              <w:rPr>
                <w:sz w:val="18"/>
                <w:vertAlign w:val="superscript"/>
              </w:rPr>
              <w:t>(1)</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r>
      <w:tr w:rsidR="001F02E6" w:rsidRPr="008F6ABB" w:rsidTr="00AA5633">
        <w:tc>
          <w:tcPr>
            <w:tcW w:w="3960" w:type="dxa"/>
            <w:vAlign w:val="bottom"/>
          </w:tcPr>
          <w:p w:rsidR="001F02E6" w:rsidRPr="008F6ABB" w:rsidRDefault="001F02E6" w:rsidP="003A47CF">
            <w:pPr>
              <w:tabs>
                <w:tab w:val="left" w:leader="dot" w:pos="3621"/>
              </w:tabs>
              <w:spacing w:before="60" w:after="60" w:line="240" w:lineRule="atLeast"/>
              <w:ind w:left="720" w:hanging="357"/>
              <w:rPr>
                <w:rFonts w:eastAsia="Calibri" w:cs="Arial"/>
                <w:sz w:val="18"/>
                <w:szCs w:val="18"/>
              </w:rPr>
            </w:pPr>
            <w:r>
              <w:rPr>
                <w:sz w:val="18"/>
              </w:rPr>
              <w:t>2.</w:t>
            </w:r>
            <w:r>
              <w:tab/>
            </w:r>
            <w:r>
              <w:rPr>
                <w:sz w:val="18"/>
              </w:rPr>
              <w:t xml:space="preserve">elválasztó transzformátor alkalmazásakor, amely csak egy készüléket táplál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r>
              <w:rPr>
                <w:sz w:val="18"/>
                <w:vertAlign w:val="superscript"/>
              </w:rPr>
              <w:t>2)</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r>
      <w:tr w:rsidR="001F02E6" w:rsidRPr="008F6ABB" w:rsidTr="00AA5633">
        <w:tc>
          <w:tcPr>
            <w:tcW w:w="3960" w:type="dxa"/>
            <w:vAlign w:val="bottom"/>
          </w:tcPr>
          <w:p w:rsidR="001F02E6" w:rsidRPr="008F6ABB" w:rsidRDefault="001F02E6" w:rsidP="00666810">
            <w:pPr>
              <w:tabs>
                <w:tab w:val="left" w:leader="dot" w:pos="3621"/>
              </w:tabs>
              <w:spacing w:before="60" w:after="60" w:line="240" w:lineRule="atLeast"/>
              <w:ind w:left="720" w:hanging="357"/>
              <w:rPr>
                <w:rFonts w:eastAsia="Calibri" w:cs="Arial"/>
                <w:sz w:val="18"/>
                <w:szCs w:val="18"/>
              </w:rPr>
            </w:pPr>
            <w:r>
              <w:rPr>
                <w:sz w:val="18"/>
              </w:rPr>
              <w:t>3.</w:t>
            </w:r>
            <w:r>
              <w:tab/>
            </w:r>
            <w:r>
              <w:rPr>
                <w:sz w:val="18"/>
              </w:rPr>
              <w:t xml:space="preserve">védőszigetelésssel ellátott (kettős szigetelésű) berendezés alkalmazásakor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r>
      <w:tr w:rsidR="001F02E6" w:rsidRPr="008F6ABB" w:rsidTr="00AA5633">
        <w:tc>
          <w:tcPr>
            <w:tcW w:w="3960" w:type="dxa"/>
            <w:vAlign w:val="bottom"/>
          </w:tcPr>
          <w:p w:rsidR="001F02E6" w:rsidRPr="008F6ABB" w:rsidRDefault="001F02E6" w:rsidP="00666810">
            <w:pPr>
              <w:tabs>
                <w:tab w:val="left" w:leader="dot" w:pos="3621"/>
              </w:tabs>
              <w:spacing w:before="60" w:after="60" w:line="240" w:lineRule="atLeast"/>
              <w:ind w:left="720" w:hanging="357"/>
              <w:rPr>
                <w:rFonts w:eastAsia="Calibri" w:cs="Arial"/>
                <w:sz w:val="18"/>
                <w:szCs w:val="18"/>
              </w:rPr>
            </w:pPr>
            <w:r>
              <w:rPr>
                <w:sz w:val="18"/>
              </w:rPr>
              <w:t>4.</w:t>
            </w:r>
            <w:r>
              <w:tab/>
            </w:r>
            <w:r>
              <w:rPr>
                <w:sz w:val="18"/>
              </w:rPr>
              <w:t xml:space="preserve">≤ 30 mA-es hibaáram-védőkapcsoló alkalmazásakor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690 V</w:t>
            </w:r>
          </w:p>
        </w:tc>
      </w:tr>
      <w:tr w:rsidR="001F02E6" w:rsidRPr="008F6ABB" w:rsidTr="00666810">
        <w:trPr>
          <w:cantSplit/>
        </w:trPr>
        <w:tc>
          <w:tcPr>
            <w:tcW w:w="3960" w:type="dxa"/>
            <w:vAlign w:val="bottom"/>
          </w:tcPr>
          <w:p w:rsidR="001F02E6" w:rsidRPr="008F6ABB" w:rsidRDefault="001F02E6" w:rsidP="00666810">
            <w:pPr>
              <w:tabs>
                <w:tab w:val="left" w:leader="dot" w:pos="3621"/>
              </w:tabs>
              <w:spacing w:before="60" w:after="60" w:line="240" w:lineRule="atLeast"/>
              <w:ind w:left="360" w:hanging="357"/>
              <w:rPr>
                <w:rFonts w:eastAsia="Calibri" w:cs="Arial"/>
                <w:sz w:val="18"/>
                <w:szCs w:val="18"/>
              </w:rPr>
            </w:pPr>
            <w:r>
              <w:rPr>
                <w:sz w:val="18"/>
              </w:rPr>
              <w:t>d)</w:t>
            </w:r>
            <w:r>
              <w:tab/>
            </w:r>
            <w:r>
              <w:rPr>
                <w:sz w:val="18"/>
              </w:rPr>
              <w:t xml:space="preserve">Olyan mobil elektromos berendezések (például tartályok, motorok, ventilátorok és szivattyúk elektromos készülékei), amelyeket szokásos körülmények között üzemelés közben nem kell beállítani, amelynek szabadon lévő vezetőképes alkatrészei a csatlakozókábelbe foglalt védővezeték révén földeltek, és a hajótesthez kapcsolódnak, nem csak e védővezetéken keresztül, hanem elhelyezkedésüknél fogva vagy más vezeték révén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690 V</w:t>
            </w:r>
          </w:p>
        </w:tc>
      </w:tr>
      <w:tr w:rsidR="001F02E6" w:rsidRPr="008F6ABB" w:rsidTr="00AA5633">
        <w:tc>
          <w:tcPr>
            <w:tcW w:w="3960" w:type="dxa"/>
            <w:vAlign w:val="bottom"/>
          </w:tcPr>
          <w:p w:rsidR="001F02E6" w:rsidRPr="008F6ABB" w:rsidRDefault="001F02E6" w:rsidP="00666810">
            <w:pPr>
              <w:tabs>
                <w:tab w:val="left" w:leader="dot" w:pos="3621"/>
              </w:tabs>
              <w:spacing w:before="60" w:after="60" w:line="240" w:lineRule="atLeast"/>
              <w:ind w:left="360" w:hanging="357"/>
              <w:rPr>
                <w:rFonts w:eastAsia="Calibri" w:cs="Arial"/>
                <w:sz w:val="18"/>
                <w:szCs w:val="18"/>
              </w:rPr>
            </w:pPr>
            <w:r>
              <w:rPr>
                <w:sz w:val="18"/>
              </w:rPr>
              <w:t>e)</w:t>
            </w:r>
            <w:r>
              <w:tab/>
            </w:r>
            <w:r>
              <w:rPr>
                <w:sz w:val="18"/>
              </w:rPr>
              <w:t xml:space="preserve">Kazánokban és tartályokban használt, mobil elektromos készülékek ellátására szolgáló dugaszolóaljzatok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vertAlign w:val="superscript"/>
              </w:rPr>
            </w:pPr>
            <w:r>
              <w:rPr>
                <w:sz w:val="18"/>
              </w:rPr>
              <w:t>50 V</w:t>
            </w:r>
            <w:r>
              <w:rPr>
                <w:sz w:val="18"/>
                <w:vertAlign w:val="superscript"/>
              </w:rPr>
              <w:t>1)</w:t>
            </w:r>
          </w:p>
        </w:tc>
        <w:tc>
          <w:tcPr>
            <w:tcW w:w="1680" w:type="dxa"/>
            <w:vAlign w:val="bottom"/>
          </w:tcPr>
          <w:p w:rsidR="001F02E6" w:rsidRPr="008F6ABB" w:rsidRDefault="001F02E6" w:rsidP="00666810">
            <w:pPr>
              <w:spacing w:before="60" w:after="60" w:line="240" w:lineRule="atLeast"/>
              <w:jc w:val="center"/>
              <w:rPr>
                <w:rFonts w:eastAsia="Calibri" w:cs="Arial"/>
                <w:sz w:val="18"/>
                <w:szCs w:val="18"/>
                <w:vertAlign w:val="superscript"/>
              </w:rPr>
            </w:pPr>
            <w:r>
              <w:rPr>
                <w:sz w:val="18"/>
              </w:rPr>
              <w:t>50 V</w:t>
            </w:r>
            <w:r>
              <w:rPr>
                <w:sz w:val="18"/>
                <w:vertAlign w:val="superscript"/>
              </w:rPr>
              <w:t>(1)</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r>
      <w:tr w:rsidR="001F02E6" w:rsidRPr="00A0619C" w:rsidTr="001F02E6">
        <w:tc>
          <w:tcPr>
            <w:tcW w:w="9116" w:type="dxa"/>
            <w:gridSpan w:val="4"/>
          </w:tcPr>
          <w:p w:rsidR="001F02E6" w:rsidRPr="008F6ABB" w:rsidRDefault="001F02E6" w:rsidP="00666810">
            <w:pPr>
              <w:spacing w:before="60" w:after="60" w:line="240" w:lineRule="atLeast"/>
              <w:rPr>
                <w:rFonts w:eastAsia="Calibri" w:cs="Arial"/>
                <w:sz w:val="18"/>
                <w:szCs w:val="18"/>
              </w:rPr>
            </w:pPr>
            <w:r>
              <w:rPr>
                <w:sz w:val="18"/>
              </w:rPr>
              <w:t>Megjegyzések:</w:t>
            </w:r>
          </w:p>
          <w:p w:rsidR="001F02E6" w:rsidRPr="008F6ABB" w:rsidRDefault="00666810" w:rsidP="00666810">
            <w:pPr>
              <w:spacing w:before="60" w:after="60" w:line="240" w:lineRule="atLeast"/>
              <w:ind w:left="240" w:hanging="240"/>
              <w:rPr>
                <w:rFonts w:eastAsia="Calibri" w:cs="Arial"/>
                <w:sz w:val="18"/>
                <w:szCs w:val="18"/>
              </w:rPr>
            </w:pPr>
            <w:r>
              <w:rPr>
                <w:sz w:val="18"/>
                <w:vertAlign w:val="superscript"/>
              </w:rPr>
              <w:t>(1)</w:t>
            </w:r>
            <w:r>
              <w:tab/>
            </w:r>
            <w:r>
              <w:rPr>
                <w:sz w:val="18"/>
              </w:rPr>
              <w:t>Az ilyen feszültség nagyobb feszültségű hálózatból való előállítása esetén galvanikus elválasztást (elválasztó transzformátort) kell alkalmazni.</w:t>
            </w:r>
          </w:p>
          <w:p w:rsidR="001F02E6" w:rsidRPr="008F6ABB" w:rsidRDefault="00666810" w:rsidP="00666810">
            <w:pPr>
              <w:spacing w:before="60" w:after="60" w:line="240" w:lineRule="atLeast"/>
              <w:ind w:left="240" w:hanging="240"/>
              <w:rPr>
                <w:rFonts w:eastAsia="Calibri" w:cs="Arial"/>
                <w:sz w:val="18"/>
                <w:szCs w:val="18"/>
              </w:rPr>
            </w:pPr>
            <w:r>
              <w:rPr>
                <w:sz w:val="18"/>
                <w:vertAlign w:val="superscript"/>
              </w:rPr>
              <w:t>(2)</w:t>
            </w:r>
            <w:r>
              <w:tab/>
            </w:r>
            <w:r>
              <w:rPr>
                <w:sz w:val="18"/>
              </w:rPr>
              <w:t>A másodlagos elektromos áramkört minden polaritás esetében el kell szigetelni az alaplemeztől.</w:t>
            </w:r>
          </w:p>
        </w:tc>
      </w:tr>
    </w:tbl>
    <w:p w:rsidR="001F02E6" w:rsidRDefault="001F02E6" w:rsidP="001F02E6">
      <w:pPr>
        <w:pStyle w:val="ESch"/>
      </w:pPr>
    </w:p>
    <w:p w:rsidR="00AB2818" w:rsidRDefault="00AB2818">
      <w:r>
        <w:br w:type="page"/>
      </w:r>
    </w:p>
    <w:p w:rsidR="00AB2818" w:rsidRDefault="00AB2818" w:rsidP="001F02E6">
      <w:pPr>
        <w:pStyle w:val="ESch"/>
      </w:pPr>
    </w:p>
    <w:p w:rsidR="001F02E6" w:rsidRPr="008F6ABB" w:rsidRDefault="001F02E6" w:rsidP="001F02E6">
      <w:pPr>
        <w:pStyle w:val="ESch"/>
        <w:rPr>
          <w:rFonts w:eastAsia="Calibri"/>
        </w:rPr>
      </w:pPr>
      <w:r>
        <w:t>2.</w:t>
      </w:r>
      <w:r>
        <w:tab/>
        <w:t>Amennyiben összhangban vannak az előírt védőintézkedésekkel, magasabb feszültségszintek is megengedettek:</w:t>
      </w:r>
    </w:p>
    <w:p w:rsidR="001F02E6" w:rsidRPr="008F6ABB" w:rsidRDefault="001F02E6" w:rsidP="001F02E6">
      <w:pPr>
        <w:pStyle w:val="ESlet"/>
        <w:rPr>
          <w:rFonts w:eastAsia="Calibri"/>
        </w:rPr>
      </w:pPr>
      <w:r>
        <w:t>a)</w:t>
      </w:r>
      <w:r>
        <w:tab/>
        <w:t>olyan meghajtórendszerek esetében, amelyek teljesítménye ezt megköveteli;</w:t>
      </w:r>
    </w:p>
    <w:p w:rsidR="001F02E6" w:rsidRPr="008F6ABB" w:rsidRDefault="001F02E6" w:rsidP="001F02E6">
      <w:pPr>
        <w:pStyle w:val="ESlet"/>
        <w:rPr>
          <w:rFonts w:eastAsia="Calibri"/>
        </w:rPr>
      </w:pPr>
      <w:r>
        <w:t>b)</w:t>
      </w:r>
      <w:r>
        <w:tab/>
        <w:t>különleges fedélzeti berendezések, például rádióberendezések és gyújtószerkezetek esetében.</w:t>
      </w:r>
    </w:p>
    <w:p w:rsidR="008A12E7" w:rsidRDefault="008A12E7" w:rsidP="008A12E7">
      <w:pPr>
        <w:rPr>
          <w:rFonts w:cs="Arial"/>
          <w:szCs w:val="20"/>
        </w:rPr>
      </w:pPr>
    </w:p>
    <w:p w:rsidR="001F02E6" w:rsidRPr="008F6ABB" w:rsidRDefault="001F02E6" w:rsidP="001F02E6">
      <w:pPr>
        <w:pStyle w:val="ESch"/>
        <w:rPr>
          <w:rFonts w:eastAsia="Calibri"/>
        </w:rPr>
      </w:pPr>
      <w:r>
        <w:t>3.</w:t>
      </w:r>
      <w:r>
        <w:tab/>
        <w:t>Amennyiben összhangban vannak az előírt védőintézkedésekkel, az ellenőrző szerv indokolt esetben egyéb kivételeket is engedélyezhet.</w:t>
      </w:r>
    </w:p>
    <w:p w:rsidR="001F02E6" w:rsidRDefault="001F02E6" w:rsidP="008A12E7">
      <w:pPr>
        <w:rPr>
          <w:rFonts w:cs="Arial"/>
          <w:szCs w:val="20"/>
        </w:rPr>
      </w:pPr>
    </w:p>
    <w:p w:rsidR="00666810" w:rsidRPr="00C903F8" w:rsidRDefault="00666810" w:rsidP="008A12E7">
      <w:pPr>
        <w:rPr>
          <w:rFonts w:cs="Arial"/>
          <w:szCs w:val="20"/>
        </w:rPr>
      </w:pPr>
    </w:p>
    <w:p w:rsidR="008A12E7" w:rsidRPr="00C903F8" w:rsidRDefault="008A12E7" w:rsidP="00651EFD">
      <w:pPr>
        <w:pStyle w:val="ES-Titre3"/>
      </w:pPr>
      <w:bookmarkStart w:id="173" w:name="_Toc491854084"/>
      <w:bookmarkStart w:id="174" w:name="_Toc535853863"/>
      <w:r>
        <w:t>10.07. cikk</w:t>
      </w:r>
      <w:r>
        <w:br/>
      </w:r>
      <w:r>
        <w:rPr>
          <w:i/>
          <w:noProof/>
        </w:rPr>
        <w:t>Elosztórendszerek</w:t>
      </w:r>
      <w:bookmarkEnd w:id="173"/>
      <w:bookmarkEnd w:id="174"/>
    </w:p>
    <w:p w:rsidR="00651EFD" w:rsidRPr="00C903F8" w:rsidRDefault="00651EFD" w:rsidP="008A12E7">
      <w:pPr>
        <w:rPr>
          <w:rFonts w:cs="Arial"/>
          <w:noProof/>
          <w:szCs w:val="20"/>
        </w:rPr>
      </w:pPr>
    </w:p>
    <w:p w:rsidR="001F02E6" w:rsidRPr="001717EA" w:rsidRDefault="001F02E6" w:rsidP="001F02E6">
      <w:pPr>
        <w:pStyle w:val="ESch"/>
        <w:rPr>
          <w:rFonts w:eastAsia="Calibri"/>
        </w:rPr>
      </w:pPr>
      <w:r>
        <w:t>1.</w:t>
      </w:r>
      <w:r>
        <w:tab/>
        <w:t>Az alábbi elosztórendszerek megengedettek egyenáram és egyfázisú váltóáram esetében:</w:t>
      </w:r>
    </w:p>
    <w:p w:rsidR="001F02E6" w:rsidRPr="001717EA" w:rsidRDefault="001F02E6" w:rsidP="001F02E6">
      <w:pPr>
        <w:pStyle w:val="ESlet"/>
        <w:rPr>
          <w:rFonts w:eastAsia="Calibri"/>
        </w:rPr>
      </w:pPr>
      <w:r>
        <w:t>a)</w:t>
      </w:r>
      <w:r>
        <w:tab/>
        <w:t>kétkábeles rendszer, ahol az egyik kábel földelt (L1/N/PE);</w:t>
      </w:r>
    </w:p>
    <w:p w:rsidR="001F02E6" w:rsidRPr="001717EA" w:rsidRDefault="001F02E6" w:rsidP="001F02E6">
      <w:pPr>
        <w:pStyle w:val="ESlet"/>
        <w:rPr>
          <w:rFonts w:eastAsia="Calibri"/>
        </w:rPr>
      </w:pPr>
      <w:r>
        <w:t>b)</w:t>
      </w:r>
      <w:r>
        <w:tab/>
        <w:t>egykábeles rendszer a hajótesthez való visszakötés elvének alkalmazásával, csak helyi berendezésekhez (például belső égésű motorok indítóberendezése) (L1/PEN);</w:t>
      </w:r>
    </w:p>
    <w:p w:rsidR="001F02E6" w:rsidRPr="001717EA" w:rsidRDefault="001F02E6" w:rsidP="001F02E6">
      <w:pPr>
        <w:pStyle w:val="ESlet"/>
        <w:rPr>
          <w:rFonts w:eastAsia="Calibri"/>
        </w:rPr>
      </w:pPr>
      <w:r>
        <w:t>c)</w:t>
      </w:r>
      <w:r>
        <w:tab/>
        <w:t>kétkábeles rendszer a hajótesttől való elszigeteléssel (Ll/L2/PE).</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2.</w:t>
      </w:r>
      <w:r>
        <w:tab/>
        <w:t>Az alábbi elosztórendszerek megengedettek háromfázisú váltóáram esetében:</w:t>
      </w:r>
    </w:p>
    <w:p w:rsidR="001F02E6" w:rsidRPr="008F6ABB" w:rsidRDefault="001F02E6" w:rsidP="001F02E6">
      <w:pPr>
        <w:pStyle w:val="ESlet"/>
        <w:rPr>
          <w:rFonts w:eastAsia="Calibri"/>
        </w:rPr>
      </w:pPr>
      <w:r>
        <w:t>a)</w:t>
      </w:r>
      <w:r>
        <w:tab/>
        <w:t>négykábeles rendszer a nullapont földelésével, a hajótesthez való visszakötés elvének alkalmazása nélkül (L1/L2/L3/N/PE) = (TN-S) hálózat vagy (TT) hálózat;</w:t>
      </w:r>
    </w:p>
    <w:p w:rsidR="001F02E6" w:rsidRPr="008F6ABB" w:rsidRDefault="001F02E6" w:rsidP="001F02E6">
      <w:pPr>
        <w:pStyle w:val="ESlet"/>
        <w:rPr>
          <w:rFonts w:eastAsia="Calibri"/>
        </w:rPr>
      </w:pPr>
      <w:r>
        <w:t>b)</w:t>
      </w:r>
      <w:r>
        <w:tab/>
        <w:t>háromkábeles rendszer a hajótesttől való elszigeteléssel (Ll/L2/L3/PE) = (IT) hálózat;</w:t>
      </w:r>
    </w:p>
    <w:p w:rsidR="001F02E6" w:rsidRPr="008F6ABB" w:rsidRDefault="001F02E6" w:rsidP="001F02E6">
      <w:pPr>
        <w:pStyle w:val="ESlet"/>
        <w:rPr>
          <w:rFonts w:eastAsia="Calibri"/>
        </w:rPr>
      </w:pPr>
      <w:r>
        <w:t>c)</w:t>
      </w:r>
      <w:r>
        <w:tab/>
        <w:t>háromkábeles rendszer a nullapont földelésével, a hajótesthez való visszakötés elvének alkalmazásával, kivéve a végáramköröket (L1/L2/L3/PEN).</w:t>
      </w:r>
    </w:p>
    <w:p w:rsidR="001F02E6" w:rsidRPr="008F6ABB" w:rsidRDefault="001F02E6" w:rsidP="00AA5633">
      <w:pPr>
        <w:pStyle w:val="ESch"/>
        <w:rPr>
          <w:rFonts w:eastAsia="Calibri"/>
        </w:rPr>
      </w:pPr>
    </w:p>
    <w:p w:rsidR="001F02E6" w:rsidRPr="008F6ABB" w:rsidRDefault="001F02E6" w:rsidP="001F02E6">
      <w:pPr>
        <w:pStyle w:val="ESch"/>
      </w:pPr>
      <w:r>
        <w:t>3.</w:t>
      </w:r>
      <w:r>
        <w:tab/>
        <w:t>Az ellenőrző szerv engedélyezheti más elosztórendszerek használatát is.</w:t>
      </w:r>
    </w:p>
    <w:p w:rsidR="00651EFD" w:rsidRPr="001F02E6" w:rsidRDefault="00651EFD" w:rsidP="00AA5633">
      <w:pPr>
        <w:pStyle w:val="ESch"/>
        <w:rPr>
          <w:noProof/>
        </w:rPr>
      </w:pPr>
    </w:p>
    <w:p w:rsidR="00651EFD" w:rsidRPr="00C903F8" w:rsidRDefault="00651EFD" w:rsidP="00AA5633">
      <w:pPr>
        <w:pStyle w:val="ESch"/>
        <w:rPr>
          <w:noProof/>
        </w:rPr>
      </w:pPr>
    </w:p>
    <w:p w:rsidR="008A12E7" w:rsidRPr="00C903F8" w:rsidRDefault="008A12E7" w:rsidP="00651EFD">
      <w:pPr>
        <w:pStyle w:val="ES-Titre3"/>
      </w:pPr>
      <w:bookmarkStart w:id="175" w:name="_Toc491854085"/>
      <w:bookmarkStart w:id="176" w:name="_Toc535853864"/>
      <w:r>
        <w:t>10.08. cikk</w:t>
      </w:r>
      <w:r>
        <w:br/>
      </w:r>
      <w:r>
        <w:rPr>
          <w:i/>
        </w:rPr>
        <w:t>Parti vagy egyéb külső hálózati csatlakozók</w:t>
      </w:r>
      <w:bookmarkEnd w:id="175"/>
      <w:bookmarkEnd w:id="176"/>
    </w:p>
    <w:p w:rsidR="00651EFD" w:rsidRPr="00C903F8" w:rsidRDefault="00651EFD" w:rsidP="008A12E7">
      <w:pPr>
        <w:rPr>
          <w:rFonts w:cs="Arial"/>
          <w:noProof/>
          <w:szCs w:val="20"/>
        </w:rPr>
      </w:pPr>
    </w:p>
    <w:p w:rsidR="001F02E6" w:rsidRPr="008F6ABB" w:rsidRDefault="001F02E6" w:rsidP="001F02E6">
      <w:pPr>
        <w:pStyle w:val="ESch"/>
        <w:rPr>
          <w:rFonts w:eastAsia="Calibri"/>
        </w:rPr>
      </w:pPr>
      <w:r>
        <w:t>1.</w:t>
      </w:r>
      <w:r>
        <w:tab/>
        <w:t>Az átvételi egységet, azaz a vízi jármű felé áramot továbbító teljes fedélzeti berendezést a következőképpen kell kialakítani:</w:t>
      </w:r>
    </w:p>
    <w:p w:rsidR="001F02E6" w:rsidRPr="008F6ABB" w:rsidRDefault="001F02E6" w:rsidP="001F02E6">
      <w:pPr>
        <w:pStyle w:val="ESlet"/>
        <w:rPr>
          <w:rFonts w:eastAsia="Calibri"/>
        </w:rPr>
      </w:pPr>
      <w:r>
        <w:t>a)</w:t>
      </w:r>
      <w:r>
        <w:tab/>
        <w:t>Továbbítás parti energiaellátó rendszerről:</w:t>
      </w:r>
    </w:p>
    <w:p w:rsidR="001F02E6" w:rsidRPr="008F6ABB" w:rsidRDefault="001F02E6" w:rsidP="001F02E6">
      <w:pPr>
        <w:pStyle w:val="EStiret"/>
        <w:rPr>
          <w:rFonts w:eastAsia="Calibri"/>
          <w:noProof w:val="0"/>
        </w:rPr>
      </w:pPr>
      <w:r>
        <w:t>aa)</w:t>
      </w:r>
      <w:r>
        <w:tab/>
        <w:t>125 A áramerősségig az EN 15869</w:t>
      </w:r>
      <w:r>
        <w:softHyphen/>
        <w:t>1 és az EN 15869</w:t>
      </w:r>
      <w:r>
        <w:softHyphen/>
        <w:t>3 európai szabvány 2017. július 6-án hatályos változata követelményeinek kell megfelelni.</w:t>
      </w:r>
    </w:p>
    <w:p w:rsidR="001F02E6" w:rsidRPr="008F6ABB" w:rsidRDefault="001F02E6" w:rsidP="001F02E6">
      <w:pPr>
        <w:pStyle w:val="EStiret"/>
        <w:rPr>
          <w:rFonts w:eastAsia="Calibri"/>
          <w:noProof w:val="0"/>
        </w:rPr>
      </w:pPr>
      <w:r>
        <w:t>bb)</w:t>
      </w:r>
      <w:r>
        <w:tab/>
        <w:t>250 A áramerősség felett az EN 16840:2017 európai szabvány követelményeinek kell megfelelni.</w:t>
      </w:r>
    </w:p>
    <w:p w:rsidR="001F02E6" w:rsidRPr="008F6ABB" w:rsidRDefault="001F02E6" w:rsidP="001F02E6">
      <w:pPr>
        <w:pStyle w:val="ESlet"/>
        <w:rPr>
          <w:rFonts w:eastAsia="Calibri"/>
        </w:rPr>
      </w:pPr>
      <w:r>
        <w:t>b)</w:t>
      </w:r>
      <w:r>
        <w:tab/>
        <w:t>Minden más esetben a 2–9. bekezdés követelményei alkalmazandók. Az előírt követelményeket teljesítettnek kell tekinteni, ha az adott használat tekintetében betartják az a) pontban említett szabványokat.</w:t>
      </w:r>
    </w:p>
    <w:p w:rsidR="001F02E6" w:rsidRPr="008F6ABB" w:rsidRDefault="001F02E6" w:rsidP="001F02E6">
      <w:pPr>
        <w:pStyle w:val="ESch"/>
        <w:spacing w:line="240" w:lineRule="auto"/>
        <w:rPr>
          <w:rFonts w:eastAsia="Calibri"/>
          <w:sz w:val="18"/>
          <w:szCs w:val="18"/>
        </w:rPr>
      </w:pPr>
    </w:p>
    <w:p w:rsidR="001F02E6" w:rsidRPr="008F6ABB" w:rsidRDefault="001F02E6" w:rsidP="001F02E6">
      <w:pPr>
        <w:pStyle w:val="ESch"/>
        <w:rPr>
          <w:rFonts w:eastAsia="Calibri"/>
        </w:rPr>
      </w:pPr>
      <w:r>
        <w:t>2.</w:t>
      </w:r>
      <w:r>
        <w:tab/>
        <w:t>A parti hálózatból vagy más külső hálózatból érkező, a fedélzeti hálózat berendezéseit tápláló vezetékeknek tartós csatlakozással kell rendelkezniük a fedélzeten tartósan rögzített csatlakozók vagy tartósan rögzített dugaszolóaljzatok formájában. Ügyelni kell arra, hogy a kábelcsatlakozások ne legyenek kitéve nyújtó terhelésnek.</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50 V feletti csatlakozófeszültség esetén a hajótestet földelő csatlakozással kell ellátni. A földelő csatlakozást egyedi jelöléssel kell ellátni.</w:t>
      </w:r>
    </w:p>
    <w:p w:rsidR="001F02E6" w:rsidRDefault="001F02E6" w:rsidP="001F02E6">
      <w:pPr>
        <w:pStyle w:val="ESch"/>
        <w:rPr>
          <w:rFonts w:eastAsia="Calibri"/>
        </w:rPr>
      </w:pPr>
    </w:p>
    <w:p w:rsidR="00AB2818" w:rsidRDefault="00AB2818">
      <w:pPr>
        <w:rPr>
          <w:rFonts w:eastAsia="Calibri"/>
        </w:rPr>
      </w:pPr>
      <w:r>
        <w:br w:type="page"/>
      </w:r>
    </w:p>
    <w:p w:rsidR="00AB2818" w:rsidRPr="008F6ABB" w:rsidRDefault="00AB2818" w:rsidP="001F02E6">
      <w:pPr>
        <w:pStyle w:val="ESch"/>
        <w:rPr>
          <w:rFonts w:eastAsia="Calibri"/>
        </w:rPr>
      </w:pPr>
    </w:p>
    <w:p w:rsidR="001F02E6" w:rsidRPr="008F6ABB" w:rsidRDefault="001F02E6" w:rsidP="001F02E6">
      <w:pPr>
        <w:pStyle w:val="ESch"/>
        <w:rPr>
          <w:rFonts w:eastAsia="Calibri"/>
        </w:rPr>
      </w:pPr>
      <w:r>
        <w:t>4.</w:t>
      </w:r>
      <w:r>
        <w:tab/>
        <w:t>A csatlakozások védelmi berendezéseinek zárhatóknak kell lenniük, hogy elkerülhető legyen a fedélzeti hálózati generátoroknak a parti hálózattal vagy más külső hálózattal való párhuzamos üzeme. Rövid ideig tartó párhuzamos üzem megengedhető az egyik rendszerről a másikra történő, feszültség-kimaradás nélküli átkapcsoláskor.</w:t>
      </w:r>
    </w:p>
    <w:p w:rsidR="001F02E6" w:rsidRPr="008F6ABB" w:rsidRDefault="001F02E6" w:rsidP="001F02E6">
      <w:pPr>
        <w:pStyle w:val="ESch"/>
        <w:spacing w:line="240" w:lineRule="auto"/>
        <w:rPr>
          <w:rFonts w:eastAsia="Calibri"/>
          <w:sz w:val="18"/>
          <w:szCs w:val="18"/>
        </w:rPr>
      </w:pPr>
    </w:p>
    <w:p w:rsidR="001F02E6" w:rsidRPr="008F6ABB" w:rsidRDefault="001F02E6" w:rsidP="001F02E6">
      <w:pPr>
        <w:pStyle w:val="ESch"/>
        <w:rPr>
          <w:rFonts w:eastAsia="Calibri"/>
        </w:rPr>
      </w:pPr>
      <w:r>
        <w:t>5.</w:t>
      </w:r>
      <w:r>
        <w:tab/>
        <w:t>A csatlakozást védeni kell a rövidzárlatok és a túlterhelés ellen.</w:t>
      </w:r>
    </w:p>
    <w:p w:rsidR="001F02E6" w:rsidRPr="008F6ABB" w:rsidRDefault="001F02E6" w:rsidP="001F02E6">
      <w:pPr>
        <w:pStyle w:val="ESch"/>
        <w:spacing w:line="240" w:lineRule="auto"/>
        <w:rPr>
          <w:rFonts w:eastAsia="Calibri"/>
          <w:sz w:val="18"/>
          <w:szCs w:val="18"/>
        </w:rPr>
      </w:pPr>
    </w:p>
    <w:p w:rsidR="001F02E6" w:rsidRPr="008F6ABB" w:rsidRDefault="001F02E6" w:rsidP="001F02E6">
      <w:pPr>
        <w:pStyle w:val="ESch"/>
        <w:rPr>
          <w:rFonts w:eastAsia="Calibri"/>
        </w:rPr>
      </w:pPr>
      <w:r>
        <w:t>6.</w:t>
      </w:r>
      <w:r>
        <w:tab/>
        <w:t>A fő kapcsolótáblán kijelzőnek kell mutatnia a csatlakozás feszültség alatti állapotát.</w:t>
      </w:r>
    </w:p>
    <w:p w:rsidR="001F02E6" w:rsidRPr="008F6ABB" w:rsidRDefault="001F02E6" w:rsidP="001F02E6">
      <w:pPr>
        <w:pStyle w:val="ESch"/>
        <w:spacing w:line="240" w:lineRule="auto"/>
        <w:rPr>
          <w:rFonts w:eastAsia="Calibri"/>
          <w:sz w:val="18"/>
          <w:szCs w:val="18"/>
        </w:rPr>
      </w:pPr>
    </w:p>
    <w:p w:rsidR="001F02E6" w:rsidRPr="008F6ABB" w:rsidRDefault="001F02E6" w:rsidP="001F02E6">
      <w:pPr>
        <w:pStyle w:val="ESch"/>
        <w:rPr>
          <w:rFonts w:eastAsia="Calibri"/>
        </w:rPr>
      </w:pPr>
      <w:r>
        <w:t>7.</w:t>
      </w:r>
      <w:r>
        <w:tab/>
        <w:t>Jelzőberendezéseket kell felszerelni, hogy egyenáram esetén a polaritás, váltóáram esetén pedig a fázissorrend összehasonlítható legyen a csatlakozás és a fedélzeti hálózat között.</w:t>
      </w:r>
    </w:p>
    <w:p w:rsidR="001F02E6" w:rsidRPr="008F6ABB" w:rsidRDefault="001F02E6" w:rsidP="001F02E6">
      <w:pPr>
        <w:pStyle w:val="ESch"/>
        <w:spacing w:line="240" w:lineRule="auto"/>
        <w:rPr>
          <w:rFonts w:eastAsia="Calibri"/>
          <w:sz w:val="18"/>
          <w:szCs w:val="18"/>
        </w:rPr>
      </w:pPr>
    </w:p>
    <w:p w:rsidR="001F02E6" w:rsidRPr="008F6ABB" w:rsidRDefault="001F02E6" w:rsidP="001F02E6">
      <w:pPr>
        <w:pStyle w:val="ESch"/>
        <w:rPr>
          <w:rFonts w:eastAsia="Calibri"/>
        </w:rPr>
      </w:pPr>
      <w:r>
        <w:t>8.</w:t>
      </w:r>
      <w:r>
        <w:tab/>
        <w:t>Egy, a csatlakozáson lévő mezőben fel kell tüntetni az alábbiakat:</w:t>
      </w:r>
    </w:p>
    <w:p w:rsidR="001F02E6" w:rsidRPr="008F6ABB" w:rsidRDefault="001F02E6" w:rsidP="001F02E6">
      <w:pPr>
        <w:pStyle w:val="ESlet"/>
        <w:rPr>
          <w:rFonts w:eastAsia="Calibri"/>
        </w:rPr>
      </w:pPr>
      <w:r>
        <w:t>a)</w:t>
      </w:r>
      <w:r>
        <w:tab/>
        <w:t>a csatlakozás megteremtéséhez szükséges intézkedések;</w:t>
      </w:r>
    </w:p>
    <w:p w:rsidR="001F02E6" w:rsidRPr="008F6ABB" w:rsidRDefault="001F02E6" w:rsidP="001F02E6">
      <w:pPr>
        <w:pStyle w:val="ESlet"/>
        <w:rPr>
          <w:rFonts w:eastAsia="Calibri"/>
        </w:rPr>
      </w:pPr>
      <w:r>
        <w:t>b)</w:t>
      </w:r>
      <w:r>
        <w:tab/>
        <w:t>az áram típusa és a névleges feszültség, valamint váltóáram esetén a frekvencia.</w:t>
      </w:r>
    </w:p>
    <w:p w:rsidR="001F02E6" w:rsidRPr="008F6ABB" w:rsidRDefault="001F02E6" w:rsidP="001F02E6">
      <w:pPr>
        <w:pStyle w:val="ESch"/>
        <w:spacing w:line="240" w:lineRule="auto"/>
        <w:rPr>
          <w:rFonts w:eastAsia="Calibri"/>
          <w:sz w:val="18"/>
          <w:szCs w:val="18"/>
        </w:rPr>
      </w:pPr>
    </w:p>
    <w:p w:rsidR="001F02E6" w:rsidRDefault="001F02E6" w:rsidP="001F02E6">
      <w:pPr>
        <w:pStyle w:val="ESch"/>
        <w:rPr>
          <w:rStyle w:val="Heading4Char"/>
        </w:rPr>
      </w:pPr>
      <w:r>
        <w:t>9.</w:t>
      </w:r>
      <w:r>
        <w:tab/>
        <w:t>16 A-nél nagyobb áramerősségre méretezett dugaszolóaljzatok használata esetén intézkedéseket kell hozni annak biztosítására, hogy az össze- és szétkapcsolás csak akkor történjen meg, ha a vezeték feszültségmentes.</w:t>
      </w:r>
      <w:r>
        <w:rPr>
          <w:rStyle w:val="Heading4Char"/>
        </w:rPr>
        <w:t xml:space="preserve"> </w:t>
      </w:r>
    </w:p>
    <w:p w:rsidR="008A12E7" w:rsidRPr="001F02E6" w:rsidRDefault="008A12E7" w:rsidP="008A12E7">
      <w:pPr>
        <w:rPr>
          <w:rFonts w:cs="Arial"/>
          <w:szCs w:val="20"/>
        </w:rPr>
      </w:pPr>
    </w:p>
    <w:p w:rsidR="00651EFD" w:rsidRPr="00C903F8" w:rsidRDefault="00651EFD" w:rsidP="008A12E7">
      <w:pPr>
        <w:rPr>
          <w:rFonts w:cs="Arial"/>
          <w:szCs w:val="20"/>
        </w:rPr>
      </w:pPr>
    </w:p>
    <w:p w:rsidR="008A12E7" w:rsidRPr="00C903F8" w:rsidRDefault="008A12E7" w:rsidP="00651EFD">
      <w:pPr>
        <w:pStyle w:val="ES-Titre3"/>
      </w:pPr>
      <w:bookmarkStart w:id="177" w:name="_Toc491854086"/>
      <w:bookmarkStart w:id="178" w:name="_Toc535853865"/>
      <w:r>
        <w:t>10.09. cikk</w:t>
      </w:r>
      <w:r>
        <w:br/>
      </w:r>
      <w:r>
        <w:rPr>
          <w:i/>
          <w:noProof/>
        </w:rPr>
        <w:t>Más vízi jármű árammal való ellátása</w:t>
      </w:r>
      <w:bookmarkEnd w:id="177"/>
      <w:bookmarkEnd w:id="178"/>
    </w:p>
    <w:p w:rsidR="00651EFD" w:rsidRPr="00C903F8" w:rsidRDefault="00651EFD" w:rsidP="008A12E7">
      <w:pPr>
        <w:rPr>
          <w:rFonts w:cs="Arial"/>
          <w:noProof/>
          <w:szCs w:val="20"/>
        </w:rPr>
      </w:pPr>
    </w:p>
    <w:p w:rsidR="001F02E6" w:rsidRPr="008F6ABB" w:rsidRDefault="001F02E6" w:rsidP="001F02E6">
      <w:pPr>
        <w:pStyle w:val="ESch"/>
        <w:rPr>
          <w:rFonts w:eastAsia="Calibri"/>
          <w:strike/>
        </w:rPr>
      </w:pPr>
      <w:r>
        <w:t>1.</w:t>
      </w:r>
      <w:r>
        <w:tab/>
        <w:t xml:space="preserve">Más vízi jármű árammal való ellátásához külön csatlakozást kell használni. </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2.</w:t>
      </w:r>
      <w:r>
        <w:tab/>
        <w:t>A 10.08. cikk 2. és 4–9. bekezdése értelemszerűen alkalmazandó.</w:t>
      </w:r>
    </w:p>
    <w:p w:rsidR="008A12E7" w:rsidRPr="001F02E6" w:rsidRDefault="008A12E7" w:rsidP="00253FD8">
      <w:pPr>
        <w:pStyle w:val="ESch"/>
      </w:pPr>
    </w:p>
    <w:p w:rsidR="00651EFD" w:rsidRPr="00C903F8" w:rsidRDefault="00651EFD" w:rsidP="008A12E7">
      <w:pPr>
        <w:rPr>
          <w:rFonts w:cs="Arial"/>
          <w:szCs w:val="20"/>
        </w:rPr>
      </w:pPr>
    </w:p>
    <w:p w:rsidR="008A12E7" w:rsidRPr="00C903F8" w:rsidRDefault="008A12E7" w:rsidP="00651EFD">
      <w:pPr>
        <w:pStyle w:val="ES-Titre3"/>
      </w:pPr>
      <w:bookmarkStart w:id="179" w:name="_Toc491854087"/>
      <w:bookmarkStart w:id="180" w:name="_Toc535853866"/>
      <w:r>
        <w:t>10.10. cikk</w:t>
      </w:r>
      <w:r>
        <w:br/>
      </w:r>
      <w:r>
        <w:rPr>
          <w:i/>
        </w:rPr>
        <w:t>Generátorok, motorok és transzformátorok</w:t>
      </w:r>
      <w:bookmarkEnd w:id="179"/>
      <w:bookmarkEnd w:id="180"/>
    </w:p>
    <w:p w:rsidR="00651EFD" w:rsidRPr="00C903F8" w:rsidRDefault="00651EFD" w:rsidP="008A12E7">
      <w:pPr>
        <w:rPr>
          <w:rFonts w:cs="Arial"/>
          <w:noProof/>
          <w:szCs w:val="20"/>
        </w:rPr>
      </w:pPr>
    </w:p>
    <w:p w:rsidR="001F02E6" w:rsidRPr="008F6ABB" w:rsidRDefault="001F02E6" w:rsidP="001F02E6">
      <w:pPr>
        <w:pStyle w:val="ESch"/>
        <w:rPr>
          <w:rFonts w:eastAsia="Calibri"/>
        </w:rPr>
      </w:pPr>
      <w:r>
        <w:t>1.</w:t>
      </w:r>
      <w:r>
        <w:tab/>
        <w:t>Azokat a generátorokat, amelyek meghajtásukat a főmotorról, a csavartengelyről vagy egy egyéb funkciójú segédberendezésről kapják, a működés közben fellépő fordulatszám-tartomány függvényében kell méretezni.</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2.</w:t>
      </w:r>
      <w:r>
        <w:tab/>
        <w:t>A transzformátorokat jól szellőző helyekre és terekbe kell beépíteni.</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A transzformátorok elsődleges és másodlagos tekercselését elektromosan szigetelt módon kell kivitelezni. Autotranszformátorokra ez az előírás nem vonatkozik.</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4.</w:t>
      </w:r>
      <w:r>
        <w:tab/>
        <w:t>A transzformátorok másodlagos feszültségének beállításához meg kell adni a névleges feszültségen történő megfelelő megcsapolásokat. Autotranszformátorokra ez az előírás nem vonatkozik.</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5.</w:t>
      </w:r>
      <w:r>
        <w:tab/>
        <w:t xml:space="preserve">A gyártó a motorokat, a generátorokat és a transzformátorokat olyan táblával látja el, amely a vállalat neve, a gép </w:t>
      </w:r>
      <w:r w:rsidR="00EA3F15">
        <w:t>sorozat</w:t>
      </w:r>
      <w:r>
        <w:t>száma és mért teljesítménye mellett feltünteti a legfontosabb névleges adatokat is.</w:t>
      </w:r>
    </w:p>
    <w:p w:rsidR="008A12E7" w:rsidRPr="001F02E6" w:rsidRDefault="008A12E7" w:rsidP="008A12E7">
      <w:pPr>
        <w:rPr>
          <w:rFonts w:cs="Arial"/>
          <w:szCs w:val="20"/>
        </w:rPr>
      </w:pPr>
    </w:p>
    <w:p w:rsidR="00AB2818" w:rsidRDefault="00AB2818">
      <w:pPr>
        <w:rPr>
          <w:rFonts w:cs="Arial"/>
          <w:szCs w:val="20"/>
        </w:rPr>
      </w:pPr>
      <w:r>
        <w:br w:type="page"/>
      </w:r>
    </w:p>
    <w:p w:rsidR="00651EFD" w:rsidRPr="00C903F8" w:rsidRDefault="00651EFD" w:rsidP="008A12E7">
      <w:pPr>
        <w:rPr>
          <w:rFonts w:cs="Arial"/>
          <w:szCs w:val="20"/>
        </w:rPr>
      </w:pPr>
    </w:p>
    <w:p w:rsidR="008A12E7" w:rsidRPr="00C903F8" w:rsidRDefault="008A12E7" w:rsidP="00651EFD">
      <w:pPr>
        <w:pStyle w:val="ES-Titre3"/>
      </w:pPr>
      <w:bookmarkStart w:id="181" w:name="_Toc491854088"/>
      <w:bookmarkStart w:id="182" w:name="_Toc535853867"/>
      <w:r>
        <w:t>10.11. cikk</w:t>
      </w:r>
      <w:r>
        <w:br/>
      </w:r>
      <w:r>
        <w:rPr>
          <w:i/>
        </w:rPr>
        <w:t>Szárazelemek, akkumulátorok és azok töltőberendezései</w:t>
      </w:r>
      <w:bookmarkEnd w:id="181"/>
      <w:bookmarkEnd w:id="182"/>
    </w:p>
    <w:p w:rsidR="00651EFD" w:rsidRPr="00C903F8" w:rsidRDefault="00651EFD" w:rsidP="008A12E7">
      <w:pPr>
        <w:rPr>
          <w:rFonts w:cs="Arial"/>
          <w:noProof/>
          <w:szCs w:val="20"/>
        </w:rPr>
      </w:pPr>
    </w:p>
    <w:p w:rsidR="001F02E6" w:rsidRPr="008F6ABB" w:rsidRDefault="001F02E6" w:rsidP="001F02E6">
      <w:pPr>
        <w:pStyle w:val="ESch"/>
        <w:rPr>
          <w:rFonts w:eastAsia="Calibri"/>
        </w:rPr>
      </w:pPr>
      <w:r>
        <w:t>1.</w:t>
      </w:r>
      <w:r>
        <w:tab/>
        <w:t>Az akkumulátoroknak hozzáférhetőknek kell lenniük, és úgy kell őket rögzíteni, hogy a vízi jármű mozgásai következtében ne mozdulhassanak el. Az akkumulátorok nem helyezhetők el olyan helyen, ahol túlzott melegnek, rendkívüli hidegnek, fröccsenő víznek, gőznek vagy párának vannak kitéve.</w:t>
      </w:r>
    </w:p>
    <w:p w:rsidR="001F02E6" w:rsidRPr="001717EA" w:rsidRDefault="001F02E6" w:rsidP="001F02E6">
      <w:pPr>
        <w:pStyle w:val="ESch"/>
        <w:rPr>
          <w:rFonts w:eastAsia="Calibri"/>
        </w:rPr>
      </w:pPr>
    </w:p>
    <w:p w:rsidR="001F02E6" w:rsidRPr="008F6ABB" w:rsidRDefault="001F02E6" w:rsidP="001F02E6">
      <w:pPr>
        <w:pStyle w:val="ESch"/>
        <w:rPr>
          <w:rFonts w:eastAsia="Calibri"/>
        </w:rPr>
      </w:pPr>
      <w:r>
        <w:t>2.</w:t>
      </w:r>
      <w:r>
        <w:tab/>
        <w:t>Nem telepíthetők akkumulátorok a kormányállásba, a lakóterek társalgóiba és a rakománytérbe, valamint személyhajók esetében az utasterekbe, kabinokba és konyhákba. Az első mondat nem alkalmazandó olyan akkumulátorokra, amelyek:</w:t>
      </w:r>
    </w:p>
    <w:p w:rsidR="001F02E6" w:rsidRPr="008F6ABB" w:rsidRDefault="001F02E6" w:rsidP="001F02E6">
      <w:pPr>
        <w:pStyle w:val="ESlet"/>
        <w:rPr>
          <w:rFonts w:eastAsia="Calibri"/>
        </w:rPr>
      </w:pPr>
      <w:r>
        <w:t>a)</w:t>
      </w:r>
      <w:r>
        <w:tab/>
        <w:t>mobil berendezésben találhatók; vagy</w:t>
      </w:r>
    </w:p>
    <w:p w:rsidR="001F02E6" w:rsidRPr="008F6ABB" w:rsidRDefault="001F02E6" w:rsidP="001F02E6">
      <w:pPr>
        <w:pStyle w:val="ESlet"/>
        <w:rPr>
          <w:rFonts w:eastAsia="Calibri"/>
        </w:rPr>
      </w:pPr>
      <w:r>
        <w:t>b)</w:t>
      </w:r>
      <w:r>
        <w:tab/>
        <w:t>töltőteljesítménye 0,2 kW-nál kisebb.</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A 2,0 kW-ot meghaladó töltőteljesítményű akkumulátorokat egy külön erre a célra szolgáló helyiségbe kell telepíteni. Fedélzeten történő telepítés esetén szekrény zárt terében is elhelyezhetők. Ha az akkumulátorokból gáz szivároghat, biztosítani kell a helyiség vagy a szekrény mechanikus (levegő beszívása és kivezetése révén történő) szellőztetését a nyitott fedélzet felé .</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4.</w:t>
      </w:r>
      <w:r>
        <w:tab/>
        <w:t>A töltőteljesítményt az akkumulátor maximális töltőáramából és névleges feszültségéből kell kiszámítani, a töltőberendezés jellemző töltési görbéjének figyelembevételével.</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5.</w:t>
      </w:r>
      <w:r>
        <w:tab/>
        <w:t>A legfeljebb 2,0 kW töltési teljesítményű akkumulátorok a fedélzet alatt is telepíthetők szekrénybe vagy ládába. Telepíthetők továbbá burkolat nélkül is géptérbe, elektromos kiszolgáló helyiségbe vagy más jól szellőző helyre, feltéve, hogy védve vannak a lehulló tárgyak és a csepegő víz ellen.</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6.</w:t>
      </w:r>
      <w:r>
        <w:tab/>
        <w:t>Az akkumulátorok elhelyezésére szánt helyiségek, szekrények vagy ládák, valamint polcok és egyéb elemek belső felületeit védeni kell az elektrolit káros hatásaitól.</w:t>
      </w:r>
    </w:p>
    <w:p w:rsidR="001F02E6" w:rsidRDefault="001F02E6" w:rsidP="001F02E6">
      <w:pPr>
        <w:pStyle w:val="ESch"/>
        <w:rPr>
          <w:rFonts w:eastAsia="Calibri"/>
        </w:rPr>
      </w:pPr>
    </w:p>
    <w:p w:rsidR="001F02E6" w:rsidRPr="008F6ABB" w:rsidRDefault="001F02E6" w:rsidP="001F02E6">
      <w:pPr>
        <w:pStyle w:val="ESch"/>
        <w:rPr>
          <w:rFonts w:eastAsia="Calibri"/>
        </w:rPr>
      </w:pPr>
      <w:r>
        <w:t>7.</w:t>
      </w:r>
      <w:r>
        <w:tab/>
        <w:t xml:space="preserve">Hatékony szellőzést kell biztosítani, ha az akkumulátorokat zárt térben, szekrényben vagy ládában helyezik el. Mechanikus szellőztetést kell biztosítani, ha a töltőteljesítmény meghaladja: </w:t>
      </w:r>
    </w:p>
    <w:p w:rsidR="001F02E6" w:rsidRPr="008F6ABB" w:rsidRDefault="001F02E6" w:rsidP="001F02E6">
      <w:pPr>
        <w:pStyle w:val="ESlet"/>
        <w:rPr>
          <w:rFonts w:eastAsia="Calibri"/>
        </w:rPr>
      </w:pPr>
      <w:r>
        <w:t>a)</w:t>
      </w:r>
      <w:r>
        <w:tab/>
        <w:t>a 2,0 kW-ot nikkel-kadmium akkumulátor esetében;</w:t>
      </w:r>
    </w:p>
    <w:p w:rsidR="001F02E6" w:rsidRPr="008F6ABB" w:rsidRDefault="001F02E6" w:rsidP="001F02E6">
      <w:pPr>
        <w:pStyle w:val="ESlet"/>
        <w:rPr>
          <w:rFonts w:eastAsia="Calibri"/>
        </w:rPr>
      </w:pPr>
      <w:r>
        <w:t>b)</w:t>
      </w:r>
      <w:r>
        <w:tab/>
        <w:t xml:space="preserve">a 3,0 kW-ot ólomakkumulátor esetében. </w:t>
      </w:r>
    </w:p>
    <w:p w:rsidR="001F02E6" w:rsidRPr="008F6ABB" w:rsidRDefault="001F02E6" w:rsidP="001F02E6">
      <w:pPr>
        <w:pStyle w:val="ESchpar"/>
        <w:rPr>
          <w:rFonts w:eastAsia="Calibri"/>
        </w:rPr>
      </w:pPr>
    </w:p>
    <w:p w:rsidR="001F02E6" w:rsidRPr="008F6ABB" w:rsidRDefault="001F02E6" w:rsidP="001F02E6">
      <w:pPr>
        <w:pStyle w:val="ESchpar"/>
        <w:rPr>
          <w:rFonts w:eastAsia="Calibri"/>
        </w:rPr>
      </w:pPr>
      <w:r>
        <w:t xml:space="preserve">A levegőnek alul kell behatolnia és felül kijutnia, hogy biztosítva legyen a gázok teljes elvezetése. </w:t>
      </w:r>
    </w:p>
    <w:p w:rsidR="001F02E6" w:rsidRPr="008F6ABB" w:rsidRDefault="001F02E6" w:rsidP="001F02E6">
      <w:pPr>
        <w:pStyle w:val="ESchpar"/>
        <w:rPr>
          <w:rFonts w:eastAsia="Calibri"/>
        </w:rPr>
      </w:pPr>
    </w:p>
    <w:p w:rsidR="001F02E6" w:rsidRPr="008F6ABB" w:rsidRDefault="001F02E6" w:rsidP="001F02E6">
      <w:pPr>
        <w:pStyle w:val="ESchpar"/>
        <w:rPr>
          <w:rFonts w:eastAsia="Calibri"/>
        </w:rPr>
      </w:pPr>
      <w:r>
        <w:t>A szellőzőcsatornákban nem lehet olyan szerkezet (pl. elzárószelep), amely gátolhatná a légáramlást.</w:t>
      </w:r>
    </w:p>
    <w:p w:rsidR="001F02E6" w:rsidRPr="008F6ABB" w:rsidRDefault="001F02E6" w:rsidP="001F02E6">
      <w:pPr>
        <w:pStyle w:val="ESch"/>
        <w:rPr>
          <w:rFonts w:eastAsia="Calibri"/>
        </w:rPr>
      </w:pPr>
    </w:p>
    <w:p w:rsidR="001F02E6" w:rsidRPr="008F6ABB" w:rsidRDefault="001F02E6" w:rsidP="001F02E6">
      <w:pPr>
        <w:pStyle w:val="ESch"/>
        <w:spacing w:after="120"/>
        <w:rPr>
          <w:rFonts w:eastAsia="Calibri"/>
        </w:rPr>
      </w:pPr>
      <w:r>
        <w:t>8.</w:t>
      </w:r>
      <w:r>
        <w:tab/>
        <w:t>A szükséges átáramló levegőmennyiséget (</w:t>
      </w:r>
      <m:oMath>
        <m:r>
          <w:rPr>
            <w:rFonts w:ascii="Cambria Math" w:hAnsi="Cambria Math"/>
          </w:rPr>
          <m:t>Q</m:t>
        </m:r>
      </m:oMath>
      <w:r>
        <w:t>) a következő képlettel kell kiszámítani:</w:t>
      </w:r>
    </w:p>
    <w:p w:rsidR="001F02E6" w:rsidRPr="00F125EF" w:rsidRDefault="001F02E6" w:rsidP="001F02E6">
      <w:pPr>
        <w:pStyle w:val="ESch"/>
        <w:jc w:val="center"/>
        <w:rPr>
          <w:lang w:val="es-ES"/>
        </w:rPr>
      </w:pPr>
      <m:oMath>
        <m:r>
          <w:rPr>
            <w:rFonts w:ascii="Cambria Math" w:hAnsi="Cambria Math"/>
          </w:rPr>
          <m:t>Q</m:t>
        </m:r>
        <m:r>
          <w:rPr>
            <w:rFonts w:ascii="Cambria Math" w:hAnsi="Cambria Math"/>
            <w:lang w:val="es-ES"/>
          </w:rPr>
          <m:t>=</m:t>
        </m:r>
        <m:r>
          <w:rPr>
            <w:rFonts w:ascii="Cambria Math" w:hAnsi="Cambria Math"/>
          </w:rPr>
          <m:t>f</m:t>
        </m:r>
        <m:r>
          <w:rPr>
            <w:rFonts w:ascii="Cambria Math" w:hAnsi="Cambria Math"/>
            <w:lang w:val="es-ES"/>
          </w:rPr>
          <m:t xml:space="preserve"> ∙</m:t>
        </m:r>
        <m:sSub>
          <m:sSubPr>
            <m:ctrlPr>
              <w:rPr>
                <w:rFonts w:ascii="Cambria Math" w:hAnsi="Cambria Math"/>
                <w:i/>
              </w:rPr>
            </m:ctrlPr>
          </m:sSubPr>
          <m:e>
            <m:r>
              <w:rPr>
                <w:rFonts w:ascii="Cambria Math" w:hAnsi="Cambria Math"/>
              </w:rPr>
              <m:t>I</m:t>
            </m:r>
          </m:e>
          <m:sub>
            <m:r>
              <w:rPr>
                <w:rFonts w:ascii="Cambria Math" w:hAnsi="Cambria Math"/>
              </w:rPr>
              <m:t>gas</m:t>
            </m:r>
          </m:sub>
        </m:sSub>
        <m:r>
          <w:rPr>
            <w:rFonts w:ascii="Cambria Math" w:hAnsi="Cambria Math"/>
            <w:lang w:val="es-ES"/>
          </w:rPr>
          <m:t xml:space="preserve"> ∙</m:t>
        </m:r>
        <m:r>
          <w:rPr>
            <w:rFonts w:ascii="Cambria Math" w:hAnsi="Cambria Math"/>
          </w:rPr>
          <m:t>n</m:t>
        </m:r>
        <m:r>
          <w:rPr>
            <w:rFonts w:ascii="Cambria Math" w:hAnsi="Cambria Math"/>
            <w:lang w:val="es-ES"/>
          </w:rPr>
          <m:t xml:space="preserve"> </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m</m:t>
                </m:r>
              </m:e>
              <m:sup>
                <m:r>
                  <w:rPr>
                    <w:rFonts w:ascii="Cambria Math" w:hAnsi="Cambria Math"/>
                    <w:lang w:val="es-ES"/>
                  </w:rPr>
                  <m:t>3</m:t>
                </m:r>
              </m:sup>
            </m:sSup>
            <m:r>
              <w:rPr>
                <w:rFonts w:ascii="Cambria Math" w:hAnsi="Cambria Math"/>
                <w:lang w:val="es-ES"/>
              </w:rPr>
              <m:t>/h</m:t>
            </m:r>
          </m:e>
        </m:d>
      </m:oMath>
      <w:r w:rsidRPr="00F125EF">
        <w:rPr>
          <w:lang w:val="es-ES"/>
        </w:rPr>
        <w:t>.</w:t>
      </w:r>
    </w:p>
    <w:p w:rsidR="001F02E6" w:rsidRPr="00F125EF" w:rsidRDefault="001F02E6" w:rsidP="001F02E6">
      <w:pPr>
        <w:pStyle w:val="ESchpar"/>
        <w:rPr>
          <w:rFonts w:eastAsia="Calibri"/>
          <w:lang w:val="es-ES"/>
        </w:rPr>
      </w:pPr>
      <w:r w:rsidRPr="00F125EF">
        <w:rPr>
          <w:lang w:val="es-ES"/>
        </w:rPr>
        <w:t>ahol:</w:t>
      </w:r>
    </w:p>
    <w:p w:rsidR="001F02E6" w:rsidRPr="00F125EF" w:rsidRDefault="001F02E6" w:rsidP="001F02E6">
      <w:pPr>
        <w:pStyle w:val="ESlet"/>
        <w:ind w:left="1276" w:hanging="709"/>
        <w:rPr>
          <w:rFonts w:eastAsia="Calibri"/>
          <w:lang w:val="es-ES"/>
        </w:rPr>
      </w:pPr>
      <m:oMath>
        <m:r>
          <w:rPr>
            <w:rFonts w:ascii="Cambria Math" w:eastAsia="Calibri" w:hAnsi="Cambria Math"/>
          </w:rPr>
          <m:t>f</m:t>
        </m:r>
      </m:oMath>
      <w:r w:rsidRPr="00F125EF">
        <w:rPr>
          <w:lang w:val="es-ES"/>
        </w:rPr>
        <w:t xml:space="preserve"> =</w:t>
      </w:r>
      <w:r w:rsidRPr="00F125EF">
        <w:rPr>
          <w:lang w:val="es-ES"/>
        </w:rPr>
        <w:tab/>
        <w:t>0,11 folyékony elektrolitos akkumulátorok esetében;</w:t>
      </w:r>
    </w:p>
    <w:p w:rsidR="001F02E6" w:rsidRPr="00F125EF" w:rsidRDefault="001F02E6" w:rsidP="001F02E6">
      <w:pPr>
        <w:pStyle w:val="ESlet"/>
        <w:ind w:left="1276" w:hanging="709"/>
        <w:rPr>
          <w:rFonts w:eastAsia="Calibri"/>
          <w:lang w:val="es-ES"/>
        </w:rPr>
      </w:pPr>
      <m:oMath>
        <m:r>
          <w:rPr>
            <w:rFonts w:ascii="Cambria Math" w:eastAsia="Calibri" w:hAnsi="Cambria Math"/>
          </w:rPr>
          <m:t>f</m:t>
        </m:r>
      </m:oMath>
      <w:r w:rsidRPr="00F125EF">
        <w:rPr>
          <w:lang w:val="es-ES"/>
        </w:rPr>
        <w:t xml:space="preserve"> =</w:t>
      </w:r>
      <w:r w:rsidRPr="00F125EF">
        <w:rPr>
          <w:lang w:val="es-ES"/>
        </w:rPr>
        <w:tab/>
        <w:t>0,03 zárt cellás (zselével átitatott, nem szőtt rostos anyagba ágyazott elektrolittal rendelkező) akkumulátorok esetében;</w:t>
      </w:r>
    </w:p>
    <w:p w:rsidR="001F02E6" w:rsidRPr="00F125EF" w:rsidRDefault="003142CA" w:rsidP="001F02E6">
      <w:pPr>
        <w:pStyle w:val="ESlet"/>
        <w:ind w:left="1276" w:hanging="709"/>
        <w:rPr>
          <w:rFonts w:eastAsia="Calibri"/>
          <w:lang w:val="es-ES"/>
        </w:rPr>
      </w:pPr>
      <m:oMath>
        <m:sSub>
          <m:sSubPr>
            <m:ctrlPr>
              <w:rPr>
                <w:rFonts w:ascii="Cambria Math" w:hAnsi="Cambria Math"/>
                <w:i/>
              </w:rPr>
            </m:ctrlPr>
          </m:sSubPr>
          <m:e>
            <m:r>
              <w:rPr>
                <w:rFonts w:ascii="Cambria Math" w:hAnsi="Cambria Math"/>
              </w:rPr>
              <m:t>I</m:t>
            </m:r>
          </m:e>
          <m:sub>
            <m:r>
              <w:rPr>
                <w:rFonts w:ascii="Cambria Math" w:hAnsi="Cambria Math"/>
              </w:rPr>
              <m:t>gas</m:t>
            </m:r>
          </m:sub>
        </m:sSub>
      </m:oMath>
      <w:r w:rsidR="000505FE" w:rsidRPr="00F125EF">
        <w:rPr>
          <w:lang w:val="es-ES"/>
        </w:rPr>
        <w:t xml:space="preserve"> =</w:t>
      </w:r>
      <w:r w:rsidR="000505FE" w:rsidRPr="00F125EF">
        <w:rPr>
          <w:lang w:val="es-ES"/>
        </w:rPr>
        <w:tab/>
        <w:t>a töltőberendezés legnagyobb áramerősségének ¼-e (A);</w:t>
      </w:r>
    </w:p>
    <w:p w:rsidR="001F02E6" w:rsidRPr="00F125EF" w:rsidRDefault="001F02E6" w:rsidP="001F02E6">
      <w:pPr>
        <w:pStyle w:val="ESlet"/>
        <w:ind w:left="1276" w:hanging="709"/>
        <w:rPr>
          <w:rFonts w:eastAsia="Calibri"/>
          <w:lang w:val="es-ES"/>
        </w:rPr>
      </w:pPr>
      <m:oMath>
        <m:r>
          <w:rPr>
            <w:rFonts w:ascii="Cambria Math" w:eastAsia="Calibri" w:hAnsi="Cambria Math"/>
          </w:rPr>
          <m:t>n</m:t>
        </m:r>
      </m:oMath>
      <w:r w:rsidRPr="00F125EF">
        <w:rPr>
          <w:lang w:val="es-ES"/>
        </w:rPr>
        <w:t xml:space="preserve"> =</w:t>
      </w:r>
      <w:r w:rsidRPr="00F125EF">
        <w:rPr>
          <w:lang w:val="es-ES"/>
        </w:rPr>
        <w:tab/>
        <w:t>a sorba kötött cellák száma.</w:t>
      </w:r>
    </w:p>
    <w:p w:rsidR="001F02E6" w:rsidRPr="00F125EF" w:rsidRDefault="001F02E6" w:rsidP="001F02E6">
      <w:pPr>
        <w:pStyle w:val="ESchpar"/>
        <w:rPr>
          <w:rFonts w:eastAsia="Calibri"/>
          <w:lang w:val="es-ES"/>
        </w:rPr>
      </w:pPr>
    </w:p>
    <w:p w:rsidR="00AB2818" w:rsidRPr="00F125EF" w:rsidRDefault="00AB2818">
      <w:pPr>
        <w:rPr>
          <w:rFonts w:eastAsia="Calibri"/>
          <w:lang w:val="es-ES"/>
        </w:rPr>
      </w:pPr>
      <w:r w:rsidRPr="00F125EF">
        <w:rPr>
          <w:lang w:val="es-ES"/>
        </w:rPr>
        <w:br w:type="page"/>
      </w:r>
    </w:p>
    <w:p w:rsidR="00AB2818" w:rsidRPr="00F125EF" w:rsidRDefault="00AB2818" w:rsidP="001F02E6">
      <w:pPr>
        <w:pStyle w:val="ESchpar"/>
        <w:rPr>
          <w:rFonts w:eastAsia="Calibri"/>
          <w:lang w:val="es-ES"/>
        </w:rPr>
      </w:pPr>
    </w:p>
    <w:p w:rsidR="001F02E6" w:rsidRPr="00F125EF" w:rsidRDefault="001F02E6" w:rsidP="001F02E6">
      <w:pPr>
        <w:pStyle w:val="ESchpar"/>
        <w:rPr>
          <w:rFonts w:eastAsia="Calibri"/>
          <w:lang w:val="es-ES"/>
        </w:rPr>
      </w:pPr>
      <w:r w:rsidRPr="00F125EF">
        <w:rPr>
          <w:lang w:val="es-ES"/>
        </w:rPr>
        <w:t>A fedélzeti hálózat pufferakkumulátorai esetében az ellenőrző szerv elfogadhat más, a töltőberendezések jellemző töltési görbéjét figyelembe vevő számítási módszereket is, feltéve, hogy ezek elismert hajóosztályozó társaságok rendelkezésein vagy vonatkozó szabványokon alapulnak.</w:t>
      </w:r>
    </w:p>
    <w:p w:rsidR="001F02E6" w:rsidRPr="00F125EF" w:rsidRDefault="001F02E6" w:rsidP="001F02E6">
      <w:pPr>
        <w:pStyle w:val="ESch"/>
        <w:rPr>
          <w:rFonts w:eastAsia="Calibri"/>
          <w:lang w:val="es-ES"/>
        </w:rPr>
      </w:pPr>
    </w:p>
    <w:p w:rsidR="001F02E6" w:rsidRPr="00F125EF" w:rsidRDefault="001F02E6" w:rsidP="001F02E6">
      <w:pPr>
        <w:pStyle w:val="ESch"/>
        <w:rPr>
          <w:rFonts w:eastAsia="Calibri"/>
          <w:lang w:val="es-ES"/>
        </w:rPr>
      </w:pPr>
      <w:r w:rsidRPr="00F125EF">
        <w:rPr>
          <w:lang w:val="es-ES"/>
        </w:rPr>
        <w:t>9.</w:t>
      </w:r>
      <w:r w:rsidRPr="00F125EF">
        <w:rPr>
          <w:lang w:val="es-ES"/>
        </w:rPr>
        <w:tab/>
        <w:t>Természetes szellőzés esetén a szellőzőcsatornák keresztmetszetét úgy kell méretezni, hogy 0,5 m/s légáramlás-sebesség mellett biztosítsa a szükséges átáramló levegőmennyiséget. A keresztmetszetnek azonban a következő minimumértékkel kell rendelkeznie:</w:t>
      </w:r>
    </w:p>
    <w:p w:rsidR="001F02E6" w:rsidRPr="00F125EF" w:rsidRDefault="001F02E6" w:rsidP="001F02E6">
      <w:pPr>
        <w:pStyle w:val="ESlet"/>
        <w:rPr>
          <w:rFonts w:eastAsia="Calibri"/>
          <w:lang w:val="es-ES"/>
        </w:rPr>
      </w:pPr>
      <w:r w:rsidRPr="00F125EF">
        <w:rPr>
          <w:lang w:val="es-ES"/>
        </w:rPr>
        <w:t>a)</w:t>
      </w:r>
      <w:r w:rsidRPr="00F125EF">
        <w:rPr>
          <w:lang w:val="es-ES"/>
        </w:rPr>
        <w:tab/>
        <w:t>80 cm</w:t>
      </w:r>
      <w:r w:rsidRPr="00F125EF">
        <w:rPr>
          <w:vertAlign w:val="superscript"/>
          <w:lang w:val="es-ES"/>
        </w:rPr>
        <w:t>2</w:t>
      </w:r>
      <w:r w:rsidRPr="00F125EF">
        <w:rPr>
          <w:lang w:val="es-ES"/>
        </w:rPr>
        <w:t xml:space="preserve"> ólomakkumulátor esetében;</w:t>
      </w:r>
    </w:p>
    <w:p w:rsidR="001F02E6" w:rsidRPr="00F125EF" w:rsidRDefault="001F02E6" w:rsidP="001F02E6">
      <w:pPr>
        <w:pStyle w:val="ESlet"/>
        <w:rPr>
          <w:rFonts w:eastAsia="Calibri"/>
          <w:lang w:val="es-ES"/>
        </w:rPr>
      </w:pPr>
      <w:r w:rsidRPr="00F125EF">
        <w:rPr>
          <w:lang w:val="es-ES"/>
        </w:rPr>
        <w:t>b)</w:t>
      </w:r>
      <w:r w:rsidRPr="00F125EF">
        <w:rPr>
          <w:lang w:val="es-ES"/>
        </w:rPr>
        <w:tab/>
        <w:t>120 cm</w:t>
      </w:r>
      <w:r w:rsidRPr="00F125EF">
        <w:rPr>
          <w:vertAlign w:val="superscript"/>
          <w:lang w:val="es-ES"/>
        </w:rPr>
        <w:t>2</w:t>
      </w:r>
      <w:r w:rsidRPr="00F125EF">
        <w:rPr>
          <w:lang w:val="es-ES"/>
        </w:rPr>
        <w:t xml:space="preserve"> nikkel-kadmium akkumulátor esetében.</w:t>
      </w:r>
    </w:p>
    <w:p w:rsidR="001F02E6" w:rsidRPr="00F125EF" w:rsidRDefault="001F02E6" w:rsidP="001F02E6">
      <w:pPr>
        <w:spacing w:line="240" w:lineRule="atLeast"/>
        <w:ind w:left="567" w:hanging="567"/>
        <w:rPr>
          <w:rFonts w:eastAsia="Calibri" w:cs="Arial"/>
          <w:szCs w:val="20"/>
          <w:lang w:val="es-ES"/>
        </w:rPr>
      </w:pPr>
    </w:p>
    <w:p w:rsidR="001F02E6" w:rsidRPr="00F125EF" w:rsidRDefault="001F02E6" w:rsidP="001F02E6">
      <w:pPr>
        <w:pStyle w:val="ESch"/>
        <w:rPr>
          <w:rFonts w:eastAsia="Calibri" w:cs="Arial"/>
          <w:lang w:val="es-ES"/>
        </w:rPr>
      </w:pPr>
      <w:r w:rsidRPr="00F125EF">
        <w:rPr>
          <w:lang w:val="es-ES"/>
        </w:rPr>
        <w:t>10.</w:t>
      </w:r>
      <w:r w:rsidRPr="00F125EF">
        <w:rPr>
          <w:lang w:val="es-ES"/>
        </w:rPr>
        <w:tab/>
        <w:t>Amennyiben mechanikus szellőztetést alkalmaznak, ventilátort kell biztosítani, mely lehetőleg légszívóval rendelkezik; motorjának pedig függetlennek kell lennie a gázáramtól és a légáramtól. A ventilátornak olyan szerkezetűnek kell lennie, hogy az kizárja a lapátok és a burkolat közötti érintkezésből adódó szikraképződést, valamint bármilyen elektrosztatikus töltés kialakulását.</w:t>
      </w:r>
    </w:p>
    <w:p w:rsidR="001F02E6" w:rsidRPr="00F125EF" w:rsidRDefault="001F02E6" w:rsidP="001F02E6">
      <w:pPr>
        <w:pStyle w:val="ESch"/>
        <w:rPr>
          <w:rFonts w:eastAsia="Calibri"/>
          <w:lang w:val="es-ES"/>
        </w:rPr>
      </w:pPr>
    </w:p>
    <w:p w:rsidR="001F02E6" w:rsidRPr="00F125EF" w:rsidRDefault="001F02E6" w:rsidP="001F02E6">
      <w:pPr>
        <w:spacing w:line="240" w:lineRule="atLeast"/>
        <w:ind w:left="567" w:hanging="567"/>
        <w:rPr>
          <w:rFonts w:eastAsia="Calibri" w:cs="Arial"/>
          <w:szCs w:val="20"/>
          <w:lang w:val="es-ES"/>
        </w:rPr>
      </w:pPr>
      <w:r w:rsidRPr="00F125EF">
        <w:rPr>
          <w:lang w:val="es-ES"/>
        </w:rPr>
        <w:t>11.</w:t>
      </w:r>
      <w:r w:rsidRPr="00F125EF">
        <w:rPr>
          <w:lang w:val="es-ES"/>
        </w:rPr>
        <w:tab/>
        <w:t>Az akkumulátorterek, -szekrények és -ládák ajtaján vagy borításán el kell helyezni a 4. melléklet 2. ábrája szerinti „Tűz, nyílt láng használata és dohányzás tilos” szimbólumot, amelynek átmérője legalább 10 cm.</w:t>
      </w:r>
    </w:p>
    <w:p w:rsidR="001F02E6" w:rsidRPr="00F125EF" w:rsidRDefault="001F02E6" w:rsidP="001F02E6">
      <w:pPr>
        <w:pStyle w:val="ESch"/>
        <w:rPr>
          <w:rFonts w:eastAsia="Calibri"/>
          <w:lang w:val="es-ES"/>
        </w:rPr>
      </w:pPr>
    </w:p>
    <w:p w:rsidR="001F02E6" w:rsidRPr="00F125EF" w:rsidRDefault="001F02E6" w:rsidP="001F02E6">
      <w:pPr>
        <w:pStyle w:val="ESch"/>
        <w:rPr>
          <w:rFonts w:eastAsia="Calibri"/>
          <w:lang w:val="es-ES"/>
        </w:rPr>
      </w:pPr>
      <w:r w:rsidRPr="00F125EF">
        <w:rPr>
          <w:lang w:val="es-ES"/>
        </w:rPr>
        <w:t>12.</w:t>
      </w:r>
      <w:r w:rsidRPr="00F125EF">
        <w:rPr>
          <w:lang w:val="es-ES"/>
        </w:rPr>
        <w:tab/>
        <w:t>A töltőberendezéseket alapvetően úgy kell megtervezni, hogy a lemerült akkumulátorokat legfeljebb 15 órán belül névleges kapacitásuk 80 %-áig újra fel lehessen tölteni a megengedett legnagyobb töltési sebességhez tartozó áramerősség túllépése nélkül.</w:t>
      </w:r>
    </w:p>
    <w:p w:rsidR="001F02E6" w:rsidRPr="00F125EF" w:rsidRDefault="001F02E6" w:rsidP="001F02E6">
      <w:pPr>
        <w:pStyle w:val="ESch"/>
        <w:rPr>
          <w:rFonts w:eastAsia="Calibri"/>
          <w:lang w:val="es-ES"/>
        </w:rPr>
      </w:pPr>
    </w:p>
    <w:p w:rsidR="001F02E6" w:rsidRPr="00F125EF" w:rsidRDefault="001F02E6" w:rsidP="001F02E6">
      <w:pPr>
        <w:pStyle w:val="ESch"/>
        <w:rPr>
          <w:rFonts w:eastAsia="Calibri"/>
          <w:lang w:val="es-ES"/>
        </w:rPr>
      </w:pPr>
      <w:r w:rsidRPr="00F125EF">
        <w:rPr>
          <w:lang w:val="es-ES"/>
        </w:rPr>
        <w:t>13.</w:t>
      </w:r>
      <w:r w:rsidRPr="00F125EF">
        <w:rPr>
          <w:lang w:val="es-ES"/>
        </w:rPr>
        <w:tab/>
        <w:t>Csak az akkumulátortípus töltési jellemzőinek megfelelő automatikus töltőberendezéseket szabad használni.</w:t>
      </w:r>
    </w:p>
    <w:p w:rsidR="001F02E6" w:rsidRPr="00F125EF" w:rsidRDefault="001F02E6" w:rsidP="001F02E6">
      <w:pPr>
        <w:pStyle w:val="ESch"/>
        <w:rPr>
          <w:rFonts w:eastAsia="Calibri"/>
          <w:lang w:val="es-ES"/>
        </w:rPr>
      </w:pPr>
    </w:p>
    <w:p w:rsidR="001F02E6" w:rsidRPr="00F125EF" w:rsidRDefault="001F02E6" w:rsidP="001F02E6">
      <w:pPr>
        <w:pStyle w:val="ESch"/>
        <w:rPr>
          <w:rFonts w:eastAsia="Calibri"/>
          <w:lang w:val="es-ES"/>
        </w:rPr>
      </w:pPr>
      <w:r w:rsidRPr="00F125EF">
        <w:rPr>
          <w:lang w:val="es-ES"/>
        </w:rPr>
        <w:t>14.</w:t>
      </w:r>
      <w:r w:rsidRPr="00F125EF">
        <w:rPr>
          <w:lang w:val="es-ES"/>
        </w:rPr>
        <w:tab/>
        <w:t>Az áramfogyasztó berendezések töltés közbeni szimultán energiaellátása esetén a töltő kiválasztásakor figyelembe kell venni az áramfogyasztó berendezés teljesítménykövetelményeit. A névleges feszültség legfeljebb 120 %-ának megfelelő töltési feszültséget kell figyelembe venni a mindenkori teljesítménykövetelményektől függetlenül.</w:t>
      </w:r>
    </w:p>
    <w:p w:rsidR="001F02E6" w:rsidRPr="00F125EF" w:rsidRDefault="001F02E6" w:rsidP="001F02E6">
      <w:pPr>
        <w:pStyle w:val="ESch"/>
        <w:rPr>
          <w:rFonts w:eastAsia="Calibri"/>
          <w:lang w:val="es-ES"/>
        </w:rPr>
      </w:pPr>
    </w:p>
    <w:p w:rsidR="001F02E6" w:rsidRPr="00F125EF" w:rsidRDefault="001F02E6" w:rsidP="001F02E6">
      <w:pPr>
        <w:pStyle w:val="ESch"/>
        <w:rPr>
          <w:rFonts w:eastAsia="Calibri"/>
          <w:szCs w:val="20"/>
          <w:lang w:val="es-ES"/>
        </w:rPr>
      </w:pPr>
      <w:r w:rsidRPr="00F125EF">
        <w:rPr>
          <w:lang w:val="es-ES"/>
        </w:rPr>
        <w:t>15.</w:t>
      </w:r>
      <w:r w:rsidRPr="00F125EF">
        <w:rPr>
          <w:lang w:val="es-ES"/>
        </w:rPr>
        <w:tab/>
        <w:t>Lítium-ion akkumulátor esetében az EN 62619 európai szabvány 2017. július 6-án hatályos változatának és az EN 62620:2015 európai szabványnak a követelményei alkalmazandók.</w:t>
      </w:r>
    </w:p>
    <w:p w:rsidR="001F02E6" w:rsidRPr="00F125EF" w:rsidRDefault="001F02E6" w:rsidP="001F02E6">
      <w:pPr>
        <w:pStyle w:val="ESch"/>
        <w:rPr>
          <w:rFonts w:eastAsia="Calibri"/>
          <w:lang w:val="es-ES"/>
        </w:rPr>
      </w:pPr>
    </w:p>
    <w:p w:rsidR="001F02E6" w:rsidRPr="00F125EF" w:rsidRDefault="001F02E6" w:rsidP="001F02E6">
      <w:pPr>
        <w:pStyle w:val="ESch"/>
        <w:rPr>
          <w:rFonts w:eastAsia="Calibri"/>
          <w:lang w:val="es-ES"/>
        </w:rPr>
      </w:pPr>
      <w:r w:rsidRPr="00F125EF">
        <w:rPr>
          <w:lang w:val="es-ES"/>
        </w:rPr>
        <w:t>16.</w:t>
      </w:r>
      <w:r w:rsidRPr="00F125EF">
        <w:rPr>
          <w:lang w:val="es-ES"/>
        </w:rPr>
        <w:tab/>
        <w:t>Az akkumulátorok ellenőrzésére lehetőség szerint akkumulátorkezelési rendszert kell használni. A lítium-ion akkumulátorokat fel kell szerelni ilyen rendszerrel.</w:t>
      </w:r>
    </w:p>
    <w:p w:rsidR="001F02E6" w:rsidRPr="00F125EF" w:rsidRDefault="001F02E6" w:rsidP="00AA5633">
      <w:pPr>
        <w:pStyle w:val="ESch"/>
        <w:rPr>
          <w:rFonts w:eastAsia="Calibri"/>
          <w:lang w:val="es-ES"/>
        </w:rPr>
      </w:pPr>
    </w:p>
    <w:p w:rsidR="001F02E6" w:rsidRPr="00F125EF" w:rsidRDefault="001F02E6" w:rsidP="001F02E6">
      <w:pPr>
        <w:pStyle w:val="ESchpar"/>
        <w:rPr>
          <w:rFonts w:eastAsia="Calibri"/>
          <w:lang w:val="es-ES"/>
        </w:rPr>
      </w:pPr>
      <w:r w:rsidRPr="00F125EF">
        <w:rPr>
          <w:lang w:val="es-ES"/>
        </w:rPr>
        <w:t>E rendszernek legalább a következő funkciókat kell betöltenie:</w:t>
      </w:r>
    </w:p>
    <w:p w:rsidR="001F02E6" w:rsidRPr="00F125EF" w:rsidRDefault="001F02E6" w:rsidP="001F02E6">
      <w:pPr>
        <w:pStyle w:val="ESlet"/>
        <w:rPr>
          <w:rFonts w:eastAsia="Calibri"/>
          <w:lang w:val="es-ES"/>
        </w:rPr>
      </w:pPr>
      <w:r w:rsidRPr="00F125EF">
        <w:rPr>
          <w:lang w:val="es-ES"/>
        </w:rPr>
        <w:t>a)</w:t>
      </w:r>
      <w:r w:rsidRPr="00F125EF">
        <w:rPr>
          <w:lang w:val="es-ES"/>
        </w:rPr>
        <w:tab/>
        <w:t>cellavédelem (rövidre zárás, külső, belső, túláram, kisütés stb.);</w:t>
      </w:r>
    </w:p>
    <w:p w:rsidR="001F02E6" w:rsidRPr="00F125EF" w:rsidRDefault="001F02E6" w:rsidP="001F02E6">
      <w:pPr>
        <w:pStyle w:val="ESlet"/>
        <w:rPr>
          <w:rFonts w:eastAsia="Calibri"/>
          <w:lang w:val="es-ES"/>
        </w:rPr>
      </w:pPr>
      <w:r w:rsidRPr="00F125EF">
        <w:rPr>
          <w:lang w:val="es-ES"/>
        </w:rPr>
        <w:t>b)</w:t>
      </w:r>
      <w:r w:rsidRPr="00F125EF">
        <w:rPr>
          <w:lang w:val="es-ES"/>
        </w:rPr>
        <w:tab/>
        <w:t>töltésvezérlés, amennyiben nem a töltőberendezés végzi;</w:t>
      </w:r>
    </w:p>
    <w:p w:rsidR="001F02E6" w:rsidRPr="00F125EF" w:rsidRDefault="001F02E6" w:rsidP="001F02E6">
      <w:pPr>
        <w:pStyle w:val="ESlet"/>
        <w:rPr>
          <w:rFonts w:eastAsia="Calibri"/>
          <w:lang w:val="es-ES"/>
        </w:rPr>
      </w:pPr>
      <w:r w:rsidRPr="00F125EF">
        <w:rPr>
          <w:lang w:val="es-ES"/>
        </w:rPr>
        <w:t>c)</w:t>
      </w:r>
      <w:r w:rsidRPr="00F125EF">
        <w:rPr>
          <w:lang w:val="es-ES"/>
        </w:rPr>
        <w:tab/>
        <w:t>terheléskezelés;</w:t>
      </w:r>
    </w:p>
    <w:p w:rsidR="001F02E6" w:rsidRPr="00F125EF" w:rsidRDefault="001F02E6" w:rsidP="001F02E6">
      <w:pPr>
        <w:pStyle w:val="ESlet"/>
        <w:rPr>
          <w:rFonts w:eastAsia="Calibri"/>
          <w:lang w:val="es-ES"/>
        </w:rPr>
      </w:pPr>
      <w:r w:rsidRPr="00F125EF">
        <w:rPr>
          <w:lang w:val="es-ES"/>
        </w:rPr>
        <w:t>d)</w:t>
      </w:r>
      <w:r w:rsidRPr="00F125EF">
        <w:rPr>
          <w:lang w:val="es-ES"/>
        </w:rPr>
        <w:tab/>
        <w:t>töltési szint meghatározása;</w:t>
      </w:r>
    </w:p>
    <w:p w:rsidR="001F02E6" w:rsidRPr="00F125EF" w:rsidRDefault="001F02E6" w:rsidP="001F02E6">
      <w:pPr>
        <w:pStyle w:val="ESlet"/>
        <w:rPr>
          <w:rFonts w:eastAsia="Calibri"/>
          <w:lang w:val="es-ES"/>
        </w:rPr>
      </w:pPr>
      <w:r w:rsidRPr="00F125EF">
        <w:rPr>
          <w:lang w:val="es-ES"/>
        </w:rPr>
        <w:t>e)</w:t>
      </w:r>
      <w:r w:rsidRPr="00F125EF">
        <w:rPr>
          <w:lang w:val="es-ES"/>
        </w:rPr>
        <w:tab/>
        <w:t>cellabalanszírozás;</w:t>
      </w:r>
    </w:p>
    <w:p w:rsidR="001F02E6" w:rsidRPr="00F125EF" w:rsidRDefault="001F02E6" w:rsidP="001F02E6">
      <w:pPr>
        <w:pStyle w:val="ESlet"/>
        <w:rPr>
          <w:rFonts w:eastAsia="Calibri"/>
          <w:lang w:val="es-ES"/>
        </w:rPr>
      </w:pPr>
      <w:r w:rsidRPr="00F125EF">
        <w:rPr>
          <w:lang w:val="es-ES"/>
        </w:rPr>
        <w:t>f)</w:t>
      </w:r>
      <w:r w:rsidRPr="00F125EF">
        <w:rPr>
          <w:lang w:val="es-ES"/>
        </w:rPr>
        <w:tab/>
        <w:t>hőkezelés.</w:t>
      </w:r>
    </w:p>
    <w:p w:rsidR="001F02E6" w:rsidRPr="00F125EF" w:rsidRDefault="001F02E6" w:rsidP="00AA5633">
      <w:pPr>
        <w:pStyle w:val="ESch"/>
        <w:rPr>
          <w:rFonts w:eastAsia="Calibri"/>
          <w:lang w:val="es-ES"/>
        </w:rPr>
      </w:pPr>
    </w:p>
    <w:p w:rsidR="001F02E6" w:rsidRPr="00F125EF" w:rsidRDefault="001F02E6" w:rsidP="001F02E6">
      <w:pPr>
        <w:pStyle w:val="ESlet"/>
        <w:ind w:left="567"/>
        <w:rPr>
          <w:rFonts w:eastAsia="Calibri"/>
          <w:lang w:val="es-ES"/>
        </w:rPr>
      </w:pPr>
      <w:r w:rsidRPr="00F125EF">
        <w:rPr>
          <w:lang w:val="es-ES"/>
        </w:rPr>
        <w:t>Használattól függően a rendszereknek lehetőség szerint a következő funkciókat is be kell tölteniük:</w:t>
      </w:r>
    </w:p>
    <w:p w:rsidR="001F02E6" w:rsidRPr="00F125EF" w:rsidRDefault="001F02E6" w:rsidP="001F02E6">
      <w:pPr>
        <w:pStyle w:val="ESlet"/>
        <w:rPr>
          <w:rFonts w:eastAsia="Calibri"/>
          <w:lang w:val="es-ES"/>
        </w:rPr>
      </w:pPr>
      <w:r w:rsidRPr="00F125EF">
        <w:rPr>
          <w:lang w:val="es-ES"/>
        </w:rPr>
        <w:t>g)</w:t>
      </w:r>
      <w:r w:rsidRPr="00F125EF">
        <w:rPr>
          <w:lang w:val="es-ES"/>
        </w:rPr>
        <w:tab/>
        <w:t>az öregedés, a fennmaradó kapacitás, a belső ellenállás stb. meghatározása;</w:t>
      </w:r>
    </w:p>
    <w:p w:rsidR="001F02E6" w:rsidRPr="00F125EF" w:rsidRDefault="001F02E6" w:rsidP="001F02E6">
      <w:pPr>
        <w:pStyle w:val="ESlet"/>
        <w:rPr>
          <w:rFonts w:eastAsia="Calibri"/>
          <w:lang w:val="es-ES"/>
        </w:rPr>
      </w:pPr>
      <w:r w:rsidRPr="00F125EF">
        <w:rPr>
          <w:lang w:val="es-ES"/>
        </w:rPr>
        <w:t>h)</w:t>
      </w:r>
      <w:r w:rsidRPr="00F125EF">
        <w:rPr>
          <w:lang w:val="es-ES"/>
        </w:rPr>
        <w:tab/>
        <w:t>kommunikáció (például átalakítókkal és vezérlő berendezésekkel);</w:t>
      </w:r>
    </w:p>
    <w:p w:rsidR="00AB2818" w:rsidRPr="00F125EF" w:rsidRDefault="00AB2818">
      <w:pPr>
        <w:rPr>
          <w:lang w:val="es-ES"/>
        </w:rPr>
      </w:pPr>
      <w:r w:rsidRPr="00F125EF">
        <w:rPr>
          <w:lang w:val="es-ES"/>
        </w:rPr>
        <w:br w:type="page"/>
      </w:r>
    </w:p>
    <w:p w:rsidR="00AB2818" w:rsidRPr="00F125EF" w:rsidRDefault="00AB2818" w:rsidP="001F02E6">
      <w:pPr>
        <w:pStyle w:val="ESlet"/>
        <w:rPr>
          <w:lang w:val="es-ES"/>
        </w:rPr>
      </w:pPr>
    </w:p>
    <w:p w:rsidR="001F02E6" w:rsidRPr="00F125EF" w:rsidRDefault="001F02E6" w:rsidP="001F02E6">
      <w:pPr>
        <w:pStyle w:val="ESlet"/>
        <w:rPr>
          <w:rFonts w:eastAsia="Calibri"/>
          <w:lang w:val="es-ES"/>
        </w:rPr>
      </w:pPr>
      <w:r w:rsidRPr="00F125EF">
        <w:rPr>
          <w:lang w:val="es-ES"/>
        </w:rPr>
        <w:t>i)</w:t>
      </w:r>
      <w:r w:rsidRPr="00F125EF">
        <w:rPr>
          <w:lang w:val="es-ES"/>
        </w:rPr>
        <w:tab/>
        <w:t>hitelesítés és azonosítás;</w:t>
      </w:r>
    </w:p>
    <w:p w:rsidR="001F02E6" w:rsidRPr="00F125EF" w:rsidRDefault="001F02E6" w:rsidP="001F02E6">
      <w:pPr>
        <w:pStyle w:val="ESlet"/>
        <w:rPr>
          <w:rFonts w:eastAsia="Calibri"/>
          <w:lang w:val="es-ES"/>
        </w:rPr>
      </w:pPr>
      <w:r w:rsidRPr="00F125EF">
        <w:rPr>
          <w:lang w:val="es-ES"/>
        </w:rPr>
        <w:t>j)</w:t>
      </w:r>
      <w:r w:rsidRPr="00F125EF">
        <w:rPr>
          <w:lang w:val="es-ES"/>
        </w:rPr>
        <w:tab/>
        <w:t>előzmények rögzítése.</w:t>
      </w:r>
    </w:p>
    <w:p w:rsidR="001F02E6" w:rsidRPr="00F125EF" w:rsidRDefault="001F02E6" w:rsidP="001F02E6">
      <w:pPr>
        <w:pStyle w:val="ESch"/>
        <w:rPr>
          <w:rFonts w:eastAsia="Calibri"/>
          <w:lang w:val="es-ES"/>
        </w:rPr>
      </w:pPr>
    </w:p>
    <w:p w:rsidR="001F02E6" w:rsidRPr="00F125EF" w:rsidRDefault="001F02E6" w:rsidP="001F02E6">
      <w:pPr>
        <w:pStyle w:val="ESch"/>
        <w:rPr>
          <w:lang w:val="es-ES"/>
        </w:rPr>
      </w:pPr>
      <w:r w:rsidRPr="00F125EF">
        <w:rPr>
          <w:lang w:val="es-ES"/>
        </w:rPr>
        <w:t>17.</w:t>
      </w:r>
      <w:r w:rsidRPr="00F125EF">
        <w:rPr>
          <w:lang w:val="es-ES"/>
        </w:rPr>
        <w:tab/>
        <w:t>Szárazelemekre az 1–12. és 16. bekezdés értelemszerűen alkalmazandó.</w:t>
      </w:r>
    </w:p>
    <w:p w:rsidR="008A12E7" w:rsidRPr="00F125EF" w:rsidRDefault="008A12E7" w:rsidP="00AA5633">
      <w:pPr>
        <w:pStyle w:val="ESch"/>
        <w:rPr>
          <w:lang w:val="es-ES"/>
        </w:rPr>
      </w:pPr>
    </w:p>
    <w:p w:rsidR="00651EFD" w:rsidRPr="00F125EF" w:rsidRDefault="00651EFD" w:rsidP="00AA5633">
      <w:pPr>
        <w:pStyle w:val="ESch"/>
        <w:rPr>
          <w:lang w:val="es-ES"/>
        </w:rPr>
      </w:pPr>
    </w:p>
    <w:p w:rsidR="008A12E7" w:rsidRPr="00F125EF" w:rsidRDefault="008A12E7" w:rsidP="00651EFD">
      <w:pPr>
        <w:pStyle w:val="ES-Titre3"/>
        <w:rPr>
          <w:lang w:val="es-ES"/>
        </w:rPr>
      </w:pPr>
      <w:bookmarkStart w:id="183" w:name="_Toc491854089"/>
      <w:bookmarkStart w:id="184" w:name="_Toc535853868"/>
      <w:r w:rsidRPr="00F125EF">
        <w:rPr>
          <w:lang w:val="es-ES"/>
        </w:rPr>
        <w:t>10.12. cikk</w:t>
      </w:r>
      <w:r w:rsidRPr="00F125EF">
        <w:rPr>
          <w:lang w:val="es-ES"/>
        </w:rPr>
        <w:br/>
      </w:r>
      <w:r w:rsidRPr="00F125EF">
        <w:rPr>
          <w:i/>
          <w:lang w:val="es-ES"/>
        </w:rPr>
        <w:t>Kapcsolóberendezés és vezérlőberendezés</w:t>
      </w:r>
      <w:bookmarkEnd w:id="183"/>
      <w:bookmarkEnd w:id="184"/>
    </w:p>
    <w:p w:rsidR="00651EFD" w:rsidRPr="00F125EF" w:rsidRDefault="00651EFD" w:rsidP="008A12E7">
      <w:pPr>
        <w:rPr>
          <w:rFonts w:cs="Arial"/>
          <w:noProof/>
          <w:szCs w:val="20"/>
          <w:lang w:val="es-ES"/>
        </w:rPr>
      </w:pPr>
    </w:p>
    <w:p w:rsidR="001F02E6" w:rsidRPr="00F125EF" w:rsidRDefault="001F02E6" w:rsidP="001F02E6">
      <w:pPr>
        <w:pStyle w:val="ESch"/>
        <w:rPr>
          <w:rFonts w:eastAsia="Calibri"/>
          <w:lang w:val="es-ES"/>
        </w:rPr>
      </w:pPr>
      <w:r w:rsidRPr="00F125EF">
        <w:rPr>
          <w:lang w:val="es-ES"/>
        </w:rPr>
        <w:t>1.</w:t>
      </w:r>
      <w:r w:rsidRPr="00F125EF">
        <w:rPr>
          <w:lang w:val="es-ES"/>
        </w:rPr>
        <w:tab/>
        <w:t>Kapcsolótáblák</w:t>
      </w:r>
    </w:p>
    <w:p w:rsidR="001F02E6" w:rsidRPr="00F125EF" w:rsidRDefault="001F02E6" w:rsidP="001F02E6">
      <w:pPr>
        <w:pStyle w:val="ESlet"/>
        <w:rPr>
          <w:rFonts w:eastAsia="Calibri"/>
          <w:lang w:val="es-ES"/>
        </w:rPr>
      </w:pPr>
      <w:r w:rsidRPr="00F125EF">
        <w:rPr>
          <w:lang w:val="es-ES"/>
        </w:rPr>
        <w:t>a)</w:t>
      </w:r>
      <w:r w:rsidRPr="00F125EF">
        <w:rPr>
          <w:lang w:val="es-ES"/>
        </w:rPr>
        <w:tab/>
        <w:t>A berendezéseket, kapcsolókat, biztosítékokat és a kapcsolótábla-műszereket látható, és a karbantartás és javítás számára jól hozzáférhető módon kell elhelyezni.</w:t>
      </w:r>
    </w:p>
    <w:p w:rsidR="001F02E6" w:rsidRPr="00F125EF" w:rsidRDefault="001F02E6" w:rsidP="001F02E6">
      <w:pPr>
        <w:pStyle w:val="EStiret"/>
        <w:ind w:left="993" w:hanging="1"/>
        <w:rPr>
          <w:rFonts w:eastAsia="Calibri"/>
          <w:noProof w:val="0"/>
          <w:lang w:val="es-ES"/>
        </w:rPr>
      </w:pPr>
      <w:r w:rsidRPr="00F125EF">
        <w:rPr>
          <w:lang w:val="es-ES"/>
        </w:rPr>
        <w:t>Az 50 V-os vagy annál kisebb és az 50 V-nál nagyobb feszültségű csatlakozókat külön-külön kell elhelyezni, és megfelelően jelölni kell.</w:t>
      </w:r>
    </w:p>
    <w:p w:rsidR="001F02E6" w:rsidRPr="00F125EF" w:rsidRDefault="001F02E6" w:rsidP="001F02E6">
      <w:pPr>
        <w:pStyle w:val="ESlet"/>
        <w:rPr>
          <w:rFonts w:eastAsia="Calibri"/>
          <w:lang w:val="es-ES"/>
        </w:rPr>
      </w:pPr>
      <w:r w:rsidRPr="00F125EF">
        <w:rPr>
          <w:lang w:val="es-ES"/>
        </w:rPr>
        <w:t>b)</w:t>
      </w:r>
      <w:r w:rsidRPr="00F125EF">
        <w:rPr>
          <w:lang w:val="es-ES"/>
        </w:rPr>
        <w:tab/>
        <w:t>Valamennyi kapcsoló és berendezés esetében kapcsolási rajzot kell rögzíteni a kapcsolótáblára.</w:t>
      </w:r>
    </w:p>
    <w:p w:rsidR="001F02E6" w:rsidRPr="00F125EF" w:rsidRDefault="001F02E6" w:rsidP="001F02E6">
      <w:pPr>
        <w:pStyle w:val="ESletpar"/>
        <w:rPr>
          <w:rFonts w:eastAsia="Calibri"/>
          <w:lang w:val="es-ES"/>
        </w:rPr>
      </w:pPr>
      <w:r w:rsidRPr="00F125EF">
        <w:rPr>
          <w:lang w:val="es-ES"/>
        </w:rPr>
        <w:t>Minden biztosítékhoz meg kell adni a névleges áramerősséget és az áramkört.</w:t>
      </w:r>
    </w:p>
    <w:p w:rsidR="001F02E6" w:rsidRPr="00F125EF" w:rsidRDefault="001F02E6" w:rsidP="001F02E6">
      <w:pPr>
        <w:pStyle w:val="ESlet"/>
        <w:rPr>
          <w:rFonts w:eastAsia="Calibri"/>
          <w:lang w:val="es-ES"/>
        </w:rPr>
      </w:pPr>
      <w:r w:rsidRPr="00F125EF">
        <w:rPr>
          <w:lang w:val="es-ES"/>
        </w:rPr>
        <w:t>c)</w:t>
      </w:r>
      <w:r w:rsidRPr="00F125EF">
        <w:rPr>
          <w:lang w:val="es-ES"/>
        </w:rPr>
        <w:tab/>
        <w:t>Ha 50 V-nál nagyobb üzemi feszültségű berendezést ajtó mögé szerelnek fel, a berendezés áram alatt lévő részeit védeni kell a szándékolatlan érintés ellen, amíg az ajtó nyitva van.</w:t>
      </w:r>
    </w:p>
    <w:p w:rsidR="001F02E6" w:rsidRPr="00F125EF" w:rsidRDefault="001F02E6" w:rsidP="001F02E6">
      <w:pPr>
        <w:pStyle w:val="ESlet"/>
        <w:rPr>
          <w:rFonts w:eastAsia="Calibri"/>
          <w:lang w:val="es-ES"/>
        </w:rPr>
      </w:pPr>
      <w:r w:rsidRPr="00F125EF">
        <w:rPr>
          <w:lang w:val="es-ES"/>
        </w:rPr>
        <w:t>d)</w:t>
      </w:r>
      <w:r w:rsidRPr="00F125EF">
        <w:rPr>
          <w:lang w:val="es-ES"/>
        </w:rPr>
        <w:tab/>
        <w:t>A kapcsolótáblák anyagának megfelelő mechanikai szilárdságúnak, tartósnak, égésgátlónak és önoltónak kell lennie, valamint nem lehet nedvszívó.</w:t>
      </w:r>
    </w:p>
    <w:p w:rsidR="001F02E6" w:rsidRPr="00F125EF" w:rsidRDefault="001F02E6" w:rsidP="001F02E6">
      <w:pPr>
        <w:pStyle w:val="ESlet"/>
        <w:rPr>
          <w:rFonts w:eastAsia="Calibri"/>
          <w:lang w:val="es-ES"/>
        </w:rPr>
      </w:pPr>
      <w:r w:rsidRPr="00F125EF">
        <w:rPr>
          <w:lang w:val="es-ES"/>
        </w:rPr>
        <w:t>e)</w:t>
      </w:r>
      <w:r w:rsidRPr="00F125EF">
        <w:rPr>
          <w:lang w:val="es-ES"/>
        </w:rPr>
        <w:tab/>
        <w:t>Ha a kapcsolótáblába alacsony feszültségű, nagy megszakítóképességű biztosítékokat építenek be, a biztosítékcsatlakozások beszereléséhez és eltávolításához eszközöket és személyi védőfelszerelést kell biztosítani.</w:t>
      </w:r>
    </w:p>
    <w:p w:rsidR="001F02E6" w:rsidRPr="00F125EF" w:rsidRDefault="001F02E6" w:rsidP="001F02E6">
      <w:pPr>
        <w:pStyle w:val="ESch"/>
        <w:rPr>
          <w:lang w:val="es-ES"/>
        </w:rPr>
      </w:pPr>
    </w:p>
    <w:p w:rsidR="001F02E6" w:rsidRPr="00F125EF" w:rsidRDefault="001F02E6" w:rsidP="001F02E6">
      <w:pPr>
        <w:pStyle w:val="ESch"/>
        <w:rPr>
          <w:rFonts w:eastAsia="Calibri"/>
          <w:lang w:val="es-ES"/>
        </w:rPr>
      </w:pPr>
      <w:r w:rsidRPr="00F125EF">
        <w:rPr>
          <w:lang w:val="es-ES"/>
        </w:rPr>
        <w:t>2.</w:t>
      </w:r>
      <w:r w:rsidRPr="00F125EF">
        <w:rPr>
          <w:lang w:val="es-ES"/>
        </w:rPr>
        <w:tab/>
        <w:t>Kapcsolók, védelmi berendezések</w:t>
      </w:r>
    </w:p>
    <w:p w:rsidR="001F02E6" w:rsidRPr="00F125EF" w:rsidRDefault="001F02E6" w:rsidP="001F02E6">
      <w:pPr>
        <w:pStyle w:val="ESlet"/>
        <w:rPr>
          <w:rFonts w:eastAsia="Calibri"/>
          <w:lang w:val="es-ES"/>
        </w:rPr>
      </w:pPr>
      <w:r w:rsidRPr="00F125EF">
        <w:rPr>
          <w:lang w:val="es-ES"/>
        </w:rPr>
        <w:t>a)</w:t>
      </w:r>
      <w:r w:rsidRPr="00F125EF">
        <w:rPr>
          <w:lang w:val="es-ES"/>
        </w:rPr>
        <w:tab/>
        <w:t xml:space="preserve">A generátorok és az áramfogyasztó berendezések áramköreit védeni kell a rövidzárlat és a túláram ellen minden földeletlen vezetéken. Erre a célra rövidzárlat- és túláramkioldású kapcsolóberendezések vagy biztosítékok (csatlakozással) használhatók. </w:t>
      </w:r>
    </w:p>
    <w:p w:rsidR="001F02E6" w:rsidRPr="00F125EF" w:rsidRDefault="001F02E6" w:rsidP="001F02E6">
      <w:pPr>
        <w:pStyle w:val="ESletpar"/>
        <w:rPr>
          <w:rFonts w:eastAsia="Calibri"/>
          <w:lang w:val="es-ES"/>
        </w:rPr>
      </w:pPr>
      <w:r w:rsidRPr="00F125EF">
        <w:rPr>
          <w:lang w:val="es-ES"/>
        </w:rPr>
        <w:t>A 6.04. cikkben említett, kormányberendezést ellátó áramköröket és azok vezérlőköreit csak rövidzárlat ellen kell védeni. Ha az áramkör-megszakítók tartalmaznak hőkioldókat, ezeket semlegesíteni kell, vagy a névleges áramerősség legalább kétszeresére kell beállítani.</w:t>
      </w:r>
    </w:p>
    <w:p w:rsidR="001F02E6" w:rsidRPr="00F125EF" w:rsidRDefault="001F02E6" w:rsidP="001F02E6">
      <w:pPr>
        <w:pStyle w:val="ESlet"/>
        <w:rPr>
          <w:rFonts w:eastAsia="Calibri"/>
          <w:lang w:val="es-ES"/>
        </w:rPr>
      </w:pPr>
      <w:r w:rsidRPr="00F125EF">
        <w:rPr>
          <w:lang w:val="es-ES"/>
        </w:rPr>
        <w:t>b)</w:t>
      </w:r>
      <w:r w:rsidRPr="00F125EF">
        <w:rPr>
          <w:lang w:val="es-ES"/>
        </w:rPr>
        <w:tab/>
        <w:t>16 A-nél nagyobb áramerősségű áramfogyasztó berendezések esetében a fő kapcsolótábla kimenetének terheléskapcsolót vagy áramkör-megszakítót kell tartalmaznia.</w:t>
      </w:r>
    </w:p>
    <w:p w:rsidR="001F02E6" w:rsidRPr="00F125EF" w:rsidRDefault="001F02E6" w:rsidP="001F02E6">
      <w:pPr>
        <w:pStyle w:val="ESlet"/>
        <w:rPr>
          <w:rFonts w:eastAsia="Calibri"/>
          <w:lang w:val="es-ES"/>
        </w:rPr>
      </w:pPr>
      <w:r w:rsidRPr="00F125EF">
        <w:rPr>
          <w:lang w:val="es-ES"/>
        </w:rPr>
        <w:t>c)</w:t>
      </w:r>
      <w:r w:rsidRPr="00F125EF">
        <w:rPr>
          <w:lang w:val="es-ES"/>
        </w:rPr>
        <w:tab/>
        <w:t>A hajó meghajtásához, a 6. fejezet szerinti kormányberendezésekhez, a kormánylapáthelyzet-jelzőkhöz, a navigációs vagy biztonsági rendszerekhez szükséges áramfogyasztó berendezéseket, valamint a 16 A-nél nagyobb áramerősségű áramfogyasztó berendezéseket külön áramkörökről kell ellátni.</w:t>
      </w:r>
    </w:p>
    <w:p w:rsidR="001F02E6" w:rsidRPr="00F125EF" w:rsidRDefault="001F02E6" w:rsidP="001F02E6">
      <w:pPr>
        <w:pStyle w:val="ESlet"/>
        <w:rPr>
          <w:rFonts w:eastAsia="Calibri"/>
          <w:lang w:val="es-ES"/>
        </w:rPr>
      </w:pPr>
      <w:r w:rsidRPr="00F125EF">
        <w:rPr>
          <w:lang w:val="es-ES"/>
        </w:rPr>
        <w:t>d)</w:t>
      </w:r>
      <w:r w:rsidRPr="00F125EF">
        <w:rPr>
          <w:lang w:val="es-ES"/>
        </w:rPr>
        <w:tab/>
        <w:t>A hajó meghajtásához és kormányzásához szükséges áramfogyasztó berendezések áramköreit közvetlenül a fő kapcsolótábláról kell ellátni.</w:t>
      </w:r>
    </w:p>
    <w:p w:rsidR="001F02E6" w:rsidRPr="00F125EF" w:rsidRDefault="001F02E6" w:rsidP="001F02E6">
      <w:pPr>
        <w:pStyle w:val="ESlet"/>
        <w:rPr>
          <w:rFonts w:eastAsia="Calibri"/>
          <w:lang w:val="es-ES"/>
        </w:rPr>
      </w:pPr>
      <w:r w:rsidRPr="00F125EF">
        <w:rPr>
          <w:lang w:val="es-ES"/>
        </w:rPr>
        <w:t>e)</w:t>
      </w:r>
      <w:r w:rsidRPr="00F125EF">
        <w:rPr>
          <w:lang w:val="es-ES"/>
        </w:rPr>
        <w:tab/>
        <w:t>A kapcsolóberendezéseket a névleges áramerősség, a termikus vagy dinamikus szilárdság és megszakítóképességük alapján kell kiválasztani. A kapcsolóknak egyidejűleg le kell választaniuk valamennyi áram alatt lévő vezetéket. A kapcsolási helyzetnek könnyen azonosíthatónak kell lennie.</w:t>
      </w:r>
    </w:p>
    <w:p w:rsidR="001F02E6" w:rsidRPr="00F125EF" w:rsidRDefault="001F02E6" w:rsidP="001F02E6">
      <w:pPr>
        <w:pStyle w:val="ESlet"/>
        <w:rPr>
          <w:rFonts w:eastAsia="Calibri"/>
          <w:lang w:val="es-ES"/>
        </w:rPr>
      </w:pPr>
      <w:r w:rsidRPr="00F125EF">
        <w:rPr>
          <w:lang w:val="es-ES"/>
        </w:rPr>
        <w:t>f)</w:t>
      </w:r>
      <w:r w:rsidRPr="00F125EF">
        <w:rPr>
          <w:lang w:val="es-ES"/>
        </w:rPr>
        <w:tab/>
        <w:t>A biztosítékcsatlakozások csak zárt olvadóterűek lehetnek, és porcelánból vagy azzal egyenértékű anyagból kell készülniük. Biztosítani kell a biztosítékok érintkezésveszély nélkül cserélhetőségét.</w:t>
      </w:r>
    </w:p>
    <w:p w:rsidR="001F02E6" w:rsidRPr="00F125EF" w:rsidRDefault="001F02E6" w:rsidP="001F02E6">
      <w:pPr>
        <w:pStyle w:val="ESch"/>
        <w:rPr>
          <w:rFonts w:eastAsia="Calibri"/>
          <w:lang w:val="es-ES"/>
        </w:rPr>
      </w:pPr>
    </w:p>
    <w:p w:rsidR="00AB2818" w:rsidRPr="00F125EF" w:rsidRDefault="00AB2818">
      <w:pPr>
        <w:rPr>
          <w:rFonts w:eastAsia="Calibri"/>
          <w:lang w:val="es-ES"/>
        </w:rPr>
      </w:pPr>
      <w:r w:rsidRPr="00F125EF">
        <w:rPr>
          <w:lang w:val="es-ES"/>
        </w:rPr>
        <w:br w:type="page"/>
      </w:r>
    </w:p>
    <w:p w:rsidR="00AB2818" w:rsidRPr="00F125EF" w:rsidRDefault="00AB2818" w:rsidP="001F02E6">
      <w:pPr>
        <w:pStyle w:val="ESch"/>
        <w:rPr>
          <w:rFonts w:eastAsia="Calibri"/>
          <w:lang w:val="es-ES"/>
        </w:rPr>
      </w:pPr>
    </w:p>
    <w:p w:rsidR="001F02E6" w:rsidRPr="00F125EF" w:rsidRDefault="001F02E6" w:rsidP="001F02E6">
      <w:pPr>
        <w:pStyle w:val="ESch"/>
        <w:rPr>
          <w:rFonts w:eastAsia="Calibri"/>
          <w:lang w:val="es-ES"/>
        </w:rPr>
      </w:pPr>
      <w:r w:rsidRPr="00F125EF">
        <w:rPr>
          <w:lang w:val="es-ES"/>
        </w:rPr>
        <w:t>3.</w:t>
      </w:r>
      <w:r w:rsidRPr="00F125EF">
        <w:rPr>
          <w:lang w:val="es-ES"/>
        </w:rPr>
        <w:tab/>
        <w:t>Mérő- és ellenőrző berendezések</w:t>
      </w:r>
    </w:p>
    <w:p w:rsidR="001F02E6" w:rsidRPr="00F125EF" w:rsidRDefault="001F02E6" w:rsidP="001F02E6">
      <w:pPr>
        <w:pStyle w:val="ESlet"/>
        <w:rPr>
          <w:rFonts w:eastAsia="Calibri"/>
          <w:lang w:val="es-ES"/>
        </w:rPr>
      </w:pPr>
      <w:r w:rsidRPr="00F125EF">
        <w:rPr>
          <w:lang w:val="es-ES"/>
        </w:rPr>
        <w:t>a)</w:t>
      </w:r>
      <w:r w:rsidRPr="00F125EF">
        <w:rPr>
          <w:lang w:val="es-ES"/>
        </w:rPr>
        <w:tab/>
        <w:t>A generátor-, akkumulátor- és elosztó áramköröket a rendszer biztonságos működtetése érdekében fel kell szerelni mérő- és ellenőrző berendezésekkel.</w:t>
      </w:r>
    </w:p>
    <w:p w:rsidR="001F02E6" w:rsidRPr="00F125EF" w:rsidRDefault="001F02E6" w:rsidP="001F02E6">
      <w:pPr>
        <w:pStyle w:val="ESlet"/>
        <w:rPr>
          <w:rFonts w:eastAsia="Calibri"/>
          <w:lang w:val="es-ES"/>
        </w:rPr>
      </w:pPr>
      <w:r w:rsidRPr="00F125EF">
        <w:rPr>
          <w:lang w:val="es-ES"/>
        </w:rPr>
        <w:t>b)</w:t>
      </w:r>
      <w:r w:rsidRPr="00F125EF">
        <w:rPr>
          <w:lang w:val="es-ES"/>
        </w:rPr>
        <w:tab/>
        <w:t>50 V-nál nagyobb feszültségű földeletlen hálózatokat el kell látni szigetelés</w:t>
      </w:r>
      <w:r w:rsidR="00F75A1F">
        <w:rPr>
          <w:lang w:val="es-ES"/>
        </w:rPr>
        <w:t>-</w:t>
      </w:r>
      <w:r w:rsidRPr="00F125EF">
        <w:rPr>
          <w:lang w:val="es-ES"/>
        </w:rPr>
        <w:t>ellenőrző eszközzel, amely optikai és akusztikai vészjelzést ad. Másodlagos rendszereknél, például vezérlőköröknél, el lehet tekinteni a szigetelés</w:t>
      </w:r>
      <w:r w:rsidR="00F75A1F">
        <w:rPr>
          <w:lang w:val="es-ES"/>
        </w:rPr>
        <w:t>-</w:t>
      </w:r>
      <w:r w:rsidRPr="00F125EF">
        <w:rPr>
          <w:lang w:val="es-ES"/>
        </w:rPr>
        <w:t>ellenőrző eszköz alkalmazásától.</w:t>
      </w:r>
    </w:p>
    <w:p w:rsidR="001F02E6" w:rsidRPr="00F125EF" w:rsidRDefault="001F02E6" w:rsidP="001F02E6">
      <w:pPr>
        <w:pStyle w:val="ESch"/>
        <w:rPr>
          <w:rFonts w:eastAsia="Calibri"/>
          <w:lang w:val="es-ES"/>
        </w:rPr>
      </w:pPr>
    </w:p>
    <w:p w:rsidR="001F02E6" w:rsidRPr="00F125EF" w:rsidRDefault="001F02E6" w:rsidP="001F02E6">
      <w:pPr>
        <w:pStyle w:val="ESch"/>
        <w:rPr>
          <w:rFonts w:eastAsia="Calibri"/>
          <w:lang w:val="es-ES"/>
        </w:rPr>
      </w:pPr>
      <w:r w:rsidRPr="00F125EF">
        <w:rPr>
          <w:lang w:val="es-ES"/>
        </w:rPr>
        <w:t>4.</w:t>
      </w:r>
      <w:r w:rsidRPr="00F125EF">
        <w:rPr>
          <w:lang w:val="es-ES"/>
        </w:rPr>
        <w:tab/>
        <w:t>Kapcsolótáblák elhelyezése</w:t>
      </w:r>
    </w:p>
    <w:p w:rsidR="001F02E6" w:rsidRPr="00F125EF" w:rsidRDefault="001F02E6" w:rsidP="001F02E6">
      <w:pPr>
        <w:pStyle w:val="ESlet"/>
        <w:rPr>
          <w:rFonts w:eastAsia="Calibri"/>
          <w:lang w:val="es-ES"/>
        </w:rPr>
      </w:pPr>
      <w:r w:rsidRPr="00F125EF">
        <w:rPr>
          <w:lang w:val="es-ES"/>
        </w:rPr>
        <w:t>a)</w:t>
      </w:r>
      <w:r w:rsidRPr="00F125EF">
        <w:rPr>
          <w:lang w:val="es-ES"/>
        </w:rPr>
        <w:tab/>
        <w:t>A kapcsolótáblákat megközelíthető és megfelelően szellőző helyiségekben kell elhelyezni, hogy védve legyenek a víztől és a mechanikai sérülésektől.</w:t>
      </w:r>
    </w:p>
    <w:p w:rsidR="001F02E6" w:rsidRPr="00F125EF" w:rsidRDefault="001F02E6" w:rsidP="001F02E6">
      <w:pPr>
        <w:pStyle w:val="ESletpar"/>
        <w:rPr>
          <w:rFonts w:eastAsia="Calibri"/>
          <w:lang w:val="es-ES"/>
        </w:rPr>
      </w:pPr>
      <w:r w:rsidRPr="00F125EF">
        <w:rPr>
          <w:lang w:val="es-ES"/>
        </w:rPr>
        <w:t>A csővezetékeket és a légcsatornákat úgy kell elhelyezni, hogy szivárgás esetén a kapcsolóberendezés és a vezérlőberendezés ne sérülhessen. Ha mindenképpen a kapcsolótáblák közelében kell elhelyezni őket, a csöveknek a közelben nem lehetnek eltávolítható csatlakozásai.</w:t>
      </w:r>
    </w:p>
    <w:p w:rsidR="001F02E6" w:rsidRPr="00F125EF" w:rsidRDefault="001F02E6" w:rsidP="001F02E6">
      <w:pPr>
        <w:pStyle w:val="ESlet"/>
        <w:rPr>
          <w:rFonts w:eastAsia="Calibri"/>
          <w:lang w:val="es-ES"/>
        </w:rPr>
      </w:pPr>
      <w:r w:rsidRPr="00F125EF">
        <w:rPr>
          <w:lang w:val="es-ES"/>
        </w:rPr>
        <w:t>b)</w:t>
      </w:r>
      <w:r w:rsidRPr="00F125EF">
        <w:rPr>
          <w:lang w:val="es-ES"/>
        </w:rPr>
        <w:tab/>
        <w:t>Az olyan szekrényeket és falmélyedéseket, ahol védelem nélküli kapcsolóberendezések vannak, égésgátló anyagból kell készíteni, vagy fém-, illetve egyéb nem gyúlékony burkolattal kell védeni.</w:t>
      </w:r>
    </w:p>
    <w:p w:rsidR="001F02E6" w:rsidRPr="00F125EF" w:rsidRDefault="001F02E6" w:rsidP="001F02E6">
      <w:pPr>
        <w:pStyle w:val="ESlet"/>
        <w:rPr>
          <w:rFonts w:eastAsia="Calibri"/>
          <w:lang w:val="es-ES"/>
        </w:rPr>
      </w:pPr>
      <w:r w:rsidRPr="00F125EF">
        <w:rPr>
          <w:lang w:val="es-ES"/>
        </w:rPr>
        <w:t>c)</w:t>
      </w:r>
      <w:r w:rsidRPr="00F125EF">
        <w:rPr>
          <w:lang w:val="es-ES"/>
        </w:rPr>
        <w:tab/>
        <w:t>Ha a feszültség 50 V-nál nagyobb, a kezelő ülőhelyénél szigetelőrácsot vagy -szőnyeget kell helyezni a fő kapcsolótábla elé.</w:t>
      </w:r>
    </w:p>
    <w:p w:rsidR="008A12E7" w:rsidRPr="00F125EF" w:rsidRDefault="008A12E7" w:rsidP="00AA5633">
      <w:pPr>
        <w:pStyle w:val="ESch"/>
        <w:rPr>
          <w:lang w:val="es-ES"/>
        </w:rPr>
      </w:pPr>
    </w:p>
    <w:p w:rsidR="00651EFD" w:rsidRPr="00F125EF" w:rsidRDefault="00651EFD" w:rsidP="00AA5633">
      <w:pPr>
        <w:pStyle w:val="ESch"/>
        <w:rPr>
          <w:lang w:val="es-ES"/>
        </w:rPr>
      </w:pPr>
    </w:p>
    <w:p w:rsidR="008A12E7" w:rsidRPr="00F125EF" w:rsidRDefault="008A12E7" w:rsidP="00F87682">
      <w:pPr>
        <w:pStyle w:val="ES-Titre3"/>
        <w:spacing w:line="240" w:lineRule="atLeast"/>
        <w:rPr>
          <w:lang w:val="es-ES"/>
        </w:rPr>
      </w:pPr>
      <w:bookmarkStart w:id="185" w:name="_Toc491854090"/>
      <w:bookmarkStart w:id="186" w:name="_Toc535853869"/>
      <w:r w:rsidRPr="00F125EF">
        <w:rPr>
          <w:lang w:val="es-ES"/>
        </w:rPr>
        <w:t>10.13. cikk</w:t>
      </w:r>
      <w:r w:rsidRPr="00F125EF">
        <w:rPr>
          <w:lang w:val="es-ES"/>
        </w:rPr>
        <w:br/>
      </w:r>
      <w:r w:rsidRPr="00F125EF">
        <w:rPr>
          <w:i/>
          <w:lang w:val="es-ES"/>
        </w:rPr>
        <w:t>Vészhelyzeti áramkör-megszakító berendezések</w:t>
      </w:r>
      <w:bookmarkEnd w:id="185"/>
      <w:bookmarkEnd w:id="186"/>
    </w:p>
    <w:p w:rsidR="006B754E" w:rsidRPr="00F125EF" w:rsidRDefault="006B754E" w:rsidP="006B754E">
      <w:pPr>
        <w:rPr>
          <w:rFonts w:cs="Arial"/>
          <w:noProof/>
          <w:szCs w:val="20"/>
          <w:lang w:val="es-ES"/>
        </w:rPr>
      </w:pPr>
    </w:p>
    <w:p w:rsidR="0091718D" w:rsidRPr="00F125EF" w:rsidRDefault="0091718D" w:rsidP="0091718D">
      <w:pPr>
        <w:pStyle w:val="ESgauche"/>
        <w:rPr>
          <w:rFonts w:eastAsia="Calibri"/>
          <w:noProof w:val="0"/>
          <w:lang w:val="es-ES"/>
        </w:rPr>
      </w:pPr>
      <w:r w:rsidRPr="00F125EF">
        <w:rPr>
          <w:lang w:val="es-ES"/>
        </w:rPr>
        <w:t>Az olajégetők, olaj- és tüzelőanyag-szivattyúk, olaj- és tüzelőanyaganyag-leválasztók, valamint géptéri ventilátorok vészhelyzeti áramkör-megszakítóit központi helyen, a berendezésnek helyet adó helyiségeken kívül kell elhelyezni.</w:t>
      </w:r>
    </w:p>
    <w:p w:rsidR="008A12E7" w:rsidRPr="00F125EF" w:rsidRDefault="008A12E7" w:rsidP="008A12E7">
      <w:pPr>
        <w:rPr>
          <w:rFonts w:cs="Arial"/>
          <w:szCs w:val="20"/>
          <w:lang w:val="es-ES"/>
        </w:rPr>
      </w:pPr>
    </w:p>
    <w:p w:rsidR="00BD4F1D" w:rsidRPr="00F125EF" w:rsidRDefault="00BD4F1D" w:rsidP="008A12E7">
      <w:pPr>
        <w:rPr>
          <w:rFonts w:cs="Arial"/>
          <w:szCs w:val="20"/>
          <w:lang w:val="es-ES"/>
        </w:rPr>
      </w:pPr>
    </w:p>
    <w:p w:rsidR="008A12E7" w:rsidRPr="00F125EF" w:rsidRDefault="008A12E7" w:rsidP="00F87682">
      <w:pPr>
        <w:pStyle w:val="ES-Titre3"/>
        <w:spacing w:line="240" w:lineRule="atLeast"/>
        <w:rPr>
          <w:lang w:val="es-ES"/>
        </w:rPr>
      </w:pPr>
      <w:bookmarkStart w:id="187" w:name="_Toc491854091"/>
      <w:bookmarkStart w:id="188" w:name="_Toc535853870"/>
      <w:r w:rsidRPr="00F125EF">
        <w:rPr>
          <w:lang w:val="es-ES"/>
        </w:rPr>
        <w:t>10.14. cikk</w:t>
      </w:r>
      <w:r w:rsidRPr="00F125EF">
        <w:rPr>
          <w:lang w:val="es-ES"/>
        </w:rPr>
        <w:br/>
      </w:r>
      <w:r w:rsidRPr="00F125EF">
        <w:rPr>
          <w:i/>
          <w:noProof/>
          <w:lang w:val="es-ES"/>
        </w:rPr>
        <w:t>Berendezések szerelvényei</w:t>
      </w:r>
      <w:bookmarkEnd w:id="187"/>
      <w:bookmarkEnd w:id="188"/>
    </w:p>
    <w:p w:rsidR="00651EFD" w:rsidRPr="00F125EF" w:rsidRDefault="00651EFD" w:rsidP="008A12E7">
      <w:pPr>
        <w:rPr>
          <w:rFonts w:cs="Arial"/>
          <w:noProof/>
          <w:szCs w:val="20"/>
          <w:lang w:val="es-ES"/>
        </w:rPr>
      </w:pPr>
    </w:p>
    <w:p w:rsidR="008A12E7" w:rsidRPr="00F125EF" w:rsidRDefault="008A12E7" w:rsidP="00BD4F1D">
      <w:pPr>
        <w:pStyle w:val="ESch"/>
        <w:rPr>
          <w:lang w:val="es-ES"/>
        </w:rPr>
      </w:pPr>
      <w:r w:rsidRPr="00F125EF">
        <w:rPr>
          <w:lang w:val="es-ES"/>
        </w:rPr>
        <w:t>1.</w:t>
      </w:r>
      <w:r w:rsidRPr="00F125EF">
        <w:rPr>
          <w:lang w:val="es-ES"/>
        </w:rPr>
        <w:tab/>
        <w:t>A kábelátvezető hüvelyeket a csatlakozó kábeleknek megfelelően kell méretezni és az alkalmazott kábeltípusokhoz kell igazítani.</w:t>
      </w:r>
    </w:p>
    <w:p w:rsidR="00651EFD" w:rsidRPr="00F125EF" w:rsidRDefault="00651EFD" w:rsidP="00BD4F1D">
      <w:pPr>
        <w:pStyle w:val="ESch"/>
        <w:rPr>
          <w:noProof/>
          <w:lang w:val="es-ES"/>
        </w:rPr>
      </w:pPr>
    </w:p>
    <w:p w:rsidR="008A12E7" w:rsidRPr="00F125EF" w:rsidRDefault="008A12E7" w:rsidP="00BD4F1D">
      <w:pPr>
        <w:pStyle w:val="ESch"/>
        <w:rPr>
          <w:lang w:val="es-ES"/>
        </w:rPr>
      </w:pPr>
      <w:r w:rsidRPr="00F125EF">
        <w:rPr>
          <w:lang w:val="es-ES"/>
        </w:rPr>
        <w:t>2.</w:t>
      </w:r>
      <w:r w:rsidRPr="00F125EF">
        <w:rPr>
          <w:lang w:val="es-ES"/>
        </w:rPr>
        <w:tab/>
        <w:t>Biztosítani kell, hogy a különböző feszültségű vagy frekvenciájú elosztó áramkörök dugaszolóaljzatait ne lehessen összetéveszteni.</w:t>
      </w:r>
    </w:p>
    <w:p w:rsidR="00651EFD" w:rsidRPr="00F125EF" w:rsidRDefault="00651EFD" w:rsidP="00BD4F1D">
      <w:pPr>
        <w:pStyle w:val="ESch"/>
        <w:rPr>
          <w:noProof/>
          <w:lang w:val="es-ES"/>
        </w:rPr>
      </w:pPr>
    </w:p>
    <w:p w:rsidR="008A12E7" w:rsidRPr="00F125EF" w:rsidRDefault="008A12E7" w:rsidP="00BD4F1D">
      <w:pPr>
        <w:pStyle w:val="ESch"/>
        <w:rPr>
          <w:lang w:val="es-ES"/>
        </w:rPr>
      </w:pPr>
      <w:r w:rsidRPr="00F125EF">
        <w:rPr>
          <w:lang w:val="es-ES"/>
        </w:rPr>
        <w:t>3.</w:t>
      </w:r>
      <w:r w:rsidRPr="00F125EF">
        <w:rPr>
          <w:lang w:val="es-ES"/>
        </w:rPr>
        <w:tab/>
        <w:t>A kapcsolóknak egy áramkörön belül minden földeletlen kábelt egyidejűleg kell kapcsolniuk. Földeletlen körön belül azonban megengedettek egypólusú kapcsolók lakótér-megvilágítási áramkörökben, kivéve a mosóhelyiségeket, fürdőszobákat, mosdókat vagy egyéb, nedves üzemelésű készülékekkel felszerelt helyiségeket.</w:t>
      </w:r>
    </w:p>
    <w:p w:rsidR="00651EFD" w:rsidRPr="00F125EF" w:rsidRDefault="00651EFD" w:rsidP="00BD4F1D">
      <w:pPr>
        <w:pStyle w:val="ESch"/>
        <w:rPr>
          <w:noProof/>
          <w:lang w:val="es-ES"/>
        </w:rPr>
      </w:pPr>
    </w:p>
    <w:p w:rsidR="008A12E7" w:rsidRPr="00F125EF" w:rsidRDefault="008A12E7" w:rsidP="00BD4F1D">
      <w:pPr>
        <w:pStyle w:val="ESch"/>
        <w:rPr>
          <w:lang w:val="es-ES"/>
        </w:rPr>
      </w:pPr>
      <w:r w:rsidRPr="00F125EF">
        <w:rPr>
          <w:lang w:val="es-ES"/>
        </w:rPr>
        <w:t>4.</w:t>
      </w:r>
      <w:r w:rsidRPr="00F125EF">
        <w:rPr>
          <w:lang w:val="es-ES"/>
        </w:rPr>
        <w:tab/>
        <w:t>16 A-t meghaladó áramerősség esetén lehetővé kell tenni a dugaszolóaljzatok  kapcsolóval történő zárását annak érdekében, hogy a dugaszolót csak az áram lekapcsolását követően lehessen bedugni vagy kihúzni.</w:t>
      </w:r>
    </w:p>
    <w:p w:rsidR="00651EFD" w:rsidRPr="00F125EF" w:rsidRDefault="00651EFD" w:rsidP="008A12E7">
      <w:pPr>
        <w:rPr>
          <w:rFonts w:cs="Arial"/>
          <w:szCs w:val="20"/>
          <w:lang w:val="es-ES"/>
        </w:rPr>
      </w:pPr>
    </w:p>
    <w:p w:rsidR="00651EFD" w:rsidRPr="00F125EF" w:rsidRDefault="00651EFD" w:rsidP="008A12E7">
      <w:pPr>
        <w:rPr>
          <w:rFonts w:cs="Arial"/>
          <w:szCs w:val="20"/>
          <w:lang w:val="es-ES"/>
        </w:rPr>
      </w:pPr>
    </w:p>
    <w:p w:rsidR="00AB2818" w:rsidRPr="00F125EF" w:rsidRDefault="00AB2818">
      <w:pPr>
        <w:rPr>
          <w:rFonts w:cs="Arial"/>
          <w:szCs w:val="20"/>
          <w:lang w:val="es-ES"/>
        </w:rPr>
      </w:pPr>
      <w:r w:rsidRPr="00F125EF">
        <w:rPr>
          <w:lang w:val="es-ES"/>
        </w:rPr>
        <w:br w:type="page"/>
      </w:r>
    </w:p>
    <w:p w:rsidR="00AB2818" w:rsidRPr="00F125EF" w:rsidRDefault="00AB2818" w:rsidP="008A12E7">
      <w:pPr>
        <w:rPr>
          <w:rFonts w:cs="Arial"/>
          <w:szCs w:val="20"/>
          <w:lang w:val="es-ES"/>
        </w:rPr>
      </w:pPr>
    </w:p>
    <w:p w:rsidR="008A12E7" w:rsidRPr="00F125EF" w:rsidRDefault="008A12E7" w:rsidP="00651EFD">
      <w:pPr>
        <w:pStyle w:val="ES-Titre3"/>
        <w:rPr>
          <w:lang w:val="es-ES"/>
        </w:rPr>
      </w:pPr>
      <w:bookmarkStart w:id="189" w:name="_Toc491854092"/>
      <w:bookmarkStart w:id="190" w:name="_Toc535853871"/>
      <w:r w:rsidRPr="00F125EF">
        <w:rPr>
          <w:lang w:val="es-ES"/>
        </w:rPr>
        <w:t>10.15. cikk</w:t>
      </w:r>
      <w:r w:rsidRPr="00F125EF">
        <w:rPr>
          <w:lang w:val="es-ES"/>
        </w:rPr>
        <w:br/>
      </w:r>
      <w:r w:rsidRPr="00F125EF">
        <w:rPr>
          <w:i/>
          <w:lang w:val="es-ES"/>
        </w:rPr>
        <w:t>Kábelek, szigetelt kábelek és kábelrendszerek</w:t>
      </w:r>
      <w:bookmarkEnd w:id="189"/>
      <w:bookmarkEnd w:id="190"/>
    </w:p>
    <w:p w:rsidR="00651EFD" w:rsidRPr="00F125EF" w:rsidRDefault="00651EFD" w:rsidP="008A12E7">
      <w:pPr>
        <w:rPr>
          <w:rFonts w:cs="Arial"/>
          <w:noProof/>
          <w:szCs w:val="20"/>
          <w:lang w:val="es-ES"/>
        </w:rPr>
      </w:pPr>
    </w:p>
    <w:p w:rsidR="00A07DE6" w:rsidRPr="00F125EF" w:rsidRDefault="00A07DE6" w:rsidP="00A07DE6">
      <w:pPr>
        <w:pStyle w:val="ESch"/>
        <w:rPr>
          <w:rFonts w:eastAsia="Calibri"/>
          <w:lang w:val="es-ES"/>
        </w:rPr>
      </w:pPr>
      <w:r w:rsidRPr="00F125EF">
        <w:rPr>
          <w:lang w:val="es-ES"/>
        </w:rPr>
        <w:t>1.</w:t>
      </w:r>
      <w:r w:rsidRPr="00F125EF">
        <w:rPr>
          <w:lang w:val="es-ES"/>
        </w:rPr>
        <w:tab/>
        <w:t>A kábeleknek égésgátlóknak, önoltóknak, valamint víz- és olajállóknak kell lenniük.</w:t>
      </w:r>
    </w:p>
    <w:p w:rsidR="00A07DE6" w:rsidRPr="00F125EF" w:rsidRDefault="00A07DE6" w:rsidP="00A07DE6">
      <w:pPr>
        <w:pStyle w:val="ESch"/>
        <w:rPr>
          <w:rFonts w:eastAsia="Calibri"/>
          <w:lang w:val="es-ES"/>
        </w:rPr>
      </w:pPr>
    </w:p>
    <w:p w:rsidR="00A07DE6" w:rsidRPr="00F125EF" w:rsidRDefault="00A07DE6" w:rsidP="00A07DE6">
      <w:pPr>
        <w:pStyle w:val="ESchpar"/>
        <w:rPr>
          <w:rFonts w:eastAsia="Calibri"/>
          <w:lang w:val="es-ES"/>
        </w:rPr>
      </w:pPr>
      <w:r w:rsidRPr="00F125EF">
        <w:rPr>
          <w:lang w:val="es-ES"/>
        </w:rPr>
        <w:t>A lakóterekben az ellenőrző szerv engedélyezheti más típusú kábelek is alkalmazását is, feltéve, hogy hatékonyan védettek, égésgátlók és önoltók.</w:t>
      </w:r>
    </w:p>
    <w:p w:rsidR="00A07DE6" w:rsidRPr="00F125EF" w:rsidRDefault="00A07DE6" w:rsidP="00A07DE6">
      <w:pPr>
        <w:pStyle w:val="ESchpar"/>
        <w:rPr>
          <w:rFonts w:eastAsia="Calibri"/>
          <w:lang w:val="es-ES"/>
        </w:rPr>
      </w:pPr>
    </w:p>
    <w:p w:rsidR="00A07DE6" w:rsidRPr="00F125EF" w:rsidRDefault="00A07DE6" w:rsidP="00A07DE6">
      <w:pPr>
        <w:pStyle w:val="ESchpar"/>
        <w:rPr>
          <w:rFonts w:eastAsia="Calibri"/>
          <w:lang w:val="es-ES"/>
        </w:rPr>
      </w:pPr>
      <w:r w:rsidRPr="00F125EF">
        <w:rPr>
          <w:lang w:val="es-ES"/>
        </w:rPr>
        <w:t xml:space="preserve">Az elektromos kábelek égésgátlóságának meghatározása tekintetében: </w:t>
      </w:r>
    </w:p>
    <w:p w:rsidR="00A07DE6" w:rsidRPr="00F125EF" w:rsidRDefault="00A07DE6" w:rsidP="00A07DE6">
      <w:pPr>
        <w:pStyle w:val="ESlet"/>
        <w:rPr>
          <w:rFonts w:eastAsia="Calibri"/>
          <w:lang w:val="es-ES"/>
        </w:rPr>
      </w:pPr>
      <w:r w:rsidRPr="00F125EF">
        <w:rPr>
          <w:lang w:val="es-ES"/>
        </w:rPr>
        <w:t>a)</w:t>
      </w:r>
      <w:r w:rsidRPr="00F125EF">
        <w:rPr>
          <w:lang w:val="es-ES"/>
        </w:rPr>
        <w:tab/>
        <w:t>az EN 60332-1 és az EN 60332</w:t>
      </w:r>
      <w:r w:rsidRPr="00F125EF">
        <w:rPr>
          <w:lang w:val="es-ES"/>
        </w:rPr>
        <w:softHyphen/>
        <w:t>3 európai szabványsorozat 2017. július 6-án hatályos változatának követelményei, vagy</w:t>
      </w:r>
    </w:p>
    <w:p w:rsidR="001427DF" w:rsidRPr="00F125EF" w:rsidRDefault="00A07DE6" w:rsidP="00A07DE6">
      <w:pPr>
        <w:pStyle w:val="ESlet"/>
        <w:rPr>
          <w:lang w:val="es-ES"/>
        </w:rPr>
      </w:pPr>
      <w:r w:rsidRPr="00F125EF">
        <w:rPr>
          <w:lang w:val="es-ES"/>
        </w:rPr>
        <w:t>b)</w:t>
      </w:r>
      <w:r w:rsidRPr="00F125EF">
        <w:rPr>
          <w:lang w:val="es-ES"/>
        </w:rPr>
        <w:tab/>
        <w:t>az egyik tagállam ezekkel egyenértékű szabályai</w:t>
      </w:r>
    </w:p>
    <w:p w:rsidR="00A07DE6" w:rsidRPr="00F125EF" w:rsidRDefault="001427DF" w:rsidP="00A07DE6">
      <w:pPr>
        <w:pStyle w:val="ESlet"/>
        <w:rPr>
          <w:rFonts w:eastAsia="Calibri"/>
          <w:lang w:val="es-ES"/>
        </w:rPr>
      </w:pPr>
      <w:r w:rsidRPr="00F125EF">
        <w:rPr>
          <w:lang w:val="es-ES"/>
        </w:rPr>
        <w:t>tekintendők irányadónak.</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2.</w:t>
      </w:r>
      <w:r w:rsidRPr="00F125EF">
        <w:rPr>
          <w:lang w:val="es-ES"/>
        </w:rPr>
        <w:tab/>
        <w:t>Az erőátviteli és világítási áramkörökhöz használt kábelek áramvezető huzalainak vezetékenként legalább 1,5 mm</w:t>
      </w:r>
      <w:r w:rsidRPr="00F125EF">
        <w:rPr>
          <w:vertAlign w:val="superscript"/>
          <w:lang w:val="es-ES"/>
        </w:rPr>
        <w:t>2</w:t>
      </w:r>
      <w:r w:rsidRPr="00F125EF">
        <w:rPr>
          <w:lang w:val="es-ES"/>
        </w:rPr>
        <w:t xml:space="preserve"> keresztmetszetűeknek kell lenniük.</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3.</w:t>
      </w:r>
      <w:r w:rsidRPr="00F125EF">
        <w:rPr>
          <w:lang w:val="es-ES"/>
        </w:rPr>
        <w:tab/>
        <w:t>A kábelek fémarmatúrái, -burkolásai és -köpenyei normál üzemi feltételek mellett nem használhatók vezetőként vagy földelésként.</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4.</w:t>
      </w:r>
      <w:r w:rsidRPr="00F125EF">
        <w:rPr>
          <w:lang w:val="es-ES"/>
        </w:rPr>
        <w:tab/>
        <w:t>Az erőátviteli és világítási berendezésekben használt kábelek fémburkolásait és -köpenyeit legalább egyik végükön földelni kell.</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5.</w:t>
      </w:r>
      <w:r w:rsidRPr="00F125EF">
        <w:rPr>
          <w:lang w:val="es-ES"/>
        </w:rPr>
        <w:tab/>
        <w:t>Az áramvezető huzalok keresztmetszetének összhangban kell lennie az áramvezető huzalok végső megengedett maximális hőmérsékletével (a legnagyobb megengedett áramerősséggel) és a megengedett feszültségcsökkenéssel. A főkapcsolótábla és a berendezés legkedvezőtlenebb pontja közötti ilyen feszültségcsökkenés nem lehet több világítótestek esetében a névleges feszültség 5 %-ánál, erőátviteli és fűtőberendezések esetében pedig a névleges feszültség 7 %-ánál.</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6.</w:t>
      </w:r>
      <w:r w:rsidRPr="00F125EF">
        <w:rPr>
          <w:lang w:val="es-ES"/>
        </w:rPr>
        <w:tab/>
        <w:t>A kábeleket védeni kell a mechanikai sérülés ellen.</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7.</w:t>
      </w:r>
      <w:r w:rsidRPr="00F125EF">
        <w:rPr>
          <w:lang w:val="es-ES"/>
        </w:rPr>
        <w:tab/>
        <w:t xml:space="preserve">A kábelek csatlakozásait védeni kell a mechanikai és a nyújtó terhelés ellen. </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8.</w:t>
      </w:r>
      <w:r w:rsidRPr="00F125EF">
        <w:rPr>
          <w:lang w:val="es-ES"/>
        </w:rPr>
        <w:tab/>
        <w:t>Amennyiben a kábelek válaszfalakon vagy fedélzeteken haladnak át, a kábelátvezetések nem befolyásolhatják e válaszfalak és fedélzetek mechanikai szilárdságát, vízmentességét és előírt tűzvédelmi jellemzőit (pl. éghetetlenség, égésgátlóság, tűzállóság).</w:t>
      </w:r>
    </w:p>
    <w:p w:rsidR="00A07DE6" w:rsidRPr="00F125EF" w:rsidRDefault="00A07DE6" w:rsidP="00A07DE6">
      <w:pPr>
        <w:pStyle w:val="ESch"/>
        <w:rPr>
          <w:rFonts w:eastAsia="Calibri"/>
          <w:highlight w:val="yellow"/>
          <w:lang w:val="es-ES"/>
        </w:rPr>
      </w:pPr>
    </w:p>
    <w:p w:rsidR="00A07DE6" w:rsidRPr="00F125EF" w:rsidRDefault="00A07DE6" w:rsidP="00A07DE6">
      <w:pPr>
        <w:pStyle w:val="ESch"/>
        <w:rPr>
          <w:rFonts w:eastAsia="Calibri"/>
          <w:lang w:val="es-ES"/>
        </w:rPr>
      </w:pPr>
      <w:r w:rsidRPr="00F125EF">
        <w:rPr>
          <w:lang w:val="es-ES"/>
        </w:rPr>
        <w:t>9.</w:t>
      </w:r>
      <w:r w:rsidRPr="00F125EF">
        <w:rPr>
          <w:lang w:val="es-ES"/>
        </w:rPr>
        <w:tab/>
        <w:t>Valamennyi vezeték érintkezőit és csatlakozóit a kábel eredeti elektromos, mechanikai, tűzvédelmi jellemzőinek (pl. éghetetlenség, égésgátlóság, tűzállóság) megőrzésével kell kialakítani. A követelmények akkor teljesülnek, ha az érintkezők és csatlakozók megfelelnek:</w:t>
      </w:r>
    </w:p>
    <w:p w:rsidR="00A07DE6" w:rsidRPr="00F125EF" w:rsidRDefault="00A07DE6" w:rsidP="00A07DE6">
      <w:pPr>
        <w:pStyle w:val="ESlet"/>
        <w:rPr>
          <w:rFonts w:eastAsia="Calibri"/>
          <w:lang w:val="es-ES"/>
        </w:rPr>
      </w:pPr>
      <w:r w:rsidRPr="00F125EF">
        <w:rPr>
          <w:lang w:val="es-ES"/>
        </w:rPr>
        <w:t>a)</w:t>
      </w:r>
      <w:r w:rsidRPr="00F125EF">
        <w:rPr>
          <w:lang w:val="es-ES"/>
        </w:rPr>
        <w:tab/>
        <w:t>az IEC 60092</w:t>
      </w:r>
      <w:r w:rsidRPr="00F125EF">
        <w:rPr>
          <w:lang w:val="es-ES"/>
        </w:rPr>
        <w:softHyphen/>
        <w:t xml:space="preserve">352:2005 nemzetközi szabvány 3.28. pontjának, összefüggésben a szabvány D. mellékletével, vagy </w:t>
      </w:r>
    </w:p>
    <w:p w:rsidR="00A07DE6" w:rsidRPr="00F125EF" w:rsidRDefault="00A07DE6" w:rsidP="00A07DE6">
      <w:pPr>
        <w:pStyle w:val="ESlet"/>
        <w:rPr>
          <w:rFonts w:eastAsia="Calibri"/>
          <w:lang w:val="es-ES"/>
        </w:rPr>
      </w:pPr>
      <w:r w:rsidRPr="00F125EF">
        <w:rPr>
          <w:lang w:val="es-ES"/>
        </w:rPr>
        <w:t>b)</w:t>
      </w:r>
      <w:r w:rsidRPr="00F125EF">
        <w:rPr>
          <w:lang w:val="es-ES"/>
        </w:rPr>
        <w:tab/>
        <w:t>az egyik tagállam által elismert, ezekkel egyenértékű szabályoknak vagy szabványnak.</w:t>
      </w:r>
    </w:p>
    <w:p w:rsidR="00A07DE6" w:rsidRPr="00F125EF" w:rsidRDefault="00A07DE6" w:rsidP="00A07DE6">
      <w:pPr>
        <w:pStyle w:val="ESlet"/>
        <w:rPr>
          <w:rFonts w:eastAsia="Calibri"/>
          <w:lang w:val="es-ES"/>
        </w:rPr>
      </w:pPr>
      <w:r w:rsidRPr="00F125EF">
        <w:rPr>
          <w:lang w:val="es-ES"/>
        </w:rPr>
        <w:t>A kábelcsatlakozások számát minimalizálni kell.</w:t>
      </w:r>
    </w:p>
    <w:p w:rsidR="00A07DE6" w:rsidRPr="00F125EF" w:rsidRDefault="00A07DE6" w:rsidP="00A07DE6">
      <w:pPr>
        <w:pStyle w:val="ESch"/>
        <w:rPr>
          <w:rFonts w:eastAsia="Calibri"/>
          <w:lang w:val="es-ES"/>
        </w:rPr>
      </w:pPr>
    </w:p>
    <w:p w:rsidR="00A07DE6" w:rsidRPr="00F125EF" w:rsidRDefault="00A07DE6" w:rsidP="00A07DE6">
      <w:pPr>
        <w:pStyle w:val="ESch"/>
        <w:ind w:firstLine="0"/>
        <w:rPr>
          <w:rFonts w:eastAsia="Calibri"/>
          <w:lang w:val="es-ES"/>
        </w:rPr>
      </w:pPr>
      <w:r w:rsidRPr="00F125EF">
        <w:rPr>
          <w:lang w:val="es-ES"/>
        </w:rPr>
        <w:t>Javított vagy kicserélt kábelek esetében az első mondat szerinti követelmények akkor teljesülnek, ha az érintkezők és csatlakozók megfelelnek az IEC 60092</w:t>
      </w:r>
      <w:r w:rsidRPr="00F125EF">
        <w:rPr>
          <w:lang w:val="es-ES"/>
        </w:rPr>
        <w:softHyphen/>
        <w:t>352:2005 nemzetközi szabvány 3.28. pontjának, összefüggésben a szabvány D. mellékletével, vagy az egyik tagállam által ezzel egyenértékűnek elismert szabályoknak.</w:t>
      </w:r>
    </w:p>
    <w:p w:rsidR="00A07DE6" w:rsidRPr="00F125EF" w:rsidRDefault="00A07DE6" w:rsidP="00A07DE6">
      <w:pPr>
        <w:rPr>
          <w:lang w:val="es-ES"/>
        </w:rPr>
      </w:pPr>
    </w:p>
    <w:p w:rsidR="00AB2818" w:rsidRPr="00F125EF" w:rsidRDefault="00AB2818">
      <w:pPr>
        <w:rPr>
          <w:lang w:val="es-ES"/>
        </w:rPr>
      </w:pPr>
      <w:r w:rsidRPr="00F125EF">
        <w:rPr>
          <w:lang w:val="es-ES"/>
        </w:rPr>
        <w:br w:type="page"/>
      </w:r>
    </w:p>
    <w:p w:rsidR="00AB2818" w:rsidRPr="00F125EF" w:rsidRDefault="00AB2818" w:rsidP="00A07DE6">
      <w:pPr>
        <w:rPr>
          <w:lang w:val="es-ES"/>
        </w:rPr>
      </w:pPr>
    </w:p>
    <w:p w:rsidR="00A07DE6" w:rsidRPr="00F125EF" w:rsidRDefault="00A07DE6" w:rsidP="00A07DE6">
      <w:pPr>
        <w:pStyle w:val="ESch"/>
        <w:rPr>
          <w:rFonts w:eastAsia="Calibri"/>
          <w:lang w:val="es-ES"/>
        </w:rPr>
      </w:pPr>
      <w:r w:rsidRPr="00F125EF">
        <w:rPr>
          <w:lang w:val="es-ES"/>
        </w:rPr>
        <w:t>10.</w:t>
      </w:r>
      <w:r w:rsidRPr="00F125EF">
        <w:rPr>
          <w:lang w:val="es-ES"/>
        </w:rPr>
        <w:tab/>
        <w:t>Az állítható magasságú kormányálláshoz csatlakozó kábeleknek –20 °C hőmérsékletig kellően rugalmasaknak kell lenniük és kellően rugalmas szigeteléssel kell rendelkezniük , továbbá ellen kell állniuk a gőznek és párának, az ibolyántúli sugaraknak és az ózonnak.</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11.</w:t>
      </w:r>
      <w:r w:rsidRPr="00F125EF">
        <w:rPr>
          <w:lang w:val="es-ES"/>
        </w:rPr>
        <w:tab/>
        <w:t>A kábelkötegek átvezetései nem befolyásolhatják hátrányosan a térelválasztó elemek tűzvédelmi tulajdonságait. Ez a követelmény akkor teljesül, ha a kábelek megfelelnek az EN 60332-3 európai szabványsorozat 2017. július 6-án hatályos változatában vagy egy tagállam által egyenértékűnek elismert szabályokban foglalt rendelkezéseknek. Ha nem felelnek meg, akkor a hosszú (függőlegesen több mint 6 m, vízszintesen több mint 14 m hosszú) kábelkötegek átvezetéseiben tűzgátló berendezést kell elhelyezni, amennyiben a kábelcsatornák nem fedik le teljesen a kábeleket.</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12.</w:t>
      </w:r>
      <w:r w:rsidRPr="00F125EF">
        <w:rPr>
          <w:lang w:val="es-ES"/>
        </w:rPr>
        <w:tab/>
        <w:t>A vészhelyzeti elektromos áramforrástól az áramfogyasztó berendezéshez vezető kábeleket a lehető legmesszebb, a biztonsági térben kell elvezetni.</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13.</w:t>
      </w:r>
      <w:r w:rsidRPr="00F125EF">
        <w:rPr>
          <w:lang w:val="es-ES"/>
        </w:rPr>
        <w:tab/>
        <w:t xml:space="preserve">Kerülni kell a kábelek magas környezeti hőmérsékletű területeken történő áthaladását. Ha ez nem lehetséges, akkor </w:t>
      </w:r>
    </w:p>
    <w:p w:rsidR="00A07DE6" w:rsidRPr="00F125EF" w:rsidRDefault="00A07DE6" w:rsidP="00A07DE6">
      <w:pPr>
        <w:pStyle w:val="ESlet"/>
        <w:rPr>
          <w:rFonts w:eastAsia="Calibri"/>
          <w:lang w:val="es-ES"/>
        </w:rPr>
      </w:pPr>
      <w:r w:rsidRPr="00F125EF">
        <w:rPr>
          <w:lang w:val="es-ES"/>
        </w:rPr>
        <w:t>a)</w:t>
      </w:r>
      <w:r w:rsidRPr="00F125EF">
        <w:rPr>
          <w:lang w:val="es-ES"/>
        </w:rPr>
        <w:tab/>
        <w:t xml:space="preserve">a legnagyobb megengedett áramerősség meghatározásánál figyelembe kell venni a környezeti hőmérsékletet, vagy </w:t>
      </w:r>
    </w:p>
    <w:p w:rsidR="00A07DE6" w:rsidRPr="00F125EF" w:rsidRDefault="00A07DE6" w:rsidP="00A07DE6">
      <w:pPr>
        <w:pStyle w:val="ESlet"/>
        <w:rPr>
          <w:rFonts w:eastAsia="Calibri"/>
          <w:lang w:val="es-ES"/>
        </w:rPr>
      </w:pPr>
      <w:r w:rsidRPr="00F125EF">
        <w:rPr>
          <w:lang w:val="es-ES"/>
        </w:rPr>
        <w:t>b)</w:t>
      </w:r>
      <w:r w:rsidRPr="00F125EF">
        <w:rPr>
          <w:lang w:val="es-ES"/>
        </w:rPr>
        <w:tab/>
        <w:t>a kábeleket el kell látni hő- és tűzvédelemmel.</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14.</w:t>
      </w:r>
      <w:r w:rsidRPr="00F125EF">
        <w:rPr>
          <w:lang w:val="es-ES"/>
        </w:rPr>
        <w:tab/>
        <w:t>A fő és a vészhelyzeti tápkábelek nem haladhatnak át ugyanazon a helyiségen. Az ellenőrző szerv mentességet adhat e kötelezettség alól, ha:</w:t>
      </w:r>
    </w:p>
    <w:p w:rsidR="00A07DE6" w:rsidRPr="00F125EF" w:rsidRDefault="00A07DE6" w:rsidP="00A07DE6">
      <w:pPr>
        <w:pStyle w:val="ESlet"/>
        <w:rPr>
          <w:rFonts w:eastAsia="Calibri"/>
          <w:lang w:val="es-ES"/>
        </w:rPr>
      </w:pPr>
      <w:r w:rsidRPr="00F125EF">
        <w:rPr>
          <w:lang w:val="es-ES"/>
        </w:rPr>
        <w:t>a)</w:t>
      </w:r>
      <w:r w:rsidRPr="00F125EF">
        <w:rPr>
          <w:lang w:val="es-ES"/>
        </w:rPr>
        <w:tab/>
        <w:t>a fő és a vészhelyzeti tápkábeleket olyan távol fektetik le egymástól, amennyire csak lehetséges, vagy</w:t>
      </w:r>
    </w:p>
    <w:p w:rsidR="00A07DE6" w:rsidRPr="00F125EF" w:rsidRDefault="00A07DE6" w:rsidP="00A07DE6">
      <w:pPr>
        <w:pStyle w:val="ESlet"/>
        <w:rPr>
          <w:rFonts w:eastAsia="Calibri"/>
          <w:lang w:val="es-ES"/>
        </w:rPr>
      </w:pPr>
      <w:r w:rsidRPr="00F125EF">
        <w:rPr>
          <w:lang w:val="es-ES"/>
        </w:rPr>
        <w:t>b)</w:t>
      </w:r>
      <w:r w:rsidRPr="00F125EF">
        <w:rPr>
          <w:lang w:val="es-ES"/>
        </w:rPr>
        <w:tab/>
        <w:t xml:space="preserve">a vészhelyzeti tápkábelek tűzállók. Ez a követelmény akkor teljesül, ha a kábelek megfelelnek az IEC 60331 nemzetközi szabványsorozat 2017. július 6-án hatályos változatában foglalt követelményeknek. </w:t>
      </w:r>
    </w:p>
    <w:p w:rsidR="008A12E7" w:rsidRPr="00F125EF" w:rsidRDefault="008A12E7" w:rsidP="00A07DE6">
      <w:pPr>
        <w:rPr>
          <w:rFonts w:cs="Arial"/>
          <w:szCs w:val="20"/>
          <w:lang w:val="es-ES"/>
        </w:rPr>
      </w:pPr>
    </w:p>
    <w:p w:rsidR="002A778C" w:rsidRPr="00F125EF" w:rsidRDefault="002A778C" w:rsidP="008A12E7">
      <w:pPr>
        <w:rPr>
          <w:rFonts w:cs="Arial"/>
          <w:szCs w:val="20"/>
          <w:lang w:val="es-ES"/>
        </w:rPr>
      </w:pPr>
    </w:p>
    <w:p w:rsidR="008A12E7" w:rsidRPr="00F125EF" w:rsidRDefault="008A12E7" w:rsidP="00651EFD">
      <w:pPr>
        <w:pStyle w:val="ES-Titre3"/>
        <w:rPr>
          <w:lang w:val="es-ES"/>
        </w:rPr>
      </w:pPr>
      <w:bookmarkStart w:id="191" w:name="_Toc491854093"/>
      <w:bookmarkStart w:id="192" w:name="_Toc535853872"/>
      <w:r w:rsidRPr="00F125EF">
        <w:rPr>
          <w:lang w:val="es-ES"/>
        </w:rPr>
        <w:t>10.16. cikk</w:t>
      </w:r>
      <w:r w:rsidRPr="00F125EF">
        <w:rPr>
          <w:lang w:val="es-ES"/>
        </w:rPr>
        <w:br/>
      </w:r>
      <w:r w:rsidRPr="00F125EF">
        <w:rPr>
          <w:i/>
          <w:noProof/>
          <w:lang w:val="es-ES"/>
        </w:rPr>
        <w:t>Világítási berendezések</w:t>
      </w:r>
      <w:bookmarkEnd w:id="191"/>
      <w:bookmarkEnd w:id="192"/>
    </w:p>
    <w:p w:rsidR="00651EFD" w:rsidRPr="00F125EF" w:rsidRDefault="00651EFD" w:rsidP="008A12E7">
      <w:pPr>
        <w:rPr>
          <w:rFonts w:cs="Arial"/>
          <w:noProof/>
          <w:szCs w:val="20"/>
          <w:lang w:val="es-ES"/>
        </w:rPr>
      </w:pPr>
    </w:p>
    <w:p w:rsidR="00A07DE6" w:rsidRPr="00F125EF" w:rsidRDefault="00A07DE6" w:rsidP="00A07DE6">
      <w:pPr>
        <w:pStyle w:val="ESch"/>
        <w:rPr>
          <w:rFonts w:eastAsia="Calibri"/>
          <w:lang w:val="es-ES"/>
        </w:rPr>
      </w:pPr>
      <w:r w:rsidRPr="00F125EF">
        <w:rPr>
          <w:lang w:val="es-ES"/>
        </w:rPr>
        <w:t>1.</w:t>
      </w:r>
      <w:r w:rsidRPr="00F125EF">
        <w:rPr>
          <w:lang w:val="es-ES"/>
        </w:rPr>
        <w:tab/>
        <w:t>A világítótesteket úgy kell elhelyezni, hogy az általuk fejlesztett hőtől a közelükben lévő éghető tárgyak vagy szerkezeti részek ne gyulladhassanak meg.</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2.</w:t>
      </w:r>
      <w:r w:rsidRPr="00F125EF">
        <w:rPr>
          <w:lang w:val="es-ES"/>
        </w:rPr>
        <w:tab/>
        <w:t>A nyitott fedélzeten lévő világítótesteket úgy kell elhelyezni, hogy ne gátolják a jelzőfények felismerését.</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3.</w:t>
      </w:r>
      <w:r w:rsidRPr="00F125EF">
        <w:rPr>
          <w:lang w:val="es-ES"/>
        </w:rPr>
        <w:tab/>
        <w:t>A géptérben vagy kazántérben elhelyezett két vagy több világítótestet legalább két külön áramkörbe kell bekötni. Ez a követelmény vonatkozik azokra a helyiségekre is, ahol hűtőberendezés, hidraulikus berendezés vagy villanymotor van elhelyezve.</w:t>
      </w:r>
    </w:p>
    <w:p w:rsidR="008A12E7" w:rsidRPr="00F125EF" w:rsidRDefault="008A12E7" w:rsidP="008A12E7">
      <w:pPr>
        <w:rPr>
          <w:rFonts w:cs="Arial"/>
          <w:szCs w:val="20"/>
          <w:lang w:val="es-ES"/>
        </w:rPr>
      </w:pPr>
    </w:p>
    <w:p w:rsidR="00651EFD" w:rsidRPr="00F125EF" w:rsidRDefault="00651EFD" w:rsidP="008A12E7">
      <w:pPr>
        <w:rPr>
          <w:rFonts w:cs="Arial"/>
          <w:szCs w:val="20"/>
          <w:lang w:val="es-ES"/>
        </w:rPr>
      </w:pPr>
    </w:p>
    <w:p w:rsidR="008A12E7" w:rsidRPr="00F125EF" w:rsidRDefault="008A12E7" w:rsidP="00651EFD">
      <w:pPr>
        <w:pStyle w:val="ES-Titre3"/>
        <w:rPr>
          <w:lang w:val="es-ES"/>
        </w:rPr>
      </w:pPr>
      <w:bookmarkStart w:id="193" w:name="_Toc491854094"/>
      <w:bookmarkStart w:id="194" w:name="_Toc535853873"/>
      <w:r w:rsidRPr="00F125EF">
        <w:rPr>
          <w:lang w:val="es-ES"/>
        </w:rPr>
        <w:t>10.17. cikk</w:t>
      </w:r>
      <w:r w:rsidRPr="00F125EF">
        <w:rPr>
          <w:lang w:val="es-ES"/>
        </w:rPr>
        <w:br/>
      </w:r>
      <w:r w:rsidRPr="00F125EF">
        <w:rPr>
          <w:i/>
          <w:noProof/>
          <w:lang w:val="es-ES"/>
        </w:rPr>
        <w:t>Navigációs fények</w:t>
      </w:r>
      <w:bookmarkEnd w:id="193"/>
      <w:bookmarkEnd w:id="194"/>
    </w:p>
    <w:p w:rsidR="00651EFD" w:rsidRPr="00F125EF" w:rsidRDefault="00651EFD" w:rsidP="008A12E7">
      <w:pPr>
        <w:rPr>
          <w:rFonts w:cs="Arial"/>
          <w:noProof/>
          <w:szCs w:val="20"/>
          <w:lang w:val="es-ES"/>
        </w:rPr>
      </w:pPr>
    </w:p>
    <w:p w:rsidR="00A07DE6" w:rsidRPr="00F125EF" w:rsidRDefault="00A07DE6" w:rsidP="00A07DE6">
      <w:pPr>
        <w:pStyle w:val="ESch"/>
        <w:rPr>
          <w:rFonts w:eastAsia="Calibri"/>
          <w:lang w:val="es-ES"/>
        </w:rPr>
      </w:pPr>
      <w:r w:rsidRPr="00F125EF">
        <w:rPr>
          <w:lang w:val="es-ES"/>
        </w:rPr>
        <w:t>1.</w:t>
      </w:r>
      <w:r w:rsidRPr="00F125EF">
        <w:rPr>
          <w:lang w:val="es-ES"/>
        </w:rPr>
        <w:tab/>
        <w:t>A navigációs fények kapcsolótábláit a kormányállásban kell elhelyezni. Ezek áramellátását külön kábelen kell biztosítani a fő kapcsolótábláról vagy két külön szekunder hálózatról.</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2.</w:t>
      </w:r>
      <w:r w:rsidRPr="00F125EF">
        <w:rPr>
          <w:lang w:val="es-ES"/>
        </w:rPr>
        <w:tab/>
        <w:t>A navigációs fények áramellátását, védelmét és vezérlését külön kell biztosítani a navigációs fények kapcsolótáblájáról.</w:t>
      </w:r>
    </w:p>
    <w:p w:rsidR="00A07DE6" w:rsidRPr="00F125EF" w:rsidRDefault="00A07DE6" w:rsidP="00A07DE6">
      <w:pPr>
        <w:pStyle w:val="ESch"/>
        <w:rPr>
          <w:rFonts w:eastAsia="Calibri"/>
          <w:lang w:val="es-ES"/>
        </w:rPr>
      </w:pPr>
    </w:p>
    <w:p w:rsidR="00AB2818" w:rsidRPr="00F125EF" w:rsidRDefault="00AB2818">
      <w:pPr>
        <w:rPr>
          <w:rFonts w:eastAsia="Calibri"/>
          <w:lang w:val="es-ES"/>
        </w:rPr>
      </w:pPr>
      <w:r w:rsidRPr="00F125EF">
        <w:rPr>
          <w:lang w:val="es-ES"/>
        </w:rPr>
        <w:br w:type="page"/>
      </w:r>
    </w:p>
    <w:p w:rsidR="00AB2818" w:rsidRPr="00F125EF" w:rsidRDefault="00AB2818"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3.</w:t>
      </w:r>
      <w:r w:rsidRPr="00F125EF">
        <w:rPr>
          <w:lang w:val="es-ES"/>
        </w:rPr>
        <w:tab/>
        <w:t>A 7.05. cikk 2. bekezdése szerinti berendezés meghibásodása nem befolyásolhatja az általa ellenőrzött navigációs fények működését.</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 xml:space="preserve">4. </w:t>
      </w:r>
      <w:r w:rsidRPr="00F125EF">
        <w:rPr>
          <w:lang w:val="es-ES"/>
        </w:rPr>
        <w:tab/>
        <w:t>A funkcionális egységet alkotó, ugyanarra a helyre együtt felszerelt jelzőfények áramellátását, vezérlését és ellenőrzését egyetlen áramkörről lehet biztosítani. Az ellenőrző berendezésnek képesnek kell lennie arra, hogy az említett jelzőfények közül bármelyiknek a meghibásodását jelezze. Kettős fény esetében (két világítóeszköz egymás fölé szerelve ugyanabban a burkolatban) biztosítani kell, hogy ne lehessen egy időben használni mindkét fényforrást.</w:t>
      </w:r>
    </w:p>
    <w:p w:rsidR="008A12E7" w:rsidRPr="00F125EF" w:rsidRDefault="008A12E7" w:rsidP="00651EFD">
      <w:pPr>
        <w:rPr>
          <w:rFonts w:cs="Arial"/>
          <w:szCs w:val="20"/>
          <w:lang w:val="es-ES"/>
        </w:rPr>
      </w:pPr>
    </w:p>
    <w:p w:rsidR="008A12E7" w:rsidRPr="00F125EF" w:rsidRDefault="008A12E7" w:rsidP="008A12E7">
      <w:pPr>
        <w:rPr>
          <w:rFonts w:cs="Arial"/>
          <w:szCs w:val="20"/>
          <w:lang w:val="es-ES"/>
        </w:rPr>
      </w:pPr>
    </w:p>
    <w:p w:rsidR="008A12E7" w:rsidRPr="00F125EF" w:rsidRDefault="008A12E7" w:rsidP="00651EFD">
      <w:pPr>
        <w:pStyle w:val="ES-Titre3"/>
        <w:rPr>
          <w:lang w:val="es-ES"/>
        </w:rPr>
      </w:pPr>
      <w:bookmarkStart w:id="195" w:name="_Toc491854095"/>
      <w:bookmarkStart w:id="196" w:name="_Toc535853874"/>
      <w:r w:rsidRPr="00F125EF">
        <w:rPr>
          <w:lang w:val="es-ES"/>
        </w:rPr>
        <w:t>10.18. cikk</w:t>
      </w:r>
      <w:r w:rsidRPr="00F125EF">
        <w:rPr>
          <w:lang w:val="es-ES"/>
        </w:rPr>
        <w:br/>
      </w:r>
      <w:r w:rsidRPr="00F125EF">
        <w:rPr>
          <w:i/>
          <w:lang w:val="es-ES"/>
        </w:rPr>
        <w:t>Teljesítményelektronikai átalakító</w:t>
      </w:r>
      <w:bookmarkEnd w:id="195"/>
      <w:bookmarkEnd w:id="196"/>
    </w:p>
    <w:p w:rsidR="00651EFD" w:rsidRPr="00F125EF" w:rsidRDefault="00651EFD" w:rsidP="00651EFD">
      <w:pPr>
        <w:rPr>
          <w:rFonts w:cs="Arial"/>
          <w:noProof/>
          <w:szCs w:val="20"/>
          <w:lang w:val="es-ES"/>
        </w:rPr>
      </w:pPr>
    </w:p>
    <w:p w:rsidR="00A07DE6" w:rsidRPr="00F125EF" w:rsidRDefault="00A07DE6" w:rsidP="00A07DE6">
      <w:pPr>
        <w:pStyle w:val="ESch"/>
        <w:rPr>
          <w:rFonts w:eastAsia="Calibri"/>
          <w:lang w:val="es-ES"/>
        </w:rPr>
      </w:pPr>
      <w:r w:rsidRPr="00F125EF">
        <w:rPr>
          <w:lang w:val="es-ES"/>
        </w:rPr>
        <w:t>1.</w:t>
      </w:r>
      <w:r w:rsidRPr="00F125EF">
        <w:rPr>
          <w:lang w:val="es-ES"/>
        </w:rPr>
        <w:tab/>
        <w:t>Minden teljesítményelektronikai átalakító rendszer esetében külön eszközt kell biztosítani a hálózatról való lekapcsolásra. A biztosíték/kapcsoló kombináció legfeljebb 315 A névleges áramerősségű áramfogyasztó berendezéshez használható. Minden más esetben áramkör-megszakítót kell biztosítani a hálózati oldalon.</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2.</w:t>
      </w:r>
      <w:r w:rsidRPr="00F125EF">
        <w:rPr>
          <w:lang w:val="es-ES"/>
        </w:rPr>
        <w:tab/>
        <w:t>A teljesítményelektronikai átalakítónak könnyen hozzáférhetőnek kell lennie javítások és mérések céljára. Megfelelő eszközöket kell biztosítani a funkciók ellenőrzésére és a működési hibák észlelésére.</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3.</w:t>
      </w:r>
      <w:r w:rsidRPr="00F125EF">
        <w:rPr>
          <w:lang w:val="es-ES"/>
        </w:rPr>
        <w:tab/>
        <w:t>A vezérlő- és jelelektronikát galvanikusan el kell különíteni a teljesítményelektronikai áramköröktől.</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4.</w:t>
      </w:r>
      <w:r w:rsidRPr="00F125EF">
        <w:rPr>
          <w:lang w:val="es-ES"/>
        </w:rPr>
        <w:tab/>
        <w:t>Az átalakító rendszereknek a legnagyobb megengedett feszültség- és frekvenciaingadozások mellett is biztosítaniuk kell a biztonságos működést. A tápfeszültség megengedhetetlenül magas frekvencia- és/vagy feszültségingadozása esetén a rendszernek magától ki kell kapcsolnia, vagy biztonságos üzemi állapotban kell maradnia.</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5.</w:t>
      </w:r>
      <w:r w:rsidRPr="00F125EF">
        <w:rPr>
          <w:lang w:val="es-ES"/>
        </w:rPr>
        <w:tab/>
        <w:t xml:space="preserve">A berendezésekben lévő elektromos töltésnek a hálózatról való lekapcsolódás után kevesebb mint 5 másodperc alatt 50 V-nál kisebb feszültségre kell csökkennie. Ha ehhez hosszabb időre van szükség, az eszközön figyelmeztető jelzést kell elhelyezni. </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6.</w:t>
      </w:r>
      <w:r w:rsidRPr="00F125EF">
        <w:rPr>
          <w:lang w:val="es-ES"/>
        </w:rPr>
        <w:tab/>
        <w:t>A külső vezérlőjelek meghibásodása nem idézhet elő veszélyes állapotot.</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7.</w:t>
      </w:r>
      <w:r w:rsidRPr="00F125EF">
        <w:rPr>
          <w:lang w:val="es-ES"/>
        </w:rPr>
        <w:tab/>
        <w:t>A teljesítményelektronikai átalakítót úgy kell megtervezni és beszerelni, hogy a vezérlőfeszültség meghibásodása ne okozzon veszélyt vagy károsodást se azon rendszer vagy eszköz tekintetében, amelybe a teljesítményelektronikai átalakítót telepítették, se a rendszer egésze tekintetében.</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8.</w:t>
      </w:r>
      <w:r w:rsidRPr="00F125EF">
        <w:rPr>
          <w:lang w:val="es-ES"/>
        </w:rPr>
        <w:tab/>
        <w:t>A meghajtáshoz és a műveletképességhez, valamint a legénység, a vízi jármű vagy a rakomány biztonsága szempontjából szükséges felszerelések tekintetében biztosítani kell az egyes teljesítményelektronikai átalakító berendezések és alrendszerek ellenőrzéséhez szükséges rendszerelemeket – hibás működés esetén – a hibák feltárásának megkönnyítése, illetve a feltáratlan hibák megelőzése érdekében.</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9.</w:t>
      </w:r>
      <w:r w:rsidRPr="00F125EF">
        <w:rPr>
          <w:lang w:val="es-ES"/>
        </w:rPr>
        <w:tab/>
        <w:t>A teljesítményelektronikai átalakító ellenőrzésének nagy biztonsággal fel kell tárnia a hibákat, és meg kell akadályoznia, hogy azok azonosítatlanul maradjanak.</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10.</w:t>
      </w:r>
      <w:r w:rsidRPr="00F125EF">
        <w:rPr>
          <w:lang w:val="es-ES"/>
        </w:rPr>
        <w:tab/>
        <w:t>Az alkatrészek kivételével csak típusvizsgálaton megfelelt teljesítményelektronikai átalakító alkalmazható. Ha a teljesítményelektronikai átalakító védelmi és ellenőrző eszközökkel rendelkezik, a vizsgálatnak ki kell terjednie a válaszküszöbértékek igazolására és az összes védelmi és ellenőrző berendezés összehangolt interakciójára. A típusvizsgálati jelentést bele kell foglalni a rendszerdokumentációba.</w:t>
      </w:r>
    </w:p>
    <w:p w:rsidR="008A12E7" w:rsidRPr="00F125EF" w:rsidRDefault="008A12E7" w:rsidP="00AA5633">
      <w:pPr>
        <w:pStyle w:val="ESch"/>
        <w:rPr>
          <w:lang w:val="es-ES"/>
        </w:rPr>
      </w:pPr>
    </w:p>
    <w:p w:rsidR="00AB2818" w:rsidRPr="00F125EF" w:rsidRDefault="00AB2818">
      <w:pPr>
        <w:rPr>
          <w:lang w:val="es-ES"/>
        </w:rPr>
      </w:pPr>
      <w:r w:rsidRPr="00F125EF">
        <w:rPr>
          <w:lang w:val="es-ES"/>
        </w:rPr>
        <w:br w:type="page"/>
      </w:r>
    </w:p>
    <w:p w:rsidR="004E6822" w:rsidRPr="00F125EF" w:rsidRDefault="004E6822" w:rsidP="00AA5633">
      <w:pPr>
        <w:pStyle w:val="ESch"/>
        <w:rPr>
          <w:lang w:val="es-ES"/>
        </w:rPr>
      </w:pPr>
    </w:p>
    <w:p w:rsidR="008A12E7" w:rsidRPr="00F125EF" w:rsidRDefault="008A12E7" w:rsidP="00651EFD">
      <w:pPr>
        <w:pStyle w:val="ES-Titre3"/>
        <w:rPr>
          <w:lang w:val="es-ES"/>
        </w:rPr>
      </w:pPr>
      <w:bookmarkStart w:id="197" w:name="_Toc491854096"/>
      <w:bookmarkStart w:id="198" w:name="_Toc535853875"/>
      <w:r w:rsidRPr="00F125EF">
        <w:rPr>
          <w:lang w:val="es-ES"/>
        </w:rPr>
        <w:t>10.19. cikk</w:t>
      </w:r>
      <w:r w:rsidRPr="00F125EF">
        <w:rPr>
          <w:lang w:val="es-ES"/>
        </w:rPr>
        <w:br/>
      </w:r>
      <w:r w:rsidRPr="00F125EF">
        <w:rPr>
          <w:i/>
          <w:lang w:val="es-ES"/>
        </w:rPr>
        <w:t>Mechanikus berendezések riasztó- és biztonsági rendszerei</w:t>
      </w:r>
      <w:bookmarkEnd w:id="197"/>
      <w:bookmarkEnd w:id="198"/>
    </w:p>
    <w:p w:rsidR="00651EFD" w:rsidRPr="00F125EF" w:rsidRDefault="00651EFD" w:rsidP="008A12E7">
      <w:pPr>
        <w:rPr>
          <w:rFonts w:cs="Arial"/>
          <w:noProof/>
          <w:szCs w:val="20"/>
          <w:lang w:val="es-ES"/>
        </w:rPr>
      </w:pPr>
    </w:p>
    <w:p w:rsidR="00A07DE6" w:rsidRPr="00F125EF" w:rsidRDefault="00A07DE6" w:rsidP="00A07DE6">
      <w:pPr>
        <w:pStyle w:val="ESgauche"/>
        <w:rPr>
          <w:rFonts w:eastAsia="Calibri"/>
          <w:noProof w:val="0"/>
          <w:lang w:val="es-ES"/>
        </w:rPr>
      </w:pPr>
      <w:r w:rsidRPr="00F125EF">
        <w:rPr>
          <w:lang w:val="es-ES"/>
        </w:rPr>
        <w:t>A mechanikus berendezések ellenőrzésére és védelmére szolgáló riasztó- és biztonsági rendszereknek az alábbi követelményeknek kell megfelelniük:</w:t>
      </w:r>
    </w:p>
    <w:p w:rsidR="00A07DE6" w:rsidRPr="00F125EF" w:rsidRDefault="00A07DE6" w:rsidP="00AA5633">
      <w:pPr>
        <w:pStyle w:val="ESch"/>
        <w:rPr>
          <w:rFonts w:eastAsia="Calibri"/>
          <w:lang w:val="es-ES"/>
        </w:rPr>
      </w:pPr>
    </w:p>
    <w:p w:rsidR="00A07DE6" w:rsidRPr="00F125EF" w:rsidRDefault="00A07DE6" w:rsidP="00A07DE6">
      <w:pPr>
        <w:pStyle w:val="ESch"/>
        <w:rPr>
          <w:rFonts w:eastAsia="Calibri"/>
          <w:lang w:val="es-ES"/>
        </w:rPr>
      </w:pPr>
      <w:r w:rsidRPr="00F125EF">
        <w:rPr>
          <w:lang w:val="es-ES"/>
        </w:rPr>
        <w:t>1.</w:t>
      </w:r>
      <w:r w:rsidRPr="00F125EF">
        <w:rPr>
          <w:lang w:val="es-ES"/>
        </w:rPr>
        <w:tab/>
        <w:t>Riasztórendszerek:</w:t>
      </w:r>
    </w:p>
    <w:p w:rsidR="00A07DE6" w:rsidRPr="00F125EF" w:rsidRDefault="00A07DE6" w:rsidP="00A07DE6">
      <w:pPr>
        <w:pStyle w:val="ESchpar"/>
        <w:rPr>
          <w:rFonts w:eastAsia="Calibri"/>
          <w:lang w:val="es-ES"/>
        </w:rPr>
      </w:pPr>
    </w:p>
    <w:p w:rsidR="00A07DE6" w:rsidRPr="00F125EF" w:rsidRDefault="00A07DE6" w:rsidP="00A07DE6">
      <w:pPr>
        <w:pStyle w:val="ESchpar"/>
        <w:rPr>
          <w:rFonts w:eastAsia="Calibri"/>
          <w:lang w:val="es-ES"/>
        </w:rPr>
      </w:pPr>
      <w:r w:rsidRPr="00F125EF">
        <w:rPr>
          <w:lang w:val="es-ES"/>
        </w:rPr>
        <w:t>A riasztórendszereket úgy kell kialakítani, hogy a riasztórendszerben fellépő hiba ne okozhassa az ellenőrzött eszköz vagy berendezés kiesését.</w:t>
      </w:r>
    </w:p>
    <w:p w:rsidR="00A07DE6" w:rsidRPr="00F125EF" w:rsidRDefault="00A07DE6" w:rsidP="00A07DE6">
      <w:pPr>
        <w:pStyle w:val="ESchpar"/>
        <w:rPr>
          <w:rFonts w:eastAsia="Calibri"/>
          <w:lang w:val="es-ES"/>
        </w:rPr>
      </w:pPr>
    </w:p>
    <w:p w:rsidR="00A07DE6" w:rsidRPr="00F125EF" w:rsidRDefault="00A07DE6" w:rsidP="00A07DE6">
      <w:pPr>
        <w:pStyle w:val="ESchpar"/>
        <w:rPr>
          <w:rFonts w:eastAsia="Calibri"/>
          <w:lang w:val="es-ES"/>
        </w:rPr>
      </w:pPr>
      <w:r w:rsidRPr="00F125EF">
        <w:rPr>
          <w:lang w:val="es-ES"/>
        </w:rPr>
        <w:t>A bináris jeladókat a nyugalmiáram-elv vagy az ellenőrzöttmunkaáram-elv szerint kell kialakítani.</w:t>
      </w:r>
    </w:p>
    <w:p w:rsidR="00A07DE6" w:rsidRPr="00F125EF" w:rsidRDefault="00A07DE6" w:rsidP="00A07DE6">
      <w:pPr>
        <w:pStyle w:val="ESchpar"/>
        <w:rPr>
          <w:rFonts w:eastAsia="Calibri"/>
          <w:lang w:val="es-ES"/>
        </w:rPr>
      </w:pPr>
    </w:p>
    <w:p w:rsidR="00A07DE6" w:rsidRPr="00F125EF" w:rsidRDefault="00A07DE6" w:rsidP="00A07DE6">
      <w:pPr>
        <w:pStyle w:val="ESchpar"/>
        <w:rPr>
          <w:rFonts w:eastAsia="Calibri"/>
          <w:lang w:val="es-ES"/>
        </w:rPr>
      </w:pPr>
      <w:r w:rsidRPr="00F125EF">
        <w:rPr>
          <w:lang w:val="es-ES"/>
        </w:rPr>
        <w:t>Az optikai vészjelzéseknek mindaddig bekapcsolva kell maradniuk, amíg a hibát el nem hárították; a nyugtázott riasztásnak és a nem nyugtázott riasztásnak egymástól megkülönböztethetőknek kell lennie. Minden riasztásnak magában kell foglalnia akusztikai jelzést is. Biztosítani kell az akusztikai vészjelzés kikapcsolhatóságát. Egy vészjelzés kikapcsolása nem akadályozhatja meg, hogy más okból egy másik jelzés bekapcsolódjon.</w:t>
      </w:r>
    </w:p>
    <w:p w:rsidR="00A07DE6" w:rsidRPr="00F125EF" w:rsidRDefault="00A07DE6" w:rsidP="00A07DE6">
      <w:pPr>
        <w:pStyle w:val="ESchpar"/>
        <w:rPr>
          <w:rFonts w:eastAsia="Calibri"/>
          <w:lang w:val="es-ES"/>
        </w:rPr>
      </w:pPr>
    </w:p>
    <w:p w:rsidR="00A07DE6" w:rsidRPr="00F125EF" w:rsidRDefault="00A07DE6" w:rsidP="00A07DE6">
      <w:pPr>
        <w:pStyle w:val="ESchpar"/>
        <w:rPr>
          <w:rFonts w:eastAsia="Calibri"/>
          <w:lang w:val="es-ES"/>
        </w:rPr>
      </w:pPr>
      <w:r w:rsidRPr="00F125EF">
        <w:rPr>
          <w:lang w:val="es-ES"/>
        </w:rPr>
        <w:t>Az ellenőrző szerv engedélyével kivétel tehető abban az esetben, ha a riasztórendszer ötnél kevesebb mérési pontot foglal magában.</w:t>
      </w:r>
    </w:p>
    <w:p w:rsidR="00A07DE6" w:rsidRPr="00F125EF" w:rsidRDefault="00A07DE6" w:rsidP="00A07DE6">
      <w:pPr>
        <w:pStyle w:val="ESch"/>
        <w:rPr>
          <w:rFonts w:eastAsia="Calibri"/>
          <w:lang w:val="es-ES"/>
        </w:rPr>
      </w:pPr>
    </w:p>
    <w:p w:rsidR="00A07DE6" w:rsidRPr="00F125EF" w:rsidRDefault="00A07DE6" w:rsidP="00A07DE6">
      <w:pPr>
        <w:pStyle w:val="ESch"/>
        <w:rPr>
          <w:rFonts w:eastAsia="Calibri"/>
          <w:lang w:val="es-ES"/>
        </w:rPr>
      </w:pPr>
      <w:r w:rsidRPr="00F125EF">
        <w:rPr>
          <w:lang w:val="es-ES"/>
        </w:rPr>
        <w:t>2.</w:t>
      </w:r>
      <w:r w:rsidRPr="00F125EF">
        <w:rPr>
          <w:lang w:val="es-ES"/>
        </w:rPr>
        <w:tab/>
        <w:t>Biztonsági rendszerek:</w:t>
      </w:r>
    </w:p>
    <w:p w:rsidR="00A07DE6" w:rsidRPr="00F125EF" w:rsidRDefault="00A07DE6" w:rsidP="00A07DE6">
      <w:pPr>
        <w:pStyle w:val="ESchpar"/>
        <w:rPr>
          <w:rFonts w:eastAsia="Calibri"/>
          <w:lang w:val="es-ES"/>
        </w:rPr>
      </w:pPr>
    </w:p>
    <w:p w:rsidR="00A07DE6" w:rsidRPr="00F125EF" w:rsidRDefault="00A07DE6" w:rsidP="00A07DE6">
      <w:pPr>
        <w:pStyle w:val="ESchpar"/>
        <w:rPr>
          <w:rFonts w:eastAsia="Calibri"/>
          <w:lang w:val="es-ES"/>
        </w:rPr>
      </w:pPr>
      <w:r w:rsidRPr="00F125EF">
        <w:rPr>
          <w:lang w:val="es-ES"/>
        </w:rPr>
        <w:t>A biztonsági rendszereket úgy kell megtervezni, hogy azok az érintett berendezés működését még a kritikus állapot elérése előtt leállítsák vagy lelassítsák, vagy jelezzék ennek szükségességét egy olyan munkaállomás felé, amelyen állandóan tartózkodik személyzet.</w:t>
      </w:r>
    </w:p>
    <w:p w:rsidR="00A07DE6" w:rsidRPr="00F125EF" w:rsidRDefault="00A07DE6" w:rsidP="00A07DE6">
      <w:pPr>
        <w:pStyle w:val="ESchpar"/>
        <w:rPr>
          <w:rFonts w:eastAsia="Calibri"/>
          <w:lang w:val="es-ES"/>
        </w:rPr>
      </w:pPr>
    </w:p>
    <w:p w:rsidR="00A07DE6" w:rsidRPr="00F125EF" w:rsidRDefault="00A07DE6" w:rsidP="00A07DE6">
      <w:pPr>
        <w:pStyle w:val="ESchpar"/>
        <w:rPr>
          <w:rFonts w:eastAsia="Calibri"/>
          <w:lang w:val="es-ES"/>
        </w:rPr>
      </w:pPr>
      <w:r w:rsidRPr="00F125EF">
        <w:rPr>
          <w:lang w:val="es-ES"/>
        </w:rPr>
        <w:t>A bináris jeladókat a munkaáram-elv szerint kell kialakítani.</w:t>
      </w:r>
    </w:p>
    <w:p w:rsidR="00A07DE6" w:rsidRPr="00F125EF" w:rsidRDefault="00A07DE6" w:rsidP="00A07DE6">
      <w:pPr>
        <w:pStyle w:val="ESchpar"/>
        <w:rPr>
          <w:rFonts w:eastAsia="Calibri"/>
          <w:lang w:val="es-ES"/>
        </w:rPr>
      </w:pPr>
    </w:p>
    <w:p w:rsidR="00A07DE6" w:rsidRPr="00F125EF" w:rsidRDefault="00A07DE6" w:rsidP="00A07DE6">
      <w:pPr>
        <w:pStyle w:val="ESchpar"/>
        <w:rPr>
          <w:rFonts w:eastAsia="Calibri"/>
          <w:lang w:val="es-ES"/>
        </w:rPr>
      </w:pPr>
      <w:r w:rsidRPr="00F125EF">
        <w:rPr>
          <w:lang w:val="es-ES"/>
        </w:rPr>
        <w:t>Amennyiben az adott biztonsági rendszert nem látták el önellenőrző funkcióval, működésüknek ellenőrizhetőnek kell lennie.</w:t>
      </w:r>
    </w:p>
    <w:p w:rsidR="00A07DE6" w:rsidRPr="00F125EF" w:rsidRDefault="00A07DE6" w:rsidP="00A07DE6">
      <w:pPr>
        <w:pStyle w:val="ESchpar"/>
        <w:rPr>
          <w:rFonts w:eastAsia="Calibri"/>
          <w:lang w:val="es-ES"/>
        </w:rPr>
      </w:pPr>
    </w:p>
    <w:p w:rsidR="00A07DE6" w:rsidRPr="00F125EF" w:rsidRDefault="00A07DE6" w:rsidP="00A07DE6">
      <w:pPr>
        <w:pStyle w:val="ESchpar"/>
        <w:rPr>
          <w:rFonts w:eastAsia="Calibri"/>
          <w:lang w:val="es-ES"/>
        </w:rPr>
      </w:pPr>
      <w:r w:rsidRPr="00F125EF">
        <w:rPr>
          <w:lang w:val="es-ES"/>
        </w:rPr>
        <w:t>A biztonsági rendszereknek a többi rendszertől függetlennek kell lenniük.</w:t>
      </w:r>
    </w:p>
    <w:p w:rsidR="008A12E7" w:rsidRPr="00F125EF" w:rsidRDefault="008A12E7" w:rsidP="008A12E7">
      <w:pPr>
        <w:rPr>
          <w:rFonts w:cs="Arial"/>
          <w:szCs w:val="20"/>
          <w:lang w:val="es-ES"/>
        </w:rPr>
      </w:pPr>
    </w:p>
    <w:p w:rsidR="0009596F" w:rsidRPr="00F125EF" w:rsidRDefault="0009596F" w:rsidP="008A12E7">
      <w:pPr>
        <w:rPr>
          <w:rFonts w:cs="Arial"/>
          <w:szCs w:val="20"/>
          <w:lang w:val="es-ES"/>
        </w:rPr>
      </w:pPr>
    </w:p>
    <w:p w:rsidR="008A12E7" w:rsidRPr="00F125EF" w:rsidRDefault="008A12E7" w:rsidP="00F06174">
      <w:pPr>
        <w:pStyle w:val="ES-Titre3"/>
        <w:rPr>
          <w:lang w:val="es-ES"/>
        </w:rPr>
      </w:pPr>
      <w:bookmarkStart w:id="199" w:name="_Toc491854097"/>
      <w:bookmarkStart w:id="200" w:name="_Toc535853876"/>
      <w:r w:rsidRPr="00F125EF">
        <w:rPr>
          <w:lang w:val="es-ES"/>
        </w:rPr>
        <w:t>10.20. cikk</w:t>
      </w:r>
      <w:r w:rsidRPr="00F125EF">
        <w:rPr>
          <w:lang w:val="es-ES"/>
        </w:rPr>
        <w:br/>
      </w:r>
      <w:r w:rsidRPr="00F125EF">
        <w:rPr>
          <w:i/>
          <w:lang w:val="es-ES"/>
        </w:rPr>
        <w:t>Elektronikus rendszerek vizsgálati feltételei</w:t>
      </w:r>
      <w:bookmarkEnd w:id="199"/>
      <w:bookmarkEnd w:id="200"/>
    </w:p>
    <w:p w:rsidR="00F06174" w:rsidRPr="00F125EF" w:rsidRDefault="00F06174" w:rsidP="00F06174">
      <w:pPr>
        <w:rPr>
          <w:rFonts w:cs="Arial"/>
          <w:noProof/>
          <w:szCs w:val="20"/>
          <w:lang w:val="es-ES"/>
        </w:rPr>
      </w:pPr>
    </w:p>
    <w:p w:rsidR="00A07DE6" w:rsidRPr="00F125EF" w:rsidRDefault="00A07DE6" w:rsidP="00A07DE6">
      <w:pPr>
        <w:spacing w:line="240" w:lineRule="atLeast"/>
        <w:ind w:left="567" w:hanging="567"/>
        <w:rPr>
          <w:lang w:val="es-ES"/>
        </w:rPr>
      </w:pPr>
      <w:r w:rsidRPr="00F125EF">
        <w:rPr>
          <w:lang w:val="es-ES"/>
        </w:rPr>
        <w:t>1.</w:t>
      </w:r>
      <w:r w:rsidRPr="00F125EF">
        <w:rPr>
          <w:lang w:val="es-ES"/>
        </w:rPr>
        <w:tab/>
        <w:t>Általános rendelkezések</w:t>
      </w:r>
    </w:p>
    <w:p w:rsidR="00A07DE6" w:rsidRPr="00F125EF" w:rsidRDefault="00A07DE6" w:rsidP="00A07DE6">
      <w:pPr>
        <w:spacing w:line="240" w:lineRule="atLeast"/>
        <w:ind w:left="567"/>
        <w:rPr>
          <w:lang w:val="es-ES"/>
        </w:rPr>
      </w:pPr>
    </w:p>
    <w:p w:rsidR="00A07DE6" w:rsidRPr="00F125EF" w:rsidRDefault="00A07DE6" w:rsidP="00A07DE6">
      <w:pPr>
        <w:spacing w:line="240" w:lineRule="atLeast"/>
        <w:ind w:left="567"/>
        <w:rPr>
          <w:lang w:val="es-ES"/>
        </w:rPr>
      </w:pPr>
      <w:r w:rsidRPr="00F125EF">
        <w:rPr>
          <w:lang w:val="es-ES"/>
        </w:rPr>
        <w:t>A 2. bekezdés szerinti vizsgálati feltételek csak azokra az elektronikus berendezésekre vonatkoznak, amelyek a kormányberendezéshez és a vízi jármű propulziós rendszereihez szükségesek, beleértve a segédberendezéseket is.</w:t>
      </w:r>
    </w:p>
    <w:p w:rsidR="00A07DE6" w:rsidRPr="00F125EF" w:rsidRDefault="00A07DE6" w:rsidP="00A07DE6">
      <w:pPr>
        <w:spacing w:line="240" w:lineRule="atLeast"/>
        <w:ind w:left="567" w:hanging="567"/>
        <w:rPr>
          <w:lang w:val="es-ES"/>
        </w:rPr>
      </w:pPr>
    </w:p>
    <w:p w:rsidR="00A07DE6" w:rsidRPr="00F125EF" w:rsidRDefault="00A07DE6" w:rsidP="00A07DE6">
      <w:pPr>
        <w:spacing w:line="240" w:lineRule="atLeast"/>
        <w:ind w:left="567" w:hanging="567"/>
        <w:rPr>
          <w:lang w:val="es-ES"/>
        </w:rPr>
      </w:pPr>
      <w:r w:rsidRPr="00F125EF">
        <w:rPr>
          <w:lang w:val="es-ES"/>
        </w:rPr>
        <w:t>2.</w:t>
      </w:r>
      <w:r w:rsidRPr="00F125EF">
        <w:rPr>
          <w:lang w:val="es-ES"/>
        </w:rPr>
        <w:tab/>
        <w:t>Vizsgálati feltételek</w:t>
      </w:r>
    </w:p>
    <w:p w:rsidR="00A07DE6" w:rsidRPr="00F125EF" w:rsidRDefault="00A07DE6" w:rsidP="00A07DE6">
      <w:pPr>
        <w:spacing w:before="60" w:line="240" w:lineRule="atLeast"/>
        <w:ind w:left="992"/>
        <w:rPr>
          <w:lang w:val="es-ES"/>
        </w:rPr>
      </w:pPr>
      <w:r w:rsidRPr="00F125EF">
        <w:rPr>
          <w:lang w:val="es-ES"/>
        </w:rPr>
        <w:t>a)</w:t>
      </w:r>
      <w:r w:rsidRPr="00F125EF">
        <w:rPr>
          <w:lang w:val="es-ES"/>
        </w:rPr>
        <w:tab/>
        <w:t>Az alábbi vizsgálatok során keletkező igénybevétel nem okozhatja az elektronikus berendezések sérülését vagy hibás működését. A vonatkozó nemzetközi szabványok, például az IEC 60092-504:2016 szerinti vizsgálatokat – a hidegállapotteszt kivételével – a berendezés kikapcsolt állapotában kell elvégezni. Ezek a vizsgálatok a megfelelő működés ellenőrzését is magukban foglalják.</w:t>
      </w:r>
    </w:p>
    <w:p w:rsidR="00AB2818" w:rsidRPr="00F125EF" w:rsidRDefault="00AB2818">
      <w:pPr>
        <w:rPr>
          <w:lang w:val="es-ES"/>
        </w:rPr>
      </w:pPr>
      <w:r w:rsidRPr="00F125EF">
        <w:rPr>
          <w:lang w:val="es-ES"/>
        </w:rPr>
        <w:br w:type="page"/>
      </w:r>
    </w:p>
    <w:p w:rsidR="00AB2818" w:rsidRPr="00F125EF" w:rsidRDefault="00AB2818" w:rsidP="00A07DE6">
      <w:pPr>
        <w:spacing w:before="60" w:line="240" w:lineRule="atLeast"/>
        <w:ind w:left="992"/>
        <w:rPr>
          <w:lang w:val="es-ES"/>
        </w:rPr>
      </w:pPr>
    </w:p>
    <w:p w:rsidR="00A07DE6" w:rsidRPr="00A07DE6" w:rsidRDefault="00A07DE6" w:rsidP="00A07DE6">
      <w:pPr>
        <w:spacing w:before="60" w:line="240" w:lineRule="atLeast"/>
        <w:ind w:left="992"/>
      </w:pPr>
      <w:r>
        <w:t>b)</w:t>
      </w:r>
      <w:r>
        <w:tab/>
        <w:t>Feszültség- és frekvenciaeltérések</w:t>
      </w:r>
    </w:p>
    <w:p w:rsidR="00A07DE6" w:rsidRPr="00A07DE6" w:rsidRDefault="00A07DE6" w:rsidP="00A07DE6">
      <w:pPr>
        <w:spacing w:line="240" w:lineRule="atLeast"/>
        <w:ind w:left="567" w:hanging="567"/>
      </w:pPr>
    </w:p>
    <w:tbl>
      <w:tblPr>
        <w:tblW w:w="0" w:type="auto"/>
        <w:jc w:val="center"/>
        <w:tblLayout w:type="fixed"/>
        <w:tblCellMar>
          <w:left w:w="70" w:type="dxa"/>
          <w:right w:w="70" w:type="dxa"/>
        </w:tblCellMar>
        <w:tblLook w:val="0000" w:firstRow="0" w:lastRow="0" w:firstColumn="0" w:lastColumn="0" w:noHBand="0" w:noVBand="0"/>
      </w:tblPr>
      <w:tblGrid>
        <w:gridCol w:w="1985"/>
        <w:gridCol w:w="1701"/>
        <w:gridCol w:w="2155"/>
        <w:gridCol w:w="2155"/>
      </w:tblGrid>
      <w:tr w:rsidR="00A07DE6" w:rsidRPr="00A07DE6" w:rsidTr="00A07DE6">
        <w:trPr>
          <w:cantSplit/>
          <w:jc w:val="center"/>
        </w:trPr>
        <w:tc>
          <w:tcPr>
            <w:tcW w:w="1985" w:type="dxa"/>
            <w:tcBorders>
              <w:top w:val="single" w:sz="6" w:space="0" w:color="auto"/>
              <w:left w:val="single" w:sz="6" w:space="0" w:color="auto"/>
            </w:tcBorders>
            <w:vAlign w:val="center"/>
          </w:tcPr>
          <w:p w:rsidR="00A07DE6" w:rsidRPr="00A07DE6" w:rsidRDefault="00A07DE6" w:rsidP="00A07DE6">
            <w:pPr>
              <w:spacing w:before="60" w:after="60" w:line="240" w:lineRule="atLeast"/>
              <w:jc w:val="center"/>
              <w:rPr>
                <w:sz w:val="18"/>
              </w:rPr>
            </w:pPr>
          </w:p>
        </w:tc>
        <w:tc>
          <w:tcPr>
            <w:tcW w:w="1701" w:type="dxa"/>
            <w:tcBorders>
              <w:top w:val="single" w:sz="6" w:space="0" w:color="auto"/>
              <w:left w:val="single" w:sz="6" w:space="0" w:color="auto"/>
              <w:right w:val="single" w:sz="6" w:space="0" w:color="auto"/>
            </w:tcBorders>
            <w:vAlign w:val="center"/>
          </w:tcPr>
          <w:p w:rsidR="00A07DE6" w:rsidRPr="00A07DE6" w:rsidRDefault="00A07DE6" w:rsidP="00A07DE6">
            <w:pPr>
              <w:spacing w:before="60" w:after="60" w:line="240" w:lineRule="atLeast"/>
              <w:jc w:val="center"/>
              <w:rPr>
                <w:sz w:val="18"/>
              </w:rPr>
            </w:pPr>
            <w:r>
              <w:rPr>
                <w:sz w:val="18"/>
              </w:rPr>
              <w:t>Paraméterek</w:t>
            </w:r>
          </w:p>
        </w:tc>
        <w:tc>
          <w:tcPr>
            <w:tcW w:w="4310" w:type="dxa"/>
            <w:gridSpan w:val="2"/>
            <w:tcBorders>
              <w:top w:val="single" w:sz="6" w:space="0" w:color="auto"/>
              <w:right w:val="single" w:sz="6" w:space="0" w:color="auto"/>
            </w:tcBorders>
            <w:vAlign w:val="center"/>
          </w:tcPr>
          <w:p w:rsidR="00A07DE6" w:rsidRPr="00A07DE6" w:rsidRDefault="00A07DE6" w:rsidP="00A07DE6">
            <w:pPr>
              <w:spacing w:before="60" w:after="60" w:line="240" w:lineRule="atLeast"/>
              <w:jc w:val="center"/>
              <w:rPr>
                <w:sz w:val="18"/>
              </w:rPr>
            </w:pPr>
            <w:r>
              <w:rPr>
                <w:sz w:val="18"/>
              </w:rPr>
              <w:t>Eltérések</w:t>
            </w:r>
          </w:p>
        </w:tc>
      </w:tr>
      <w:tr w:rsidR="00A07DE6" w:rsidRPr="00A07DE6" w:rsidTr="00A07DE6">
        <w:trPr>
          <w:cantSplit/>
          <w:jc w:val="center"/>
        </w:trPr>
        <w:tc>
          <w:tcPr>
            <w:tcW w:w="1985" w:type="dxa"/>
            <w:tcBorders>
              <w:left w:val="single" w:sz="6" w:space="0" w:color="auto"/>
              <w:bottom w:val="single" w:sz="12" w:space="0" w:color="auto"/>
              <w:right w:val="single" w:sz="6" w:space="0" w:color="auto"/>
            </w:tcBorders>
            <w:vAlign w:val="center"/>
          </w:tcPr>
          <w:p w:rsidR="00A07DE6" w:rsidRPr="00A07DE6" w:rsidRDefault="00A07DE6" w:rsidP="00A07DE6">
            <w:pPr>
              <w:spacing w:before="60" w:after="60" w:line="240" w:lineRule="atLeast"/>
              <w:jc w:val="center"/>
              <w:rPr>
                <w:sz w:val="18"/>
              </w:rPr>
            </w:pPr>
          </w:p>
        </w:tc>
        <w:tc>
          <w:tcPr>
            <w:tcW w:w="1701" w:type="dxa"/>
            <w:tcBorders>
              <w:left w:val="single" w:sz="6" w:space="0" w:color="auto"/>
              <w:bottom w:val="single" w:sz="12" w:space="0" w:color="auto"/>
              <w:right w:val="single" w:sz="6" w:space="0" w:color="auto"/>
            </w:tcBorders>
            <w:vAlign w:val="center"/>
          </w:tcPr>
          <w:p w:rsidR="00A07DE6" w:rsidRPr="00A07DE6" w:rsidRDefault="00A07DE6" w:rsidP="00A07DE6">
            <w:pPr>
              <w:spacing w:before="60" w:after="60" w:line="240" w:lineRule="atLeast"/>
              <w:jc w:val="center"/>
              <w:rPr>
                <w:sz w:val="18"/>
              </w:rPr>
            </w:pPr>
          </w:p>
        </w:tc>
        <w:tc>
          <w:tcPr>
            <w:tcW w:w="2155" w:type="dxa"/>
            <w:tcBorders>
              <w:left w:val="single" w:sz="6" w:space="0" w:color="auto"/>
              <w:bottom w:val="single" w:sz="12" w:space="0" w:color="auto"/>
              <w:right w:val="single" w:sz="6" w:space="0" w:color="auto"/>
            </w:tcBorders>
            <w:vAlign w:val="center"/>
          </w:tcPr>
          <w:p w:rsidR="00A07DE6" w:rsidRPr="00A07DE6" w:rsidRDefault="00A07DE6" w:rsidP="00A07DE6">
            <w:pPr>
              <w:spacing w:before="60" w:after="60" w:line="240" w:lineRule="atLeast"/>
              <w:jc w:val="center"/>
              <w:rPr>
                <w:sz w:val="18"/>
              </w:rPr>
            </w:pPr>
            <w:r>
              <w:rPr>
                <w:sz w:val="18"/>
              </w:rPr>
              <w:t>folyamatos</w:t>
            </w:r>
          </w:p>
        </w:tc>
        <w:tc>
          <w:tcPr>
            <w:tcW w:w="2155" w:type="dxa"/>
            <w:tcBorders>
              <w:left w:val="single" w:sz="6" w:space="0" w:color="auto"/>
              <w:bottom w:val="single" w:sz="12" w:space="0" w:color="auto"/>
              <w:right w:val="single" w:sz="6" w:space="0" w:color="auto"/>
            </w:tcBorders>
            <w:vAlign w:val="center"/>
          </w:tcPr>
          <w:p w:rsidR="00A07DE6" w:rsidRPr="00A07DE6" w:rsidRDefault="00A07DE6" w:rsidP="00A07DE6">
            <w:pPr>
              <w:spacing w:before="60" w:after="60" w:line="240" w:lineRule="atLeast"/>
              <w:jc w:val="center"/>
              <w:rPr>
                <w:sz w:val="18"/>
              </w:rPr>
            </w:pPr>
            <w:r>
              <w:rPr>
                <w:sz w:val="18"/>
              </w:rPr>
              <w:t>rövid idejű</w:t>
            </w:r>
          </w:p>
        </w:tc>
      </w:tr>
      <w:tr w:rsidR="00A07DE6" w:rsidRPr="00A07DE6" w:rsidTr="00A07DE6">
        <w:trPr>
          <w:cantSplit/>
          <w:trHeight w:val="763"/>
          <w:jc w:val="center"/>
        </w:trPr>
        <w:tc>
          <w:tcPr>
            <w:tcW w:w="1985" w:type="dxa"/>
            <w:tcBorders>
              <w:top w:val="single" w:sz="12"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rPr>
                <w:sz w:val="18"/>
              </w:rPr>
            </w:pPr>
            <w:r>
              <w:rPr>
                <w:sz w:val="18"/>
              </w:rPr>
              <w:t>Általános működés</w:t>
            </w:r>
          </w:p>
        </w:tc>
        <w:tc>
          <w:tcPr>
            <w:tcW w:w="1701" w:type="dxa"/>
            <w:tcBorders>
              <w:top w:val="single" w:sz="12"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jc w:val="center"/>
              <w:rPr>
                <w:sz w:val="18"/>
              </w:rPr>
            </w:pPr>
            <w:r>
              <w:rPr>
                <w:sz w:val="18"/>
              </w:rPr>
              <w:t>frekvencia</w:t>
            </w:r>
            <w:r>
              <w:rPr>
                <w:sz w:val="18"/>
              </w:rPr>
              <w:br/>
              <w:t>feszültség</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jc w:val="center"/>
              <w:rPr>
                <w:sz w:val="18"/>
              </w:rPr>
            </w:pPr>
            <w:r>
              <w:rPr>
                <w:sz w:val="18"/>
              </w:rPr>
              <w:sym w:font="Symbol" w:char="F0B1"/>
            </w:r>
            <w:r>
              <w:rPr>
                <w:sz w:val="18"/>
              </w:rPr>
              <w:t xml:space="preserve"> 5 %</w:t>
            </w:r>
            <w:r>
              <w:rPr>
                <w:sz w:val="18"/>
              </w:rPr>
              <w:br/>
            </w:r>
            <w:r>
              <w:rPr>
                <w:sz w:val="18"/>
              </w:rPr>
              <w:sym w:font="Symbol" w:char="F0B1"/>
            </w:r>
            <w:r>
              <w:rPr>
                <w:sz w:val="18"/>
              </w:rPr>
              <w:t xml:space="preserve"> 10 %</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jc w:val="center"/>
              <w:rPr>
                <w:sz w:val="18"/>
              </w:rPr>
            </w:pPr>
            <w:r>
              <w:rPr>
                <w:sz w:val="18"/>
              </w:rPr>
              <w:sym w:font="Symbol" w:char="F0B1"/>
            </w:r>
            <w:r>
              <w:rPr>
                <w:sz w:val="18"/>
              </w:rPr>
              <w:t xml:space="preserve"> 10 % 5 s</w:t>
            </w:r>
            <w:r>
              <w:rPr>
                <w:sz w:val="18"/>
              </w:rPr>
              <w:br/>
            </w:r>
            <w:r>
              <w:rPr>
                <w:sz w:val="18"/>
              </w:rPr>
              <w:sym w:font="Symbol" w:char="F0B1"/>
            </w:r>
            <w:r>
              <w:rPr>
                <w:sz w:val="18"/>
              </w:rPr>
              <w:t xml:space="preserve"> 20 % 1,5 s</w:t>
            </w:r>
          </w:p>
        </w:tc>
      </w:tr>
      <w:tr w:rsidR="00A07DE6" w:rsidRPr="00A07DE6" w:rsidTr="00A07DE6">
        <w:trPr>
          <w:cantSplit/>
          <w:trHeight w:val="689"/>
          <w:jc w:val="center"/>
        </w:trPr>
        <w:tc>
          <w:tcPr>
            <w:tcW w:w="1985" w:type="dxa"/>
            <w:tcBorders>
              <w:top w:val="single" w:sz="6"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rPr>
                <w:sz w:val="18"/>
              </w:rPr>
            </w:pPr>
            <w:r>
              <w:rPr>
                <w:sz w:val="18"/>
              </w:rPr>
              <w:t>Akkumulátoros működés</w:t>
            </w:r>
          </w:p>
        </w:tc>
        <w:tc>
          <w:tcPr>
            <w:tcW w:w="1701" w:type="dxa"/>
            <w:tcBorders>
              <w:top w:val="single" w:sz="6"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jc w:val="center"/>
              <w:rPr>
                <w:sz w:val="18"/>
              </w:rPr>
            </w:pPr>
            <w:r>
              <w:rPr>
                <w:sz w:val="18"/>
              </w:rPr>
              <w:t>feszültség</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jc w:val="center"/>
              <w:rPr>
                <w:sz w:val="18"/>
              </w:rPr>
            </w:pPr>
            <w:r>
              <w:rPr>
                <w:sz w:val="18"/>
              </w:rPr>
              <w:t>+30 % / –25 %</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jc w:val="center"/>
              <w:rPr>
                <w:sz w:val="18"/>
              </w:rPr>
            </w:pPr>
            <w:r>
              <w:rPr>
                <w:sz w:val="18"/>
              </w:rPr>
              <w:t>-</w:t>
            </w:r>
          </w:p>
        </w:tc>
      </w:tr>
    </w:tbl>
    <w:p w:rsidR="00A07DE6" w:rsidRPr="00A07DE6" w:rsidRDefault="00A07DE6" w:rsidP="00A07DE6">
      <w:pPr>
        <w:spacing w:line="240" w:lineRule="atLeast"/>
        <w:ind w:left="567" w:hanging="567"/>
      </w:pPr>
    </w:p>
    <w:p w:rsidR="00A07DE6" w:rsidRPr="00A07DE6" w:rsidRDefault="00A07DE6" w:rsidP="00A07DE6">
      <w:pPr>
        <w:spacing w:before="60" w:line="240" w:lineRule="atLeast"/>
        <w:ind w:left="992"/>
      </w:pPr>
      <w:r>
        <w:t>c)</w:t>
      </w:r>
      <w:r>
        <w:tab/>
        <w:t>Melegítési teszt</w:t>
      </w:r>
    </w:p>
    <w:p w:rsidR="00A07DE6" w:rsidRPr="00A07DE6" w:rsidRDefault="00A07DE6" w:rsidP="00A07DE6">
      <w:pPr>
        <w:spacing w:before="60" w:line="240" w:lineRule="atLeast"/>
        <w:ind w:left="992"/>
      </w:pPr>
      <w:r>
        <w:t>A mintát fél óra alatt 55 °C hőmérsékletűre kell melegíteni. E hőmérsékletet fenn kell tartani az eléréstől számított 16 órán át. Ezt követően üzemi próbát kell végezni.</w:t>
      </w:r>
    </w:p>
    <w:p w:rsidR="00A07DE6" w:rsidRPr="00A07DE6" w:rsidRDefault="00A07DE6" w:rsidP="00E9735B">
      <w:pPr>
        <w:pStyle w:val="ESlet"/>
      </w:pPr>
      <w:r>
        <w:t>d)</w:t>
      </w:r>
      <w:r>
        <w:tab/>
        <w:t>Hidegállapotteszt</w:t>
      </w:r>
    </w:p>
    <w:p w:rsidR="00A07DE6" w:rsidRPr="00A07DE6" w:rsidRDefault="00A07DE6" w:rsidP="00A07DE6">
      <w:pPr>
        <w:spacing w:before="60" w:line="240" w:lineRule="atLeast"/>
        <w:ind w:left="992"/>
      </w:pPr>
      <w:r>
        <w:t>A mintát lekapcsolás után –25 °C hőmérsékletűre kell hűteni, majd ezen a hőmérsékleten kell tartani két órán át. Ezt követően a hőmérsékletet 0 °C-ra kell növelni, és üzemi próbát kell végezni.</w:t>
      </w:r>
    </w:p>
    <w:p w:rsidR="00A07DE6" w:rsidRPr="00A07DE6" w:rsidRDefault="00A07DE6" w:rsidP="00E9735B">
      <w:pPr>
        <w:pStyle w:val="ESlet"/>
      </w:pPr>
      <w:r>
        <w:t>e)</w:t>
      </w:r>
      <w:r>
        <w:tab/>
        <w:t>Rezgésvizsgálat</w:t>
      </w:r>
    </w:p>
    <w:p w:rsidR="00A07DE6" w:rsidRPr="00A07DE6" w:rsidRDefault="00A07DE6" w:rsidP="00A07DE6">
      <w:pPr>
        <w:spacing w:before="60" w:line="240" w:lineRule="atLeast"/>
        <w:ind w:left="992"/>
      </w:pPr>
      <w:r>
        <w:t>A rezgésvizsgálatot három tengelyen kell végezni a berendezés vagy annak alkatrészei rezonanciafrekvenciáján, minden esetben 90 percig. Ha nem alakul ki egyértelmű rezonancia, a rezgésvizsgálatot 30 Hz-en kell elvégezni.</w:t>
      </w:r>
    </w:p>
    <w:p w:rsidR="00A07DE6" w:rsidRPr="00A07DE6" w:rsidRDefault="00A07DE6" w:rsidP="00350277">
      <w:pPr>
        <w:pStyle w:val="ESletpar"/>
      </w:pPr>
      <w:r>
        <w:t>A rezgésvizsgálatot szinuszrezgéssel kell elvégezni az alábbi határértékeken belül:</w:t>
      </w:r>
    </w:p>
    <w:p w:rsidR="00A07DE6" w:rsidRPr="00A07DE6" w:rsidRDefault="00A07DE6" w:rsidP="00350277">
      <w:pPr>
        <w:pStyle w:val="ESletpar"/>
      </w:pPr>
      <w:r>
        <w:t>Általános:</w:t>
      </w:r>
    </w:p>
    <w:p w:rsidR="00A07DE6" w:rsidRPr="00A07DE6" w:rsidRDefault="00A07DE6" w:rsidP="00A07DE6">
      <w:pPr>
        <w:spacing w:before="60" w:line="240" w:lineRule="atLeast"/>
        <w:ind w:left="992"/>
      </w:pPr>
      <m:oMath>
        <m:r>
          <w:rPr>
            <w:rFonts w:ascii="Cambria Math" w:hAnsi="Cambria Math"/>
          </w:rPr>
          <m:t>f</m:t>
        </m:r>
      </m:oMath>
      <w:r>
        <w:t xml:space="preserve"> = 2,0–13,2 Hz; </w:t>
      </w:r>
      <m:oMath>
        <m:r>
          <w:rPr>
            <w:rFonts w:ascii="Cambria Math" w:hAnsi="Cambria Math"/>
          </w:rPr>
          <m:t>a</m:t>
        </m:r>
      </m:oMath>
      <w:r>
        <w:t xml:space="preserve"> = ±1 mm</w:t>
      </w:r>
    </w:p>
    <w:p w:rsidR="00A07DE6" w:rsidRPr="00A07DE6" w:rsidRDefault="00A07DE6" w:rsidP="00A07DE6">
      <w:pPr>
        <w:spacing w:before="60" w:line="240" w:lineRule="atLeast"/>
        <w:ind w:left="992"/>
      </w:pPr>
      <w:r>
        <w:t xml:space="preserve">(amplitúdó </w:t>
      </w:r>
      <m:oMath>
        <m:r>
          <w:rPr>
            <w:rFonts w:ascii="Cambria Math" w:hAnsi="Cambria Math"/>
          </w:rPr>
          <m:t>a</m:t>
        </m:r>
      </m:oMath>
      <w:r>
        <w:t xml:space="preserve"> = a vibrációs szélesség 1/2-e)</w:t>
      </w:r>
    </w:p>
    <w:p w:rsidR="00A07DE6" w:rsidRPr="00A07DE6" w:rsidRDefault="00A07DE6" w:rsidP="00A07DE6">
      <w:pPr>
        <w:spacing w:before="60" w:line="240" w:lineRule="atLeast"/>
        <w:ind w:left="992"/>
      </w:pPr>
      <m:oMath>
        <m:r>
          <w:rPr>
            <w:rFonts w:ascii="Cambria Math" w:hAnsi="Cambria Math"/>
          </w:rPr>
          <m:t>f</m:t>
        </m:r>
      </m:oMath>
      <w:r>
        <w:t xml:space="preserve"> = 13,2–100 Hz: gyorsulás ±0,7 g.</w:t>
      </w:r>
    </w:p>
    <w:p w:rsidR="00A07DE6" w:rsidRPr="00A07DE6" w:rsidRDefault="00A07DE6" w:rsidP="00A07DE6">
      <w:pPr>
        <w:spacing w:before="60" w:line="240" w:lineRule="atLeast"/>
        <w:ind w:left="992"/>
      </w:pPr>
      <w:r>
        <w:t>A belső égésű motorokat vagy a kormánygépet kiszolgáló berendezéseket a következők szerint kell vizsgálni:</w:t>
      </w:r>
    </w:p>
    <w:p w:rsidR="00A07DE6" w:rsidRPr="00F125EF" w:rsidRDefault="00A07DE6" w:rsidP="00A07DE6">
      <w:pPr>
        <w:spacing w:before="60" w:line="240" w:lineRule="atLeast"/>
        <w:ind w:left="992"/>
        <w:rPr>
          <w:lang w:val="pt-PT"/>
        </w:rPr>
      </w:pPr>
      <m:oMath>
        <m:r>
          <w:rPr>
            <w:rFonts w:ascii="Cambria Math" w:hAnsi="Cambria Math"/>
          </w:rPr>
          <m:t>f</m:t>
        </m:r>
      </m:oMath>
      <w:r w:rsidRPr="00F125EF">
        <w:rPr>
          <w:lang w:val="pt-PT"/>
        </w:rPr>
        <w:t xml:space="preserve"> = 2,0–25 Hz; </w:t>
      </w:r>
      <m:oMath>
        <m:r>
          <w:rPr>
            <w:rFonts w:ascii="Cambria Math" w:hAnsi="Cambria Math"/>
          </w:rPr>
          <m:t>a</m:t>
        </m:r>
      </m:oMath>
      <w:r w:rsidRPr="00F125EF">
        <w:rPr>
          <w:lang w:val="pt-PT"/>
        </w:rPr>
        <w:t xml:space="preserve"> = ±1,6 mm</w:t>
      </w:r>
    </w:p>
    <w:p w:rsidR="00A07DE6" w:rsidRPr="00F125EF" w:rsidRDefault="00A07DE6" w:rsidP="00A07DE6">
      <w:pPr>
        <w:spacing w:before="60" w:line="240" w:lineRule="atLeast"/>
        <w:ind w:left="992"/>
        <w:rPr>
          <w:lang w:val="pt-PT"/>
        </w:rPr>
      </w:pPr>
      <w:r w:rsidRPr="00F125EF">
        <w:rPr>
          <w:lang w:val="pt-PT"/>
        </w:rPr>
        <w:t xml:space="preserve">(amplitúdó </w:t>
      </w:r>
      <m:oMath>
        <m:r>
          <w:rPr>
            <w:rFonts w:ascii="Cambria Math" w:hAnsi="Cambria Math"/>
          </w:rPr>
          <m:t>a</m:t>
        </m:r>
      </m:oMath>
      <w:r w:rsidRPr="00F125EF">
        <w:rPr>
          <w:lang w:val="pt-PT"/>
        </w:rPr>
        <w:t xml:space="preserve"> = a vibrációs szélesség 1/2-e)</w:t>
      </w:r>
    </w:p>
    <w:p w:rsidR="00A07DE6" w:rsidRPr="00F125EF" w:rsidRDefault="00A07DE6" w:rsidP="00A07DE6">
      <w:pPr>
        <w:spacing w:before="60" w:line="240" w:lineRule="atLeast"/>
        <w:ind w:left="992"/>
        <w:rPr>
          <w:lang w:val="pt-PT"/>
        </w:rPr>
      </w:pPr>
      <m:oMath>
        <m:r>
          <w:rPr>
            <w:rFonts w:ascii="Cambria Math" w:hAnsi="Cambria Math"/>
          </w:rPr>
          <m:t>f</m:t>
        </m:r>
      </m:oMath>
      <w:r w:rsidRPr="00F125EF">
        <w:rPr>
          <w:lang w:val="pt-PT"/>
        </w:rPr>
        <w:t xml:space="preserve"> = 25–100 Hz; gyorsulás ±4 g.</w:t>
      </w:r>
    </w:p>
    <w:p w:rsidR="00A07DE6" w:rsidRPr="00F125EF" w:rsidRDefault="00A07DE6" w:rsidP="00350277">
      <w:pPr>
        <w:pStyle w:val="ESletpar"/>
        <w:rPr>
          <w:lang w:val="pt-PT"/>
        </w:rPr>
      </w:pPr>
      <w:r w:rsidRPr="00F125EF">
        <w:rPr>
          <w:lang w:val="pt-PT"/>
        </w:rPr>
        <w:t>A belső égésű motorok kipufogócsöveihez tervezett érzékelőket jelentősen nagyobb igénybevétel is érheti. Ezt a vizsgálatok során figyelembe kell venni.</w:t>
      </w:r>
    </w:p>
    <w:p w:rsidR="00A07DE6" w:rsidRPr="00F125EF" w:rsidRDefault="00A07DE6" w:rsidP="00350277">
      <w:pPr>
        <w:pStyle w:val="ESch"/>
        <w:rPr>
          <w:lang w:val="pt-PT"/>
        </w:rPr>
      </w:pPr>
    </w:p>
    <w:p w:rsidR="00A07DE6" w:rsidRPr="00F125EF" w:rsidRDefault="00A07DE6" w:rsidP="00A07DE6">
      <w:pPr>
        <w:spacing w:line="240" w:lineRule="atLeast"/>
        <w:ind w:left="567" w:hanging="567"/>
        <w:rPr>
          <w:lang w:val="pt-PT"/>
        </w:rPr>
      </w:pPr>
      <w:r w:rsidRPr="00F125EF">
        <w:rPr>
          <w:lang w:val="pt-PT"/>
        </w:rPr>
        <w:t>4.</w:t>
      </w:r>
      <w:r w:rsidRPr="00F125EF">
        <w:rPr>
          <w:lang w:val="pt-PT"/>
        </w:rPr>
        <w:tab/>
        <w:t>Az elektromágneses kompatibilitási vizsgálatot az EN 61000-4-2:2009, az EN 61000-4-3:2010 és az EN 61000</w:t>
      </w:r>
      <w:r w:rsidRPr="00F125EF">
        <w:rPr>
          <w:lang w:val="pt-PT"/>
        </w:rPr>
        <w:softHyphen/>
        <w:t>4</w:t>
      </w:r>
      <w:r w:rsidRPr="00F125EF">
        <w:rPr>
          <w:lang w:val="pt-PT"/>
        </w:rPr>
        <w:softHyphen/>
        <w:t>4:2012 európai szabvány szerint kell elvégezni, 3. vizsgálati fokozaton.</w:t>
      </w:r>
    </w:p>
    <w:p w:rsidR="00A07DE6" w:rsidRPr="00F125EF" w:rsidRDefault="00A07DE6" w:rsidP="00A07DE6">
      <w:pPr>
        <w:spacing w:line="240" w:lineRule="atLeast"/>
        <w:ind w:left="992"/>
        <w:rPr>
          <w:lang w:val="pt-PT"/>
        </w:rPr>
      </w:pPr>
    </w:p>
    <w:p w:rsidR="00A07DE6" w:rsidRPr="00F125EF" w:rsidRDefault="00A07DE6" w:rsidP="00A07DE6">
      <w:pPr>
        <w:spacing w:line="240" w:lineRule="atLeast"/>
        <w:ind w:left="567" w:hanging="567"/>
        <w:rPr>
          <w:lang w:val="pt-PT"/>
        </w:rPr>
      </w:pPr>
      <w:r w:rsidRPr="00F125EF">
        <w:rPr>
          <w:lang w:val="pt-PT"/>
        </w:rPr>
        <w:t>5.</w:t>
      </w:r>
      <w:r w:rsidRPr="00F125EF">
        <w:rPr>
          <w:lang w:val="pt-PT"/>
        </w:rPr>
        <w:tab/>
        <w:t>Az elektronikus berendezések említett vizsgálati feltételeknek való megfelelőségét a gyártónak kell igazolnia. Az elismert hajóosztályozó társaság által kiadott bizonyítvány is igazolásnak tekintendő.</w:t>
      </w:r>
    </w:p>
    <w:p w:rsidR="00283317" w:rsidRPr="00F125EF" w:rsidRDefault="00283317" w:rsidP="00283317">
      <w:pPr>
        <w:rPr>
          <w:rFonts w:cs="Arial"/>
          <w:szCs w:val="20"/>
          <w:lang w:val="pt-PT"/>
        </w:rPr>
      </w:pPr>
    </w:p>
    <w:p w:rsidR="00B04291" w:rsidRPr="00F125EF" w:rsidRDefault="00B04291" w:rsidP="00AA5633">
      <w:pPr>
        <w:pStyle w:val="ESch"/>
        <w:rPr>
          <w:lang w:val="pt-PT"/>
        </w:rPr>
      </w:pPr>
      <w:bookmarkStart w:id="201" w:name="_Toc436115054"/>
    </w:p>
    <w:p w:rsidR="00E9735B" w:rsidRPr="00F125EF" w:rsidRDefault="00E9735B">
      <w:pPr>
        <w:rPr>
          <w:lang w:val="pt-PT"/>
        </w:rPr>
      </w:pPr>
      <w:r w:rsidRPr="00F125EF">
        <w:rPr>
          <w:lang w:val="pt-PT"/>
        </w:rPr>
        <w:br w:type="page"/>
      </w:r>
    </w:p>
    <w:p w:rsidR="00E9735B" w:rsidRPr="00F125EF" w:rsidRDefault="00E9735B" w:rsidP="00AA5633">
      <w:pPr>
        <w:pStyle w:val="ESch"/>
        <w:rPr>
          <w:lang w:val="pt-PT"/>
        </w:rPr>
      </w:pPr>
    </w:p>
    <w:p w:rsidR="00B04291" w:rsidRPr="00F125EF" w:rsidRDefault="00B04291" w:rsidP="00B04291">
      <w:pPr>
        <w:pStyle w:val="ES-Titre3"/>
        <w:rPr>
          <w:i/>
          <w:lang w:val="pt-PT"/>
        </w:rPr>
      </w:pPr>
      <w:bookmarkStart w:id="202" w:name="_Toc491854098"/>
      <w:bookmarkStart w:id="203" w:name="_Toc535853877"/>
      <w:r w:rsidRPr="00F125EF">
        <w:rPr>
          <w:lang w:val="pt-PT"/>
        </w:rPr>
        <w:t>10.21. cikk</w:t>
      </w:r>
      <w:r w:rsidRPr="00F125EF">
        <w:rPr>
          <w:lang w:val="pt-PT"/>
        </w:rPr>
        <w:br/>
      </w:r>
      <w:r w:rsidRPr="00F125EF">
        <w:rPr>
          <w:i/>
          <w:lang w:val="pt-PT"/>
        </w:rPr>
        <w:t>Elektromágneses kompatibilitás</w:t>
      </w:r>
      <w:bookmarkEnd w:id="201"/>
      <w:bookmarkEnd w:id="202"/>
      <w:bookmarkEnd w:id="203"/>
    </w:p>
    <w:p w:rsidR="00B04291" w:rsidRPr="00F125EF" w:rsidRDefault="00B04291" w:rsidP="00B04291">
      <w:pPr>
        <w:pStyle w:val="ESch"/>
        <w:rPr>
          <w:lang w:val="pt-PT"/>
        </w:rPr>
      </w:pPr>
    </w:p>
    <w:p w:rsidR="00B04291" w:rsidRPr="00F125EF" w:rsidRDefault="00B04291" w:rsidP="00B04291">
      <w:pPr>
        <w:pStyle w:val="ESgauche"/>
        <w:rPr>
          <w:noProof w:val="0"/>
          <w:lang w:val="pt-PT"/>
        </w:rPr>
      </w:pPr>
      <w:r w:rsidRPr="00F125EF">
        <w:rPr>
          <w:lang w:val="pt-PT"/>
        </w:rPr>
        <w:t>Az elektromos és elektronikus rendszerek működését nem befolyásolhatja hátrányosan elektromágneses interferencia. Az általános intézkedések egyenlő hangsúllyal az alábbiakra terjednek ki:</w:t>
      </w:r>
    </w:p>
    <w:p w:rsidR="00B04291" w:rsidRPr="00F125EF" w:rsidRDefault="00B04291" w:rsidP="00B04291">
      <w:pPr>
        <w:pStyle w:val="ESletgauche"/>
        <w:rPr>
          <w:lang w:val="pt-PT"/>
        </w:rPr>
      </w:pPr>
      <w:r w:rsidRPr="00F125EF">
        <w:rPr>
          <w:lang w:val="pt-PT"/>
        </w:rPr>
        <w:t>a)</w:t>
      </w:r>
      <w:r w:rsidRPr="00F125EF">
        <w:rPr>
          <w:lang w:val="pt-PT"/>
        </w:rPr>
        <w:tab/>
        <w:t>az interferencia forrása és az érintett berendezések közötti átviteli utak szétkapcsolása;</w:t>
      </w:r>
    </w:p>
    <w:p w:rsidR="00B04291" w:rsidRPr="00F125EF" w:rsidRDefault="00B04291" w:rsidP="00B04291">
      <w:pPr>
        <w:pStyle w:val="ESletgauche"/>
        <w:rPr>
          <w:lang w:val="pt-PT"/>
        </w:rPr>
      </w:pPr>
      <w:r w:rsidRPr="00F125EF">
        <w:rPr>
          <w:lang w:val="pt-PT"/>
        </w:rPr>
        <w:t>b)</w:t>
      </w:r>
      <w:r w:rsidRPr="00F125EF">
        <w:rPr>
          <w:lang w:val="pt-PT"/>
        </w:rPr>
        <w:tab/>
        <w:t>a zavar okának csökkentése a zavar forrásánál;</w:t>
      </w:r>
    </w:p>
    <w:p w:rsidR="00B04291" w:rsidRPr="00F125EF" w:rsidRDefault="00B04291" w:rsidP="00B04291">
      <w:pPr>
        <w:pStyle w:val="ESletgauche"/>
        <w:rPr>
          <w:lang w:val="pt-PT"/>
        </w:rPr>
      </w:pPr>
      <w:r w:rsidRPr="00F125EF">
        <w:rPr>
          <w:lang w:val="pt-PT"/>
        </w:rPr>
        <w:t>c)</w:t>
      </w:r>
      <w:r w:rsidRPr="00F125EF">
        <w:rPr>
          <w:lang w:val="pt-PT"/>
        </w:rPr>
        <w:tab/>
        <w:t>az érintett berendezések interferenciára való érzékenységének csökkentése.</w:t>
      </w:r>
    </w:p>
    <w:p w:rsidR="00283317" w:rsidRPr="00F125EF" w:rsidRDefault="00283317" w:rsidP="00283317">
      <w:pPr>
        <w:rPr>
          <w:rFonts w:cs="Arial"/>
          <w:szCs w:val="20"/>
          <w:lang w:val="pt-PT"/>
        </w:rPr>
      </w:pPr>
    </w:p>
    <w:p w:rsidR="00350277" w:rsidRPr="00F125EF" w:rsidRDefault="00350277">
      <w:pPr>
        <w:rPr>
          <w:rFonts w:cs="Arial"/>
          <w:szCs w:val="20"/>
          <w:lang w:val="pt-PT"/>
        </w:rPr>
      </w:pPr>
    </w:p>
    <w:p w:rsidR="00E9735B" w:rsidRPr="00F125EF" w:rsidRDefault="00E9735B">
      <w:pPr>
        <w:rPr>
          <w:rFonts w:cs="Arial"/>
          <w:szCs w:val="20"/>
          <w:lang w:val="pt-PT"/>
        </w:rPr>
      </w:pPr>
      <w:r w:rsidRPr="00F125EF">
        <w:rPr>
          <w:lang w:val="pt-PT"/>
        </w:rPr>
        <w:br w:type="page"/>
      </w:r>
    </w:p>
    <w:p w:rsidR="00350277" w:rsidRPr="00F125EF" w:rsidRDefault="00350277" w:rsidP="00283317">
      <w:pPr>
        <w:rPr>
          <w:rFonts w:cs="Arial"/>
          <w:szCs w:val="20"/>
          <w:lang w:val="pt-PT"/>
        </w:rPr>
      </w:pPr>
    </w:p>
    <w:p w:rsidR="00E9735B" w:rsidRPr="00F125EF" w:rsidRDefault="00E9735B" w:rsidP="00283317">
      <w:pPr>
        <w:rPr>
          <w:rFonts w:cs="Arial"/>
          <w:szCs w:val="20"/>
          <w:lang w:val="pt-PT"/>
        </w:rPr>
      </w:pPr>
    </w:p>
    <w:p w:rsidR="00350277" w:rsidRPr="00F125EF" w:rsidRDefault="00350277" w:rsidP="00283317">
      <w:pPr>
        <w:rPr>
          <w:rFonts w:cs="Arial"/>
          <w:szCs w:val="20"/>
          <w:lang w:val="pt-PT"/>
        </w:rPr>
      </w:pPr>
    </w:p>
    <w:p w:rsidR="00F6371D" w:rsidRPr="00166EA9" w:rsidRDefault="00F06174" w:rsidP="00F6371D">
      <w:pPr>
        <w:pStyle w:val="ES-Titre2"/>
        <w:rPr>
          <w:lang w:val="pt-PT"/>
        </w:rPr>
      </w:pPr>
      <w:bookmarkStart w:id="204" w:name="_Toc491854099"/>
      <w:bookmarkStart w:id="205" w:name="_Toc535853878"/>
      <w:r w:rsidRPr="00166EA9">
        <w:rPr>
          <w:lang w:val="pt-PT"/>
        </w:rPr>
        <w:t>11. fejezet</w:t>
      </w:r>
      <w:r w:rsidRPr="00166EA9">
        <w:rPr>
          <w:lang w:val="pt-PT"/>
        </w:rPr>
        <w:br/>
        <w:t>Elektromos propulziós rendszerek</w:t>
      </w:r>
      <w:bookmarkEnd w:id="204"/>
      <w:bookmarkEnd w:id="205"/>
    </w:p>
    <w:p w:rsidR="009E1A19" w:rsidRPr="00F125EF" w:rsidRDefault="009E1A19" w:rsidP="009E1A19">
      <w:pPr>
        <w:rPr>
          <w:lang w:val="pt-PT"/>
        </w:rPr>
      </w:pPr>
    </w:p>
    <w:p w:rsidR="009E1A19" w:rsidRPr="00F125EF" w:rsidRDefault="009E1A19" w:rsidP="009E1A19">
      <w:pPr>
        <w:jc w:val="center"/>
        <w:rPr>
          <w:lang w:val="pt-PT"/>
        </w:rPr>
      </w:pPr>
      <w:r w:rsidRPr="00F125EF">
        <w:rPr>
          <w:lang w:val="pt-PT"/>
        </w:rPr>
        <w:t>(Üres)</w:t>
      </w:r>
    </w:p>
    <w:p w:rsidR="00283317" w:rsidRPr="00F125EF" w:rsidRDefault="00283317" w:rsidP="009E1A19">
      <w:pPr>
        <w:jc w:val="center"/>
        <w:rPr>
          <w:lang w:val="pt-PT"/>
        </w:rPr>
      </w:pPr>
    </w:p>
    <w:p w:rsidR="00283317" w:rsidRPr="00F125EF" w:rsidRDefault="00283317" w:rsidP="009E1A19">
      <w:pPr>
        <w:jc w:val="center"/>
        <w:rPr>
          <w:lang w:val="pt-PT"/>
        </w:rPr>
      </w:pPr>
    </w:p>
    <w:p w:rsidR="0093091E" w:rsidRPr="00F125EF" w:rsidRDefault="000222E9" w:rsidP="009E1A19">
      <w:pPr>
        <w:jc w:val="center"/>
        <w:rPr>
          <w:lang w:val="pt-PT"/>
        </w:rPr>
      </w:pPr>
      <w:r w:rsidRPr="00F125EF">
        <w:rPr>
          <w:lang w:val="pt-PT"/>
        </w:rPr>
        <w:br w:type="page"/>
      </w:r>
    </w:p>
    <w:p w:rsidR="00283317" w:rsidRPr="00F125EF" w:rsidRDefault="00283317" w:rsidP="009E1A19">
      <w:pPr>
        <w:jc w:val="center"/>
        <w:rPr>
          <w:lang w:val="pt-PT"/>
        </w:rPr>
      </w:pPr>
    </w:p>
    <w:p w:rsidR="00283317" w:rsidRPr="00F125EF" w:rsidRDefault="00283317" w:rsidP="009E1A19">
      <w:pPr>
        <w:jc w:val="center"/>
        <w:rPr>
          <w:lang w:val="pt-PT"/>
        </w:rPr>
      </w:pPr>
    </w:p>
    <w:p w:rsidR="00F6371D" w:rsidRPr="00166EA9" w:rsidRDefault="00F06174" w:rsidP="00F6371D">
      <w:pPr>
        <w:pStyle w:val="ES-Titre2"/>
        <w:rPr>
          <w:lang w:val="pt-PT"/>
        </w:rPr>
      </w:pPr>
      <w:bookmarkStart w:id="206" w:name="_Toc491854100"/>
      <w:bookmarkStart w:id="207" w:name="_Toc535853879"/>
      <w:r w:rsidRPr="00166EA9">
        <w:rPr>
          <w:lang w:val="pt-PT"/>
        </w:rPr>
        <w:t>12. fejezet</w:t>
      </w:r>
      <w:r w:rsidRPr="00166EA9">
        <w:rPr>
          <w:lang w:val="pt-PT"/>
        </w:rPr>
        <w:br/>
        <w:t>Elektronikus berendezések és rendszerek</w:t>
      </w:r>
      <w:bookmarkEnd w:id="206"/>
      <w:bookmarkEnd w:id="207"/>
    </w:p>
    <w:p w:rsidR="009E1A19" w:rsidRPr="00F125EF" w:rsidRDefault="009E1A19" w:rsidP="009E1A19">
      <w:pPr>
        <w:jc w:val="center"/>
        <w:rPr>
          <w:lang w:val="pt-PT"/>
        </w:rPr>
      </w:pPr>
    </w:p>
    <w:p w:rsidR="009E1A19" w:rsidRPr="00F125EF" w:rsidRDefault="009E1A19" w:rsidP="009E1A19">
      <w:pPr>
        <w:jc w:val="center"/>
        <w:rPr>
          <w:lang w:val="pt-PT"/>
        </w:rPr>
      </w:pPr>
      <w:r w:rsidRPr="00F125EF">
        <w:rPr>
          <w:lang w:val="pt-PT"/>
        </w:rPr>
        <w:t>(Üres)</w:t>
      </w:r>
    </w:p>
    <w:p w:rsidR="00283317" w:rsidRPr="00F125EF" w:rsidRDefault="00283317" w:rsidP="009E1A19">
      <w:pPr>
        <w:jc w:val="center"/>
        <w:rPr>
          <w:lang w:val="pt-PT"/>
        </w:rPr>
      </w:pPr>
    </w:p>
    <w:p w:rsidR="00283317" w:rsidRPr="00F125EF" w:rsidRDefault="00283317" w:rsidP="009E1A19">
      <w:pPr>
        <w:jc w:val="center"/>
        <w:rPr>
          <w:lang w:val="pt-PT"/>
        </w:rPr>
      </w:pPr>
    </w:p>
    <w:p w:rsidR="000222E9" w:rsidRPr="00F125EF" w:rsidRDefault="000222E9" w:rsidP="009E1A19">
      <w:pPr>
        <w:jc w:val="center"/>
        <w:rPr>
          <w:lang w:val="pt-PT"/>
        </w:rPr>
      </w:pPr>
    </w:p>
    <w:p w:rsidR="000222E9" w:rsidRPr="00F125EF" w:rsidRDefault="000222E9" w:rsidP="009E1A19">
      <w:pPr>
        <w:jc w:val="center"/>
        <w:rPr>
          <w:lang w:val="pt-PT"/>
        </w:rPr>
      </w:pPr>
      <w:r w:rsidRPr="00F125EF">
        <w:rPr>
          <w:lang w:val="pt-PT"/>
        </w:rPr>
        <w:br w:type="page"/>
      </w:r>
    </w:p>
    <w:p w:rsidR="00283317" w:rsidRPr="00F125EF" w:rsidRDefault="00283317" w:rsidP="009E1A19">
      <w:pPr>
        <w:jc w:val="center"/>
        <w:rPr>
          <w:lang w:val="pt-PT"/>
        </w:rPr>
      </w:pPr>
    </w:p>
    <w:p w:rsidR="00F6371D" w:rsidRPr="00166EA9" w:rsidRDefault="00F06174" w:rsidP="00F6371D">
      <w:pPr>
        <w:pStyle w:val="ES-Titre2"/>
        <w:rPr>
          <w:lang w:val="pt-PT"/>
        </w:rPr>
      </w:pPr>
      <w:bookmarkStart w:id="208" w:name="_Toc491854101"/>
      <w:bookmarkStart w:id="209" w:name="_Toc535853880"/>
      <w:r w:rsidRPr="00166EA9">
        <w:rPr>
          <w:lang w:val="pt-PT"/>
        </w:rPr>
        <w:t>13. fejezet</w:t>
      </w:r>
      <w:r w:rsidRPr="00166EA9">
        <w:rPr>
          <w:lang w:val="pt-PT"/>
        </w:rPr>
        <w:br/>
        <w:t>Berendezések</w:t>
      </w:r>
      <w:bookmarkEnd w:id="208"/>
      <w:bookmarkEnd w:id="209"/>
    </w:p>
    <w:p w:rsidR="00E65F26" w:rsidRPr="00F125EF" w:rsidRDefault="00E65F26" w:rsidP="00E65F26">
      <w:pPr>
        <w:pStyle w:val="ESch"/>
        <w:rPr>
          <w:lang w:val="pt-PT"/>
        </w:rPr>
      </w:pPr>
    </w:p>
    <w:p w:rsidR="00E65F26" w:rsidRPr="00F125EF" w:rsidRDefault="00E65F26" w:rsidP="00E65F26">
      <w:pPr>
        <w:pStyle w:val="ES-Titre3"/>
        <w:rPr>
          <w:i/>
          <w:lang w:val="pt-PT"/>
        </w:rPr>
      </w:pPr>
      <w:bookmarkStart w:id="210" w:name="_Toc491854102"/>
      <w:bookmarkStart w:id="211" w:name="_Toc535853881"/>
      <w:r w:rsidRPr="00F125EF">
        <w:rPr>
          <w:lang w:val="pt-PT"/>
        </w:rPr>
        <w:t>13.01. cikk</w:t>
      </w:r>
      <w:r w:rsidRPr="00F125EF">
        <w:rPr>
          <w:lang w:val="pt-PT"/>
        </w:rPr>
        <w:br/>
      </w:r>
      <w:r w:rsidRPr="00F125EF">
        <w:rPr>
          <w:i/>
          <w:noProof/>
          <w:lang w:val="pt-PT"/>
        </w:rPr>
        <w:t>Horgonyberendezések</w:t>
      </w:r>
      <w:bookmarkEnd w:id="210"/>
      <w:bookmarkEnd w:id="211"/>
    </w:p>
    <w:p w:rsidR="00312E1A" w:rsidRPr="00F125EF" w:rsidRDefault="00312E1A" w:rsidP="00E65F26">
      <w:pPr>
        <w:pStyle w:val="ESch"/>
        <w:rPr>
          <w:noProof/>
          <w:lang w:val="pt-PT"/>
        </w:rPr>
      </w:pPr>
    </w:p>
    <w:p w:rsidR="00E65F26" w:rsidRPr="00F125EF" w:rsidRDefault="00E65F26" w:rsidP="00E65F26">
      <w:pPr>
        <w:pStyle w:val="ESch"/>
        <w:rPr>
          <w:noProof/>
          <w:lang w:val="pt-PT"/>
        </w:rPr>
      </w:pPr>
      <w:r w:rsidRPr="00F125EF">
        <w:rPr>
          <w:lang w:val="pt-PT"/>
        </w:rPr>
        <w:t>1.</w:t>
      </w:r>
      <w:r w:rsidRPr="00F125EF">
        <w:rPr>
          <w:lang w:val="pt-PT"/>
        </w:rPr>
        <w:tab/>
        <w:t>Az áruszállításra szolgáló hajókat a 40 méter hosszúságot (</w:t>
      </w:r>
      <m:oMath>
        <m:r>
          <w:rPr>
            <w:rFonts w:ascii="Cambria Math" w:hAnsi="Cambria Math"/>
          </w:rPr>
          <m:t>L</m:t>
        </m:r>
      </m:oMath>
      <w:r w:rsidRPr="00F125EF">
        <w:rPr>
          <w:lang w:val="pt-PT"/>
        </w:rPr>
        <w:t>) meg nem haladó,hajón szállítható bárkák kivételével orrhorgonnyal kell felszerelni, amelynek teljes tömege (</w:t>
      </w:r>
      <m:oMath>
        <m:r>
          <w:rPr>
            <w:rFonts w:ascii="Cambria Math" w:hAnsi="Cambria Math"/>
            <w:noProof/>
          </w:rPr>
          <m:t>P</m:t>
        </m:r>
      </m:oMath>
      <w:r w:rsidRPr="00F125EF">
        <w:rPr>
          <w:lang w:val="pt-PT"/>
        </w:rPr>
        <w:t>) az alábbi képlettel számítható ki:</w:t>
      </w:r>
    </w:p>
    <w:p w:rsidR="00754A0C" w:rsidRPr="00F125EF" w:rsidRDefault="00754A0C" w:rsidP="00E65F26">
      <w:pPr>
        <w:pStyle w:val="ESch"/>
        <w:rPr>
          <w:noProof/>
          <w:lang w:val="pt-PT"/>
        </w:rPr>
      </w:pPr>
    </w:p>
    <w:p w:rsidR="00754A0C" w:rsidRPr="00C903F8" w:rsidRDefault="00754A0C" w:rsidP="00AD0020">
      <w:pPr>
        <w:pStyle w:val="ESch"/>
        <w:ind w:left="0" w:firstLine="0"/>
        <w:jc w:val="center"/>
        <w:rPr>
          <w:noProof/>
        </w:rPr>
      </w:pPr>
      <m:oMathPara>
        <m:oMath>
          <m:r>
            <w:rPr>
              <w:rFonts w:ascii="Cambria Math" w:hAnsi="Cambria Math"/>
              <w:noProof/>
            </w:rPr>
            <m:t>P=k ∙B ∙T [kg]</m:t>
          </m:r>
        </m:oMath>
      </m:oMathPara>
    </w:p>
    <w:p w:rsidR="00E65F26" w:rsidRPr="00C903F8" w:rsidRDefault="00E65F26" w:rsidP="00E65F26">
      <w:pPr>
        <w:pStyle w:val="ESch"/>
      </w:pPr>
    </w:p>
    <w:p w:rsidR="00E65F26" w:rsidRPr="00C903F8" w:rsidRDefault="00E65F26" w:rsidP="00E65F26">
      <w:pPr>
        <w:pStyle w:val="ESchpar"/>
      </w:pPr>
      <w:r>
        <w:t>ahol:</w:t>
      </w:r>
    </w:p>
    <w:p w:rsidR="00E65F26" w:rsidRPr="00C903F8" w:rsidRDefault="00754A0C" w:rsidP="00E65F26">
      <w:pPr>
        <w:pStyle w:val="ESlet"/>
      </w:pPr>
      <m:oMath>
        <m:r>
          <w:rPr>
            <w:rFonts w:ascii="Cambria Math" w:hAnsi="Cambria Math"/>
          </w:rPr>
          <m:t>k</m:t>
        </m:r>
      </m:oMath>
      <w:r>
        <w:tab/>
        <w:t>az a tényező, amely figyelembe veszi a hosszúság (</w:t>
      </w:r>
      <m:oMath>
        <m:r>
          <w:rPr>
            <w:rFonts w:ascii="Cambria Math" w:hAnsi="Cambria Math"/>
          </w:rPr>
          <m:t>L</m:t>
        </m:r>
      </m:oMath>
      <w:r>
        <w:t>) és a merevítőrúd (</w:t>
      </w:r>
      <m:oMath>
        <m:r>
          <w:rPr>
            <w:rFonts w:ascii="Cambria Math" w:hAnsi="Cambria Math"/>
          </w:rPr>
          <m:t xml:space="preserve"> B</m:t>
        </m:r>
      </m:oMath>
      <w:r>
        <w:t>) közötti kapcsolatot, valamint a hajó típusát:</w:t>
      </w:r>
    </w:p>
    <w:p w:rsidR="00AD0020" w:rsidRPr="00C903F8" w:rsidRDefault="001C4EBE" w:rsidP="00AD0020">
      <w:pPr>
        <w:pStyle w:val="ESlet"/>
        <w:ind w:left="0"/>
        <w:jc w:val="center"/>
        <w:rPr>
          <w:noProof/>
        </w:rPr>
      </w:pPr>
      <m:oMathPara>
        <m:oMath>
          <m:r>
            <w:rPr>
              <w:rFonts w:ascii="Cambria Math" w:hAnsi="Cambria Math"/>
              <w:noProof/>
            </w:rPr>
            <m:t xml:space="preserve">k= c </m:t>
          </m:r>
          <m:rad>
            <m:radPr>
              <m:degHide m:val="1"/>
              <m:ctrlPr>
                <w:rPr>
                  <w:rFonts w:ascii="Cambria Math" w:hAnsi="Cambria Math"/>
                  <w:i/>
                  <w:noProof/>
                </w:rPr>
              </m:ctrlPr>
            </m:radPr>
            <m:deg/>
            <m:e>
              <m:f>
                <m:fPr>
                  <m:ctrlPr>
                    <w:rPr>
                      <w:rFonts w:ascii="Cambria Math" w:hAnsi="Cambria Math"/>
                      <w:i/>
                      <w:noProof/>
                    </w:rPr>
                  </m:ctrlPr>
                </m:fPr>
                <m:num>
                  <m:r>
                    <w:rPr>
                      <w:rFonts w:ascii="Cambria Math" w:hAnsi="Cambria Math"/>
                      <w:noProof/>
                    </w:rPr>
                    <m:t>L</m:t>
                  </m:r>
                </m:num>
                <m:den>
                  <m:r>
                    <w:rPr>
                      <w:rFonts w:ascii="Cambria Math" w:hAnsi="Cambria Math"/>
                      <w:noProof/>
                    </w:rPr>
                    <m:t>8 ∙B</m:t>
                  </m:r>
                </m:den>
              </m:f>
            </m:e>
          </m:rad>
        </m:oMath>
      </m:oMathPara>
    </w:p>
    <w:p w:rsidR="00E65F26" w:rsidRPr="00C903F8" w:rsidRDefault="00E65F26" w:rsidP="00E65F26">
      <w:pPr>
        <w:pStyle w:val="ESch"/>
        <w:jc w:val="center"/>
        <w:rPr>
          <w:rStyle w:val="FootnoteReference"/>
          <w:rFonts w:cs="Arial"/>
          <w:sz w:val="18"/>
          <w:szCs w:val="18"/>
        </w:rPr>
      </w:pPr>
    </w:p>
    <w:p w:rsidR="00E65F26" w:rsidRPr="00C903F8" w:rsidRDefault="00E65F26" w:rsidP="00E65F26">
      <w:pPr>
        <w:pStyle w:val="ESletpar"/>
        <w:rPr>
          <w:noProof/>
        </w:rPr>
      </w:pPr>
      <w:r>
        <w:t xml:space="preserve">bárkák esetében azonban: </w:t>
      </w:r>
      <m:oMath>
        <m:r>
          <w:rPr>
            <w:rFonts w:ascii="Cambria Math" w:hAnsi="Cambria Math"/>
            <w:noProof/>
          </w:rPr>
          <m:t>k=c</m:t>
        </m:r>
      </m:oMath>
      <w:r>
        <w:t>;</w:t>
      </w:r>
    </w:p>
    <w:p w:rsidR="00E65F26" w:rsidRPr="00C903F8" w:rsidRDefault="00754A0C" w:rsidP="00E65F26">
      <w:pPr>
        <w:pStyle w:val="ESlet"/>
        <w:rPr>
          <w:noProof/>
        </w:rPr>
      </w:pPr>
      <m:oMath>
        <m:r>
          <w:rPr>
            <w:rFonts w:ascii="Cambria Math" w:hAnsi="Cambria Math"/>
            <w:noProof/>
          </w:rPr>
          <m:t>c</m:t>
        </m:r>
      </m:oMath>
      <w:r>
        <w:tab/>
        <w:t>az alábbi táblázatban megadott empirikus együttható:</w:t>
      </w:r>
    </w:p>
    <w:p w:rsidR="00E65F26" w:rsidRPr="00C903F8" w:rsidRDefault="00E65F26" w:rsidP="00E65F26">
      <w:pPr>
        <w:pStyle w:val="ESchpar"/>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3402"/>
      </w:tblGrid>
      <w:tr w:rsidR="00E65F26" w:rsidRPr="00C903F8" w:rsidTr="00F125EF">
        <w:trPr>
          <w:jc w:val="center"/>
        </w:trPr>
        <w:tc>
          <w:tcPr>
            <w:tcW w:w="3402" w:type="dxa"/>
            <w:shd w:val="clear" w:color="auto" w:fill="auto"/>
          </w:tcPr>
          <w:p w:rsidR="00E65F26" w:rsidRPr="00C903F8" w:rsidRDefault="00E65F26" w:rsidP="00481A0E">
            <w:pPr>
              <w:pStyle w:val="ESch"/>
              <w:spacing w:before="60" w:after="60"/>
              <w:ind w:left="0" w:firstLine="0"/>
              <w:jc w:val="center"/>
              <w:rPr>
                <w:sz w:val="18"/>
              </w:rPr>
            </w:pPr>
            <w:r>
              <w:rPr>
                <w:noProof/>
                <w:sz w:val="18"/>
              </w:rPr>
              <w:t>Hordképesség [tonna]</w:t>
            </w:r>
          </w:p>
        </w:tc>
        <w:tc>
          <w:tcPr>
            <w:tcW w:w="3402" w:type="dxa"/>
            <w:shd w:val="clear" w:color="auto" w:fill="auto"/>
          </w:tcPr>
          <w:p w:rsidR="00E65F26" w:rsidRPr="00C903F8" w:rsidRDefault="00E65F26" w:rsidP="0097624C">
            <w:pPr>
              <w:pStyle w:val="ESch"/>
              <w:spacing w:before="60" w:after="60"/>
              <w:ind w:left="0" w:firstLine="0"/>
              <w:jc w:val="center"/>
              <w:rPr>
                <w:sz w:val="18"/>
              </w:rPr>
            </w:pPr>
            <m:oMath>
              <m:r>
                <w:rPr>
                  <w:rFonts w:ascii="Cambria Math" w:hAnsi="Cambria Math"/>
                  <w:noProof/>
                </w:rPr>
                <m:t>c</m:t>
              </m:r>
            </m:oMath>
            <w:r w:rsidR="00F125EF">
              <w:t xml:space="preserve"> </w:t>
            </w:r>
            <w:r w:rsidR="00F125EF">
              <w:rPr>
                <w:noProof/>
                <w:sz w:val="18"/>
              </w:rPr>
              <w:t>együttható</w:t>
            </w:r>
          </w:p>
        </w:tc>
      </w:tr>
      <w:tr w:rsidR="00E65F26" w:rsidRPr="00C903F8" w:rsidTr="00F125EF">
        <w:trPr>
          <w:jc w:val="center"/>
        </w:trPr>
        <w:tc>
          <w:tcPr>
            <w:tcW w:w="3402" w:type="dxa"/>
            <w:shd w:val="clear" w:color="auto" w:fill="auto"/>
          </w:tcPr>
          <w:p w:rsidR="00E65F26" w:rsidRPr="00C903F8" w:rsidRDefault="00E65F26" w:rsidP="0097624C">
            <w:pPr>
              <w:pStyle w:val="ESch"/>
              <w:spacing w:before="60" w:after="60"/>
              <w:ind w:left="0" w:firstLine="0"/>
              <w:rPr>
                <w:sz w:val="18"/>
              </w:rPr>
            </w:pPr>
            <w:r>
              <w:rPr>
                <w:noProof/>
                <w:sz w:val="18"/>
              </w:rPr>
              <w:t>legfeljebb 400</w:t>
            </w:r>
          </w:p>
        </w:tc>
        <w:tc>
          <w:tcPr>
            <w:tcW w:w="3402" w:type="dxa"/>
            <w:shd w:val="clear" w:color="auto" w:fill="auto"/>
          </w:tcPr>
          <w:p w:rsidR="00E65F26" w:rsidRPr="00C903F8" w:rsidRDefault="00E65F26" w:rsidP="0097624C">
            <w:pPr>
              <w:pStyle w:val="ESch"/>
              <w:spacing w:before="60" w:after="60"/>
              <w:ind w:left="0" w:firstLine="0"/>
              <w:jc w:val="center"/>
              <w:rPr>
                <w:sz w:val="18"/>
              </w:rPr>
            </w:pPr>
            <w:r>
              <w:rPr>
                <w:sz w:val="18"/>
              </w:rPr>
              <w:t>45</w:t>
            </w:r>
          </w:p>
        </w:tc>
      </w:tr>
      <w:tr w:rsidR="00E65F26" w:rsidRPr="00C903F8" w:rsidTr="00F125EF">
        <w:trPr>
          <w:jc w:val="center"/>
        </w:trPr>
        <w:tc>
          <w:tcPr>
            <w:tcW w:w="3402" w:type="dxa"/>
            <w:shd w:val="clear" w:color="auto" w:fill="auto"/>
          </w:tcPr>
          <w:p w:rsidR="00E65F26" w:rsidRPr="00C903F8" w:rsidRDefault="00E65F26" w:rsidP="0097624C">
            <w:pPr>
              <w:pStyle w:val="ESch"/>
              <w:spacing w:before="60" w:after="60"/>
              <w:ind w:left="0" w:firstLine="0"/>
              <w:rPr>
                <w:sz w:val="18"/>
              </w:rPr>
            </w:pPr>
            <w:r>
              <w:rPr>
                <w:noProof/>
                <w:sz w:val="18"/>
              </w:rPr>
              <w:t>400–650</w:t>
            </w:r>
          </w:p>
        </w:tc>
        <w:tc>
          <w:tcPr>
            <w:tcW w:w="3402" w:type="dxa"/>
            <w:shd w:val="clear" w:color="auto" w:fill="auto"/>
          </w:tcPr>
          <w:p w:rsidR="00E65F26" w:rsidRPr="00C903F8" w:rsidRDefault="00E65F26" w:rsidP="0097624C">
            <w:pPr>
              <w:pStyle w:val="ESch"/>
              <w:spacing w:before="60" w:after="60"/>
              <w:ind w:left="0" w:firstLine="0"/>
              <w:jc w:val="center"/>
              <w:rPr>
                <w:sz w:val="18"/>
              </w:rPr>
            </w:pPr>
            <w:r>
              <w:rPr>
                <w:sz w:val="18"/>
              </w:rPr>
              <w:t>55</w:t>
            </w:r>
          </w:p>
        </w:tc>
      </w:tr>
      <w:tr w:rsidR="00E65F26" w:rsidRPr="00C903F8" w:rsidTr="00F125EF">
        <w:trPr>
          <w:jc w:val="center"/>
        </w:trPr>
        <w:tc>
          <w:tcPr>
            <w:tcW w:w="3402" w:type="dxa"/>
            <w:shd w:val="clear" w:color="auto" w:fill="auto"/>
          </w:tcPr>
          <w:p w:rsidR="00E65F26" w:rsidRPr="00C903F8" w:rsidRDefault="00E65F26" w:rsidP="0097624C">
            <w:pPr>
              <w:pStyle w:val="ESch"/>
              <w:spacing w:before="60" w:after="60"/>
              <w:ind w:left="0" w:firstLine="0"/>
              <w:rPr>
                <w:sz w:val="18"/>
              </w:rPr>
            </w:pPr>
            <w:r>
              <w:rPr>
                <w:noProof/>
                <w:sz w:val="18"/>
              </w:rPr>
              <w:t>650–1000</w:t>
            </w:r>
          </w:p>
        </w:tc>
        <w:tc>
          <w:tcPr>
            <w:tcW w:w="3402" w:type="dxa"/>
            <w:shd w:val="clear" w:color="auto" w:fill="auto"/>
          </w:tcPr>
          <w:p w:rsidR="00E65F26" w:rsidRPr="00C903F8" w:rsidRDefault="00E65F26" w:rsidP="0097624C">
            <w:pPr>
              <w:pStyle w:val="ESch"/>
              <w:spacing w:before="60" w:after="60"/>
              <w:ind w:left="0" w:firstLine="0"/>
              <w:jc w:val="center"/>
              <w:rPr>
                <w:sz w:val="18"/>
              </w:rPr>
            </w:pPr>
            <w:r>
              <w:rPr>
                <w:sz w:val="18"/>
              </w:rPr>
              <w:t>65</w:t>
            </w:r>
          </w:p>
        </w:tc>
      </w:tr>
      <w:tr w:rsidR="00E65F26" w:rsidRPr="00C903F8" w:rsidTr="00F125EF">
        <w:trPr>
          <w:jc w:val="center"/>
        </w:trPr>
        <w:tc>
          <w:tcPr>
            <w:tcW w:w="3402" w:type="dxa"/>
            <w:shd w:val="clear" w:color="auto" w:fill="auto"/>
          </w:tcPr>
          <w:p w:rsidR="00E65F26" w:rsidRPr="00C903F8" w:rsidRDefault="00E65F26" w:rsidP="0097624C">
            <w:pPr>
              <w:pStyle w:val="ESch"/>
              <w:spacing w:before="60" w:after="60"/>
              <w:ind w:left="0" w:firstLine="0"/>
              <w:rPr>
                <w:sz w:val="18"/>
              </w:rPr>
            </w:pPr>
            <w:r>
              <w:rPr>
                <w:noProof/>
                <w:sz w:val="18"/>
              </w:rPr>
              <w:t>1000-nél több</w:t>
            </w:r>
          </w:p>
        </w:tc>
        <w:tc>
          <w:tcPr>
            <w:tcW w:w="3402" w:type="dxa"/>
            <w:shd w:val="clear" w:color="auto" w:fill="auto"/>
          </w:tcPr>
          <w:p w:rsidR="00E65F26" w:rsidRPr="00C903F8" w:rsidRDefault="00E65F26" w:rsidP="0097624C">
            <w:pPr>
              <w:pStyle w:val="ESch"/>
              <w:spacing w:before="60" w:after="60"/>
              <w:ind w:left="0" w:firstLine="0"/>
              <w:jc w:val="center"/>
              <w:rPr>
                <w:sz w:val="18"/>
              </w:rPr>
            </w:pPr>
            <w:r>
              <w:rPr>
                <w:sz w:val="18"/>
              </w:rPr>
              <w:t>70</w:t>
            </w:r>
          </w:p>
        </w:tc>
      </w:tr>
    </w:tbl>
    <w:p w:rsidR="00E65F26" w:rsidRPr="00C903F8" w:rsidRDefault="00E65F26" w:rsidP="00E65F26">
      <w:pPr>
        <w:pStyle w:val="ESchpar"/>
        <w:rPr>
          <w:noProof/>
        </w:rPr>
      </w:pPr>
    </w:p>
    <w:p w:rsidR="00E65F26" w:rsidRPr="00C903F8" w:rsidRDefault="00E65F26" w:rsidP="00E65F26">
      <w:pPr>
        <w:pStyle w:val="ESchpar"/>
      </w:pPr>
      <w:r>
        <w:t>Azon hajók esetében, amelyek hordképessége 400 tonnánál nem nagyobb, és amelyeket szerkezetük és rendeltetésük miatt csak előre meghatározott rövid távolságokra használnak, az ellenőrző szerv elfogadhatja, hogy az orrhorgonyhoz csak a teljes tömeg (</w:t>
      </w:r>
      <m:oMath>
        <m:r>
          <w:rPr>
            <w:rFonts w:ascii="Cambria Math" w:hAnsi="Cambria Math"/>
            <w:noProof/>
          </w:rPr>
          <m:t>P</m:t>
        </m:r>
      </m:oMath>
      <w:r>
        <w:t>) kétharmada szükséges.</w:t>
      </w:r>
    </w:p>
    <w:p w:rsidR="00E65F26" w:rsidRPr="00C903F8" w:rsidRDefault="00E65F26" w:rsidP="00E65F26">
      <w:pPr>
        <w:pStyle w:val="ESch"/>
        <w:rPr>
          <w:noProof/>
        </w:rPr>
      </w:pPr>
    </w:p>
    <w:p w:rsidR="00E65F26" w:rsidRPr="00C903F8" w:rsidRDefault="00E65F26" w:rsidP="00E65F26">
      <w:pPr>
        <w:pStyle w:val="ESlet"/>
        <w:tabs>
          <w:tab w:val="left" w:pos="567"/>
        </w:tabs>
        <w:ind w:hanging="992"/>
      </w:pPr>
      <w:r>
        <w:t>2.</w:t>
      </w:r>
      <w:r>
        <w:tab/>
        <w:t>a)</w:t>
      </w:r>
      <w:r>
        <w:tab/>
        <w:t>A személyhajókat és a nem áruszállításra szolgáló hajókat a tolóhajók kivételével olyan orrhorgonnyal kell felszerelni, amelynek teljes tömege (</w:t>
      </w:r>
      <m:oMath>
        <m:r>
          <w:rPr>
            <w:rFonts w:ascii="Cambria Math" w:hAnsi="Cambria Math"/>
            <w:noProof/>
          </w:rPr>
          <m:t>P</m:t>
        </m:r>
      </m:oMath>
      <w:r>
        <w:t>) az alábbi képlettel számítható ki:</w:t>
      </w:r>
    </w:p>
    <w:p w:rsidR="00E65F26" w:rsidRPr="00C903F8" w:rsidRDefault="00E65F26" w:rsidP="00E65F26">
      <w:pPr>
        <w:pStyle w:val="ESch"/>
        <w:rPr>
          <w:noProof/>
        </w:rPr>
      </w:pPr>
    </w:p>
    <w:p w:rsidR="000E4A73" w:rsidRPr="00C903F8" w:rsidRDefault="000E4A73" w:rsidP="000E4A73">
      <w:pPr>
        <w:pStyle w:val="ESch"/>
        <w:ind w:left="0" w:firstLine="0"/>
        <w:jc w:val="center"/>
        <w:rPr>
          <w:noProof/>
        </w:rPr>
      </w:pPr>
      <m:oMathPara>
        <m:oMath>
          <m:r>
            <w:rPr>
              <w:rFonts w:ascii="Cambria Math" w:hAnsi="Cambria Math"/>
              <w:noProof/>
            </w:rPr>
            <m:t>P=k ∙B ∙T [kg]</m:t>
          </m:r>
        </m:oMath>
      </m:oMathPara>
    </w:p>
    <w:p w:rsidR="000E4A73" w:rsidRPr="00C903F8" w:rsidRDefault="000E4A73" w:rsidP="000E4A73">
      <w:pPr>
        <w:pStyle w:val="ESch"/>
        <w:jc w:val="center"/>
        <w:rPr>
          <w:noProof/>
        </w:rPr>
      </w:pPr>
    </w:p>
    <w:p w:rsidR="00E65F26" w:rsidRDefault="005C7859" w:rsidP="00E65F26">
      <w:pPr>
        <w:pStyle w:val="ESlet"/>
        <w:rPr>
          <w:rFonts w:eastAsia="Calibri"/>
        </w:rPr>
      </w:pPr>
      <w:r>
        <w:t>b)</w:t>
      </w:r>
      <w:r>
        <w:tab/>
        <w:t>Az a) ponttól eltérve, és tekintettel a tagállamok hajózási hatóságainak egyes hajózási területekre vonatkozóan alkalmazandó szabályzataira, azon személyhajók esetében, amelyek orrhorgonyainak teljes tömege (</w:t>
      </w:r>
      <m:oMath>
        <m:r>
          <w:rPr>
            <w:rFonts w:ascii="Cambria Math" w:hAnsi="Cambria Math"/>
          </w:rPr>
          <m:t>P</m:t>
        </m:r>
      </m:oMath>
      <w:r>
        <w:t>) az alábbi képlettel számítható ki, be kell jegyezni a belvízi hajóbizonyítvány 52. rovatába, hogy az orrhorgonyok teljes tömege megfelel a 13.01. cikk 2. bekezdése b) pontjában meghatározott követelményeknek:</w:t>
      </w:r>
    </w:p>
    <w:p w:rsidR="003552BC" w:rsidRPr="00C903F8" w:rsidRDefault="003552BC" w:rsidP="00E65F26">
      <w:pPr>
        <w:pStyle w:val="ESlet"/>
        <w:rPr>
          <w:sz w:val="18"/>
        </w:rPr>
      </w:pPr>
    </w:p>
    <w:p w:rsidR="000E4A73" w:rsidRPr="00C903F8" w:rsidRDefault="000E4A73" w:rsidP="00497A37">
      <w:pPr>
        <w:pStyle w:val="ESch"/>
        <w:spacing w:before="60"/>
        <w:ind w:left="0" w:firstLine="0"/>
        <w:jc w:val="center"/>
        <w:rPr>
          <w:noProof/>
        </w:rPr>
      </w:pPr>
      <m:oMathPara>
        <m:oMath>
          <m:r>
            <w:rPr>
              <w:rFonts w:ascii="Cambria Math" w:hAnsi="Cambria Math"/>
              <w:noProof/>
            </w:rPr>
            <m:t xml:space="preserve">P=k ∙B ∙T+4 </m:t>
          </m:r>
          <m:sSub>
            <m:sSubPr>
              <m:ctrlPr>
                <w:rPr>
                  <w:rFonts w:ascii="Cambria Math" w:hAnsi="Cambria Math"/>
                  <w:i/>
                  <w:noProof/>
                </w:rPr>
              </m:ctrlPr>
            </m:sSubPr>
            <m:e>
              <m:r>
                <w:rPr>
                  <w:rFonts w:ascii="Cambria Math" w:hAnsi="Cambria Math"/>
                  <w:noProof/>
                </w:rPr>
                <m:t>A</m:t>
              </m:r>
            </m:e>
            <m:sub>
              <m:r>
                <w:rPr>
                  <w:rFonts w:ascii="Cambria Math" w:hAnsi="Cambria Math"/>
                  <w:noProof/>
                </w:rPr>
                <m:t>f</m:t>
              </m:r>
            </m:sub>
          </m:sSub>
          <m:r>
            <w:rPr>
              <w:rFonts w:ascii="Cambria Math" w:hAnsi="Cambria Math"/>
              <w:noProof/>
            </w:rPr>
            <m:t xml:space="preserve"> [kg]</m:t>
          </m:r>
        </m:oMath>
      </m:oMathPara>
    </w:p>
    <w:p w:rsidR="000E4A73" w:rsidRDefault="000E4A73" w:rsidP="00E65F26">
      <w:pPr>
        <w:pStyle w:val="ESch"/>
      </w:pPr>
    </w:p>
    <w:p w:rsidR="003552BC" w:rsidRDefault="003552BC">
      <w:r>
        <w:br w:type="page"/>
      </w:r>
    </w:p>
    <w:p w:rsidR="003552BC" w:rsidRPr="00C903F8" w:rsidRDefault="003552BC" w:rsidP="00E65F26">
      <w:pPr>
        <w:pStyle w:val="ESch"/>
      </w:pPr>
    </w:p>
    <w:p w:rsidR="00E65F26" w:rsidRPr="00C903F8" w:rsidRDefault="00E65F26" w:rsidP="00E65F26">
      <w:pPr>
        <w:pStyle w:val="ESchpar"/>
      </w:pPr>
      <w:r>
        <w:t>ahol:</w:t>
      </w:r>
    </w:p>
    <w:p w:rsidR="00E65F26" w:rsidRPr="00C903F8" w:rsidRDefault="000E4A73" w:rsidP="00E65F26">
      <w:pPr>
        <w:pStyle w:val="ESlet"/>
        <w:rPr>
          <w:rStyle w:val="FootnoteReference"/>
          <w:rFonts w:cs="Arial"/>
          <w:sz w:val="18"/>
          <w:szCs w:val="18"/>
        </w:rPr>
      </w:pPr>
      <m:oMath>
        <m:r>
          <w:rPr>
            <w:rFonts w:ascii="Cambria Math" w:hAnsi="Cambria Math"/>
          </w:rPr>
          <m:t>k</m:t>
        </m:r>
      </m:oMath>
      <w:r>
        <w:tab/>
        <w:t xml:space="preserve">az 1. bekezdés szerinti együttható, de ahhoz, hogy a </w:t>
      </w:r>
      <m:oMath>
        <m:r>
          <w:rPr>
            <w:rFonts w:ascii="Cambria Math" w:hAnsi="Cambria Math"/>
            <w:noProof/>
          </w:rPr>
          <m:t>c</m:t>
        </m:r>
      </m:oMath>
      <w:r>
        <w:t xml:space="preserve"> empirikus együttható értékét megkapjuk, a bruttó hordképesség helyett a belvízi hajóbizonyítványba bejegyzett, m</w:t>
      </w:r>
      <w:r>
        <w:rPr>
          <w:noProof/>
          <w:vertAlign w:val="superscript"/>
        </w:rPr>
        <w:t>3</w:t>
      </w:r>
      <w:r>
        <w:t>-ben megadott vízkiszorítási térfogatértéket kell venni.</w:t>
      </w:r>
    </w:p>
    <w:p w:rsidR="00E65F26" w:rsidRPr="00C903F8" w:rsidRDefault="003142CA" w:rsidP="00E65F26">
      <w:pPr>
        <w:pStyle w:val="ESlet"/>
      </w:pPr>
      <m:oMath>
        <m:sSub>
          <m:sSubPr>
            <m:ctrlPr>
              <w:rPr>
                <w:rFonts w:ascii="Cambria Math" w:hAnsi="Cambria Math"/>
                <w:i/>
              </w:rPr>
            </m:ctrlPr>
          </m:sSubPr>
          <m:e>
            <m:r>
              <w:rPr>
                <w:rFonts w:ascii="Cambria Math" w:hAnsi="Cambria Math"/>
              </w:rPr>
              <m:t>A</m:t>
            </m:r>
          </m:e>
          <m:sub>
            <m:r>
              <w:rPr>
                <w:rFonts w:ascii="Cambria Math" w:hAnsi="Cambria Math"/>
              </w:rPr>
              <m:t>f</m:t>
            </m:r>
          </m:sub>
        </m:sSub>
      </m:oMath>
      <w:r w:rsidR="000505FE">
        <w:tab/>
        <w:t>az elülső kiszögellő, szélnek kitett terület m</w:t>
      </w:r>
      <w:r w:rsidR="000505FE">
        <w:rPr>
          <w:vertAlign w:val="subscript"/>
        </w:rPr>
        <w:t>2</w:t>
      </w:r>
      <w:r w:rsidR="000505FE">
        <w:t>-ben.</w:t>
      </w:r>
    </w:p>
    <w:p w:rsidR="00E65F26" w:rsidRPr="00C903F8" w:rsidRDefault="00E65F26" w:rsidP="00E65F26">
      <w:pPr>
        <w:pStyle w:val="ESch"/>
      </w:pPr>
    </w:p>
    <w:p w:rsidR="00E65F26" w:rsidRPr="00C903F8" w:rsidRDefault="00E65F26" w:rsidP="00E65F26">
      <w:pPr>
        <w:pStyle w:val="ESch"/>
      </w:pPr>
      <w:r>
        <w:t>3.</w:t>
      </w:r>
      <w:r>
        <w:tab/>
        <w:t>Az 1. bekezdésben említett hajókat, amelyek hossza (</w:t>
      </w:r>
      <m:oMath>
        <m:r>
          <w:rPr>
            <w:rFonts w:ascii="Cambria Math" w:hAnsi="Cambria Math"/>
          </w:rPr>
          <m:t>L</m:t>
        </m:r>
      </m:oMath>
      <w:r>
        <w:t xml:space="preserve">) nem haladja meg a 86 métert, farhorgonnyal kell felszerelni, amelyek teljes tömege a </w:t>
      </w:r>
      <m:oMath>
        <m:r>
          <w:rPr>
            <w:rFonts w:ascii="Cambria Math" w:hAnsi="Cambria Math"/>
            <w:noProof/>
          </w:rPr>
          <m:t>P</m:t>
        </m:r>
      </m:oMath>
      <w:r>
        <w:t xml:space="preserve"> tömeg 25 %-ával egyenlő.</w:t>
      </w:r>
    </w:p>
    <w:p w:rsidR="00E65F26" w:rsidRPr="00C903F8" w:rsidRDefault="00E65F26" w:rsidP="00E65F26">
      <w:pPr>
        <w:pStyle w:val="ESch"/>
        <w:rPr>
          <w:noProof/>
        </w:rPr>
      </w:pPr>
    </w:p>
    <w:p w:rsidR="00E65F26" w:rsidRPr="00C903F8" w:rsidRDefault="00E65F26" w:rsidP="00E65F26">
      <w:pPr>
        <w:pStyle w:val="ESchpar"/>
      </w:pPr>
      <w:r>
        <w:t>A 86 métert meghaladó hosszúságú (</w:t>
      </w:r>
      <m:oMath>
        <m:r>
          <w:rPr>
            <w:rFonts w:ascii="Cambria Math" w:hAnsi="Cambria Math"/>
          </w:rPr>
          <m:t>L</m:t>
        </m:r>
      </m:oMath>
      <w:r>
        <w:t xml:space="preserve">) hajókat olyan farhorgonnyal kell felszerelni, amelyek teljes tömege az 1. vagy 2. bekezdés szerint kiszámított </w:t>
      </w:r>
      <m:oMath>
        <m:r>
          <w:rPr>
            <w:rFonts w:ascii="Cambria Math" w:hAnsi="Cambria Math"/>
            <w:noProof/>
          </w:rPr>
          <m:t>P</m:t>
        </m:r>
      </m:oMath>
      <w:r>
        <w:t xml:space="preserve"> tömeg 50 %-ával egyenlő.</w:t>
      </w:r>
    </w:p>
    <w:p w:rsidR="00E65F26" w:rsidRPr="00C903F8" w:rsidRDefault="00E65F26" w:rsidP="00E65F26">
      <w:pPr>
        <w:pStyle w:val="ESchpar"/>
        <w:rPr>
          <w:noProof/>
        </w:rPr>
      </w:pPr>
    </w:p>
    <w:p w:rsidR="00E65F26" w:rsidRPr="00C903F8" w:rsidRDefault="00E65F26" w:rsidP="00E65F26">
      <w:pPr>
        <w:pStyle w:val="ESchpar"/>
        <w:rPr>
          <w:noProof/>
        </w:rPr>
      </w:pPr>
      <w:r>
        <w:t>A farhorgony nem kötelező az alábbiak esetében:</w:t>
      </w:r>
    </w:p>
    <w:p w:rsidR="00E65F26" w:rsidRPr="00C903F8" w:rsidRDefault="005C7859" w:rsidP="00E65F26">
      <w:pPr>
        <w:pStyle w:val="ESlet"/>
      </w:pPr>
      <w:r>
        <w:t>a)</w:t>
      </w:r>
      <w:r>
        <w:tab/>
        <w:t>azok a hajók, amelyeknél a farhorgony tömege 150 kg-nál kisebb lenne; az 1. bekezdés utolsó albekezdésében említett hajóknál az orrhorgony csökkentett súlyát kell figyelembe venni;</w:t>
      </w:r>
    </w:p>
    <w:p w:rsidR="00E65F26" w:rsidRPr="00C903F8" w:rsidRDefault="005C7859" w:rsidP="00E65F26">
      <w:pPr>
        <w:pStyle w:val="ESlet"/>
      </w:pPr>
      <w:r>
        <w:t>b)</w:t>
      </w:r>
      <w:r>
        <w:tab/>
        <w:t>bárkák.</w:t>
      </w:r>
    </w:p>
    <w:p w:rsidR="00E65F26" w:rsidRPr="00C903F8" w:rsidRDefault="00E65F26" w:rsidP="00E65F26">
      <w:pPr>
        <w:pStyle w:val="ESch"/>
        <w:rPr>
          <w:noProof/>
        </w:rPr>
      </w:pPr>
    </w:p>
    <w:p w:rsidR="00E65F26" w:rsidRPr="00C903F8" w:rsidRDefault="00E65F26" w:rsidP="00E65F26">
      <w:pPr>
        <w:pStyle w:val="ESch"/>
      </w:pPr>
      <w:r>
        <w:t>4.</w:t>
      </w:r>
      <w:r>
        <w:tab/>
        <w:t xml:space="preserve">A 86 méter hosszúságot meg nem haladó merev kötelékek meghajtására szolgáló hajókat olyan farhorgonnyal kell felszerelni, amelyek tömege az 1. bekezdés szerint az engedélyezett és a belvízi hajóbizonyítványba bejegyzett (és hajózási egységnek tekintett) kötelékekre kiszámított </w:t>
      </w:r>
      <m:oMath>
        <m:r>
          <w:rPr>
            <w:rFonts w:ascii="Cambria Math" w:hAnsi="Cambria Math"/>
            <w:noProof/>
          </w:rPr>
          <m:t>P</m:t>
        </m:r>
      </m:oMath>
      <w:r>
        <w:t xml:space="preserve"> legnagyobb tömeg 25 %-ával egyenlő.</w:t>
      </w:r>
    </w:p>
    <w:p w:rsidR="00E65F26" w:rsidRPr="00C903F8" w:rsidRDefault="00E65F26" w:rsidP="00E65F26">
      <w:pPr>
        <w:pStyle w:val="ESch"/>
        <w:rPr>
          <w:noProof/>
        </w:rPr>
      </w:pPr>
    </w:p>
    <w:p w:rsidR="00E65F26" w:rsidRPr="00C903F8" w:rsidRDefault="00E65F26" w:rsidP="00E65F26">
      <w:pPr>
        <w:pStyle w:val="ESchpar"/>
      </w:pPr>
      <w:r>
        <w:t xml:space="preserve">A 86 méter hosszúságot meghaladó merev kötelékek </w:t>
      </w:r>
      <w:r w:rsidR="007558CC">
        <w:t>folyásirán</w:t>
      </w:r>
      <w:r>
        <w:t xml:space="preserve">yú meghajtására szolgáló hajókat olyan farhorgonnyal kell felszerelni, amelyek tömege az 1. bekezdés szerint az engedélyezett és a belvízi hajóbizonyítványba bejegyzett (és hajózási egységnek tekintett) kötelékekre kiszámított </w:t>
      </w:r>
      <m:oMath>
        <m:r>
          <w:rPr>
            <w:rFonts w:ascii="Cambria Math" w:hAnsi="Cambria Math"/>
            <w:noProof/>
          </w:rPr>
          <m:t>P</m:t>
        </m:r>
      </m:oMath>
      <w:r>
        <w:t xml:space="preserve"> legnagyobb tömeg 50 %-ával egyenlő.</w:t>
      </w:r>
    </w:p>
    <w:p w:rsidR="00E65F26" w:rsidRPr="00C903F8" w:rsidRDefault="00E65F26" w:rsidP="00E65F26">
      <w:pPr>
        <w:pStyle w:val="ESch"/>
        <w:rPr>
          <w:noProof/>
        </w:rPr>
      </w:pPr>
    </w:p>
    <w:p w:rsidR="00E65F26" w:rsidRPr="00C903F8" w:rsidRDefault="00E65F26" w:rsidP="00E65F26">
      <w:pPr>
        <w:pStyle w:val="ESch"/>
      </w:pPr>
      <w:r>
        <w:t>5.</w:t>
      </w:r>
      <w:r>
        <w:tab/>
        <w:t>Bizonyos különleges horgonyok esetében az 1–4. bekezdés szerint megállapított horgonytömegeket csökkenteni lehet.</w:t>
      </w:r>
    </w:p>
    <w:p w:rsidR="00E65F26" w:rsidRPr="00C903F8" w:rsidRDefault="00E65F26" w:rsidP="00E65F26">
      <w:pPr>
        <w:pStyle w:val="ESch"/>
        <w:rPr>
          <w:noProof/>
        </w:rPr>
      </w:pPr>
    </w:p>
    <w:p w:rsidR="00E65F26" w:rsidRPr="00C903F8" w:rsidRDefault="00E65F26" w:rsidP="00E65F26">
      <w:pPr>
        <w:pStyle w:val="ESch"/>
      </w:pPr>
      <w:r>
        <w:t>6.</w:t>
      </w:r>
      <w:r>
        <w:tab/>
        <w:t xml:space="preserve">Az orrhorgonyokra kiszámított </w:t>
      </w:r>
      <m:oMath>
        <m:r>
          <w:rPr>
            <w:rFonts w:ascii="Cambria Math" w:hAnsi="Cambria Math"/>
            <w:noProof/>
          </w:rPr>
          <m:t>P</m:t>
        </m:r>
      </m:oMath>
      <w:r>
        <w:t xml:space="preserve"> teljes tömeg megosztható két horgony között. 15 %-kal csökkenthető, ha a hajó egyetlen orrhorgonnyal van felszerelve, és a horgonyláncvezető cső a hajó közepén helyezkedik el.</w:t>
      </w:r>
    </w:p>
    <w:p w:rsidR="00E65F26" w:rsidRPr="00C903F8" w:rsidRDefault="00E65F26" w:rsidP="00E65F26">
      <w:pPr>
        <w:pStyle w:val="ESch"/>
        <w:rPr>
          <w:noProof/>
        </w:rPr>
      </w:pPr>
    </w:p>
    <w:p w:rsidR="00E65F26" w:rsidRPr="00C903F8" w:rsidRDefault="00E65F26" w:rsidP="00E65F26">
      <w:pPr>
        <w:pStyle w:val="ESchpar"/>
      </w:pPr>
      <w:r>
        <w:t>A 86 méter maximális hosszúságot meghaladó tolóhajók és hajók farhorgonyainak előírt teljes tömegét meg lehet osztani két horgony között.</w:t>
      </w:r>
    </w:p>
    <w:p w:rsidR="00E65F26" w:rsidRPr="00C903F8" w:rsidRDefault="00E65F26" w:rsidP="00E65F26">
      <w:pPr>
        <w:pStyle w:val="ESch"/>
        <w:rPr>
          <w:noProof/>
        </w:rPr>
      </w:pPr>
    </w:p>
    <w:p w:rsidR="00E65F26" w:rsidRPr="00C903F8" w:rsidRDefault="00E65F26" w:rsidP="00E65F26">
      <w:pPr>
        <w:pStyle w:val="ESchpar"/>
      </w:pPr>
      <w:r>
        <w:t>A könnyebbik horgony tömege nem lehet kisebb a teljes tömeg 45 %-ánál.</w:t>
      </w:r>
    </w:p>
    <w:p w:rsidR="00E65F26" w:rsidRPr="00C903F8" w:rsidRDefault="00E65F26" w:rsidP="00E65F26">
      <w:pPr>
        <w:pStyle w:val="ESch"/>
        <w:rPr>
          <w:noProof/>
        </w:rPr>
      </w:pPr>
    </w:p>
    <w:p w:rsidR="00E65F26" w:rsidRPr="00C903F8" w:rsidRDefault="00E65F26" w:rsidP="00E65F26">
      <w:pPr>
        <w:pStyle w:val="ESch"/>
      </w:pPr>
      <w:r>
        <w:t>7.</w:t>
      </w:r>
      <w:r>
        <w:tab/>
        <w:t>Öntöttvas horgonyok használata nem megengedett.</w:t>
      </w:r>
    </w:p>
    <w:p w:rsidR="00E65F26" w:rsidRPr="00C903F8" w:rsidRDefault="00E65F26" w:rsidP="00E65F26">
      <w:pPr>
        <w:pStyle w:val="ESch"/>
        <w:rPr>
          <w:noProof/>
        </w:rPr>
      </w:pPr>
    </w:p>
    <w:p w:rsidR="00E65F26" w:rsidRPr="00C903F8" w:rsidRDefault="00E65F26" w:rsidP="00E65F26">
      <w:pPr>
        <w:pStyle w:val="ESch"/>
      </w:pPr>
      <w:r>
        <w:t>8.</w:t>
      </w:r>
      <w:r>
        <w:tab/>
        <w:t>A horgonyokon fel kell tüntetni azok tömegét tartós, domború karakterekkel.</w:t>
      </w:r>
    </w:p>
    <w:p w:rsidR="00E65F26" w:rsidRPr="00C903F8" w:rsidRDefault="00E65F26" w:rsidP="00E65F26">
      <w:pPr>
        <w:pStyle w:val="ESch"/>
        <w:rPr>
          <w:noProof/>
        </w:rPr>
      </w:pPr>
    </w:p>
    <w:p w:rsidR="00E65F26" w:rsidRPr="00C903F8" w:rsidRDefault="00E65F26" w:rsidP="00E65F26">
      <w:pPr>
        <w:pStyle w:val="ESch"/>
      </w:pPr>
      <w:r>
        <w:t>9.</w:t>
      </w:r>
      <w:r>
        <w:tab/>
        <w:t>Az 50 kg-nál nehezebb horgonyokat csörlővel kell felszerelni.</w:t>
      </w:r>
    </w:p>
    <w:p w:rsidR="00E65F26" w:rsidRPr="00C903F8" w:rsidRDefault="00E65F26" w:rsidP="00E65F26">
      <w:pPr>
        <w:pStyle w:val="ESch"/>
        <w:rPr>
          <w:noProof/>
        </w:rPr>
      </w:pPr>
    </w:p>
    <w:p w:rsidR="00E65F26" w:rsidRPr="00C903F8" w:rsidRDefault="00E65F26" w:rsidP="00E65F26">
      <w:pPr>
        <w:pStyle w:val="ESch"/>
      </w:pPr>
      <w:r>
        <w:t>10.</w:t>
      </w:r>
      <w:r>
        <w:tab/>
        <w:t>Az egyes orrhorgonyok láncának minimális hossza:</w:t>
      </w:r>
    </w:p>
    <w:p w:rsidR="00E65F26" w:rsidRPr="00C903F8" w:rsidRDefault="005C7859" w:rsidP="00E65F26">
      <w:pPr>
        <w:pStyle w:val="ESlet"/>
      </w:pPr>
      <w:r>
        <w:t>a)</w:t>
      </w:r>
      <w:r>
        <w:tab/>
        <w:t>40 m azon hajók esetében, amelyek hosszúsága (</w:t>
      </w:r>
      <m:oMath>
        <m:r>
          <w:rPr>
            <w:rFonts w:ascii="Cambria Math" w:hAnsi="Cambria Math"/>
          </w:rPr>
          <m:t>L</m:t>
        </m:r>
      </m:oMath>
      <w:r>
        <w:t>) nem haladja meg a 40 m-t;</w:t>
      </w:r>
    </w:p>
    <w:p w:rsidR="00E65F26" w:rsidRPr="00C903F8" w:rsidRDefault="005C7859" w:rsidP="00E65F26">
      <w:pPr>
        <w:pStyle w:val="ESlet"/>
      </w:pPr>
      <w:r>
        <w:t>b)</w:t>
      </w:r>
      <w:r>
        <w:tab/>
        <w:t>legalább 10 m-rel hosszabb a hajó hosszúságánál (</w:t>
      </w:r>
      <m:oMath>
        <m:r>
          <w:rPr>
            <w:rFonts w:ascii="Cambria Math" w:hAnsi="Cambria Math"/>
          </w:rPr>
          <m:t>L</m:t>
        </m:r>
      </m:oMath>
      <w:r>
        <w:t>), amennyiben az 30 és 50 m között van;</w:t>
      </w:r>
    </w:p>
    <w:p w:rsidR="00E65F26" w:rsidRPr="00C903F8" w:rsidRDefault="005C7859" w:rsidP="00E65F26">
      <w:pPr>
        <w:pStyle w:val="ESlet"/>
        <w:rPr>
          <w:noProof/>
        </w:rPr>
      </w:pPr>
      <w:r>
        <w:t>c)</w:t>
      </w:r>
      <w:r>
        <w:tab/>
        <w:t>60 m azon hajók esetében, amelyek hosszúsága (</w:t>
      </w:r>
      <m:oMath>
        <m:r>
          <w:rPr>
            <w:rFonts w:ascii="Cambria Math" w:hAnsi="Cambria Math"/>
          </w:rPr>
          <m:t>L</m:t>
        </m:r>
      </m:oMath>
      <w:r>
        <w:t>) meghaladja az 50 m-t.</w:t>
      </w:r>
    </w:p>
    <w:p w:rsidR="00E65F26" w:rsidRDefault="00E65F26" w:rsidP="00E65F26">
      <w:pPr>
        <w:pStyle w:val="ESch"/>
        <w:rPr>
          <w:noProof/>
        </w:rPr>
      </w:pPr>
    </w:p>
    <w:p w:rsidR="003552BC" w:rsidRDefault="003552BC">
      <w:pPr>
        <w:rPr>
          <w:noProof/>
        </w:rPr>
      </w:pPr>
      <w:r>
        <w:br w:type="page"/>
      </w:r>
    </w:p>
    <w:p w:rsidR="00E65F26" w:rsidRPr="00C903F8" w:rsidRDefault="00E65F26" w:rsidP="00E65F26">
      <w:pPr>
        <w:pStyle w:val="ESchpar"/>
      </w:pPr>
      <w:r>
        <w:t xml:space="preserve">Minden farhorgonyláncnak legalább 40 méter hosszúnak kell lennie. Ha azonban a hajónak </w:t>
      </w:r>
      <w:r w:rsidR="007558CC">
        <w:t>folyásirán</w:t>
      </w:r>
      <w:r>
        <w:t>yban kell megállnia, mindegyik farhorgonyláncának legalább 60 méter hosszúnak kell lennie.</w:t>
      </w:r>
    </w:p>
    <w:p w:rsidR="00E65F26" w:rsidRPr="00C903F8" w:rsidRDefault="00E65F26" w:rsidP="00E65F26">
      <w:pPr>
        <w:pStyle w:val="ESch"/>
        <w:rPr>
          <w:noProof/>
        </w:rPr>
      </w:pPr>
    </w:p>
    <w:p w:rsidR="00E65F26" w:rsidRPr="00C903F8" w:rsidRDefault="00E65F26" w:rsidP="00E65F26">
      <w:pPr>
        <w:pStyle w:val="ESch"/>
      </w:pPr>
      <w:r>
        <w:t>11.</w:t>
      </w:r>
      <w:r>
        <w:tab/>
        <w:t xml:space="preserve">A horgonyláncok minimális szakítószilárdságát </w:t>
      </w:r>
      <m:oMath>
        <m:r>
          <w:rPr>
            <w:rFonts w:ascii="Cambria Math" w:hAnsi="Cambria Math"/>
            <w:noProof/>
          </w:rPr>
          <m:t>R</m:t>
        </m:r>
      </m:oMath>
      <w:r>
        <w:t xml:space="preserve"> az alábbi képletekkel kell kiszámítani:</w:t>
      </w:r>
    </w:p>
    <w:p w:rsidR="00E65F26" w:rsidRPr="00C903F8" w:rsidRDefault="005C7859" w:rsidP="00E65F26">
      <w:pPr>
        <w:pStyle w:val="ESlet"/>
        <w:rPr>
          <w:noProof/>
        </w:rPr>
      </w:pPr>
      <w:r>
        <w:t>a)</w:t>
      </w:r>
      <w:r>
        <w:tab/>
        <w:t>a legfeljebb 500 kg tömegű horgonyok estében:</w:t>
      </w:r>
    </w:p>
    <w:p w:rsidR="000E4A73" w:rsidRPr="00C903F8" w:rsidRDefault="000E4A73" w:rsidP="00E65F26">
      <w:pPr>
        <w:pStyle w:val="ESlet"/>
        <w:rPr>
          <w:noProof/>
        </w:rPr>
      </w:pPr>
    </w:p>
    <w:p w:rsidR="000E4A73" w:rsidRPr="00C903F8" w:rsidRDefault="000E4A73" w:rsidP="000E4A73">
      <w:pPr>
        <w:pStyle w:val="ESlet"/>
        <w:ind w:left="0"/>
        <w:jc w:val="center"/>
        <w:rPr>
          <w:noProof/>
        </w:rPr>
      </w:pPr>
      <m:oMathPara>
        <m:oMath>
          <m:r>
            <w:rPr>
              <w:rFonts w:ascii="Cambria Math" w:hAnsi="Cambria Math"/>
              <w:noProof/>
            </w:rPr>
            <m:t>R=0,35 ∙</m:t>
          </m:r>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[kN]</m:t>
          </m:r>
        </m:oMath>
      </m:oMathPara>
    </w:p>
    <w:p w:rsidR="000E4A73" w:rsidRPr="00C903F8" w:rsidRDefault="000E4A73" w:rsidP="00E65F26">
      <w:pPr>
        <w:pStyle w:val="ESlet"/>
      </w:pPr>
    </w:p>
    <w:p w:rsidR="00E65F26" w:rsidRPr="00C903F8" w:rsidRDefault="005C7859" w:rsidP="00E65F26">
      <w:pPr>
        <w:pStyle w:val="ESlet"/>
      </w:pPr>
      <w:r>
        <w:t>b)</w:t>
      </w:r>
      <w:r>
        <w:tab/>
        <w:t>az 500 kg-nál nagyobb tömegű, de 2000 kg-ot nem meghaladó tömegű horgonyok estében:</w:t>
      </w:r>
    </w:p>
    <w:p w:rsidR="003D2E2F" w:rsidRPr="00C903F8" w:rsidRDefault="003D2E2F" w:rsidP="003D2E2F">
      <w:pPr>
        <w:pStyle w:val="ESgauche"/>
        <w:jc w:val="center"/>
      </w:pPr>
    </w:p>
    <w:p w:rsidR="007F43E9" w:rsidRPr="00C903F8" w:rsidRDefault="007F43E9" w:rsidP="007F43E9">
      <w:pPr>
        <w:pStyle w:val="ESlet"/>
        <w:ind w:left="0"/>
        <w:jc w:val="center"/>
        <w:rPr>
          <w:noProof/>
        </w:rPr>
      </w:pPr>
      <m:oMathPara>
        <m:oMath>
          <m:r>
            <w:rPr>
              <w:rFonts w:ascii="Cambria Math" w:hAnsi="Cambria Math"/>
              <w:noProof/>
            </w:rPr>
            <m:t>R=</m:t>
          </m:r>
          <m:d>
            <m:dPr>
              <m:ctrlPr>
                <w:rPr>
                  <w:rFonts w:ascii="Cambria Math" w:hAnsi="Cambria Math"/>
                  <w:i/>
                  <w:noProof/>
                </w:rPr>
              </m:ctrlPr>
            </m:dPr>
            <m:e>
              <m:r>
                <w:rPr>
                  <w:rFonts w:ascii="Cambria Math" w:hAnsi="Cambria Math"/>
                  <w:noProof/>
                </w:rPr>
                <m:t xml:space="preserve">0,35- </m:t>
              </m:r>
              <m:f>
                <m:fPr>
                  <m:ctrlPr>
                    <w:rPr>
                      <w:rFonts w:ascii="Cambria Math" w:hAnsi="Cambria Math"/>
                      <w:i/>
                      <w:noProof/>
                    </w:rPr>
                  </m:ctrlPr>
                </m:fPr>
                <m:num>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-500</m:t>
                  </m:r>
                </m:num>
                <m:den>
                  <m:r>
                    <w:rPr>
                      <w:rFonts w:ascii="Cambria Math" w:hAnsi="Cambria Math"/>
                      <w:noProof/>
                    </w:rPr>
                    <m:t>15000</m:t>
                  </m:r>
                </m:den>
              </m:f>
            </m:e>
          </m:d>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 xml:space="preserve"> [kN]</m:t>
          </m:r>
        </m:oMath>
      </m:oMathPara>
    </w:p>
    <w:p w:rsidR="007F43E9" w:rsidRPr="00C903F8" w:rsidRDefault="007F43E9" w:rsidP="003D2E2F">
      <w:pPr>
        <w:pStyle w:val="ESgauche"/>
        <w:jc w:val="center"/>
      </w:pPr>
    </w:p>
    <w:p w:rsidR="00E65F26" w:rsidRPr="00C903F8" w:rsidRDefault="005C7859" w:rsidP="00E65F26">
      <w:pPr>
        <w:pStyle w:val="ESlet"/>
        <w:rPr>
          <w:noProof/>
        </w:rPr>
      </w:pPr>
      <w:r>
        <w:t>c)</w:t>
      </w:r>
      <w:r>
        <w:tab/>
        <w:t>a 2000 kg-nál nagyobb tömegű horgonyok estében:</w:t>
      </w:r>
    </w:p>
    <w:p w:rsidR="003D2E2F" w:rsidRPr="00C903F8" w:rsidRDefault="003D2E2F" w:rsidP="003D2E2F">
      <w:pPr>
        <w:pStyle w:val="ESgauche"/>
        <w:jc w:val="center"/>
      </w:pPr>
    </w:p>
    <w:p w:rsidR="007F43E9" w:rsidRPr="00C903F8" w:rsidRDefault="007F43E9" w:rsidP="007F43E9">
      <w:pPr>
        <w:pStyle w:val="ESlet"/>
        <w:ind w:left="0"/>
        <w:jc w:val="center"/>
        <w:rPr>
          <w:noProof/>
        </w:rPr>
      </w:pPr>
      <m:oMathPara>
        <m:oMath>
          <m:r>
            <w:rPr>
              <w:rFonts w:ascii="Cambria Math" w:hAnsi="Cambria Math"/>
              <w:noProof/>
            </w:rPr>
            <m:t>R=0,25 ∙</m:t>
          </m:r>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[kN]</m:t>
          </m:r>
        </m:oMath>
      </m:oMathPara>
    </w:p>
    <w:p w:rsidR="007F43E9" w:rsidRPr="00C903F8" w:rsidRDefault="007F43E9" w:rsidP="007F43E9">
      <w:pPr>
        <w:pStyle w:val="ESlet"/>
      </w:pPr>
    </w:p>
    <w:p w:rsidR="00E65F26" w:rsidRPr="00C903F8" w:rsidRDefault="00E65F26" w:rsidP="00E65F26">
      <w:pPr>
        <w:pStyle w:val="ESchpar"/>
      </w:pPr>
      <w:r>
        <w:t>ahol:</w:t>
      </w:r>
    </w:p>
    <w:p w:rsidR="00E65F26" w:rsidRPr="00C903F8" w:rsidRDefault="000E4A73" w:rsidP="00C973E6">
      <w:pPr>
        <w:pStyle w:val="ESlet"/>
        <w:rPr>
          <w:rStyle w:val="FootnoteReference"/>
          <w:rFonts w:cs="Arial"/>
          <w:sz w:val="18"/>
          <w:szCs w:val="18"/>
        </w:rPr>
      </w:pPr>
      <m:oMath>
        <m:r>
          <w:rPr>
            <w:rFonts w:ascii="Cambria Math" w:hAnsi="Cambria Math"/>
            <w:noProof/>
          </w:rPr>
          <m:t>P'</m:t>
        </m:r>
      </m:oMath>
      <w:r>
        <w:t xml:space="preserve"> az adott horgony 1–4. és 6. bekezdés szerint meghatározott elméleti tömege.</w:t>
      </w:r>
    </w:p>
    <w:p w:rsidR="00E65F26" w:rsidRPr="00C903F8" w:rsidRDefault="00E65F26" w:rsidP="009A25DA">
      <w:pPr>
        <w:pStyle w:val="ESchpar"/>
        <w:rPr>
          <w:noProof/>
        </w:rPr>
      </w:pPr>
    </w:p>
    <w:p w:rsidR="00E65F26" w:rsidRPr="00C903F8" w:rsidRDefault="00E65F26" w:rsidP="009A25DA">
      <w:pPr>
        <w:pStyle w:val="ESchpar"/>
      </w:pPr>
      <w:r>
        <w:t>A horgonyláncok szakítószilárdságát az egyik tagállamban hatályos valamely szabványnak megfelelően kell megállapítani.</w:t>
      </w:r>
    </w:p>
    <w:p w:rsidR="00E65F26" w:rsidRPr="00C903F8" w:rsidRDefault="00E65F26" w:rsidP="00E65F26">
      <w:pPr>
        <w:pStyle w:val="ESch"/>
        <w:rPr>
          <w:noProof/>
        </w:rPr>
      </w:pPr>
    </w:p>
    <w:p w:rsidR="00E65F26" w:rsidRPr="00C903F8" w:rsidRDefault="00E65F26" w:rsidP="00E65F26">
      <w:pPr>
        <w:pStyle w:val="ESch"/>
      </w:pPr>
      <w:r>
        <w:t>12.</w:t>
      </w:r>
      <w:r>
        <w:tab/>
        <w:t>Ha a horgony tömege az 1–6. bekezdésben előírtaknál nagyobb, a horgonylánc szakítószilárdságát a tényleges horgonytömeg függvényében kell meghatározni.</w:t>
      </w:r>
    </w:p>
    <w:p w:rsidR="00E65F26" w:rsidRPr="00C903F8" w:rsidRDefault="00E65F26" w:rsidP="00E65F26">
      <w:pPr>
        <w:pStyle w:val="ESch"/>
        <w:rPr>
          <w:noProof/>
        </w:rPr>
      </w:pPr>
    </w:p>
    <w:p w:rsidR="00E65F26" w:rsidRPr="00C903F8" w:rsidRDefault="00E65F26" w:rsidP="009A25DA">
      <w:pPr>
        <w:pStyle w:val="ESchpar"/>
      </w:pPr>
      <w:r>
        <w:t>Azokban az esetekben, ha a fedélzeten nehezebb horgonyok és ennek megfelelően erősebb horgonyláncok vannak, a belvízi hajóbizonyítványban csak az 1–6. és a 11. bekezdés szerint előírt minimális tömeget és minimális szakítószilárdságot kell feltüntetni.</w:t>
      </w:r>
    </w:p>
    <w:p w:rsidR="00E65F26" w:rsidRPr="00C903F8" w:rsidRDefault="00E65F26" w:rsidP="00E65F26">
      <w:pPr>
        <w:pStyle w:val="ESch"/>
        <w:rPr>
          <w:noProof/>
        </w:rPr>
      </w:pPr>
    </w:p>
    <w:p w:rsidR="00E65F26" w:rsidRPr="00C903F8" w:rsidRDefault="00E65F26" w:rsidP="00E65F26">
      <w:pPr>
        <w:pStyle w:val="ESch"/>
      </w:pPr>
      <w:r>
        <w:t>13.</w:t>
      </w:r>
      <w:r>
        <w:tab/>
        <w:t>A horgonyt és a láncot összekötő elemeknek (forgógyűrűk) képeseknek kell lenniük a hozzájuk tartozó lánc szakítószilárdságánál 20 %-kal nagyobb húzóterhelés elviselésére.</w:t>
      </w:r>
    </w:p>
    <w:p w:rsidR="00E65F26" w:rsidRPr="00C903F8" w:rsidRDefault="00E65F26" w:rsidP="00E65F26">
      <w:pPr>
        <w:pStyle w:val="ESch"/>
        <w:rPr>
          <w:noProof/>
        </w:rPr>
      </w:pPr>
    </w:p>
    <w:p w:rsidR="00E65F26" w:rsidRPr="00C903F8" w:rsidRDefault="00E65F26" w:rsidP="00E65F26">
      <w:pPr>
        <w:pStyle w:val="ESch"/>
      </w:pPr>
      <w:r>
        <w:t>14.</w:t>
      </w:r>
      <w:r>
        <w:tab/>
        <w:t>Horgonyláncok helyett kábelek is használhatók. A kábeleknek ugyanakkora szakítószilárdsággal kell rendelkezniük, mint ami a láncok esetében elő van írva, ugyanakkor azoknál 20 %-kal hosszabbaknak kell lenniük.</w:t>
      </w:r>
    </w:p>
    <w:p w:rsidR="00E65F26" w:rsidRPr="00C903F8" w:rsidRDefault="00E65F26" w:rsidP="00E65F26">
      <w:pPr>
        <w:pStyle w:val="ESch"/>
      </w:pPr>
    </w:p>
    <w:p w:rsidR="009A25DA" w:rsidRPr="00C903F8" w:rsidRDefault="009A25DA" w:rsidP="00E65F26">
      <w:pPr>
        <w:pStyle w:val="ESch"/>
      </w:pPr>
    </w:p>
    <w:p w:rsidR="00E65F26" w:rsidRPr="00C903F8" w:rsidRDefault="00E65F26" w:rsidP="00E65F26">
      <w:pPr>
        <w:pStyle w:val="ES-Titre3"/>
        <w:rPr>
          <w:i/>
          <w:noProof/>
        </w:rPr>
      </w:pPr>
      <w:bookmarkStart w:id="212" w:name="_Toc491854103"/>
      <w:bookmarkStart w:id="213" w:name="_Toc535853882"/>
      <w:r>
        <w:t>13.02. cikk</w:t>
      </w:r>
      <w:r>
        <w:br/>
      </w:r>
      <w:r>
        <w:rPr>
          <w:i/>
          <w:noProof/>
        </w:rPr>
        <w:t>Egyéb felszerelések</w:t>
      </w:r>
      <w:bookmarkEnd w:id="212"/>
      <w:bookmarkEnd w:id="213"/>
    </w:p>
    <w:p w:rsidR="00E65F26" w:rsidRPr="00C903F8" w:rsidRDefault="00E65F26" w:rsidP="00E65F26">
      <w:pPr>
        <w:pStyle w:val="ESch"/>
        <w:rPr>
          <w:noProof/>
        </w:rPr>
      </w:pPr>
    </w:p>
    <w:p w:rsidR="00E65F26" w:rsidRPr="00C903F8" w:rsidRDefault="00E65F26" w:rsidP="00E65F26">
      <w:pPr>
        <w:pStyle w:val="ESch"/>
      </w:pPr>
      <w:r>
        <w:t>1.</w:t>
      </w:r>
      <w:r>
        <w:tab/>
        <w:t>A fedélzeten legalább a következő felszereléseket kell tartani az egyik tagállam hajózási hatósága hatályos szabályzatának megfelelően:</w:t>
      </w:r>
    </w:p>
    <w:p w:rsidR="00E65F26" w:rsidRPr="00C903F8" w:rsidRDefault="005C7859" w:rsidP="00E65F26">
      <w:pPr>
        <w:pStyle w:val="ESlet"/>
      </w:pPr>
      <w:r>
        <w:t>a)</w:t>
      </w:r>
      <w:r>
        <w:tab/>
        <w:t>rádiótelefon-berendezés;</w:t>
      </w:r>
    </w:p>
    <w:p w:rsidR="00E65F26" w:rsidRPr="00C903F8" w:rsidRDefault="005C7859" w:rsidP="00E65F26">
      <w:pPr>
        <w:pStyle w:val="ESlet"/>
      </w:pPr>
      <w:r>
        <w:t>b)</w:t>
      </w:r>
      <w:r>
        <w:tab/>
        <w:t>a látható és hallható jelzések kibocsátására és a hajó helyzetjelölésére szolgáló készülékek és felszerelések;</w:t>
      </w:r>
    </w:p>
    <w:p w:rsidR="00E65F26" w:rsidRPr="00C903F8" w:rsidRDefault="005C7859" w:rsidP="00E65F26">
      <w:pPr>
        <w:pStyle w:val="ESlet"/>
      </w:pPr>
      <w:r>
        <w:t>c)</w:t>
      </w:r>
      <w:r>
        <w:tab/>
        <w:t>különálló vészvilágítás az előírt veszteglési fények pótlására.</w:t>
      </w:r>
    </w:p>
    <w:p w:rsidR="00E65F26" w:rsidRDefault="00E65F26" w:rsidP="00E65F26">
      <w:pPr>
        <w:pStyle w:val="ESch"/>
        <w:rPr>
          <w:noProof/>
        </w:rPr>
      </w:pPr>
    </w:p>
    <w:p w:rsidR="003552BC" w:rsidRDefault="003552BC">
      <w:pPr>
        <w:rPr>
          <w:noProof/>
        </w:rPr>
      </w:pPr>
      <w:r>
        <w:br w:type="page"/>
      </w:r>
    </w:p>
    <w:p w:rsidR="003552BC" w:rsidRPr="00C903F8" w:rsidRDefault="003552BC" w:rsidP="00E65F26">
      <w:pPr>
        <w:pStyle w:val="ESch"/>
        <w:rPr>
          <w:noProof/>
        </w:rPr>
      </w:pPr>
    </w:p>
    <w:p w:rsidR="00E65F26" w:rsidRPr="00C903F8" w:rsidRDefault="00E65F26" w:rsidP="00E65F26">
      <w:pPr>
        <w:pStyle w:val="ESch"/>
      </w:pPr>
      <w:r>
        <w:t>2.</w:t>
      </w:r>
      <w:r>
        <w:tab/>
        <w:t>A fedélzeten kell tartani a következő edényeket is:</w:t>
      </w:r>
    </w:p>
    <w:p w:rsidR="00E65F26" w:rsidRPr="00C903F8" w:rsidRDefault="005C7859" w:rsidP="00E65F26">
      <w:pPr>
        <w:pStyle w:val="ESlet"/>
      </w:pPr>
      <w:r>
        <w:t>a)</w:t>
      </w:r>
      <w:r>
        <w:tab/>
        <w:t>háztartási hulladék tárolására szolgáló, ekként jelölt edény;</w:t>
      </w:r>
    </w:p>
    <w:p w:rsidR="00E65F26" w:rsidRPr="00C903F8" w:rsidRDefault="005C7859" w:rsidP="00E65F26">
      <w:pPr>
        <w:pStyle w:val="ESlet"/>
      </w:pPr>
      <w:r>
        <w:t>b)</w:t>
      </w:r>
      <w:r>
        <w:tab/>
        <w:t>acélból vagy egyéb ellenálló, nem gyúlékony anyagból készült, megfelelő méretű, de legalább 10 liter űrtartalmú, zárófedéllel ellátott, különálló, jelölt edények a következők gyűjtésére:</w:t>
      </w:r>
    </w:p>
    <w:p w:rsidR="00E65F26" w:rsidRPr="00C903F8" w:rsidRDefault="0029453D" w:rsidP="00E65F26">
      <w:pPr>
        <w:pStyle w:val="EStiret"/>
      </w:pPr>
      <w:r>
        <w:t>aa)</w:t>
      </w:r>
      <w:r>
        <w:tab/>
        <w:t>olajos tisztítórongyok;</w:t>
      </w:r>
    </w:p>
    <w:p w:rsidR="00E65F26" w:rsidRPr="00C903F8" w:rsidRDefault="0029453D" w:rsidP="00E65F26">
      <w:pPr>
        <w:pStyle w:val="EStiret"/>
      </w:pPr>
      <w:r>
        <w:t>bb)</w:t>
      </w:r>
      <w:r>
        <w:tab/>
        <w:t>veszélyes vagy szennyező szilárd hulladékok;</w:t>
      </w:r>
    </w:p>
    <w:p w:rsidR="00E65F26" w:rsidRPr="00F46C3C" w:rsidRDefault="0029453D" w:rsidP="00E65F26">
      <w:pPr>
        <w:pStyle w:val="EStiret"/>
      </w:pPr>
      <w:r>
        <w:t>cc)</w:t>
      </w:r>
      <w:r>
        <w:tab/>
        <w:t>veszélyes vagy szennyező folyékony hulladékok;</w:t>
      </w:r>
    </w:p>
    <w:p w:rsidR="00E65F26" w:rsidRPr="00C903F8" w:rsidRDefault="00E65F26" w:rsidP="00E65F26">
      <w:pPr>
        <w:pStyle w:val="EStiret"/>
      </w:pPr>
      <w:r>
        <w:t>továbbá az esetlegesen előforduló alábbi anyagok gyűjtésére:</w:t>
      </w:r>
    </w:p>
    <w:p w:rsidR="00E65F26" w:rsidRPr="00C903F8" w:rsidRDefault="00E65F26" w:rsidP="00E65F26">
      <w:pPr>
        <w:pStyle w:val="EStiret"/>
      </w:pPr>
      <w:r>
        <w:t>dd)</w:t>
      </w:r>
      <w:r>
        <w:tab/>
        <w:t>szennyvíz;</w:t>
      </w:r>
    </w:p>
    <w:p w:rsidR="00E65F26" w:rsidRPr="00C903F8" w:rsidRDefault="00E65F26" w:rsidP="00E65F26">
      <w:pPr>
        <w:pStyle w:val="EStiret"/>
      </w:pPr>
      <w:r>
        <w:t>ee)</w:t>
      </w:r>
      <w:r>
        <w:tab/>
        <w:t>egyéb olajos vagy zsíros hulladék.</w:t>
      </w:r>
    </w:p>
    <w:p w:rsidR="009A25DA" w:rsidRPr="00C903F8" w:rsidRDefault="009A25DA" w:rsidP="00E65F26">
      <w:pPr>
        <w:pStyle w:val="ESch"/>
        <w:rPr>
          <w:noProof/>
        </w:rPr>
      </w:pPr>
    </w:p>
    <w:p w:rsidR="00E65F26" w:rsidRPr="00C903F8" w:rsidRDefault="00E65F26" w:rsidP="00E65F26">
      <w:pPr>
        <w:pStyle w:val="ESch"/>
      </w:pPr>
      <w:r>
        <w:t>3.</w:t>
      </w:r>
      <w:r>
        <w:tab/>
        <w:t>A felszerelésnek továbbá tartalmaznia kell legalább az alábbiakat:</w:t>
      </w:r>
    </w:p>
    <w:p w:rsidR="00E65F26" w:rsidRPr="00C903F8" w:rsidRDefault="005C7859" w:rsidP="009A25DA">
      <w:pPr>
        <w:pStyle w:val="ESlet"/>
      </w:pPr>
      <w:r>
        <w:t>a)</w:t>
      </w:r>
      <w:r>
        <w:tab/>
        <w:t>kikötőkötelek;</w:t>
      </w:r>
    </w:p>
    <w:p w:rsidR="00E65F26" w:rsidRPr="00C903F8" w:rsidRDefault="00E65F26" w:rsidP="009A25DA">
      <w:pPr>
        <w:pStyle w:val="ESletpar"/>
      </w:pPr>
      <w:r>
        <w:t>A hajókat három kikötőkötéllel kell felszerelni. Minimális hosszúságuk legalább a következő:</w:t>
      </w:r>
    </w:p>
    <w:p w:rsidR="00E65F26" w:rsidRPr="00C903F8" w:rsidRDefault="00E65F26" w:rsidP="00894579">
      <w:pPr>
        <w:pStyle w:val="EStiret"/>
        <w:tabs>
          <w:tab w:val="left" w:pos="2694"/>
        </w:tabs>
        <w:rPr>
          <w:rStyle w:val="FootnoteReference"/>
          <w:rFonts w:cs="Arial"/>
          <w:sz w:val="18"/>
          <w:szCs w:val="18"/>
          <w:vertAlign w:val="baseline"/>
        </w:rPr>
      </w:pPr>
      <w:r>
        <w:t xml:space="preserve">első kötél: </w:t>
      </w:r>
      <w:r>
        <w:tab/>
      </w:r>
      <m:oMath>
        <m:r>
          <w:rPr>
            <w:rFonts w:ascii="Cambria Math" w:hAnsi="Cambria Math"/>
          </w:rPr>
          <m:t>L+20 m</m:t>
        </m:r>
      </m:oMath>
      <w:r>
        <w:t xml:space="preserve"> de legfeljebb 100 m,</w:t>
      </w:r>
    </w:p>
    <w:p w:rsidR="00E65F26" w:rsidRPr="00C903F8" w:rsidRDefault="00E65F26" w:rsidP="00894579">
      <w:pPr>
        <w:pStyle w:val="EStiret"/>
        <w:tabs>
          <w:tab w:val="left" w:pos="2694"/>
        </w:tabs>
        <w:rPr>
          <w:rStyle w:val="FootnoteReference"/>
          <w:rFonts w:cs="Arial"/>
          <w:sz w:val="18"/>
          <w:szCs w:val="18"/>
          <w:vertAlign w:val="baseline"/>
        </w:rPr>
      </w:pPr>
      <w:r>
        <w:t>második kötél:</w:t>
      </w:r>
      <w:r>
        <w:tab/>
        <w:t>az első kötél hosszának 2/3-a,</w:t>
      </w:r>
    </w:p>
    <w:p w:rsidR="00E65F26" w:rsidRPr="00C903F8" w:rsidRDefault="00E65F26" w:rsidP="00894579">
      <w:pPr>
        <w:pStyle w:val="EStiret"/>
        <w:tabs>
          <w:tab w:val="left" w:pos="2694"/>
        </w:tabs>
        <w:rPr>
          <w:rStyle w:val="FootnoteReference"/>
          <w:rFonts w:cs="Arial"/>
          <w:sz w:val="18"/>
          <w:szCs w:val="18"/>
          <w:vertAlign w:val="baseline"/>
        </w:rPr>
      </w:pPr>
      <w:r>
        <w:t>harmadik kötél:</w:t>
      </w:r>
      <w:r>
        <w:tab/>
        <w:t>az első kötél hosszának 1/3-a.</w:t>
      </w:r>
    </w:p>
    <w:p w:rsidR="00E65F26" w:rsidRPr="00C903F8" w:rsidRDefault="00E65F26" w:rsidP="009A25DA">
      <w:pPr>
        <w:pStyle w:val="ESletpar"/>
      </w:pPr>
      <w:r>
        <w:t>A legrövidebb kötél rendelkezésre állása a 20 m-nél kisebb hosszúságú (</w:t>
      </w:r>
      <m:oMath>
        <m:r>
          <w:rPr>
            <w:rFonts w:ascii="Cambria Math" w:hAnsi="Cambria Math"/>
            <w:noProof/>
          </w:rPr>
          <m:t>L</m:t>
        </m:r>
      </m:oMath>
      <w:r>
        <w:t>) hajók fedélzetén nem előírás.</w:t>
      </w:r>
    </w:p>
    <w:p w:rsidR="00E65F26" w:rsidRPr="00C903F8" w:rsidRDefault="00E65F26" w:rsidP="009A25DA">
      <w:pPr>
        <w:pStyle w:val="ESletpar"/>
        <w:rPr>
          <w:noProof/>
        </w:rPr>
      </w:pPr>
      <w:r>
        <w:t xml:space="preserve">A köteleknek az alábbi képletekkel kiszámítható </w:t>
      </w:r>
      <m:oMath>
        <m:sSub>
          <m:sSubPr>
            <m:ctrlPr>
              <w:rPr>
                <w:rFonts w:ascii="Cambria Math" w:hAnsi="Cambria Math"/>
                <w:i/>
                <w:noProof/>
              </w:rPr>
            </m:ctrlPr>
          </m:sSubPr>
          <m:e>
            <m:r>
              <w:rPr>
                <w:rFonts w:ascii="Cambria Math" w:hAnsi="Cambria Math"/>
                <w:noProof/>
              </w:rPr>
              <m:t>R</m:t>
            </m:r>
          </m:e>
          <m:sub>
            <m:r>
              <w:rPr>
                <w:rFonts w:ascii="Cambria Math" w:hAnsi="Cambria Math"/>
                <w:noProof/>
              </w:rPr>
              <m:t>s</m:t>
            </m:r>
          </m:sub>
        </m:sSub>
      </m:oMath>
      <w:r>
        <w:t xml:space="preserve"> szakítószilárdsággal kell rendelkezniük:</w:t>
      </w:r>
    </w:p>
    <w:p w:rsidR="00894579" w:rsidRPr="00C903F8" w:rsidRDefault="00894579" w:rsidP="009A25DA">
      <w:pPr>
        <w:pStyle w:val="ESletpar"/>
      </w:pPr>
    </w:p>
    <w:p w:rsidR="00E65F26" w:rsidRPr="00F125EF" w:rsidRDefault="00894579" w:rsidP="001B5ABA">
      <w:pPr>
        <w:pStyle w:val="ESgauche"/>
        <w:jc w:val="center"/>
        <w:rPr>
          <w:lang w:val="it-IT"/>
        </w:rPr>
      </w:pPr>
      <w:r w:rsidRPr="00F125EF">
        <w:rPr>
          <w:lang w:val="it-IT"/>
        </w:rPr>
        <w:t xml:space="preserve">ha </w:t>
      </w:r>
      <m:oMath>
        <m:r>
          <w:rPr>
            <w:rFonts w:ascii="Cambria Math" w:hAnsi="Cambria Math"/>
          </w:rPr>
          <m:t>L</m:t>
        </m:r>
        <m:r>
          <w:rPr>
            <w:rFonts w:ascii="Cambria Math" w:hAnsi="Cambria Math"/>
            <w:lang w:val="it-IT"/>
          </w:rPr>
          <m:t xml:space="preserve"> ∙</m:t>
        </m:r>
        <m:r>
          <w:rPr>
            <w:rFonts w:ascii="Cambria Math" w:hAnsi="Cambria Math"/>
          </w:rPr>
          <m:t>B</m:t>
        </m:r>
        <m:r>
          <w:rPr>
            <w:rFonts w:ascii="Cambria Math" w:hAnsi="Cambria Math"/>
            <w:lang w:val="it-IT"/>
          </w:rPr>
          <m:t xml:space="preserve"> ∙</m:t>
        </m:r>
        <m:r>
          <w:rPr>
            <w:rFonts w:ascii="Cambria Math" w:hAnsi="Cambria Math"/>
          </w:rPr>
          <m:t>T</m:t>
        </m:r>
      </m:oMath>
      <w:r w:rsidRPr="00F125EF">
        <w:rPr>
          <w:lang w:val="it-IT"/>
        </w:rPr>
        <w:t xml:space="preserve"> legfeljebb 1000 m</w:t>
      </w:r>
      <w:r w:rsidRPr="00F125EF">
        <w:rPr>
          <w:vertAlign w:val="superscript"/>
          <w:lang w:val="it-IT"/>
        </w:rPr>
        <w:t>3</w:t>
      </w:r>
      <w:r w:rsidRPr="00F125EF">
        <w:rPr>
          <w:lang w:val="it-IT"/>
        </w:rPr>
        <w:t xml:space="preserve">: </w:t>
      </w:r>
      <m:oMath>
        <m:sSub>
          <m:sSubPr>
            <m:ctrlPr>
              <w:rPr>
                <w:rFonts w:ascii="Cambria Math" w:hAnsi="Cambria Math"/>
                <w:i/>
              </w:rPr>
            </m:ctrlPr>
          </m:sSubPr>
          <m:e>
            <m:r>
              <w:rPr>
                <w:rFonts w:ascii="Cambria Math" w:hAnsi="Cambria Math"/>
              </w:rPr>
              <m:t>R</m:t>
            </m:r>
          </m:e>
          <m:sub>
            <m:r>
              <w:rPr>
                <w:rFonts w:ascii="Cambria Math" w:hAnsi="Cambria Math"/>
              </w:rPr>
              <m:t>s</m:t>
            </m:r>
          </m:sub>
        </m:sSub>
        <m:r>
          <w:rPr>
            <w:rFonts w:ascii="Cambria Math" w:hAnsi="Cambria Math"/>
            <w:lang w:val="it-IT"/>
          </w:rPr>
          <m:t xml:space="preserve">=60+ </m:t>
        </m:r>
        <m:f>
          <m:fPr>
            <m:ctrlPr>
              <w:rPr>
                <w:rFonts w:ascii="Cambria Math" w:hAnsi="Cambria Math"/>
                <w:i/>
              </w:rPr>
            </m:ctrlPr>
          </m:fPr>
          <m:num>
            <m:r>
              <w:rPr>
                <w:rFonts w:ascii="Cambria Math" w:hAnsi="Cambria Math"/>
              </w:rPr>
              <m:t>L</m:t>
            </m:r>
            <m:r>
              <w:rPr>
                <w:rFonts w:ascii="Cambria Math" w:hAnsi="Cambria Math"/>
                <w:lang w:val="it-IT"/>
              </w:rPr>
              <m:t xml:space="preserve"> ∙</m:t>
            </m:r>
            <m:r>
              <w:rPr>
                <w:rFonts w:ascii="Cambria Math" w:hAnsi="Cambria Math"/>
              </w:rPr>
              <m:t>B</m:t>
            </m:r>
            <m:r>
              <w:rPr>
                <w:rFonts w:ascii="Cambria Math" w:hAnsi="Cambria Math"/>
                <w:lang w:val="it-IT"/>
              </w:rPr>
              <m:t xml:space="preserve"> ∙</m:t>
            </m:r>
            <m:r>
              <w:rPr>
                <w:rFonts w:ascii="Cambria Math" w:hAnsi="Cambria Math"/>
              </w:rPr>
              <m:t>T</m:t>
            </m:r>
          </m:num>
          <m:den>
            <m:r>
              <w:rPr>
                <w:rFonts w:ascii="Cambria Math" w:hAnsi="Cambria Math"/>
                <w:lang w:val="it-IT"/>
              </w:rPr>
              <m:t>10</m:t>
            </m:r>
          </m:den>
        </m:f>
        <m:r>
          <w:rPr>
            <w:rFonts w:ascii="Cambria Math" w:hAnsi="Cambria Math"/>
            <w:lang w:val="it-IT"/>
          </w:rPr>
          <m:t xml:space="preserve"> </m:t>
        </m:r>
        <m:d>
          <m:dPr>
            <m:begChr m:val="["/>
            <m:endChr m:val="]"/>
            <m:ctrlPr>
              <w:rPr>
                <w:rFonts w:ascii="Cambria Math" w:hAnsi="Cambria Math"/>
                <w:i/>
              </w:rPr>
            </m:ctrlPr>
          </m:dPr>
          <m:e>
            <m:r>
              <w:rPr>
                <w:rFonts w:ascii="Cambria Math" w:hAnsi="Cambria Math"/>
              </w:rPr>
              <m:t>kN</m:t>
            </m:r>
          </m:e>
        </m:d>
        <m:r>
          <w:rPr>
            <w:rFonts w:ascii="Cambria Math" w:hAnsi="Cambria Math"/>
            <w:lang w:val="it-IT"/>
          </w:rPr>
          <m:t>;</m:t>
        </m:r>
      </m:oMath>
    </w:p>
    <w:p w:rsidR="001B5ABA" w:rsidRPr="00F125EF" w:rsidRDefault="001B5ABA" w:rsidP="001B5ABA">
      <w:pPr>
        <w:pStyle w:val="ESgauche"/>
        <w:jc w:val="center"/>
        <w:rPr>
          <w:lang w:val="it-IT"/>
        </w:rPr>
      </w:pPr>
    </w:p>
    <w:p w:rsidR="009A25DA" w:rsidRPr="00F125EF" w:rsidRDefault="009A25DA" w:rsidP="001B5ABA">
      <w:pPr>
        <w:pStyle w:val="ESgauche"/>
        <w:jc w:val="center"/>
        <w:rPr>
          <w:lang w:val="it-IT"/>
        </w:rPr>
      </w:pPr>
      <w:r w:rsidRPr="00F125EF">
        <w:rPr>
          <w:lang w:val="it-IT"/>
        </w:rPr>
        <w:t xml:space="preserve">ha </w:t>
      </w:r>
      <m:oMath>
        <m:r>
          <w:rPr>
            <w:rFonts w:ascii="Cambria Math" w:hAnsi="Cambria Math"/>
          </w:rPr>
          <m:t>L</m:t>
        </m:r>
        <m:r>
          <w:rPr>
            <w:rFonts w:ascii="Cambria Math" w:hAnsi="Cambria Math"/>
            <w:lang w:val="it-IT"/>
          </w:rPr>
          <m:t xml:space="preserve"> ∙</m:t>
        </m:r>
        <m:r>
          <w:rPr>
            <w:rFonts w:ascii="Cambria Math" w:hAnsi="Cambria Math"/>
          </w:rPr>
          <m:t>B</m:t>
        </m:r>
        <m:r>
          <w:rPr>
            <w:rFonts w:ascii="Cambria Math" w:hAnsi="Cambria Math"/>
            <w:lang w:val="it-IT"/>
          </w:rPr>
          <m:t xml:space="preserve"> ∙</m:t>
        </m:r>
        <m:r>
          <w:rPr>
            <w:rFonts w:ascii="Cambria Math" w:hAnsi="Cambria Math"/>
          </w:rPr>
          <m:t>T</m:t>
        </m:r>
      </m:oMath>
      <w:r w:rsidRPr="00F125EF">
        <w:rPr>
          <w:lang w:val="it-IT"/>
        </w:rPr>
        <w:t xml:space="preserve"> 1000 m</w:t>
      </w:r>
      <w:r w:rsidRPr="00F125EF">
        <w:rPr>
          <w:vertAlign w:val="superscript"/>
          <w:lang w:val="it-IT"/>
        </w:rPr>
        <w:t>3</w:t>
      </w:r>
      <w:r w:rsidRPr="00F125EF">
        <w:rPr>
          <w:lang w:val="it-IT"/>
        </w:rPr>
        <w:t xml:space="preserve">-nél több: </w:t>
      </w:r>
      <m:oMath>
        <m:sSub>
          <m:sSubPr>
            <m:ctrlPr>
              <w:rPr>
                <w:rFonts w:ascii="Cambria Math" w:hAnsi="Cambria Math"/>
                <w:i/>
              </w:rPr>
            </m:ctrlPr>
          </m:sSubPr>
          <m:e>
            <m:r>
              <w:rPr>
                <w:rFonts w:ascii="Cambria Math" w:hAnsi="Cambria Math"/>
              </w:rPr>
              <m:t>R</m:t>
            </m:r>
          </m:e>
          <m:sub>
            <m:r>
              <w:rPr>
                <w:rFonts w:ascii="Cambria Math" w:hAnsi="Cambria Math"/>
              </w:rPr>
              <m:t>s</m:t>
            </m:r>
          </m:sub>
        </m:sSub>
        <m:r>
          <w:rPr>
            <w:rFonts w:ascii="Cambria Math" w:hAnsi="Cambria Math"/>
            <w:lang w:val="it-IT"/>
          </w:rPr>
          <m:t xml:space="preserve">=150+ </m:t>
        </m:r>
        <m:f>
          <m:fPr>
            <m:ctrlPr>
              <w:rPr>
                <w:rFonts w:ascii="Cambria Math" w:hAnsi="Cambria Math"/>
                <w:i/>
              </w:rPr>
            </m:ctrlPr>
          </m:fPr>
          <m:num>
            <m:r>
              <w:rPr>
                <w:rFonts w:ascii="Cambria Math" w:hAnsi="Cambria Math"/>
              </w:rPr>
              <m:t>L</m:t>
            </m:r>
            <m:r>
              <w:rPr>
                <w:rFonts w:ascii="Cambria Math" w:hAnsi="Cambria Math"/>
                <w:lang w:val="it-IT"/>
              </w:rPr>
              <m:t xml:space="preserve"> ∙</m:t>
            </m:r>
            <m:r>
              <w:rPr>
                <w:rFonts w:ascii="Cambria Math" w:hAnsi="Cambria Math"/>
              </w:rPr>
              <m:t>B</m:t>
            </m:r>
            <m:r>
              <w:rPr>
                <w:rFonts w:ascii="Cambria Math" w:hAnsi="Cambria Math"/>
                <w:lang w:val="it-IT"/>
              </w:rPr>
              <m:t xml:space="preserve"> ∙</m:t>
            </m:r>
            <m:r>
              <w:rPr>
                <w:rFonts w:ascii="Cambria Math" w:hAnsi="Cambria Math"/>
              </w:rPr>
              <m:t>T</m:t>
            </m:r>
          </m:num>
          <m:den>
            <m:r>
              <w:rPr>
                <w:rFonts w:ascii="Cambria Math" w:hAnsi="Cambria Math"/>
                <w:lang w:val="it-IT"/>
              </w:rPr>
              <m:t>100</m:t>
            </m:r>
          </m:den>
        </m:f>
        <m:r>
          <w:rPr>
            <w:rFonts w:ascii="Cambria Math" w:hAnsi="Cambria Math"/>
            <w:lang w:val="it-IT"/>
          </w:rPr>
          <m:t xml:space="preserve"> </m:t>
        </m:r>
        <m:d>
          <m:dPr>
            <m:begChr m:val="["/>
            <m:endChr m:val="]"/>
            <m:ctrlPr>
              <w:rPr>
                <w:rFonts w:ascii="Cambria Math" w:hAnsi="Cambria Math"/>
                <w:i/>
              </w:rPr>
            </m:ctrlPr>
          </m:dPr>
          <m:e>
            <m:r>
              <w:rPr>
                <w:rFonts w:ascii="Cambria Math" w:hAnsi="Cambria Math"/>
              </w:rPr>
              <m:t>kN</m:t>
            </m:r>
          </m:e>
        </m:d>
        <m:r>
          <w:rPr>
            <w:rFonts w:ascii="Cambria Math" w:hAnsi="Cambria Math"/>
            <w:lang w:val="it-IT"/>
          </w:rPr>
          <m:t>.</m:t>
        </m:r>
      </m:oMath>
    </w:p>
    <w:p w:rsidR="00D20B98" w:rsidRPr="00F125EF" w:rsidRDefault="00D20B98" w:rsidP="0034064A">
      <w:pPr>
        <w:pStyle w:val="ESletpar"/>
        <w:spacing w:before="0"/>
        <w:rPr>
          <w:noProof/>
          <w:lang w:val="it-IT"/>
        </w:rPr>
      </w:pPr>
    </w:p>
    <w:p w:rsidR="0088585A" w:rsidRPr="00F125EF" w:rsidRDefault="0088585A" w:rsidP="009A25DA">
      <w:pPr>
        <w:pStyle w:val="ESletpar"/>
        <w:rPr>
          <w:noProof/>
          <w:lang w:val="it-IT"/>
        </w:rPr>
      </w:pPr>
      <w:r w:rsidRPr="00F125EF">
        <w:rPr>
          <w:lang w:val="it-IT"/>
        </w:rPr>
        <w:t>Az előírt köteleknek az EN 10204:2004 európai szabvány 3.1. pontja szerinti tanúsítványát a hajón kell tartani.</w:t>
      </w:r>
    </w:p>
    <w:p w:rsidR="00E65F26" w:rsidRPr="00F125EF" w:rsidRDefault="00E65F26" w:rsidP="009A25DA">
      <w:pPr>
        <w:pStyle w:val="ESletpar"/>
        <w:rPr>
          <w:lang w:val="it-IT"/>
        </w:rPr>
      </w:pPr>
      <w:r w:rsidRPr="00F125EF">
        <w:rPr>
          <w:lang w:val="it-IT"/>
        </w:rPr>
        <w:t>A szóban forgó kötelek ugyanolyan hosszúságú és szakítószilárdságú kötelekkel helyettesíthetők. A kötelek minimális szakítószilárdságát tanúsítvánnyal kell igazolni.</w:t>
      </w:r>
    </w:p>
    <w:p w:rsidR="00E65F26" w:rsidRPr="00F125EF" w:rsidRDefault="005C7859" w:rsidP="009A25DA">
      <w:pPr>
        <w:pStyle w:val="ESlet"/>
        <w:rPr>
          <w:lang w:val="it-IT"/>
        </w:rPr>
      </w:pPr>
      <w:r w:rsidRPr="00F125EF">
        <w:rPr>
          <w:lang w:val="it-IT"/>
        </w:rPr>
        <w:t>b)</w:t>
      </w:r>
      <w:r w:rsidRPr="00F125EF">
        <w:rPr>
          <w:lang w:val="it-IT"/>
        </w:rPr>
        <w:tab/>
        <w:t>vontatókötelek;</w:t>
      </w:r>
    </w:p>
    <w:p w:rsidR="00E65F26" w:rsidRPr="00F125EF" w:rsidRDefault="00E65F26" w:rsidP="009A25DA">
      <w:pPr>
        <w:pStyle w:val="ESletpar"/>
        <w:rPr>
          <w:lang w:val="it-IT"/>
        </w:rPr>
      </w:pPr>
      <w:r w:rsidRPr="00F125EF">
        <w:rPr>
          <w:lang w:val="it-IT"/>
        </w:rPr>
        <w:t>A vontatóhajókat számos, a működésük szempontjából megfelelő kötéllel kell felszerelni.</w:t>
      </w:r>
    </w:p>
    <w:p w:rsidR="00E65F26" w:rsidRPr="00F125EF" w:rsidRDefault="00E65F26" w:rsidP="009A25DA">
      <w:pPr>
        <w:pStyle w:val="ESletpar"/>
        <w:rPr>
          <w:lang w:val="it-IT"/>
        </w:rPr>
      </w:pPr>
      <w:r w:rsidRPr="00F125EF">
        <w:rPr>
          <w:lang w:val="it-IT"/>
        </w:rPr>
        <w:t>A főkötél hossza azonban legalább 100 m, szakítószilárdsága pedig a főmotor(ok) kW-ban megadott összteljesítményének legalább egyharmada kN-ban.</w:t>
      </w:r>
    </w:p>
    <w:p w:rsidR="00E65F26" w:rsidRPr="00F125EF" w:rsidRDefault="00E65F26" w:rsidP="009A25DA">
      <w:pPr>
        <w:pStyle w:val="ESletpar"/>
        <w:rPr>
          <w:lang w:val="it-IT"/>
        </w:rPr>
      </w:pPr>
      <w:r w:rsidRPr="00F125EF">
        <w:rPr>
          <w:lang w:val="it-IT"/>
        </w:rPr>
        <w:t>A vontatásra is alkalmas önjáró hajókat és tolóhajókat legalább 100 méter hosszú vontatókötéllel kell felszerelni, amelynek szakítószilárdsága a főmotor(ok) kW-ban megadott összteljesítményének legalább egynegyede kN-ban.</w:t>
      </w:r>
    </w:p>
    <w:p w:rsidR="00E65F26" w:rsidRPr="00F125EF" w:rsidRDefault="005C7859" w:rsidP="009A25DA">
      <w:pPr>
        <w:pStyle w:val="ESlet"/>
        <w:rPr>
          <w:lang w:val="it-IT"/>
        </w:rPr>
      </w:pPr>
      <w:r w:rsidRPr="00F125EF">
        <w:rPr>
          <w:lang w:val="it-IT"/>
        </w:rPr>
        <w:t>c)</w:t>
      </w:r>
      <w:r w:rsidRPr="00F125EF">
        <w:rPr>
          <w:lang w:val="it-IT"/>
        </w:rPr>
        <w:tab/>
        <w:t>dobókötél;</w:t>
      </w:r>
    </w:p>
    <w:p w:rsidR="00E65F26" w:rsidRPr="00F125EF" w:rsidRDefault="005C7859" w:rsidP="009A25DA">
      <w:pPr>
        <w:pStyle w:val="ESlet"/>
        <w:rPr>
          <w:lang w:val="it-IT"/>
        </w:rPr>
      </w:pPr>
      <w:r w:rsidRPr="00F125EF">
        <w:rPr>
          <w:lang w:val="it-IT"/>
        </w:rPr>
        <w:t>d)</w:t>
      </w:r>
      <w:r w:rsidRPr="00F125EF">
        <w:rPr>
          <w:lang w:val="it-IT"/>
        </w:rPr>
        <w:tab/>
        <w:t>egy legalább 0,40 m széles és 4 m hosszú feljáróhíd, amelynek oldalélei világos színű csíkkal vannak megjelölve; a feljáróhidat kapaszkodóval kell ellátni. Rövidebb hajók esetében az ellenőrző szerv engedélyezhet rövidebb feljáróhidat is;</w:t>
      </w:r>
    </w:p>
    <w:p w:rsidR="00E65F26" w:rsidRPr="00F125EF" w:rsidRDefault="0029453D" w:rsidP="009A25DA">
      <w:pPr>
        <w:pStyle w:val="ESlet"/>
        <w:rPr>
          <w:lang w:val="it-IT"/>
        </w:rPr>
      </w:pPr>
      <w:r w:rsidRPr="00F125EF">
        <w:rPr>
          <w:lang w:val="it-IT"/>
        </w:rPr>
        <w:t>e)</w:t>
      </w:r>
      <w:r w:rsidRPr="00F125EF">
        <w:rPr>
          <w:lang w:val="it-IT"/>
        </w:rPr>
        <w:tab/>
        <w:t>csáklya;</w:t>
      </w:r>
    </w:p>
    <w:p w:rsidR="009A25DA" w:rsidRPr="00F125EF" w:rsidRDefault="009A25DA" w:rsidP="009A25DA">
      <w:pPr>
        <w:pStyle w:val="ESlet"/>
        <w:rPr>
          <w:noProof/>
          <w:lang w:val="it-IT"/>
        </w:rPr>
      </w:pPr>
    </w:p>
    <w:p w:rsidR="009A25DA" w:rsidRPr="00F125EF" w:rsidRDefault="009A25DA" w:rsidP="009A25DA">
      <w:pPr>
        <w:pStyle w:val="ESlet"/>
        <w:rPr>
          <w:noProof/>
          <w:lang w:val="it-IT"/>
        </w:rPr>
      </w:pPr>
      <w:r w:rsidRPr="00F125EF">
        <w:rPr>
          <w:lang w:val="it-IT"/>
        </w:rPr>
        <w:br w:type="page"/>
      </w:r>
    </w:p>
    <w:p w:rsidR="00E65F26" w:rsidRPr="00F125EF" w:rsidRDefault="0029453D" w:rsidP="009A25DA">
      <w:pPr>
        <w:pStyle w:val="ESlet"/>
        <w:rPr>
          <w:lang w:val="it-IT"/>
        </w:rPr>
      </w:pPr>
      <w:r w:rsidRPr="00F125EF">
        <w:rPr>
          <w:lang w:val="it-IT"/>
        </w:rPr>
        <w:t>f)</w:t>
      </w:r>
      <w:r w:rsidRPr="00F125EF">
        <w:rPr>
          <w:lang w:val="it-IT"/>
        </w:rPr>
        <w:tab/>
        <w:t>megfelelő elsősegélycsomag, amelynek tartalma megfelel egy tagállam vonatkozó szabványának. Az elsősegélycsomagot a lakótérben vagy a kormányállásban kell tartani oly módon, hogy szükség esetén könnyen és biztonságosan elérhető legyen. Ha az elsősegélycsomagot fedél alatt tárolják, a fedelet a 4. melléklet 8. ábrája szerinti „Elsősegélycsomag” szimbólummal kell jelölni, amelynek oldalhosszúsága legalább 10 cm.</w:t>
      </w:r>
    </w:p>
    <w:p w:rsidR="00E65F26" w:rsidRPr="00F125EF" w:rsidRDefault="0029453D" w:rsidP="009A25DA">
      <w:pPr>
        <w:pStyle w:val="ESlet"/>
        <w:rPr>
          <w:lang w:val="it-IT"/>
        </w:rPr>
      </w:pPr>
      <w:r w:rsidRPr="00F125EF">
        <w:rPr>
          <w:lang w:val="it-IT"/>
        </w:rPr>
        <w:t>g)</w:t>
      </w:r>
      <w:r w:rsidRPr="00F125EF">
        <w:rPr>
          <w:lang w:val="it-IT"/>
        </w:rPr>
        <w:tab/>
        <w:t>távcső 7 × 50 vagy nagyobb átmérőjű lencsével;</w:t>
      </w:r>
    </w:p>
    <w:p w:rsidR="00E65F26" w:rsidRPr="00F125EF" w:rsidRDefault="0029453D" w:rsidP="009A25DA">
      <w:pPr>
        <w:pStyle w:val="ESlet"/>
        <w:rPr>
          <w:lang w:val="it-IT"/>
        </w:rPr>
      </w:pPr>
      <w:r w:rsidRPr="00F125EF">
        <w:rPr>
          <w:lang w:val="it-IT"/>
        </w:rPr>
        <w:t>h)</w:t>
      </w:r>
      <w:r w:rsidRPr="00F125EF">
        <w:rPr>
          <w:lang w:val="it-IT"/>
        </w:rPr>
        <w:tab/>
        <w:t>vízből mentésre és újraélesztésre vonatkozó tájékoztató felirat;</w:t>
      </w:r>
    </w:p>
    <w:p w:rsidR="00E65F26" w:rsidRPr="00F125EF" w:rsidRDefault="0029453D" w:rsidP="009A25DA">
      <w:pPr>
        <w:pStyle w:val="ESlet"/>
        <w:rPr>
          <w:lang w:val="it-IT"/>
        </w:rPr>
      </w:pPr>
      <w:r w:rsidRPr="00F125EF">
        <w:rPr>
          <w:lang w:val="it-IT"/>
        </w:rPr>
        <w:t>i)</w:t>
      </w:r>
      <w:r w:rsidRPr="00F125EF">
        <w:rPr>
          <w:lang w:val="it-IT"/>
        </w:rPr>
        <w:tab/>
        <w:t>kormányállásból működtethető keresőfény.</w:t>
      </w:r>
    </w:p>
    <w:p w:rsidR="009A25DA" w:rsidRPr="00F125EF" w:rsidRDefault="009A25DA" w:rsidP="00E65F26">
      <w:pPr>
        <w:pStyle w:val="ESch"/>
        <w:rPr>
          <w:noProof/>
          <w:lang w:val="it-IT"/>
        </w:rPr>
      </w:pPr>
    </w:p>
    <w:p w:rsidR="00E65F26" w:rsidRPr="00F125EF" w:rsidRDefault="00E65F26" w:rsidP="00E65F26">
      <w:pPr>
        <w:pStyle w:val="ESch"/>
        <w:rPr>
          <w:lang w:val="it-IT"/>
        </w:rPr>
      </w:pPr>
      <w:r w:rsidRPr="00F125EF">
        <w:rPr>
          <w:lang w:val="it-IT"/>
        </w:rPr>
        <w:t>4.</w:t>
      </w:r>
      <w:r w:rsidRPr="00F125EF">
        <w:rPr>
          <w:lang w:val="it-IT"/>
        </w:rPr>
        <w:tab/>
        <w:t>Azokat a hajókat, amelyek fedélzete a hajó oldalánál 1,50 m-nél magasabban van az üres merülési vonal felett, külső lépcsővel vagy csónaklétrával kell ellátni.</w:t>
      </w:r>
    </w:p>
    <w:p w:rsidR="00E65F26" w:rsidRPr="00F125EF" w:rsidRDefault="00E65F26" w:rsidP="00E65F26">
      <w:pPr>
        <w:pStyle w:val="ESch"/>
        <w:rPr>
          <w:lang w:val="it-IT"/>
        </w:rPr>
      </w:pPr>
    </w:p>
    <w:p w:rsidR="009A25DA" w:rsidRPr="00F125EF" w:rsidRDefault="009A25DA" w:rsidP="00E65F26">
      <w:pPr>
        <w:pStyle w:val="ESch"/>
        <w:rPr>
          <w:lang w:val="it-IT"/>
        </w:rPr>
      </w:pPr>
    </w:p>
    <w:p w:rsidR="00E65F26" w:rsidRPr="00F125EF" w:rsidRDefault="00E65F26" w:rsidP="009A25DA">
      <w:pPr>
        <w:pStyle w:val="ES-Titre3"/>
        <w:rPr>
          <w:i/>
          <w:noProof/>
          <w:lang w:val="it-IT"/>
        </w:rPr>
      </w:pPr>
      <w:bookmarkStart w:id="214" w:name="_Toc491854104"/>
      <w:bookmarkStart w:id="215" w:name="_Toc535853883"/>
      <w:r w:rsidRPr="00F125EF">
        <w:rPr>
          <w:lang w:val="it-IT"/>
        </w:rPr>
        <w:t>13.03. cikk</w:t>
      </w:r>
      <w:r w:rsidRPr="00F125EF">
        <w:rPr>
          <w:lang w:val="it-IT"/>
        </w:rPr>
        <w:br/>
      </w:r>
      <w:r w:rsidRPr="00F125EF">
        <w:rPr>
          <w:i/>
          <w:noProof/>
          <w:lang w:val="it-IT"/>
        </w:rPr>
        <w:t>Hordozható tűzoltó készülékek</w:t>
      </w:r>
      <w:bookmarkEnd w:id="214"/>
      <w:bookmarkEnd w:id="215"/>
    </w:p>
    <w:p w:rsidR="009A25DA" w:rsidRPr="00F125EF" w:rsidRDefault="009A25DA" w:rsidP="00E65F26">
      <w:pPr>
        <w:pStyle w:val="ESch"/>
        <w:rPr>
          <w:noProof/>
          <w:lang w:val="it-IT"/>
        </w:rPr>
      </w:pPr>
    </w:p>
    <w:p w:rsidR="00E65F26" w:rsidRPr="00F125EF" w:rsidRDefault="00E65F26" w:rsidP="00E65F26">
      <w:pPr>
        <w:pStyle w:val="ESch"/>
        <w:rPr>
          <w:lang w:val="it-IT"/>
        </w:rPr>
      </w:pPr>
      <w:r w:rsidRPr="00F125EF">
        <w:rPr>
          <w:lang w:val="it-IT"/>
        </w:rPr>
        <w:t>1.</w:t>
      </w:r>
      <w:r w:rsidRPr="00F125EF">
        <w:rPr>
          <w:lang w:val="it-IT"/>
        </w:rPr>
        <w:tab/>
        <w:t>Az EN 3-7:2007 és az EN 3-8:2007 európai szabvány értelmében legalább egy hordozható tűzoltó készüléket el kell helyezni:</w:t>
      </w:r>
    </w:p>
    <w:p w:rsidR="00E65F26" w:rsidRPr="00F125EF" w:rsidRDefault="005C7859" w:rsidP="009A25DA">
      <w:pPr>
        <w:pStyle w:val="ESlet"/>
        <w:rPr>
          <w:lang w:val="it-IT"/>
        </w:rPr>
      </w:pPr>
      <w:r w:rsidRPr="00F125EF">
        <w:rPr>
          <w:lang w:val="it-IT"/>
        </w:rPr>
        <w:t>a)</w:t>
      </w:r>
      <w:r w:rsidRPr="00F125EF">
        <w:rPr>
          <w:lang w:val="it-IT"/>
        </w:rPr>
        <w:tab/>
        <w:t>a kormányállásban;</w:t>
      </w:r>
    </w:p>
    <w:p w:rsidR="00E65F26" w:rsidRPr="00F125EF" w:rsidRDefault="005C7859" w:rsidP="009A25DA">
      <w:pPr>
        <w:pStyle w:val="ESlet"/>
        <w:rPr>
          <w:lang w:val="it-IT"/>
        </w:rPr>
      </w:pPr>
      <w:r w:rsidRPr="00F125EF">
        <w:rPr>
          <w:lang w:val="it-IT"/>
        </w:rPr>
        <w:t>b)</w:t>
      </w:r>
      <w:r w:rsidRPr="00F125EF">
        <w:rPr>
          <w:lang w:val="it-IT"/>
        </w:rPr>
        <w:tab/>
        <w:t>a fedélzetről a lakótérbe vezető mindegyik bejárat közelében;</w:t>
      </w:r>
    </w:p>
    <w:p w:rsidR="00E65F26" w:rsidRPr="00F125EF" w:rsidRDefault="005C7859" w:rsidP="009A25DA">
      <w:pPr>
        <w:pStyle w:val="ESlet"/>
        <w:rPr>
          <w:lang w:val="it-IT"/>
        </w:rPr>
      </w:pPr>
      <w:r w:rsidRPr="00F125EF">
        <w:rPr>
          <w:lang w:val="it-IT"/>
        </w:rPr>
        <w:t>c)</w:t>
      </w:r>
      <w:r w:rsidRPr="00F125EF">
        <w:rPr>
          <w:lang w:val="it-IT"/>
        </w:rPr>
        <w:tab/>
        <w:t>a lakóterekből el nem érhető azon üzemi helyiségek bejáratainak közelében, amelyekben szilárd vagy folyékony üzemanyaggal, illetve cseppfolyósított gázzal működő fűtő-, főző- vagy hűtőberendezések vannak;</w:t>
      </w:r>
    </w:p>
    <w:p w:rsidR="00E65F26" w:rsidRPr="00F125EF" w:rsidRDefault="005C7859" w:rsidP="009A25DA">
      <w:pPr>
        <w:pStyle w:val="ESlet"/>
        <w:rPr>
          <w:lang w:val="it-IT"/>
        </w:rPr>
      </w:pPr>
      <w:r w:rsidRPr="00F125EF">
        <w:rPr>
          <w:lang w:val="it-IT"/>
        </w:rPr>
        <w:t>d)</w:t>
      </w:r>
      <w:r w:rsidRPr="00F125EF">
        <w:rPr>
          <w:lang w:val="it-IT"/>
        </w:rPr>
        <w:tab/>
        <w:t>gépterek és kazánterek minden bejáratánál;</w:t>
      </w:r>
    </w:p>
    <w:p w:rsidR="00E65F26" w:rsidRPr="00F125EF" w:rsidRDefault="0029453D" w:rsidP="009A25DA">
      <w:pPr>
        <w:pStyle w:val="ESlet"/>
        <w:rPr>
          <w:lang w:val="it-IT"/>
        </w:rPr>
      </w:pPr>
      <w:r w:rsidRPr="00F125EF">
        <w:rPr>
          <w:lang w:val="it-IT"/>
        </w:rPr>
        <w:t>e)</w:t>
      </w:r>
      <w:r w:rsidRPr="00F125EF">
        <w:rPr>
          <w:lang w:val="it-IT"/>
        </w:rPr>
        <w:tab/>
        <w:t>a fedélzet alatti gépterek és kazánterek megfelelő pontjain oly módon, hogy az adott térben bármelyik ponttól számítva legfeljebb 10 méteren belül elérhető legyen egy tűzoltó készülék.</w:t>
      </w:r>
    </w:p>
    <w:p w:rsidR="009A25DA" w:rsidRPr="00F125EF" w:rsidRDefault="009A25DA" w:rsidP="00E65F26">
      <w:pPr>
        <w:pStyle w:val="ESch"/>
        <w:rPr>
          <w:lang w:val="it-IT"/>
        </w:rPr>
      </w:pPr>
    </w:p>
    <w:p w:rsidR="00E65F26" w:rsidRPr="00F125EF" w:rsidRDefault="00E65F26" w:rsidP="00E65F26">
      <w:pPr>
        <w:pStyle w:val="ESch"/>
        <w:rPr>
          <w:lang w:val="it-IT"/>
        </w:rPr>
      </w:pPr>
      <w:r w:rsidRPr="00F125EF">
        <w:rPr>
          <w:lang w:val="it-IT"/>
        </w:rPr>
        <w:t>2.</w:t>
      </w:r>
      <w:r w:rsidRPr="00F125EF">
        <w:rPr>
          <w:lang w:val="it-IT"/>
        </w:rPr>
        <w:tab/>
        <w:t>Az 1. bekezdésben előírt hordozható tűzoltó készülékek csak legalább 6 kg töltőtömegű poroltók vagy ugyanilyen tűzoltó kapacitású hordozható tűzoltó készülékek lehetnek. E készülékeknek alkalmasaknak kell lenniük A, B és C osztályú tüzek oltására.</w:t>
      </w:r>
    </w:p>
    <w:p w:rsidR="009A25DA" w:rsidRPr="00F125EF" w:rsidRDefault="009A25DA" w:rsidP="00E65F26">
      <w:pPr>
        <w:pStyle w:val="ESch"/>
        <w:rPr>
          <w:noProof/>
          <w:lang w:val="it-IT"/>
        </w:rPr>
      </w:pPr>
    </w:p>
    <w:p w:rsidR="00E65F26" w:rsidRPr="00F125EF" w:rsidRDefault="00E65F26" w:rsidP="009A25DA">
      <w:pPr>
        <w:pStyle w:val="ESchpar"/>
        <w:rPr>
          <w:lang w:val="it-IT"/>
        </w:rPr>
      </w:pPr>
      <w:r w:rsidRPr="00F125EF">
        <w:rPr>
          <w:lang w:val="it-IT"/>
        </w:rPr>
        <w:t>Ettől eltérve, a cseppfolyósított gázzal üzemelő berendezésekkel nem rendelkező hajókon a –20 °C hőmérsékletig fagyálló, vízbázisú filmképző habot használó, habbal oltó (AFFF-AR) tűzoltó készülékek abban az esetben is elfogadhatók, ha nem alkalmasak C osztályú tüzek oltására. E tűzoltó készülékek űrtartalmának legalább 9 liternek kell lennie.</w:t>
      </w:r>
    </w:p>
    <w:p w:rsidR="009A25DA" w:rsidRPr="00F125EF" w:rsidRDefault="009A25DA" w:rsidP="00E65F26">
      <w:pPr>
        <w:pStyle w:val="ESch"/>
        <w:rPr>
          <w:noProof/>
          <w:lang w:val="it-IT"/>
        </w:rPr>
      </w:pPr>
    </w:p>
    <w:p w:rsidR="00E65F26" w:rsidRPr="00F125EF" w:rsidRDefault="00E65F26" w:rsidP="009A25DA">
      <w:pPr>
        <w:pStyle w:val="ESchpar"/>
        <w:rPr>
          <w:lang w:val="it-IT"/>
        </w:rPr>
      </w:pPr>
      <w:r w:rsidRPr="00F125EF">
        <w:rPr>
          <w:lang w:val="it-IT"/>
        </w:rPr>
        <w:t>Minden tűzoltó készüléknek alkalmasnak kell lennie 1000 V-ig terjedő elektromos rendszerek tüzeinek oltására.</w:t>
      </w:r>
    </w:p>
    <w:p w:rsidR="009A25DA" w:rsidRPr="00F125EF" w:rsidRDefault="009A25DA" w:rsidP="00E65F26">
      <w:pPr>
        <w:pStyle w:val="ESch"/>
        <w:rPr>
          <w:noProof/>
          <w:lang w:val="it-IT"/>
        </w:rPr>
      </w:pPr>
    </w:p>
    <w:p w:rsidR="00E65F26" w:rsidRPr="00F125EF" w:rsidRDefault="00E65F26" w:rsidP="00E65F26">
      <w:pPr>
        <w:pStyle w:val="ESch"/>
        <w:rPr>
          <w:lang w:val="it-IT"/>
        </w:rPr>
      </w:pPr>
      <w:r w:rsidRPr="00F125EF">
        <w:rPr>
          <w:lang w:val="it-IT"/>
        </w:rPr>
        <w:t>3.</w:t>
      </w:r>
      <w:r w:rsidRPr="00F125EF">
        <w:rPr>
          <w:lang w:val="it-IT"/>
        </w:rPr>
        <w:tab/>
        <w:t>Ezenkívül használhatók porral, vízzel vagy habbal oltó készülékek, amennyiben alkalmasak legalább azon osztályú tűz oltására, amely a legnagyobb valószínűséggel előfordulhat a készülékek rendeltetési helye szerinti helyiségben.</w:t>
      </w:r>
    </w:p>
    <w:p w:rsidR="009A25DA" w:rsidRPr="00F125EF" w:rsidRDefault="009A25DA" w:rsidP="00E65F26">
      <w:pPr>
        <w:pStyle w:val="ESch"/>
        <w:rPr>
          <w:noProof/>
          <w:lang w:val="it-IT"/>
        </w:rPr>
      </w:pPr>
    </w:p>
    <w:p w:rsidR="00E65F26" w:rsidRPr="00F125EF" w:rsidRDefault="00E65F26" w:rsidP="00E65F26">
      <w:pPr>
        <w:pStyle w:val="ESch"/>
        <w:rPr>
          <w:lang w:val="it-IT"/>
        </w:rPr>
      </w:pPr>
      <w:r w:rsidRPr="00F125EF">
        <w:rPr>
          <w:lang w:val="it-IT"/>
        </w:rPr>
        <w:t>4.</w:t>
      </w:r>
      <w:r w:rsidRPr="00F125EF">
        <w:rPr>
          <w:lang w:val="it-IT"/>
        </w:rPr>
        <w:tab/>
        <w:t>Szén-dioxiddal oltó hordozható készülékek csak a konyhában és az elektromos berendezéseknél keletkező tüzek oltására használhatók. E tűzoltó készülékek tartalma nem lehet több 1 kg-nál azon helyiségek 15 m</w:t>
      </w:r>
      <w:r w:rsidRPr="00F125EF">
        <w:rPr>
          <w:noProof/>
          <w:vertAlign w:val="superscript"/>
          <w:lang w:val="it-IT"/>
        </w:rPr>
        <w:t>3</w:t>
      </w:r>
      <w:r w:rsidRPr="00F125EF">
        <w:rPr>
          <w:lang w:val="it-IT"/>
        </w:rPr>
        <w:t>-ére számítva, amelyekben hozzáférhetők.</w:t>
      </w:r>
    </w:p>
    <w:p w:rsidR="009A25DA" w:rsidRPr="00F125EF" w:rsidRDefault="009A25DA" w:rsidP="00E65F26">
      <w:pPr>
        <w:pStyle w:val="ESch"/>
        <w:rPr>
          <w:noProof/>
          <w:lang w:val="it-IT"/>
        </w:rPr>
      </w:pPr>
    </w:p>
    <w:p w:rsidR="009A25DA" w:rsidRPr="00F125EF" w:rsidRDefault="009A25DA" w:rsidP="00E65F26">
      <w:pPr>
        <w:pStyle w:val="ESch"/>
        <w:rPr>
          <w:noProof/>
          <w:lang w:val="it-IT"/>
        </w:rPr>
      </w:pPr>
      <w:r w:rsidRPr="00F125EF">
        <w:rPr>
          <w:lang w:val="it-IT"/>
        </w:rPr>
        <w:br w:type="page"/>
      </w:r>
    </w:p>
    <w:p w:rsidR="00E65F26" w:rsidRPr="00F125EF" w:rsidRDefault="00E65F26" w:rsidP="00E65F26">
      <w:pPr>
        <w:pStyle w:val="ESch"/>
        <w:rPr>
          <w:lang w:val="it-IT"/>
        </w:rPr>
      </w:pPr>
      <w:r w:rsidRPr="00F125EF">
        <w:rPr>
          <w:lang w:val="it-IT"/>
        </w:rPr>
        <w:t>5.</w:t>
      </w:r>
      <w:r w:rsidRPr="00F125EF">
        <w:rPr>
          <w:lang w:val="it-IT"/>
        </w:rPr>
        <w:tab/>
        <w:t>Minden hordozható tűzoltó készüléket legalább kétévente ellenőriz egy hozzáértő személy. A tűzoltó készüléket ellenőrzési címkével kell ellátni, amely tartalmazza a hozzáértő személy aláírását és az ellenőrzés dátumát.</w:t>
      </w:r>
    </w:p>
    <w:p w:rsidR="009A25DA" w:rsidRPr="00F125EF" w:rsidRDefault="009A25DA" w:rsidP="00E65F26">
      <w:pPr>
        <w:pStyle w:val="ESch"/>
        <w:rPr>
          <w:noProof/>
          <w:lang w:val="it-IT"/>
        </w:rPr>
      </w:pPr>
    </w:p>
    <w:p w:rsidR="00E65F26" w:rsidRPr="00F125EF" w:rsidRDefault="00E65F26" w:rsidP="00E65F26">
      <w:pPr>
        <w:pStyle w:val="ESch"/>
        <w:rPr>
          <w:lang w:val="it-IT"/>
        </w:rPr>
      </w:pPr>
      <w:r w:rsidRPr="00F125EF">
        <w:rPr>
          <w:lang w:val="it-IT"/>
        </w:rPr>
        <w:t>6.</w:t>
      </w:r>
      <w:r w:rsidRPr="00F125EF">
        <w:rPr>
          <w:lang w:val="it-IT"/>
        </w:rPr>
        <w:tab/>
        <w:t>Amennyiben a hordozható tűzoltó készüléket fedél alatt helyezték el, a fedelet a 4. melléklet 3. ábrája szerinti „Tűzoltó készülék” szimbólummal kell jelölni, amelynek oldalhosszúsága legalább 10 cm.</w:t>
      </w:r>
    </w:p>
    <w:p w:rsidR="00E65F26" w:rsidRPr="00F125EF" w:rsidRDefault="00E65F26" w:rsidP="00E65F26">
      <w:pPr>
        <w:pStyle w:val="ESch"/>
        <w:rPr>
          <w:lang w:val="it-IT"/>
        </w:rPr>
      </w:pPr>
    </w:p>
    <w:p w:rsidR="00824063" w:rsidRPr="00F125EF" w:rsidRDefault="00824063" w:rsidP="00E65F26">
      <w:pPr>
        <w:pStyle w:val="ESch"/>
        <w:rPr>
          <w:lang w:val="it-IT"/>
        </w:rPr>
      </w:pPr>
    </w:p>
    <w:p w:rsidR="00E65F26" w:rsidRPr="00F125EF" w:rsidRDefault="00E65F26" w:rsidP="009A25DA">
      <w:pPr>
        <w:pStyle w:val="ES-Titre3"/>
        <w:rPr>
          <w:i/>
          <w:lang w:val="it-IT"/>
        </w:rPr>
      </w:pPr>
      <w:bookmarkStart w:id="216" w:name="_Toc491854105"/>
      <w:bookmarkStart w:id="217" w:name="_Toc535853884"/>
      <w:r w:rsidRPr="00F125EF">
        <w:rPr>
          <w:lang w:val="it-IT"/>
        </w:rPr>
        <w:t>13.04. cikk</w:t>
      </w:r>
      <w:r w:rsidRPr="00F125EF">
        <w:rPr>
          <w:lang w:val="it-IT"/>
        </w:rPr>
        <w:br/>
      </w:r>
      <w:r w:rsidRPr="00F125EF">
        <w:rPr>
          <w:i/>
          <w:noProof/>
          <w:lang w:val="it-IT"/>
        </w:rPr>
        <w:t>A lakóterek, kormányállások és utasterek védelmét szolgáló tartósan rögzített tűzvédelmi rendszerek</w:t>
      </w:r>
      <w:bookmarkEnd w:id="216"/>
      <w:bookmarkEnd w:id="217"/>
    </w:p>
    <w:p w:rsidR="009A25DA" w:rsidRPr="00F125EF" w:rsidRDefault="009A25DA" w:rsidP="00E65F26">
      <w:pPr>
        <w:pStyle w:val="ESch"/>
        <w:rPr>
          <w:noProof/>
          <w:lang w:val="it-IT"/>
        </w:rPr>
      </w:pPr>
    </w:p>
    <w:p w:rsidR="00E65F26" w:rsidRPr="00F125EF" w:rsidRDefault="00E65F26" w:rsidP="00E65F26">
      <w:pPr>
        <w:pStyle w:val="ESch"/>
        <w:rPr>
          <w:lang w:val="it-IT"/>
        </w:rPr>
      </w:pPr>
      <w:r w:rsidRPr="00F125EF">
        <w:rPr>
          <w:lang w:val="it-IT"/>
        </w:rPr>
        <w:t>1.</w:t>
      </w:r>
      <w:r w:rsidRPr="00F125EF">
        <w:rPr>
          <w:lang w:val="it-IT"/>
        </w:rPr>
        <w:tab/>
        <w:t>A lakóterek, kormányállások és utasterek védelmére csak megfelelő automatikus, vízpermettel oltó túlnyomásos berendezések alkalmazhatók tartósan rögzített tűzvédelmi rendszerekként.</w:t>
      </w:r>
    </w:p>
    <w:p w:rsidR="00824063" w:rsidRPr="00F125EF" w:rsidRDefault="00824063" w:rsidP="00E65F26">
      <w:pPr>
        <w:pStyle w:val="ESch"/>
        <w:rPr>
          <w:noProof/>
          <w:lang w:val="it-IT"/>
        </w:rPr>
      </w:pPr>
    </w:p>
    <w:p w:rsidR="00E65F26" w:rsidRPr="00F125EF" w:rsidRDefault="00E65F26" w:rsidP="00E65F26">
      <w:pPr>
        <w:pStyle w:val="ESch"/>
        <w:rPr>
          <w:lang w:val="it-IT"/>
        </w:rPr>
      </w:pPr>
      <w:r w:rsidRPr="00F125EF">
        <w:rPr>
          <w:lang w:val="it-IT"/>
        </w:rPr>
        <w:t>2.</w:t>
      </w:r>
      <w:r w:rsidRPr="00F125EF">
        <w:rPr>
          <w:lang w:val="it-IT"/>
        </w:rPr>
        <w:tab/>
        <w:t>A rendszerek beszerelését vagy átalakítását csak erre szakosodott cég végezheti.</w:t>
      </w:r>
    </w:p>
    <w:p w:rsidR="00824063" w:rsidRPr="00F125EF" w:rsidRDefault="00824063" w:rsidP="00E65F26">
      <w:pPr>
        <w:pStyle w:val="ESch"/>
        <w:rPr>
          <w:noProof/>
          <w:lang w:val="it-IT"/>
        </w:rPr>
      </w:pPr>
    </w:p>
    <w:p w:rsidR="00E65F26" w:rsidRPr="00F125EF" w:rsidRDefault="00E65F26" w:rsidP="00E65F26">
      <w:pPr>
        <w:pStyle w:val="ESch"/>
        <w:rPr>
          <w:lang w:val="it-IT"/>
        </w:rPr>
      </w:pPr>
      <w:r w:rsidRPr="00F125EF">
        <w:rPr>
          <w:lang w:val="it-IT"/>
        </w:rPr>
        <w:t>3.</w:t>
      </w:r>
      <w:r w:rsidRPr="00F125EF">
        <w:rPr>
          <w:lang w:val="it-IT"/>
        </w:rPr>
        <w:tab/>
        <w:t>A rendszert acélból vagy azzal egyenértékű éghetetlen anyagból kell készíteni.</w:t>
      </w:r>
    </w:p>
    <w:p w:rsidR="00824063" w:rsidRPr="00F125EF" w:rsidRDefault="00824063" w:rsidP="00E65F26">
      <w:pPr>
        <w:pStyle w:val="ESch"/>
        <w:rPr>
          <w:noProof/>
          <w:lang w:val="it-IT"/>
        </w:rPr>
      </w:pPr>
    </w:p>
    <w:p w:rsidR="00E65F26" w:rsidRPr="00F125EF" w:rsidRDefault="00E65F26" w:rsidP="00E65F26">
      <w:pPr>
        <w:pStyle w:val="ESch"/>
        <w:rPr>
          <w:lang w:val="it-IT"/>
        </w:rPr>
      </w:pPr>
      <w:r w:rsidRPr="00F125EF">
        <w:rPr>
          <w:lang w:val="it-IT"/>
        </w:rPr>
        <w:t>4.</w:t>
      </w:r>
      <w:r w:rsidRPr="00F125EF">
        <w:rPr>
          <w:lang w:val="it-IT"/>
        </w:rPr>
        <w:tab/>
        <w:t>A rendszernek percenként legalább 5 l/m</w:t>
      </w:r>
      <w:r w:rsidRPr="00F125EF">
        <w:rPr>
          <w:noProof/>
          <w:vertAlign w:val="superscript"/>
          <w:lang w:val="it-IT"/>
        </w:rPr>
        <w:t>2</w:t>
      </w:r>
      <w:r w:rsidRPr="00F125EF">
        <w:rPr>
          <w:lang w:val="it-IT"/>
        </w:rPr>
        <w:t xml:space="preserve"> mennyiségű vizet kell tudnia permetezni a védendő legnagyobb helyiség területén.</w:t>
      </w:r>
    </w:p>
    <w:p w:rsidR="00824063" w:rsidRPr="00F125EF" w:rsidRDefault="00824063" w:rsidP="00E65F26">
      <w:pPr>
        <w:pStyle w:val="ESch"/>
        <w:rPr>
          <w:noProof/>
          <w:lang w:val="it-IT"/>
        </w:rPr>
      </w:pPr>
    </w:p>
    <w:p w:rsidR="00E65F26" w:rsidRPr="00F125EF" w:rsidRDefault="00E65F26" w:rsidP="00E65F26">
      <w:pPr>
        <w:pStyle w:val="ESch"/>
        <w:rPr>
          <w:lang w:val="it-IT"/>
        </w:rPr>
      </w:pPr>
      <w:r w:rsidRPr="00F125EF">
        <w:rPr>
          <w:lang w:val="it-IT"/>
        </w:rPr>
        <w:t>5.</w:t>
      </w:r>
      <w:r w:rsidRPr="00F125EF">
        <w:rPr>
          <w:lang w:val="it-IT"/>
        </w:rPr>
        <w:tab/>
        <w:t>A kisebb mennyiségű vizet permetező rendszerek esetében típusjóváhagyásra van szükség az A.800 (19). sz. IMO-határozat</w:t>
      </w:r>
      <w:r>
        <w:rPr>
          <w:rStyle w:val="FootnoteReference"/>
          <w:noProof/>
        </w:rPr>
        <w:footnoteReference w:id="9"/>
      </w:r>
      <w:r w:rsidRPr="00F125EF">
        <w:rPr>
          <w:lang w:val="it-IT"/>
        </w:rPr>
        <w:t xml:space="preserve"> értelmében vagy más, az egyik tagállam által elismert szabvány szerint. A típusjóváhagyást csak elismert hajóosztályozó társaság vagy akkreditált vizsgáló intézmény végezheti el. </w:t>
      </w:r>
      <w:r w:rsidRPr="0003171D">
        <w:rPr>
          <w:lang w:val="it-IT"/>
        </w:rPr>
        <w:t>Az akkreditált vizsgálati intézménynek meg kell felelnie az EN ISO/IEC 17025:2005 európai szabványnak.</w:t>
      </w:r>
    </w:p>
    <w:p w:rsidR="00824063" w:rsidRPr="00F125EF" w:rsidRDefault="00824063" w:rsidP="00E65F26">
      <w:pPr>
        <w:pStyle w:val="ESch"/>
        <w:rPr>
          <w:noProof/>
          <w:lang w:val="it-IT"/>
        </w:rPr>
      </w:pPr>
    </w:p>
    <w:p w:rsidR="00E65F26" w:rsidRPr="00F125EF" w:rsidRDefault="00E65F26" w:rsidP="00E65F26">
      <w:pPr>
        <w:pStyle w:val="ESch"/>
        <w:rPr>
          <w:lang w:val="it-IT"/>
        </w:rPr>
      </w:pPr>
      <w:r w:rsidRPr="00F125EF">
        <w:rPr>
          <w:lang w:val="it-IT"/>
        </w:rPr>
        <w:t>6.</w:t>
      </w:r>
      <w:r w:rsidRPr="00F125EF">
        <w:rPr>
          <w:lang w:val="it-IT"/>
        </w:rPr>
        <w:tab/>
        <w:t>A rendszereket szakértő ellenőrzi:</w:t>
      </w:r>
    </w:p>
    <w:p w:rsidR="00E65F26" w:rsidRPr="00F125EF" w:rsidRDefault="005C7859" w:rsidP="00824063">
      <w:pPr>
        <w:pStyle w:val="ESlet"/>
        <w:rPr>
          <w:lang w:val="it-IT"/>
        </w:rPr>
      </w:pPr>
      <w:r w:rsidRPr="00F125EF">
        <w:rPr>
          <w:lang w:val="it-IT"/>
        </w:rPr>
        <w:t>a)</w:t>
      </w:r>
      <w:r w:rsidRPr="00F125EF">
        <w:rPr>
          <w:lang w:val="it-IT"/>
        </w:rPr>
        <w:tab/>
        <w:t>az első használatbavétel előtt;</w:t>
      </w:r>
    </w:p>
    <w:p w:rsidR="00E65F26" w:rsidRPr="00F125EF" w:rsidRDefault="005C7859" w:rsidP="00824063">
      <w:pPr>
        <w:pStyle w:val="ESlet"/>
        <w:rPr>
          <w:lang w:val="it-IT"/>
        </w:rPr>
      </w:pPr>
      <w:r w:rsidRPr="00F125EF">
        <w:rPr>
          <w:lang w:val="it-IT"/>
        </w:rPr>
        <w:t>b)</w:t>
      </w:r>
      <w:r w:rsidRPr="00F125EF">
        <w:rPr>
          <w:lang w:val="it-IT"/>
        </w:rPr>
        <w:tab/>
        <w:t>a kioldást követő újbóli üzembe helyezés előtt;</w:t>
      </w:r>
    </w:p>
    <w:p w:rsidR="00E65F26" w:rsidRPr="00F125EF" w:rsidRDefault="005C7859" w:rsidP="00824063">
      <w:pPr>
        <w:pStyle w:val="ESlet"/>
        <w:rPr>
          <w:lang w:val="it-IT"/>
        </w:rPr>
      </w:pPr>
      <w:r w:rsidRPr="00F125EF">
        <w:rPr>
          <w:lang w:val="it-IT"/>
        </w:rPr>
        <w:t>c)</w:t>
      </w:r>
      <w:r w:rsidRPr="00F125EF">
        <w:rPr>
          <w:lang w:val="it-IT"/>
        </w:rPr>
        <w:tab/>
        <w:t>nagyobb módosítást vagy javítást követő újbóli üzembe helyezés előtt; és</w:t>
      </w:r>
    </w:p>
    <w:p w:rsidR="00E65F26" w:rsidRPr="00F125EF" w:rsidRDefault="005C7859" w:rsidP="00824063">
      <w:pPr>
        <w:pStyle w:val="ESlet"/>
        <w:rPr>
          <w:lang w:val="it-IT"/>
        </w:rPr>
      </w:pPr>
      <w:r w:rsidRPr="00F125EF">
        <w:rPr>
          <w:lang w:val="it-IT"/>
        </w:rPr>
        <w:t>d)</w:t>
      </w:r>
      <w:r w:rsidRPr="00F125EF">
        <w:rPr>
          <w:lang w:val="it-IT"/>
        </w:rPr>
        <w:tab/>
        <w:t>rendszeresen, de legalább kétévente.</w:t>
      </w:r>
    </w:p>
    <w:p w:rsidR="00824063" w:rsidRPr="00F125EF" w:rsidRDefault="00824063" w:rsidP="00E65F26">
      <w:pPr>
        <w:pStyle w:val="ESch"/>
        <w:rPr>
          <w:noProof/>
          <w:lang w:val="it-IT"/>
        </w:rPr>
      </w:pPr>
    </w:p>
    <w:p w:rsidR="00E65F26" w:rsidRPr="00F125EF" w:rsidRDefault="00E65F26" w:rsidP="00824063">
      <w:pPr>
        <w:pStyle w:val="ESchpar"/>
        <w:rPr>
          <w:lang w:val="it-IT"/>
        </w:rPr>
      </w:pPr>
      <w:r w:rsidRPr="00F125EF">
        <w:rPr>
          <w:lang w:val="it-IT"/>
        </w:rPr>
        <w:t>A d) pont szerinti ellenőrzéseket a tűzoltó rendszerekre szakosodott, hozzáértő céget képviselő hozzáértő személy is elvégezheti.</w:t>
      </w:r>
    </w:p>
    <w:p w:rsidR="00824063" w:rsidRPr="00F125EF" w:rsidRDefault="00824063" w:rsidP="00E65F26">
      <w:pPr>
        <w:pStyle w:val="ESch"/>
        <w:rPr>
          <w:noProof/>
          <w:lang w:val="it-IT"/>
        </w:rPr>
      </w:pPr>
    </w:p>
    <w:p w:rsidR="00E65F26" w:rsidRPr="00F125EF" w:rsidRDefault="00E65F26" w:rsidP="00E65F26">
      <w:pPr>
        <w:pStyle w:val="ESch"/>
        <w:rPr>
          <w:lang w:val="it-IT"/>
        </w:rPr>
      </w:pPr>
      <w:r w:rsidRPr="00F125EF">
        <w:rPr>
          <w:lang w:val="it-IT"/>
        </w:rPr>
        <w:t>7.</w:t>
      </w:r>
      <w:r w:rsidRPr="00F125EF">
        <w:rPr>
          <w:lang w:val="it-IT"/>
        </w:rPr>
        <w:tab/>
        <w:t>A 6. bekezdés szerinti ellenőrzés során a szakértő vagy hozzáértő személy igazolja, hogy a rendszerek megfelelnek-e ezen cikk követelményeinek.</w:t>
      </w:r>
    </w:p>
    <w:p w:rsidR="00824063" w:rsidRPr="00F125EF" w:rsidRDefault="00824063" w:rsidP="00E65F26">
      <w:pPr>
        <w:pStyle w:val="ESch"/>
        <w:rPr>
          <w:noProof/>
          <w:lang w:val="it-IT"/>
        </w:rPr>
      </w:pPr>
    </w:p>
    <w:p w:rsidR="00E65F26" w:rsidRPr="00F125EF" w:rsidRDefault="00E65F26" w:rsidP="00824063">
      <w:pPr>
        <w:pStyle w:val="ESchpar"/>
        <w:rPr>
          <w:lang w:val="it-IT"/>
        </w:rPr>
      </w:pPr>
      <w:r w:rsidRPr="00F125EF">
        <w:rPr>
          <w:lang w:val="it-IT"/>
        </w:rPr>
        <w:t>Az ellenőrzés legalább a következőket tartalmazza:</w:t>
      </w:r>
    </w:p>
    <w:p w:rsidR="00E65F26" w:rsidRPr="00F125EF" w:rsidRDefault="005C7859" w:rsidP="00824063">
      <w:pPr>
        <w:pStyle w:val="ESlet"/>
        <w:rPr>
          <w:lang w:val="it-IT"/>
        </w:rPr>
      </w:pPr>
      <w:r w:rsidRPr="00F125EF">
        <w:rPr>
          <w:lang w:val="it-IT"/>
        </w:rPr>
        <w:t>a)</w:t>
      </w:r>
      <w:r w:rsidRPr="00F125EF">
        <w:rPr>
          <w:lang w:val="it-IT"/>
        </w:rPr>
        <w:tab/>
        <w:t>a teljes rendszer külső ellenőrzése;</w:t>
      </w:r>
    </w:p>
    <w:p w:rsidR="00E65F26" w:rsidRPr="00F125EF" w:rsidRDefault="005C7859" w:rsidP="00824063">
      <w:pPr>
        <w:pStyle w:val="ESlet"/>
        <w:rPr>
          <w:lang w:val="it-IT"/>
        </w:rPr>
      </w:pPr>
      <w:r w:rsidRPr="00F125EF">
        <w:rPr>
          <w:lang w:val="it-IT"/>
        </w:rPr>
        <w:t>b)</w:t>
      </w:r>
      <w:r w:rsidRPr="00F125EF">
        <w:rPr>
          <w:lang w:val="it-IT"/>
        </w:rPr>
        <w:tab/>
        <w:t>a biztonsági rendszerek és a fúvókák funkcionális vizsgálata;</w:t>
      </w:r>
    </w:p>
    <w:p w:rsidR="00E65F26" w:rsidRPr="00F125EF" w:rsidRDefault="005C7859" w:rsidP="00824063">
      <w:pPr>
        <w:pStyle w:val="ESlet"/>
        <w:rPr>
          <w:lang w:val="it-IT"/>
        </w:rPr>
      </w:pPr>
      <w:r w:rsidRPr="00F125EF">
        <w:rPr>
          <w:lang w:val="it-IT"/>
        </w:rPr>
        <w:t>c)</w:t>
      </w:r>
      <w:r w:rsidRPr="00F125EF">
        <w:rPr>
          <w:lang w:val="it-IT"/>
        </w:rPr>
        <w:tab/>
        <w:t>a nyomástartályok és a szivattyúzó rendszer funkcionális vizsgálata.</w:t>
      </w:r>
    </w:p>
    <w:p w:rsidR="00824063" w:rsidRPr="00F125EF" w:rsidRDefault="00824063" w:rsidP="00E65F26">
      <w:pPr>
        <w:pStyle w:val="ESch"/>
        <w:rPr>
          <w:noProof/>
          <w:lang w:val="it-IT"/>
        </w:rPr>
      </w:pPr>
    </w:p>
    <w:p w:rsidR="00824063" w:rsidRPr="00F125EF" w:rsidRDefault="00824063" w:rsidP="00E65F26">
      <w:pPr>
        <w:pStyle w:val="ESch"/>
        <w:rPr>
          <w:noProof/>
          <w:lang w:val="it-IT"/>
        </w:rPr>
      </w:pPr>
      <w:r w:rsidRPr="00F125EF">
        <w:rPr>
          <w:lang w:val="it-IT"/>
        </w:rPr>
        <w:br w:type="page"/>
      </w:r>
    </w:p>
    <w:p w:rsidR="00E65F26" w:rsidRPr="00F125EF" w:rsidRDefault="00E65F26" w:rsidP="00E65F26">
      <w:pPr>
        <w:pStyle w:val="ESch"/>
        <w:rPr>
          <w:lang w:val="it-IT"/>
        </w:rPr>
      </w:pPr>
      <w:r w:rsidRPr="00F125EF">
        <w:rPr>
          <w:lang w:val="it-IT"/>
        </w:rPr>
        <w:t>8.</w:t>
      </w:r>
      <w:r w:rsidRPr="00F125EF">
        <w:rPr>
          <w:lang w:val="it-IT"/>
        </w:rPr>
        <w:tab/>
        <w:t>Ellenőrzési igazolást kell kiadni, amely tartalmazza a szakértő vagy a hozzáértő személy aláírását és az ellenőrzés dátumát.</w:t>
      </w:r>
    </w:p>
    <w:p w:rsidR="00824063" w:rsidRPr="00F125EF" w:rsidRDefault="00824063" w:rsidP="00E65F26">
      <w:pPr>
        <w:pStyle w:val="ESch"/>
        <w:rPr>
          <w:noProof/>
          <w:lang w:val="it-IT"/>
        </w:rPr>
      </w:pPr>
    </w:p>
    <w:p w:rsidR="00E65F26" w:rsidRPr="00F125EF" w:rsidRDefault="00E65F26" w:rsidP="00E65F26">
      <w:pPr>
        <w:pStyle w:val="ESch"/>
        <w:rPr>
          <w:lang w:val="it-IT"/>
        </w:rPr>
      </w:pPr>
      <w:r w:rsidRPr="00F125EF">
        <w:rPr>
          <w:lang w:val="it-IT"/>
        </w:rPr>
        <w:t>9.</w:t>
      </w:r>
      <w:r w:rsidRPr="00F125EF">
        <w:rPr>
          <w:lang w:val="it-IT"/>
        </w:rPr>
        <w:tab/>
        <w:t>A belvízi hajóbizonyítványban fel kell tüntetni a telepített rendszerek számát.</w:t>
      </w:r>
    </w:p>
    <w:p w:rsidR="00E65F26" w:rsidRPr="00F125EF" w:rsidRDefault="00E65F26" w:rsidP="00E65F26">
      <w:pPr>
        <w:pStyle w:val="ESch"/>
        <w:rPr>
          <w:lang w:val="it-IT"/>
        </w:rPr>
      </w:pPr>
    </w:p>
    <w:p w:rsidR="00E65F26" w:rsidRPr="00F125EF" w:rsidRDefault="00E65F26" w:rsidP="00E65F26">
      <w:pPr>
        <w:pStyle w:val="ESch"/>
        <w:rPr>
          <w:lang w:val="it-IT"/>
        </w:rPr>
      </w:pPr>
    </w:p>
    <w:p w:rsidR="00E65F26" w:rsidRPr="00F125EF" w:rsidRDefault="00E65F26" w:rsidP="00824063">
      <w:pPr>
        <w:pStyle w:val="ES-Titre3"/>
        <w:rPr>
          <w:i/>
          <w:noProof/>
          <w:lang w:val="it-IT"/>
        </w:rPr>
      </w:pPr>
      <w:bookmarkStart w:id="218" w:name="_Toc491854106"/>
      <w:bookmarkStart w:id="219" w:name="_Toc535853885"/>
      <w:r w:rsidRPr="00F125EF">
        <w:rPr>
          <w:lang w:val="it-IT"/>
        </w:rPr>
        <w:t>13.05. cikk</w:t>
      </w:r>
      <w:r w:rsidRPr="00F125EF">
        <w:rPr>
          <w:lang w:val="it-IT"/>
        </w:rPr>
        <w:br/>
      </w:r>
      <w:r w:rsidRPr="00F125EF">
        <w:rPr>
          <w:i/>
          <w:noProof/>
          <w:lang w:val="it-IT"/>
        </w:rPr>
        <w:t>A gépterek, kazánterek és szivattyúházak védelmét szolgáló tartósan rögzített tűzvédelmi rendszerek</w:t>
      </w:r>
      <w:bookmarkEnd w:id="218"/>
      <w:bookmarkEnd w:id="219"/>
    </w:p>
    <w:p w:rsidR="00824063" w:rsidRPr="00F125EF" w:rsidRDefault="00824063" w:rsidP="00E65F26">
      <w:pPr>
        <w:pStyle w:val="ESch"/>
        <w:rPr>
          <w:noProof/>
          <w:lang w:val="it-IT"/>
        </w:rPr>
      </w:pPr>
    </w:p>
    <w:p w:rsidR="00E65F26" w:rsidRPr="00F125EF" w:rsidRDefault="00E65F26" w:rsidP="00E65F26">
      <w:pPr>
        <w:pStyle w:val="ESch"/>
        <w:rPr>
          <w:lang w:val="it-IT"/>
        </w:rPr>
      </w:pPr>
      <w:r w:rsidRPr="00F125EF">
        <w:rPr>
          <w:lang w:val="it-IT"/>
        </w:rPr>
        <w:t>1.</w:t>
      </w:r>
      <w:r w:rsidRPr="00F125EF">
        <w:rPr>
          <w:lang w:val="it-IT"/>
        </w:rPr>
        <w:tab/>
        <w:t>Oltóanyagok</w:t>
      </w:r>
    </w:p>
    <w:p w:rsidR="00824063" w:rsidRPr="00F125EF" w:rsidRDefault="00824063" w:rsidP="00E65F26">
      <w:pPr>
        <w:pStyle w:val="ESch"/>
        <w:rPr>
          <w:noProof/>
          <w:lang w:val="it-IT"/>
        </w:rPr>
      </w:pPr>
    </w:p>
    <w:p w:rsidR="00E65F26" w:rsidRPr="00F125EF" w:rsidRDefault="00E65F26" w:rsidP="00824063">
      <w:pPr>
        <w:pStyle w:val="ESchpar"/>
        <w:rPr>
          <w:lang w:val="it-IT"/>
        </w:rPr>
      </w:pPr>
      <w:r w:rsidRPr="00F125EF">
        <w:rPr>
          <w:lang w:val="it-IT"/>
        </w:rPr>
        <w:t>A gépterek, kazánterek és szivattyúházak védelmére a tartósan rögzített tűzoltórendszerekben kizárólag a következő oltóanyagok alkalmazhatók:</w:t>
      </w:r>
    </w:p>
    <w:p w:rsidR="00E65F26" w:rsidRPr="00F125EF" w:rsidRDefault="005C7859" w:rsidP="00824063">
      <w:pPr>
        <w:pStyle w:val="ESlet"/>
        <w:rPr>
          <w:lang w:val="it-IT"/>
        </w:rPr>
      </w:pPr>
      <w:r w:rsidRPr="00F125EF">
        <w:rPr>
          <w:lang w:val="it-IT"/>
        </w:rPr>
        <w:t>a)</w:t>
      </w:r>
      <w:r w:rsidRPr="00F125EF">
        <w:rPr>
          <w:lang w:val="it-IT"/>
        </w:rPr>
        <w:tab/>
        <w:t>CO</w:t>
      </w:r>
      <w:r w:rsidRPr="00F125EF">
        <w:rPr>
          <w:noProof/>
          <w:vertAlign w:val="subscript"/>
          <w:lang w:val="it-IT"/>
        </w:rPr>
        <w:t xml:space="preserve">2 </w:t>
      </w:r>
      <w:r w:rsidRPr="00F125EF">
        <w:rPr>
          <w:lang w:val="it-IT"/>
        </w:rPr>
        <w:t>(szén-dioxid);</w:t>
      </w:r>
    </w:p>
    <w:p w:rsidR="00E65F26" w:rsidRPr="00F125EF" w:rsidRDefault="005C7859" w:rsidP="00824063">
      <w:pPr>
        <w:pStyle w:val="ESlet"/>
        <w:rPr>
          <w:lang w:val="it-IT"/>
        </w:rPr>
      </w:pPr>
      <w:r w:rsidRPr="00F125EF">
        <w:rPr>
          <w:lang w:val="it-IT"/>
        </w:rPr>
        <w:t>b)</w:t>
      </w:r>
      <w:r w:rsidRPr="00F125EF">
        <w:rPr>
          <w:lang w:val="it-IT"/>
        </w:rPr>
        <w:tab/>
        <w:t>HFC-227ea (heptafluor-propán);</w:t>
      </w:r>
    </w:p>
    <w:p w:rsidR="00E65F26" w:rsidRPr="00F125EF" w:rsidRDefault="005C7859" w:rsidP="00824063">
      <w:pPr>
        <w:pStyle w:val="ESlet"/>
        <w:rPr>
          <w:lang w:val="it-IT"/>
        </w:rPr>
      </w:pPr>
      <w:r w:rsidRPr="00F125EF">
        <w:rPr>
          <w:lang w:val="it-IT"/>
        </w:rPr>
        <w:t>c)</w:t>
      </w:r>
      <w:r w:rsidRPr="00F125EF">
        <w:rPr>
          <w:lang w:val="it-IT"/>
        </w:rPr>
        <w:tab/>
        <w:t>IG-541 (52 % nitrogén, 40 % argon, 8 % szén-dioxid);</w:t>
      </w:r>
    </w:p>
    <w:p w:rsidR="00E65F26" w:rsidRPr="00F125EF" w:rsidRDefault="005C7859" w:rsidP="00824063">
      <w:pPr>
        <w:pStyle w:val="ESlet"/>
        <w:rPr>
          <w:noProof/>
          <w:lang w:val="it-IT"/>
        </w:rPr>
      </w:pPr>
      <w:r w:rsidRPr="00F125EF">
        <w:rPr>
          <w:lang w:val="it-IT"/>
        </w:rPr>
        <w:t>d)</w:t>
      </w:r>
      <w:r w:rsidRPr="00F125EF">
        <w:rPr>
          <w:lang w:val="it-IT"/>
        </w:rPr>
        <w:tab/>
        <w:t>FK-5-1-12 (dodekafluor-2-metilpentán-3-on);</w:t>
      </w:r>
    </w:p>
    <w:p w:rsidR="0088585A" w:rsidRPr="00F125EF" w:rsidRDefault="0088585A" w:rsidP="00824063">
      <w:pPr>
        <w:pStyle w:val="ESlet"/>
        <w:rPr>
          <w:lang w:val="it-IT"/>
        </w:rPr>
      </w:pPr>
      <w:r w:rsidRPr="00F125EF">
        <w:rPr>
          <w:lang w:val="it-IT"/>
        </w:rPr>
        <w:t>e)</w:t>
      </w:r>
      <w:r w:rsidRPr="00F125EF">
        <w:rPr>
          <w:lang w:val="it-IT"/>
        </w:rPr>
        <w:tab/>
        <w:t>víz.</w:t>
      </w:r>
    </w:p>
    <w:p w:rsidR="00E65F26" w:rsidRPr="00F125EF" w:rsidRDefault="00E65F26" w:rsidP="00E65F26">
      <w:pPr>
        <w:pStyle w:val="ESch"/>
        <w:rPr>
          <w:lang w:val="it-IT"/>
        </w:rPr>
      </w:pPr>
    </w:p>
    <w:p w:rsidR="00E65F26" w:rsidRPr="00F125EF" w:rsidRDefault="00E65F26" w:rsidP="00E65F26">
      <w:pPr>
        <w:pStyle w:val="ESch"/>
        <w:rPr>
          <w:lang w:val="it-IT"/>
        </w:rPr>
      </w:pPr>
      <w:r w:rsidRPr="00F125EF">
        <w:rPr>
          <w:lang w:val="it-IT"/>
        </w:rPr>
        <w:t>2.</w:t>
      </w:r>
      <w:r w:rsidRPr="00F125EF">
        <w:rPr>
          <w:lang w:val="it-IT"/>
        </w:rPr>
        <w:tab/>
        <w:t>Szellőzés, légbeszívás</w:t>
      </w:r>
    </w:p>
    <w:p w:rsidR="00E65F26" w:rsidRPr="00F125EF" w:rsidRDefault="005C7859" w:rsidP="00824063">
      <w:pPr>
        <w:pStyle w:val="ESlet"/>
        <w:rPr>
          <w:lang w:val="it-IT"/>
        </w:rPr>
      </w:pPr>
      <w:r w:rsidRPr="00F125EF">
        <w:rPr>
          <w:lang w:val="it-IT"/>
        </w:rPr>
        <w:t>a)</w:t>
      </w:r>
      <w:r w:rsidRPr="00F125EF">
        <w:rPr>
          <w:lang w:val="it-IT"/>
        </w:rPr>
        <w:tab/>
        <w:t>A propulziós motorok égési levegőjét nem szabad kivonni a tartósan rögzített tűzvédelmi rendszerekkel védendő helyiségekből. Ez nem vonatkozik arra, amikor két, egymástól független és hermetikusan elkülönített főgéptér van, vagy ha a főgéptér mellett külön géptere van az orrsugárkormánynak, amely biztosítja, hogy a hajó kormányozható maradjon saját erejéből akkor is, ha a főgéptérben tűz ütne ki.</w:t>
      </w:r>
    </w:p>
    <w:p w:rsidR="00E65F26" w:rsidRPr="00F125EF" w:rsidRDefault="005C7859" w:rsidP="00824063">
      <w:pPr>
        <w:pStyle w:val="ESlet"/>
        <w:rPr>
          <w:lang w:val="it-IT"/>
        </w:rPr>
      </w:pPr>
      <w:r w:rsidRPr="00F125EF">
        <w:rPr>
          <w:lang w:val="it-IT"/>
        </w:rPr>
        <w:t>b)</w:t>
      </w:r>
      <w:r w:rsidRPr="00F125EF">
        <w:rPr>
          <w:lang w:val="it-IT"/>
        </w:rPr>
        <w:tab/>
        <w:t>A tűzvédelmi rendszer kioldásakor a védendő helyiség minden meglévő mesterséges szellőzésének automatikusan ki kell kapcsolnia.</w:t>
      </w:r>
    </w:p>
    <w:p w:rsidR="00E65F26" w:rsidRPr="00F125EF" w:rsidRDefault="005C7859" w:rsidP="00824063">
      <w:pPr>
        <w:pStyle w:val="ESlet"/>
        <w:rPr>
          <w:lang w:val="it-IT"/>
        </w:rPr>
      </w:pPr>
      <w:r w:rsidRPr="00F125EF">
        <w:rPr>
          <w:lang w:val="it-IT"/>
        </w:rPr>
        <w:t>c)</w:t>
      </w:r>
      <w:r w:rsidRPr="00F125EF">
        <w:rPr>
          <w:lang w:val="it-IT"/>
        </w:rPr>
        <w:tab/>
        <w:t>Elérhetőnek kell lenniük olyan eszközöknek, amelyekkel a védendő helyiségben gyorsan be lehet fedni a levegőt beengedő és a gázokat kieresztő nyílásokat. E nyílások nyitott vagy zárt állapotának egyértelműen felismerhetőnek kell lennie.</w:t>
      </w:r>
    </w:p>
    <w:p w:rsidR="00E65F26" w:rsidRPr="00F125EF" w:rsidRDefault="005C7859" w:rsidP="00824063">
      <w:pPr>
        <w:pStyle w:val="ESlet"/>
        <w:rPr>
          <w:lang w:val="it-IT"/>
        </w:rPr>
      </w:pPr>
      <w:r w:rsidRPr="00F125EF">
        <w:rPr>
          <w:lang w:val="it-IT"/>
        </w:rPr>
        <w:t>d)</w:t>
      </w:r>
      <w:r w:rsidRPr="00F125EF">
        <w:rPr>
          <w:lang w:val="it-IT"/>
        </w:rPr>
        <w:tab/>
        <w:t>A gépterekben felszerelt sűrítettlevegő-tartályokon lévő nyomásszabályozó szelepeken távozó levegőt ki kell vezetni a szabadba.</w:t>
      </w:r>
    </w:p>
    <w:p w:rsidR="00E65F26" w:rsidRPr="00F125EF" w:rsidRDefault="0029453D" w:rsidP="00824063">
      <w:pPr>
        <w:pStyle w:val="ESlet"/>
        <w:rPr>
          <w:lang w:val="it-IT"/>
        </w:rPr>
      </w:pPr>
      <w:r w:rsidRPr="00F125EF">
        <w:rPr>
          <w:lang w:val="it-IT"/>
        </w:rPr>
        <w:t>e)</w:t>
      </w:r>
      <w:r w:rsidRPr="00F125EF">
        <w:rPr>
          <w:lang w:val="it-IT"/>
        </w:rPr>
        <w:tab/>
        <w:t>Az oltóanyag behatolása miatt fellépő túlnyomás vagy alulnyomás nem károsíthatja a védendő helyiséget körülvevő térelválasztó elemek alkotórészeit. Biztosítani kell, hogy a nyomás veszély nélkül kiegyenlítődhessen.</w:t>
      </w:r>
    </w:p>
    <w:p w:rsidR="00E65F26" w:rsidRPr="00F125EF" w:rsidRDefault="0029453D" w:rsidP="00824063">
      <w:pPr>
        <w:pStyle w:val="ESlet"/>
        <w:rPr>
          <w:lang w:val="it-IT"/>
        </w:rPr>
      </w:pPr>
      <w:r w:rsidRPr="00F125EF">
        <w:rPr>
          <w:lang w:val="it-IT"/>
        </w:rPr>
        <w:t>f)</w:t>
      </w:r>
      <w:r w:rsidRPr="00F125EF">
        <w:rPr>
          <w:lang w:val="it-IT"/>
        </w:rPr>
        <w:tab/>
        <w:t>Az ellenőrzött helyiségeket el kell látni olyan berendezéssel, amellyel az oltóanyag és az égési gázok kivonhatók. Biztosítani kell, hogy e berendezést működtetni lehessen a védendő helyiségen kívülről, valamint hogy az ilyen helyiségben keletkezett tűz ne érhesse el. Ha az elszívóberendezés tartósan rögzített, biztosítani kell, hogy azt ne lehessen bekapcsolni, amíg a tűz oltása folyamatban van.</w:t>
      </w:r>
    </w:p>
    <w:p w:rsidR="00824063" w:rsidRPr="00F125EF" w:rsidRDefault="00824063" w:rsidP="00E65F26">
      <w:pPr>
        <w:pStyle w:val="ESch"/>
        <w:rPr>
          <w:noProof/>
          <w:lang w:val="it-IT"/>
        </w:rPr>
      </w:pPr>
    </w:p>
    <w:p w:rsidR="00E65F26" w:rsidRPr="00F125EF" w:rsidRDefault="00E65F26" w:rsidP="00E65F26">
      <w:pPr>
        <w:pStyle w:val="ESch"/>
        <w:rPr>
          <w:lang w:val="it-IT"/>
        </w:rPr>
      </w:pPr>
      <w:r w:rsidRPr="00F125EF">
        <w:rPr>
          <w:lang w:val="it-IT"/>
        </w:rPr>
        <w:t>3.</w:t>
      </w:r>
      <w:r w:rsidRPr="00F125EF">
        <w:rPr>
          <w:lang w:val="it-IT"/>
        </w:rPr>
        <w:tab/>
        <w:t>Tűzriasztó rendszer</w:t>
      </w:r>
    </w:p>
    <w:p w:rsidR="00824063" w:rsidRPr="00F125EF" w:rsidRDefault="00824063" w:rsidP="00824063">
      <w:pPr>
        <w:pStyle w:val="ESchpar"/>
        <w:rPr>
          <w:noProof/>
          <w:lang w:val="it-IT"/>
        </w:rPr>
      </w:pPr>
    </w:p>
    <w:p w:rsidR="00E65F26" w:rsidRPr="00F125EF" w:rsidRDefault="00E65F26" w:rsidP="00824063">
      <w:pPr>
        <w:pStyle w:val="ESchpar"/>
        <w:rPr>
          <w:lang w:val="it-IT"/>
        </w:rPr>
      </w:pPr>
      <w:r w:rsidRPr="00F125EF">
        <w:rPr>
          <w:lang w:val="it-IT"/>
        </w:rPr>
        <w:t>A védendő helyiséget megfelelő tűzriasztó rendszerrel kell ellátni. A riasztásnak észlelhetőnek kell lennie a kormányállásban, a lakóterekben és az ellenőrzött helyiségben.</w:t>
      </w:r>
    </w:p>
    <w:p w:rsidR="00824063" w:rsidRPr="00F125EF" w:rsidRDefault="00824063" w:rsidP="00E65F26">
      <w:pPr>
        <w:pStyle w:val="ESch"/>
        <w:rPr>
          <w:noProof/>
          <w:lang w:val="it-IT"/>
        </w:rPr>
      </w:pPr>
    </w:p>
    <w:p w:rsidR="00824063" w:rsidRPr="00F125EF" w:rsidRDefault="00824063" w:rsidP="00E65F26">
      <w:pPr>
        <w:pStyle w:val="ESch"/>
        <w:rPr>
          <w:noProof/>
          <w:lang w:val="it-IT"/>
        </w:rPr>
      </w:pPr>
      <w:r w:rsidRPr="00F125EF">
        <w:rPr>
          <w:lang w:val="it-IT"/>
        </w:rPr>
        <w:br w:type="page"/>
      </w:r>
    </w:p>
    <w:p w:rsidR="00E65F26" w:rsidRPr="00F125EF" w:rsidRDefault="00E65F26" w:rsidP="00E65F26">
      <w:pPr>
        <w:pStyle w:val="ESch"/>
        <w:rPr>
          <w:lang w:val="it-IT"/>
        </w:rPr>
      </w:pPr>
      <w:r w:rsidRPr="00F125EF">
        <w:rPr>
          <w:lang w:val="it-IT"/>
        </w:rPr>
        <w:t>4.</w:t>
      </w:r>
      <w:r w:rsidRPr="00F125EF">
        <w:rPr>
          <w:lang w:val="it-IT"/>
        </w:rPr>
        <w:tab/>
        <w:t>Csőrendszer</w:t>
      </w:r>
    </w:p>
    <w:p w:rsidR="00E65F26" w:rsidRPr="00F125EF" w:rsidRDefault="005C7859" w:rsidP="00824063">
      <w:pPr>
        <w:pStyle w:val="ESlet"/>
        <w:rPr>
          <w:lang w:val="it-IT"/>
        </w:rPr>
      </w:pPr>
      <w:r w:rsidRPr="00F125EF">
        <w:rPr>
          <w:lang w:val="it-IT"/>
        </w:rPr>
        <w:t>a)</w:t>
      </w:r>
      <w:r w:rsidRPr="00F125EF">
        <w:rPr>
          <w:lang w:val="it-IT"/>
        </w:rPr>
        <w:tab/>
        <w:t>Az oltóanyag védendő helyiségbe való bejutását és ott történő szórását rögzített csőrendszerrel kell biztosítani. A védendő helyiségben lévő csöveknek és a hozzájuk tartozó szerelékeknek acélból kell lenniük. Kivételt képeznek a tartályokat összekötő csövek és a kompenzátorok, feltéve, hogy anyaguk tűz esetén az acéllal egyenértékű jellemzőkkel bír. A csöveket kívül és belül egyaránt védeni kell a korrózió ellen.</w:t>
      </w:r>
    </w:p>
    <w:p w:rsidR="00E65F26" w:rsidRPr="00F125EF" w:rsidRDefault="005C7859" w:rsidP="00824063">
      <w:pPr>
        <w:pStyle w:val="ESlet"/>
        <w:rPr>
          <w:lang w:val="it-IT"/>
        </w:rPr>
      </w:pPr>
      <w:r w:rsidRPr="00F125EF">
        <w:rPr>
          <w:lang w:val="it-IT"/>
        </w:rPr>
        <w:t>b)</w:t>
      </w:r>
      <w:r w:rsidRPr="00F125EF">
        <w:rPr>
          <w:lang w:val="it-IT"/>
        </w:rPr>
        <w:tab/>
        <w:t>A kieresztő fúvókákat úgy kell méretezni és rögzíteni, hogy az oltóanyag eloszlása egyenletes legyen. Különösen fontos, hogy az oltóanyagnak a padlólemezek alatt is hatékonynak kell lennie.</w:t>
      </w:r>
    </w:p>
    <w:p w:rsidR="00824063" w:rsidRPr="00F125EF" w:rsidRDefault="00824063" w:rsidP="00E65F26">
      <w:pPr>
        <w:pStyle w:val="ESch"/>
        <w:rPr>
          <w:noProof/>
          <w:lang w:val="it-IT"/>
        </w:rPr>
      </w:pPr>
    </w:p>
    <w:p w:rsidR="00E65F26" w:rsidRPr="00F125EF" w:rsidRDefault="00E65F26" w:rsidP="00E65F26">
      <w:pPr>
        <w:pStyle w:val="ESch"/>
        <w:rPr>
          <w:lang w:val="it-IT"/>
        </w:rPr>
      </w:pPr>
      <w:r w:rsidRPr="00F125EF">
        <w:rPr>
          <w:lang w:val="it-IT"/>
        </w:rPr>
        <w:t>5.</w:t>
      </w:r>
      <w:r w:rsidRPr="00F125EF">
        <w:rPr>
          <w:lang w:val="it-IT"/>
        </w:rPr>
        <w:tab/>
        <w:t>Kioldóberendezés</w:t>
      </w:r>
    </w:p>
    <w:p w:rsidR="00E65F26" w:rsidRPr="00F125EF" w:rsidRDefault="005C7859" w:rsidP="00824063">
      <w:pPr>
        <w:pStyle w:val="ESlet"/>
        <w:rPr>
          <w:lang w:val="it-IT"/>
        </w:rPr>
      </w:pPr>
      <w:r w:rsidRPr="00F125EF">
        <w:rPr>
          <w:lang w:val="it-IT"/>
        </w:rPr>
        <w:t>a)</w:t>
      </w:r>
      <w:r w:rsidRPr="00F125EF">
        <w:rPr>
          <w:lang w:val="it-IT"/>
        </w:rPr>
        <w:tab/>
        <w:t>Önkioldó tűzvédelmi rendszerek alkalmazása nem engedélyezett.</w:t>
      </w:r>
    </w:p>
    <w:p w:rsidR="00E65F26" w:rsidRPr="00F125EF" w:rsidRDefault="005C7859" w:rsidP="00824063">
      <w:pPr>
        <w:pStyle w:val="ESlet"/>
        <w:rPr>
          <w:lang w:val="it-IT"/>
        </w:rPr>
      </w:pPr>
      <w:r w:rsidRPr="00F125EF">
        <w:rPr>
          <w:lang w:val="it-IT"/>
        </w:rPr>
        <w:t>b)</w:t>
      </w:r>
      <w:r w:rsidRPr="00F125EF">
        <w:rPr>
          <w:lang w:val="it-IT"/>
        </w:rPr>
        <w:tab/>
        <w:t>Biztosítani kell, hogy a tűzvédelmi rendszer kioldható legyen egy, a védendő helyiségen kívüli megfelelő helyről.</w:t>
      </w:r>
    </w:p>
    <w:p w:rsidR="00E65F26" w:rsidRPr="00F125EF" w:rsidRDefault="005C7859" w:rsidP="00824063">
      <w:pPr>
        <w:pStyle w:val="ESlet"/>
        <w:rPr>
          <w:lang w:val="it-IT"/>
        </w:rPr>
      </w:pPr>
      <w:r w:rsidRPr="00F125EF">
        <w:rPr>
          <w:lang w:val="it-IT"/>
        </w:rPr>
        <w:t>c)</w:t>
      </w:r>
      <w:r w:rsidRPr="00F125EF">
        <w:rPr>
          <w:lang w:val="it-IT"/>
        </w:rPr>
        <w:tab/>
        <w:t>A kioldóberendezést úgy kell felszerelni, hogy tűz esetén is működtethető legyen, és ha a védendő helyiségben tűz vagy robbanás miatt károsodás keletkezik, a szükséges oltóanyag-mennyiség bejuttatható legyen.</w:t>
      </w:r>
    </w:p>
    <w:p w:rsidR="00E65F26" w:rsidRPr="00F125EF" w:rsidRDefault="00C44D3C" w:rsidP="00824063">
      <w:pPr>
        <w:pStyle w:val="ESletpar"/>
        <w:rPr>
          <w:lang w:val="it-IT"/>
        </w:rPr>
      </w:pPr>
      <w:r w:rsidRPr="00F125EF">
        <w:rPr>
          <w:lang w:val="it-IT"/>
        </w:rPr>
        <w:t>A nem mechanikus kioldóberendezések működtetése két, egymástól független energiaforrásból történik. Ezeket az energiaforrásokat a védendő helyiségen kívül kell elhelyezni. A védendő helyiségben lévő vezérlővezetékeket úgy kell megtervezni, hogy tűz esetén legalább 30 percig üzemképesek maradjanak. Ez a követelmény elektromos vezetékek esetében akkor teljesül, ha azok megfelelnek az IEC 60331</w:t>
      </w:r>
      <w:r w:rsidRPr="00F125EF">
        <w:rPr>
          <w:lang w:val="it-IT"/>
        </w:rPr>
        <w:softHyphen/>
        <w:t>21:1999 nemzetközi szabványnak.</w:t>
      </w:r>
    </w:p>
    <w:p w:rsidR="00E65F26" w:rsidRPr="00F125EF" w:rsidRDefault="00E65F26" w:rsidP="00824063">
      <w:pPr>
        <w:pStyle w:val="ESletpar"/>
        <w:rPr>
          <w:lang w:val="it-IT"/>
        </w:rPr>
      </w:pPr>
      <w:r w:rsidRPr="00F125EF">
        <w:rPr>
          <w:lang w:val="it-IT"/>
        </w:rPr>
        <w:t>Amennyiben a kioldóberendezést fedél alatt helyezték el, a fedelet a 4. melléklet 6. ábrája szerinti „Tűzvédelmi rendszer” szimbólummal kell jelölni, amelynek oldalhosszúsága legalább 10 cm, valamint fel kell tüntetni rajta az alábbi szöveget fehér alapon piros betűkkel:</w:t>
      </w:r>
    </w:p>
    <w:p w:rsidR="00E65F26" w:rsidRPr="00F125EF" w:rsidRDefault="0064343D" w:rsidP="001B5ABA">
      <w:pPr>
        <w:pStyle w:val="ESletpar"/>
        <w:jc w:val="center"/>
        <w:rPr>
          <w:lang w:val="it-IT"/>
        </w:rPr>
      </w:pPr>
      <w:r w:rsidRPr="00F125EF">
        <w:rPr>
          <w:lang w:val="it-IT"/>
        </w:rPr>
        <w:t>„Feuerlöscheinrichtung</w:t>
      </w:r>
    </w:p>
    <w:p w:rsidR="00E65F26" w:rsidRPr="00F125EF" w:rsidRDefault="00E65F26" w:rsidP="001B5ABA">
      <w:pPr>
        <w:pStyle w:val="ESletpar"/>
        <w:jc w:val="center"/>
        <w:rPr>
          <w:lang w:val="it-IT"/>
        </w:rPr>
      </w:pPr>
      <w:r w:rsidRPr="00F125EF">
        <w:rPr>
          <w:lang w:val="it-IT"/>
        </w:rPr>
        <w:t>Installation d'extinction</w:t>
      </w:r>
    </w:p>
    <w:p w:rsidR="00E65F26" w:rsidRPr="00F125EF" w:rsidRDefault="00E65F26" w:rsidP="001B5ABA">
      <w:pPr>
        <w:pStyle w:val="ESletpar"/>
        <w:jc w:val="center"/>
        <w:rPr>
          <w:lang w:val="it-IT"/>
        </w:rPr>
      </w:pPr>
      <w:r w:rsidRPr="00F125EF">
        <w:rPr>
          <w:lang w:val="it-IT"/>
        </w:rPr>
        <w:t>Brandblusinstallatie</w:t>
      </w:r>
    </w:p>
    <w:p w:rsidR="00E65F26" w:rsidRPr="00F125EF" w:rsidRDefault="00E65F26" w:rsidP="001B5ABA">
      <w:pPr>
        <w:pStyle w:val="ESletpar"/>
        <w:jc w:val="center"/>
        <w:rPr>
          <w:lang w:val="it-IT"/>
        </w:rPr>
      </w:pPr>
      <w:r w:rsidRPr="00F125EF">
        <w:rPr>
          <w:lang w:val="it-IT"/>
        </w:rPr>
        <w:t>Fire-fighting installation”.</w:t>
      </w:r>
    </w:p>
    <w:p w:rsidR="00E65F26" w:rsidRPr="00F125EF" w:rsidRDefault="005C7859" w:rsidP="00824063">
      <w:pPr>
        <w:pStyle w:val="ESlet"/>
        <w:rPr>
          <w:lang w:val="it-IT"/>
        </w:rPr>
      </w:pPr>
      <w:r w:rsidRPr="00F125EF">
        <w:rPr>
          <w:lang w:val="it-IT"/>
        </w:rPr>
        <w:t>d)</w:t>
      </w:r>
      <w:r w:rsidRPr="00F125EF">
        <w:rPr>
          <w:lang w:val="it-IT"/>
        </w:rPr>
        <w:tab/>
        <w:t>Ha a tűzvédelmi rendszer több helyiség védelmét szolgálja, minden ilyen helyiség számára külön kioldóberendezésnek kell rendelkezésre állnia, és azt egyértelműen jelölni kell.</w:t>
      </w:r>
    </w:p>
    <w:p w:rsidR="00E65F26" w:rsidRPr="00F125EF" w:rsidRDefault="0029453D" w:rsidP="00824063">
      <w:pPr>
        <w:pStyle w:val="ESlet"/>
        <w:rPr>
          <w:lang w:val="it-IT"/>
        </w:rPr>
      </w:pPr>
      <w:r w:rsidRPr="00F125EF">
        <w:rPr>
          <w:lang w:val="it-IT"/>
        </w:rPr>
        <w:t>e)</w:t>
      </w:r>
      <w:r w:rsidRPr="00F125EF">
        <w:rPr>
          <w:lang w:val="it-IT"/>
        </w:rPr>
        <w:tab/>
        <w:t>Minden kioldóberendezés mellett jól láthatóan és letörölhetetlen módon fel kell tüntetni a kezelési utasításokat az egyik tagállam nyelvén. Különösen az alábbiakra vonatkozó utasításokat kell feltüntetni:</w:t>
      </w:r>
    </w:p>
    <w:p w:rsidR="00E65F26" w:rsidRPr="00F125EF" w:rsidRDefault="0029453D" w:rsidP="00574385">
      <w:pPr>
        <w:pStyle w:val="EStiret"/>
        <w:rPr>
          <w:lang w:val="it-IT"/>
        </w:rPr>
      </w:pPr>
      <w:r w:rsidRPr="00F125EF">
        <w:rPr>
          <w:lang w:val="it-IT"/>
        </w:rPr>
        <w:t>aa)</w:t>
      </w:r>
      <w:r w:rsidRPr="00F125EF">
        <w:rPr>
          <w:lang w:val="it-IT"/>
        </w:rPr>
        <w:tab/>
        <w:t>a tűzvédelmi rendszer kioldása;</w:t>
      </w:r>
    </w:p>
    <w:p w:rsidR="00E65F26" w:rsidRPr="00F125EF" w:rsidRDefault="0029453D" w:rsidP="00574385">
      <w:pPr>
        <w:pStyle w:val="EStiret"/>
        <w:rPr>
          <w:lang w:val="it-IT"/>
        </w:rPr>
      </w:pPr>
      <w:r w:rsidRPr="00F125EF">
        <w:rPr>
          <w:lang w:val="it-IT"/>
        </w:rPr>
        <w:t>bb)</w:t>
      </w:r>
      <w:r w:rsidRPr="00F125EF">
        <w:rPr>
          <w:lang w:val="it-IT"/>
        </w:rPr>
        <w:tab/>
        <w:t>figyelmeztetés annak ellenőrzésére, hogy a védendő helyiségből mindenki távozott-e;</w:t>
      </w:r>
    </w:p>
    <w:p w:rsidR="00E65F26" w:rsidRPr="00F125EF" w:rsidRDefault="00E65F26" w:rsidP="00574385">
      <w:pPr>
        <w:pStyle w:val="EStiret"/>
        <w:rPr>
          <w:lang w:val="it-IT"/>
        </w:rPr>
      </w:pPr>
      <w:r w:rsidRPr="00F125EF">
        <w:rPr>
          <w:lang w:val="it-IT"/>
        </w:rPr>
        <w:t>cc)</w:t>
      </w:r>
      <w:r w:rsidRPr="00F125EF">
        <w:rPr>
          <w:lang w:val="it-IT"/>
        </w:rPr>
        <w:tab/>
        <w:t>a legénység feladatai a tűzvédelmi rendszer kioldásakor és a védendő helyiségeknek a kioldást vagy az elárasztást követő megközelítésekor, különös tekintettel a veszélyes anyagok esetleges jelenlétére;</w:t>
      </w:r>
    </w:p>
    <w:p w:rsidR="00E65F26" w:rsidRPr="00F125EF" w:rsidRDefault="00E65F26" w:rsidP="00574385">
      <w:pPr>
        <w:pStyle w:val="EStiret"/>
        <w:rPr>
          <w:lang w:val="it-IT"/>
        </w:rPr>
      </w:pPr>
      <w:r w:rsidRPr="00F125EF">
        <w:rPr>
          <w:lang w:val="it-IT"/>
        </w:rPr>
        <w:t>dd)</w:t>
      </w:r>
      <w:r w:rsidRPr="00F125EF">
        <w:rPr>
          <w:lang w:val="it-IT"/>
        </w:rPr>
        <w:tab/>
        <w:t>a legénység feladatai a tűzvédelmi rendszer meghibásodása esetén.</w:t>
      </w:r>
    </w:p>
    <w:p w:rsidR="00E65F26" w:rsidRPr="00F125EF" w:rsidRDefault="0029453D" w:rsidP="00824063">
      <w:pPr>
        <w:pStyle w:val="ESlet"/>
        <w:rPr>
          <w:lang w:val="it-IT"/>
        </w:rPr>
      </w:pPr>
      <w:r w:rsidRPr="00F125EF">
        <w:rPr>
          <w:lang w:val="it-IT"/>
        </w:rPr>
        <w:t>f)</w:t>
      </w:r>
      <w:r w:rsidRPr="00F125EF">
        <w:rPr>
          <w:lang w:val="it-IT"/>
        </w:rPr>
        <w:tab/>
        <w:t>A kezelési utasításoknak figyelmeztetniük kell arra, hogy a tűzvédelmi rendszer kioldása előtt ki kell kapcsolni a védendő helyiségből levegőt kiszívó hőerőgépeket.</w:t>
      </w:r>
    </w:p>
    <w:p w:rsidR="00824063" w:rsidRPr="00F125EF" w:rsidRDefault="00824063" w:rsidP="00E65F26">
      <w:pPr>
        <w:pStyle w:val="ESch"/>
        <w:rPr>
          <w:noProof/>
          <w:lang w:val="it-IT"/>
        </w:rPr>
      </w:pPr>
    </w:p>
    <w:p w:rsidR="004C4825" w:rsidRPr="00F125EF" w:rsidRDefault="004C4825">
      <w:pPr>
        <w:rPr>
          <w:noProof/>
          <w:lang w:val="it-IT"/>
        </w:rPr>
      </w:pPr>
      <w:r w:rsidRPr="00F125EF">
        <w:rPr>
          <w:lang w:val="it-IT"/>
        </w:rPr>
        <w:br w:type="page"/>
      </w:r>
    </w:p>
    <w:p w:rsidR="00E65F26" w:rsidRPr="00F125EF" w:rsidRDefault="00E65F26" w:rsidP="00E65F26">
      <w:pPr>
        <w:pStyle w:val="ESch"/>
        <w:rPr>
          <w:lang w:val="it-IT"/>
        </w:rPr>
      </w:pPr>
      <w:r w:rsidRPr="00F125EF">
        <w:rPr>
          <w:lang w:val="it-IT"/>
        </w:rPr>
        <w:t>6.</w:t>
      </w:r>
      <w:r w:rsidRPr="00F125EF">
        <w:rPr>
          <w:lang w:val="it-IT"/>
        </w:rPr>
        <w:tab/>
        <w:t>Figyelmeztető rendszer</w:t>
      </w:r>
    </w:p>
    <w:p w:rsidR="00E65F26" w:rsidRPr="00F125EF" w:rsidRDefault="005C7859" w:rsidP="00824063">
      <w:pPr>
        <w:pStyle w:val="ESlet"/>
        <w:rPr>
          <w:lang w:val="it-IT"/>
        </w:rPr>
      </w:pPr>
      <w:r w:rsidRPr="00F125EF">
        <w:rPr>
          <w:lang w:val="it-IT"/>
        </w:rPr>
        <w:t>a)</w:t>
      </w:r>
      <w:r w:rsidRPr="00F125EF">
        <w:rPr>
          <w:lang w:val="it-IT"/>
        </w:rPr>
        <w:tab/>
        <w:t>A tartósan rögzített tűzvédelmi rendszereket fel kell szerelni akusztikai és optikai jelzést adó figyelmeztető rendszerekkel.</w:t>
      </w:r>
    </w:p>
    <w:p w:rsidR="00E65F26" w:rsidRPr="00F125EF" w:rsidRDefault="005C7859" w:rsidP="00824063">
      <w:pPr>
        <w:pStyle w:val="ESlet"/>
        <w:rPr>
          <w:lang w:val="it-IT"/>
        </w:rPr>
      </w:pPr>
      <w:r w:rsidRPr="00F125EF">
        <w:rPr>
          <w:lang w:val="it-IT"/>
        </w:rPr>
        <w:t>b)</w:t>
      </w:r>
      <w:r w:rsidRPr="00F125EF">
        <w:rPr>
          <w:lang w:val="it-IT"/>
        </w:rPr>
        <w:tab/>
        <w:t>A figyelmeztető rendszernek a tűzvédelmi rendszer kioldásakor azonnal automatikusan be kell kapcsolnia. Biztosítani kell, hogy az oltóanyag kiszórása előtt a figyelmeztető jelzés megfelelő ideig szóljon, és ne lehessen kikapcsolni.</w:t>
      </w:r>
    </w:p>
    <w:p w:rsidR="00E65F26" w:rsidRPr="00F125EF" w:rsidRDefault="005C7859" w:rsidP="00824063">
      <w:pPr>
        <w:pStyle w:val="ESlet"/>
        <w:rPr>
          <w:lang w:val="it-IT"/>
        </w:rPr>
      </w:pPr>
      <w:r w:rsidRPr="00F125EF">
        <w:rPr>
          <w:lang w:val="it-IT"/>
        </w:rPr>
        <w:t>c)</w:t>
      </w:r>
      <w:r w:rsidRPr="00F125EF">
        <w:rPr>
          <w:lang w:val="it-IT"/>
        </w:rPr>
        <w:tab/>
        <w:t>A figyelmeztető jelzéseknek az ellenőrzött helyiségekben és azokon kívül, a hozzájuk vezető folyosókon jól láthatóknak, illetve az üzemi körülmények keltette legnagyobb zajban is jól hallhatóknak kell lenniük. Egyértelműen megkülönböztethetőnek kell lenniük a védendő helyiség más akusztikai és optikai jelzéseitől.</w:t>
      </w:r>
    </w:p>
    <w:p w:rsidR="00E65F26" w:rsidRPr="00F125EF" w:rsidRDefault="005C7859" w:rsidP="00824063">
      <w:pPr>
        <w:pStyle w:val="ESlet"/>
        <w:rPr>
          <w:lang w:val="it-IT"/>
        </w:rPr>
      </w:pPr>
      <w:r w:rsidRPr="00F125EF">
        <w:rPr>
          <w:lang w:val="it-IT"/>
        </w:rPr>
        <w:t>d)</w:t>
      </w:r>
      <w:r w:rsidRPr="00F125EF">
        <w:rPr>
          <w:lang w:val="it-IT"/>
        </w:rPr>
        <w:tab/>
        <w:t>Az akusztikai figyelmeztető jelzéseknek jól észlelhetőknek kell lenniük a szomszédos helyiségekben az ajtók csukott állapotában is, illetve az üzemi körülmények keltette legnagyobb zajban is.</w:t>
      </w:r>
    </w:p>
    <w:p w:rsidR="00E65F26" w:rsidRPr="00F125EF" w:rsidRDefault="0029453D" w:rsidP="00824063">
      <w:pPr>
        <w:pStyle w:val="ESlet"/>
        <w:rPr>
          <w:lang w:val="it-IT"/>
        </w:rPr>
      </w:pPr>
      <w:r w:rsidRPr="00F125EF">
        <w:rPr>
          <w:lang w:val="it-IT"/>
        </w:rPr>
        <w:t>e)</w:t>
      </w:r>
      <w:r w:rsidRPr="00F125EF">
        <w:rPr>
          <w:lang w:val="it-IT"/>
        </w:rPr>
        <w:tab/>
        <w:t>Amennyiben a figyelmeztető rendszer nem rendelkezik önellenőrző funkcióval a rövidzárlatok, vezetékmegtörések és feszültségesések tekintetében, lehetővé kell tenni megfelelő működésének ellenőrzését.</w:t>
      </w:r>
    </w:p>
    <w:p w:rsidR="00E65F26" w:rsidRPr="00F125EF" w:rsidRDefault="0029453D" w:rsidP="00824063">
      <w:pPr>
        <w:pStyle w:val="ESlet"/>
        <w:rPr>
          <w:lang w:val="it-IT"/>
        </w:rPr>
      </w:pPr>
      <w:r w:rsidRPr="00F125EF">
        <w:rPr>
          <w:lang w:val="it-IT"/>
        </w:rPr>
        <w:t>f)</w:t>
      </w:r>
      <w:r w:rsidRPr="00F125EF">
        <w:rPr>
          <w:lang w:val="it-IT"/>
        </w:rPr>
        <w:tab/>
        <w:t>Minden olyan helyiség bejáratánál, amelyet oltóanyaggal lehet elárasztani, jól látható tájékoztató feliratot kell kihelyezni, amelyen a következő olvasható fehér alapon piros betűkkel:</w:t>
      </w:r>
    </w:p>
    <w:p w:rsidR="00E65F26" w:rsidRPr="00F125EF" w:rsidRDefault="0064343D" w:rsidP="001B5ABA">
      <w:pPr>
        <w:pStyle w:val="ESgauche"/>
        <w:spacing w:before="60"/>
        <w:jc w:val="center"/>
        <w:rPr>
          <w:lang w:val="de-DE"/>
        </w:rPr>
      </w:pPr>
      <w:r w:rsidRPr="00F125EF">
        <w:rPr>
          <w:lang w:val="de-DE"/>
        </w:rPr>
        <w:t>„Vorsicht, Feuerlöscheinrichtung!</w:t>
      </w:r>
    </w:p>
    <w:p w:rsidR="00E65F26" w:rsidRPr="00F125EF" w:rsidRDefault="00E65F26" w:rsidP="001B5ABA">
      <w:pPr>
        <w:pStyle w:val="ESgauche"/>
        <w:jc w:val="center"/>
        <w:rPr>
          <w:lang w:val="de-DE"/>
        </w:rPr>
      </w:pPr>
      <w:r w:rsidRPr="00F125EF">
        <w:rPr>
          <w:lang w:val="de-DE"/>
        </w:rPr>
        <w:t>Bei Ertönen des Warnsignals (Beschreibung des Signals) den Raum sofort verlassen!</w:t>
      </w:r>
    </w:p>
    <w:p w:rsidR="00EC2B81" w:rsidRPr="00F125EF" w:rsidRDefault="00EC2B81" w:rsidP="001B5ABA">
      <w:pPr>
        <w:pStyle w:val="ESgauche"/>
        <w:jc w:val="center"/>
        <w:rPr>
          <w:lang w:val="de-DE"/>
        </w:rPr>
      </w:pPr>
    </w:p>
    <w:p w:rsidR="00E65F26" w:rsidRPr="00F125EF" w:rsidRDefault="00E65F26" w:rsidP="001B5ABA">
      <w:pPr>
        <w:pStyle w:val="ESgauche"/>
        <w:jc w:val="center"/>
        <w:rPr>
          <w:lang w:val="fr-FR"/>
        </w:rPr>
      </w:pPr>
      <w:r w:rsidRPr="00F125EF">
        <w:rPr>
          <w:lang w:val="fr-FR"/>
        </w:rPr>
        <w:t>Attention, installation d'extinction d'incendie !</w:t>
      </w:r>
    </w:p>
    <w:p w:rsidR="00E65F26" w:rsidRPr="00F125EF" w:rsidRDefault="00E65F26" w:rsidP="001B5ABA">
      <w:pPr>
        <w:pStyle w:val="ESgauche"/>
        <w:jc w:val="center"/>
        <w:rPr>
          <w:lang w:val="fr-FR"/>
        </w:rPr>
      </w:pPr>
      <w:r w:rsidRPr="00F125EF">
        <w:rPr>
          <w:lang w:val="fr-FR"/>
        </w:rPr>
        <w:t>Quitter immédiatement ce local au signal (description du signal) !</w:t>
      </w:r>
    </w:p>
    <w:p w:rsidR="00EC2B81" w:rsidRPr="00F125EF" w:rsidRDefault="00EC2B81" w:rsidP="001B5ABA">
      <w:pPr>
        <w:pStyle w:val="ESgauche"/>
        <w:jc w:val="center"/>
        <w:rPr>
          <w:lang w:val="fr-FR"/>
        </w:rPr>
      </w:pPr>
    </w:p>
    <w:p w:rsidR="00E65F26" w:rsidRPr="00F125EF" w:rsidRDefault="00E65F26" w:rsidP="001B5ABA">
      <w:pPr>
        <w:pStyle w:val="ESgauche"/>
        <w:jc w:val="center"/>
        <w:rPr>
          <w:lang w:val="nl-NL"/>
        </w:rPr>
      </w:pPr>
      <w:r w:rsidRPr="00F125EF">
        <w:rPr>
          <w:lang w:val="nl-NL"/>
        </w:rPr>
        <w:t>Let op, brandblusinstallatie!</w:t>
      </w:r>
    </w:p>
    <w:p w:rsidR="00E65F26" w:rsidRPr="00F125EF" w:rsidRDefault="00E65F26" w:rsidP="001B5ABA">
      <w:pPr>
        <w:pStyle w:val="ESgauche"/>
        <w:jc w:val="center"/>
        <w:rPr>
          <w:lang w:val="nl-NL"/>
        </w:rPr>
      </w:pPr>
      <w:r w:rsidRPr="00F125EF">
        <w:rPr>
          <w:lang w:val="nl-NL"/>
        </w:rPr>
        <w:t>Bij het in werking treden van het alarmsignaal (omschrijving van het signaal) deze ruimte onmiddellijk verlaten!</w:t>
      </w:r>
    </w:p>
    <w:p w:rsidR="00EC2B81" w:rsidRPr="00F125EF" w:rsidRDefault="00EC2B81" w:rsidP="001B5ABA">
      <w:pPr>
        <w:pStyle w:val="ESgauche"/>
        <w:jc w:val="center"/>
        <w:rPr>
          <w:lang w:val="nl-NL"/>
        </w:rPr>
      </w:pPr>
    </w:p>
    <w:p w:rsidR="00E65F26" w:rsidRPr="00C903F8" w:rsidRDefault="00E65F26" w:rsidP="001B5ABA">
      <w:pPr>
        <w:pStyle w:val="ESgauche"/>
        <w:jc w:val="center"/>
      </w:pPr>
      <w:r>
        <w:t>Warning, fire-fighting installation!</w:t>
      </w:r>
    </w:p>
    <w:p w:rsidR="00E65F26" w:rsidRPr="00C903F8" w:rsidRDefault="00E65F26" w:rsidP="001B5ABA">
      <w:pPr>
        <w:pStyle w:val="ESgauche"/>
        <w:jc w:val="center"/>
      </w:pPr>
      <w:r>
        <w:t>Leave the room as soon as the warning signal sounds (description of signal)!”.</w:t>
      </w:r>
    </w:p>
    <w:p w:rsidR="00824063" w:rsidRPr="00C903F8" w:rsidRDefault="00824063" w:rsidP="001B5ABA">
      <w:pPr>
        <w:pStyle w:val="ESgauche"/>
        <w:jc w:val="center"/>
      </w:pPr>
    </w:p>
    <w:p w:rsidR="00E65F26" w:rsidRPr="00C903F8" w:rsidRDefault="00E65F26" w:rsidP="00E65F26">
      <w:pPr>
        <w:pStyle w:val="ESch"/>
      </w:pPr>
      <w:r>
        <w:t>7.</w:t>
      </w:r>
      <w:r>
        <w:tab/>
        <w:t>Nyomástartályok, szerelékek és nyomástartó csövek</w:t>
      </w:r>
    </w:p>
    <w:p w:rsidR="00E65F26" w:rsidRPr="00C903F8" w:rsidRDefault="005C7859" w:rsidP="00824063">
      <w:pPr>
        <w:pStyle w:val="ESlet"/>
      </w:pPr>
      <w:r>
        <w:t>a)</w:t>
      </w:r>
      <w:r>
        <w:tab/>
        <w:t>A nyomástartályoknak, a szerelékeknek és a nyomástartó csöveknek meg kell felelniük az egyik tagállamban hatályos előírásoknak.</w:t>
      </w:r>
    </w:p>
    <w:p w:rsidR="00E65F26" w:rsidRPr="00C903F8" w:rsidRDefault="005C7859" w:rsidP="00824063">
      <w:pPr>
        <w:pStyle w:val="ESlet"/>
      </w:pPr>
      <w:r>
        <w:t>b)</w:t>
      </w:r>
      <w:r>
        <w:tab/>
        <w:t>A nyomástartályokat a gyártó utasításai szerint kell felszerelni.</w:t>
      </w:r>
    </w:p>
    <w:p w:rsidR="00E65F26" w:rsidRPr="00C903F8" w:rsidRDefault="005C7859" w:rsidP="00824063">
      <w:pPr>
        <w:pStyle w:val="ESlet"/>
      </w:pPr>
      <w:r>
        <w:t>c)</w:t>
      </w:r>
      <w:r>
        <w:tab/>
        <w:t>Nyomástartályok, szerelékek és nyomástartó csövek lakóterekben történő felszerelése nem engedélyezett.</w:t>
      </w:r>
    </w:p>
    <w:p w:rsidR="00E65F26" w:rsidRPr="00C903F8" w:rsidRDefault="005C7859" w:rsidP="00824063">
      <w:pPr>
        <w:pStyle w:val="ESlet"/>
      </w:pPr>
      <w:r>
        <w:t>d)</w:t>
      </w:r>
      <w:r>
        <w:tab/>
        <w:t>A nyomástartályok szekrényeiben és felszerelési helyein a hőmérséklet nem lépheti túl az 50 °C-ot.</w:t>
      </w:r>
    </w:p>
    <w:p w:rsidR="00E65F26" w:rsidRPr="00C903F8" w:rsidRDefault="0029453D" w:rsidP="00824063">
      <w:pPr>
        <w:pStyle w:val="ESlet"/>
      </w:pPr>
      <w:r>
        <w:t>e)</w:t>
      </w:r>
      <w:r>
        <w:tab/>
        <w:t>A fedélzeten lévő szekrényeket és felszerelési helyeket szilárdan kell rögzíteni, el kell látni szellőzőnyílásokkal, amelyeket úgy kell elhelyezni, hogy a nyomástartály szivárgása esetén ne kerülhessen gáz a hajó belsejébe. Közvetlen összeköttetés más helyiségekkel nem engedélyezett.</w:t>
      </w:r>
    </w:p>
    <w:p w:rsidR="00824063" w:rsidRPr="00C903F8" w:rsidRDefault="00824063" w:rsidP="00E65F26">
      <w:pPr>
        <w:pStyle w:val="ESch"/>
        <w:rPr>
          <w:noProof/>
        </w:rPr>
      </w:pPr>
    </w:p>
    <w:p w:rsidR="00771FEA" w:rsidRPr="00C903F8" w:rsidRDefault="00771FEA" w:rsidP="00E65F26">
      <w:pPr>
        <w:pStyle w:val="ESch"/>
        <w:rPr>
          <w:noProof/>
        </w:rPr>
      </w:pPr>
      <w:r>
        <w:br w:type="page"/>
      </w:r>
    </w:p>
    <w:p w:rsidR="00E65F26" w:rsidRPr="00C903F8" w:rsidRDefault="00E65F26" w:rsidP="00E65F26">
      <w:pPr>
        <w:pStyle w:val="ESch"/>
      </w:pPr>
      <w:r>
        <w:t>8.</w:t>
      </w:r>
      <w:r>
        <w:tab/>
        <w:t>Az oltóanyag mennyisége</w:t>
      </w:r>
    </w:p>
    <w:p w:rsidR="00824063" w:rsidRPr="00C903F8" w:rsidRDefault="00824063" w:rsidP="00824063">
      <w:pPr>
        <w:pStyle w:val="ESchpar"/>
        <w:rPr>
          <w:noProof/>
        </w:rPr>
      </w:pPr>
    </w:p>
    <w:p w:rsidR="00E65F26" w:rsidRPr="00C903F8" w:rsidRDefault="00E65F26" w:rsidP="00824063">
      <w:pPr>
        <w:pStyle w:val="ESchpar"/>
      </w:pPr>
      <w:r>
        <w:t>Amennyiben az oltóanyag mennyisége egynél több helyiség védelmére szolgál, a rendelkezésre álló oltóanyag teljes mennyiségének nem kell többnek lennie annál, mint amennyi a legnagyobb védendő helyiséghez szükséges.</w:t>
      </w:r>
    </w:p>
    <w:p w:rsidR="00824063" w:rsidRPr="00C903F8" w:rsidRDefault="00824063" w:rsidP="00E65F26">
      <w:pPr>
        <w:pStyle w:val="ESch"/>
        <w:rPr>
          <w:noProof/>
        </w:rPr>
      </w:pPr>
    </w:p>
    <w:p w:rsidR="00E65F26" w:rsidRPr="00C903F8" w:rsidRDefault="00E65F26" w:rsidP="00E65F26">
      <w:pPr>
        <w:pStyle w:val="ESch"/>
      </w:pPr>
      <w:r>
        <w:t>9.</w:t>
      </w:r>
      <w:r>
        <w:tab/>
        <w:t>Felszerelés, ellenőrzés és dokumentálás</w:t>
      </w:r>
    </w:p>
    <w:p w:rsidR="00E65F26" w:rsidRPr="00C903F8" w:rsidRDefault="005C7859" w:rsidP="00824063">
      <w:pPr>
        <w:pStyle w:val="ESlet"/>
      </w:pPr>
      <w:r>
        <w:t>a)</w:t>
      </w:r>
      <w:r>
        <w:tab/>
        <w:t>A rendszert csak tűzvédelmi rendszerekre szakosodott cég szerelheti fel és módosíthatja. Az oltóanyag gyártójának és a rendszer gyártójának követelményeit (termékadatlap, biztonsági adatlap) be kell tartani. A karbantartást, különösen a permetező fúvókák állapotának ellenőrzését rendszeresen el kell végezni a rendszer vagy az oltóanyag gyártójának utasításai szerint (adatlap).</w:t>
      </w:r>
    </w:p>
    <w:p w:rsidR="00E65F26" w:rsidRPr="00C903F8" w:rsidRDefault="005C7859" w:rsidP="00824063">
      <w:pPr>
        <w:pStyle w:val="ESlet"/>
      </w:pPr>
      <w:r>
        <w:t>b)</w:t>
      </w:r>
      <w:r>
        <w:tab/>
        <w:t>A rendszert szakértő ellenőrzi:</w:t>
      </w:r>
    </w:p>
    <w:p w:rsidR="00E65F26" w:rsidRPr="00C903F8" w:rsidRDefault="0029453D" w:rsidP="00771FEA">
      <w:pPr>
        <w:pStyle w:val="EStiret"/>
      </w:pPr>
      <w:r>
        <w:t>aa)</w:t>
      </w:r>
      <w:r>
        <w:tab/>
        <w:t>az első használatbavétel előtt;</w:t>
      </w:r>
    </w:p>
    <w:p w:rsidR="00E65F26" w:rsidRPr="00C903F8" w:rsidRDefault="0029453D" w:rsidP="00771FEA">
      <w:pPr>
        <w:pStyle w:val="EStiret"/>
      </w:pPr>
      <w:r>
        <w:t>bb)</w:t>
      </w:r>
      <w:r>
        <w:tab/>
        <w:t>a kioldást követő újbóli üzembe helyezés előtt;</w:t>
      </w:r>
    </w:p>
    <w:p w:rsidR="00E65F26" w:rsidRPr="00C903F8" w:rsidRDefault="00E65F26" w:rsidP="00771FEA">
      <w:pPr>
        <w:pStyle w:val="EStiret"/>
      </w:pPr>
      <w:r>
        <w:t>cc)</w:t>
      </w:r>
      <w:r>
        <w:tab/>
        <w:t>nagyobb módosítást vagy javítást követő újbóli üzembe helyezés előtt; és</w:t>
      </w:r>
    </w:p>
    <w:p w:rsidR="00E65F26" w:rsidRPr="00C903F8" w:rsidRDefault="00E65F26" w:rsidP="00771FEA">
      <w:pPr>
        <w:pStyle w:val="EStiret"/>
      </w:pPr>
      <w:r>
        <w:t>dd)</w:t>
      </w:r>
      <w:r>
        <w:tab/>
        <w:t>rendszeresen, de legalább kétévente.</w:t>
      </w:r>
    </w:p>
    <w:p w:rsidR="00E65F26" w:rsidRPr="00C903F8" w:rsidRDefault="00E65F26" w:rsidP="00771FEA">
      <w:pPr>
        <w:pStyle w:val="ESletpar"/>
      </w:pPr>
      <w:r>
        <w:t>A dd) pont szerinti ellenőrzéseket a tűzoltó rendszerekre szakosodott, hozzáértő céget képviselő hozzáértő személy is elvégezheti.</w:t>
      </w:r>
    </w:p>
    <w:p w:rsidR="00E65F26" w:rsidRPr="00C903F8" w:rsidRDefault="005C7859" w:rsidP="00824063">
      <w:pPr>
        <w:pStyle w:val="ESlet"/>
      </w:pPr>
      <w:r>
        <w:t>c)</w:t>
      </w:r>
      <w:r>
        <w:tab/>
        <w:t>Az ellenőrzés során a szakértő vagy a hozzáértő személy ellenőrzi, hogy a rendszer megfelel-e az e cikkben foglalt követelményeknek.</w:t>
      </w:r>
    </w:p>
    <w:p w:rsidR="00E65F26" w:rsidRPr="00C903F8" w:rsidRDefault="005C7859" w:rsidP="00824063">
      <w:pPr>
        <w:pStyle w:val="ESlet"/>
      </w:pPr>
      <w:r>
        <w:t>d)</w:t>
      </w:r>
      <w:r>
        <w:tab/>
        <w:t>Az ellenőrzésnek legalább az alábbiakra kell kiterjednie:</w:t>
      </w:r>
    </w:p>
    <w:p w:rsidR="00E65F26" w:rsidRPr="00C903F8" w:rsidRDefault="0029453D" w:rsidP="00771FEA">
      <w:pPr>
        <w:pStyle w:val="EStiret"/>
      </w:pPr>
      <w:r>
        <w:t>aa)</w:t>
      </w:r>
      <w:r>
        <w:tab/>
        <w:t>az egész rendszer külső ellenőrzése;</w:t>
      </w:r>
    </w:p>
    <w:p w:rsidR="00E65F26" w:rsidRPr="00C903F8" w:rsidRDefault="0029453D" w:rsidP="00824063">
      <w:pPr>
        <w:pStyle w:val="EStiret"/>
      </w:pPr>
      <w:r>
        <w:t>bb)</w:t>
      </w:r>
      <w:r>
        <w:tab/>
        <w:t>a csövek tömítettségének ellenőrzése;</w:t>
      </w:r>
    </w:p>
    <w:p w:rsidR="00E65F26" w:rsidRPr="00C903F8" w:rsidRDefault="00E65F26" w:rsidP="00824063">
      <w:pPr>
        <w:pStyle w:val="EStiret"/>
      </w:pPr>
      <w:r>
        <w:t>cc)</w:t>
      </w:r>
      <w:r>
        <w:tab/>
        <w:t>a vezérlő- és kioldórendszerek üzemi próbája;</w:t>
      </w:r>
    </w:p>
    <w:p w:rsidR="00E65F26" w:rsidRPr="00C903F8" w:rsidRDefault="00E65F26" w:rsidP="00824063">
      <w:pPr>
        <w:pStyle w:val="EStiret"/>
      </w:pPr>
      <w:r>
        <w:t>dd)</w:t>
      </w:r>
      <w:r>
        <w:tab/>
        <w:t>nyomástartályok és tartalmuk ellenőrzése;</w:t>
      </w:r>
    </w:p>
    <w:p w:rsidR="00E65F26" w:rsidRPr="00C903F8" w:rsidRDefault="00E65F26" w:rsidP="00824063">
      <w:pPr>
        <w:pStyle w:val="EStiret"/>
      </w:pPr>
      <w:r>
        <w:t>ee)</w:t>
      </w:r>
      <w:r>
        <w:tab/>
        <w:t>a védendő helyiség tömítettségének és zárszerkezeteinek ellenőrzése;</w:t>
      </w:r>
    </w:p>
    <w:p w:rsidR="00E65F26" w:rsidRPr="00F125EF" w:rsidRDefault="00E65F26" w:rsidP="00824063">
      <w:pPr>
        <w:pStyle w:val="EStiret"/>
        <w:rPr>
          <w:lang w:val="es-ES"/>
        </w:rPr>
      </w:pPr>
      <w:r w:rsidRPr="00F125EF">
        <w:rPr>
          <w:lang w:val="es-ES"/>
        </w:rPr>
        <w:t>ff)</w:t>
      </w:r>
      <w:r w:rsidRPr="00F125EF">
        <w:rPr>
          <w:lang w:val="es-ES"/>
        </w:rPr>
        <w:tab/>
        <w:t>a tűzriasztó rendszer ellenőrzése;</w:t>
      </w:r>
    </w:p>
    <w:p w:rsidR="00E65F26" w:rsidRPr="00F125EF" w:rsidRDefault="00E65F26" w:rsidP="00824063">
      <w:pPr>
        <w:pStyle w:val="EStiret"/>
        <w:rPr>
          <w:lang w:val="fr-FR"/>
        </w:rPr>
      </w:pPr>
      <w:r w:rsidRPr="00F125EF">
        <w:rPr>
          <w:lang w:val="fr-FR"/>
        </w:rPr>
        <w:t>gg)</w:t>
      </w:r>
      <w:r w:rsidRPr="00F125EF">
        <w:rPr>
          <w:lang w:val="fr-FR"/>
        </w:rPr>
        <w:tab/>
        <w:t>a figyelmeztető rendszer ellenőrzése.</w:t>
      </w:r>
    </w:p>
    <w:p w:rsidR="00E65F26" w:rsidRPr="00F125EF" w:rsidRDefault="0029453D" w:rsidP="00824063">
      <w:pPr>
        <w:pStyle w:val="ESlet"/>
        <w:rPr>
          <w:lang w:val="fr-FR"/>
        </w:rPr>
      </w:pPr>
      <w:r w:rsidRPr="00F125EF">
        <w:rPr>
          <w:lang w:val="fr-FR"/>
        </w:rPr>
        <w:t>e)</w:t>
      </w:r>
      <w:r w:rsidRPr="00F125EF">
        <w:rPr>
          <w:lang w:val="fr-FR"/>
        </w:rPr>
        <w:tab/>
        <w:t>Ellenőrzési igazolást kell kiadni, amely tartalmazza a szakértő aláírását és az ellenőrzés dátumát.</w:t>
      </w:r>
    </w:p>
    <w:p w:rsidR="00E65F26" w:rsidRPr="00F125EF" w:rsidRDefault="0029453D" w:rsidP="00824063">
      <w:pPr>
        <w:pStyle w:val="ESlet"/>
        <w:rPr>
          <w:lang w:val="fr-FR"/>
        </w:rPr>
      </w:pPr>
      <w:r w:rsidRPr="00F125EF">
        <w:rPr>
          <w:lang w:val="fr-FR"/>
        </w:rPr>
        <w:t>f)</w:t>
      </w:r>
      <w:r w:rsidRPr="00F125EF">
        <w:rPr>
          <w:lang w:val="fr-FR"/>
        </w:rPr>
        <w:tab/>
        <w:t>A belvízi hajóbizonyítványban fel kell tüntetni a tartósan rögzített tűzvédelmi rendszerek számát.</w:t>
      </w:r>
    </w:p>
    <w:p w:rsidR="00824063" w:rsidRPr="00F125EF" w:rsidRDefault="00824063" w:rsidP="00E65F26">
      <w:pPr>
        <w:pStyle w:val="ESch"/>
        <w:rPr>
          <w:noProof/>
          <w:lang w:val="fr-FR"/>
        </w:rPr>
      </w:pPr>
    </w:p>
    <w:p w:rsidR="00E65F26" w:rsidRPr="00F125EF" w:rsidRDefault="00E65F26" w:rsidP="00E65F26">
      <w:pPr>
        <w:pStyle w:val="ESch"/>
        <w:rPr>
          <w:lang w:val="fr-FR"/>
        </w:rPr>
      </w:pPr>
      <w:r w:rsidRPr="00F125EF">
        <w:rPr>
          <w:lang w:val="fr-FR"/>
        </w:rPr>
        <w:t>10.</w:t>
      </w:r>
      <w:r w:rsidRPr="00F125EF">
        <w:rPr>
          <w:lang w:val="fr-FR"/>
        </w:rPr>
        <w:tab/>
        <w:t>CO</w:t>
      </w:r>
      <w:r w:rsidRPr="00F125EF">
        <w:rPr>
          <w:noProof/>
          <w:vertAlign w:val="subscript"/>
          <w:lang w:val="fr-FR"/>
        </w:rPr>
        <w:t>2</w:t>
      </w:r>
      <w:r w:rsidRPr="00F125EF">
        <w:rPr>
          <w:lang w:val="fr-FR"/>
        </w:rPr>
        <w:t>-t használó tűzvédelmi rendszerek</w:t>
      </w:r>
    </w:p>
    <w:p w:rsidR="00824063" w:rsidRPr="00F125EF" w:rsidRDefault="00824063" w:rsidP="00824063">
      <w:pPr>
        <w:pStyle w:val="ESchpar"/>
        <w:rPr>
          <w:noProof/>
          <w:lang w:val="fr-FR"/>
        </w:rPr>
      </w:pPr>
    </w:p>
    <w:p w:rsidR="00E65F26" w:rsidRPr="00F125EF" w:rsidRDefault="00E65F26" w:rsidP="00824063">
      <w:pPr>
        <w:pStyle w:val="ESchpar"/>
        <w:rPr>
          <w:lang w:val="fr-FR"/>
        </w:rPr>
      </w:pPr>
      <w:r w:rsidRPr="00F125EF">
        <w:rPr>
          <w:lang w:val="fr-FR"/>
        </w:rPr>
        <w:t>Az oltóanyagként CO</w:t>
      </w:r>
      <w:r w:rsidRPr="00F125EF">
        <w:rPr>
          <w:noProof/>
          <w:vertAlign w:val="subscript"/>
          <w:lang w:val="fr-FR"/>
        </w:rPr>
        <w:t>2</w:t>
      </w:r>
      <w:r w:rsidRPr="00F125EF">
        <w:rPr>
          <w:lang w:val="fr-FR"/>
        </w:rPr>
        <w:t>-t használó tűzvédelmi rendszereknek az 1–9. bekezdésben foglalt követelményeken túl meg kell felelniük az alábbi előírásoknak:</w:t>
      </w:r>
    </w:p>
    <w:p w:rsidR="00E65F26" w:rsidRPr="00F125EF" w:rsidRDefault="005C7859" w:rsidP="00824063">
      <w:pPr>
        <w:pStyle w:val="ESlet"/>
        <w:rPr>
          <w:lang w:val="fr-FR"/>
        </w:rPr>
      </w:pPr>
      <w:r w:rsidRPr="00F125EF">
        <w:rPr>
          <w:lang w:val="fr-FR"/>
        </w:rPr>
        <w:t>a)</w:t>
      </w:r>
      <w:r w:rsidRPr="00F125EF">
        <w:rPr>
          <w:lang w:val="fr-FR"/>
        </w:rPr>
        <w:tab/>
        <w:t>A CO</w:t>
      </w:r>
      <w:r w:rsidRPr="00F125EF">
        <w:rPr>
          <w:noProof/>
          <w:vertAlign w:val="subscript"/>
          <w:lang w:val="fr-FR"/>
        </w:rPr>
        <w:t>2</w:t>
      </w:r>
      <w:r w:rsidRPr="00F125EF">
        <w:rPr>
          <w:lang w:val="fr-FR"/>
        </w:rPr>
        <w:t>-tartályokat a védendő helyiségen kívül, a többi helyiségtől hermetikusan elzárt helyen vagy szekrényben kell tárolni. A felszerelési helyek vagy szekrények ajtajainak kifelé kell nyílniuk, zárhatóknak kell lenniük, és őket kívül a 4. melléklet 4. ábrája szerinti „Általános veszély figyelmeztetés” szimbólummal kell jelölni, amelynek oldalhosszúsága legalább 5 cm, valamint ugyanolyan színű és méretű „CO</w:t>
      </w:r>
      <w:r w:rsidRPr="00F125EF">
        <w:rPr>
          <w:noProof/>
          <w:vertAlign w:val="subscript"/>
          <w:lang w:val="fr-FR"/>
        </w:rPr>
        <w:t>2</w:t>
      </w:r>
      <w:r w:rsidRPr="00F125EF">
        <w:rPr>
          <w:lang w:val="fr-FR"/>
        </w:rPr>
        <w:t>” jelzéssel.</w:t>
      </w:r>
    </w:p>
    <w:p w:rsidR="00E65F26" w:rsidRPr="00F125EF" w:rsidRDefault="005C7859" w:rsidP="00824063">
      <w:pPr>
        <w:pStyle w:val="ESlet"/>
        <w:rPr>
          <w:lang w:val="fr-FR"/>
        </w:rPr>
      </w:pPr>
      <w:r w:rsidRPr="00F125EF">
        <w:rPr>
          <w:lang w:val="fr-FR"/>
        </w:rPr>
        <w:t>b)</w:t>
      </w:r>
      <w:r w:rsidRPr="00F125EF">
        <w:rPr>
          <w:lang w:val="fr-FR"/>
        </w:rPr>
        <w:tab/>
        <w:t>A CO</w:t>
      </w:r>
      <w:r w:rsidRPr="00F125EF">
        <w:rPr>
          <w:noProof/>
          <w:vertAlign w:val="subscript"/>
          <w:lang w:val="fr-FR"/>
        </w:rPr>
        <w:t>2</w:t>
      </w:r>
      <w:r w:rsidRPr="00F125EF">
        <w:rPr>
          <w:lang w:val="fr-FR"/>
        </w:rPr>
        <w:t>-tartályok fedélzet alatti felszerelési helyei csak a szabadból megközelíthetők lehetnek. Ezeknek a helyiségeknek megfelelő, kivezetőcsatornákkal rendelkező és a hajón lévő többi szellőzőrendszertől teljesen független, saját mesterséges szellőzőrendszerrel kell rendelkezniük.</w:t>
      </w:r>
    </w:p>
    <w:p w:rsidR="00771FEA" w:rsidRPr="00F125EF" w:rsidRDefault="00771FEA" w:rsidP="00824063">
      <w:pPr>
        <w:pStyle w:val="ESlet"/>
        <w:rPr>
          <w:noProof/>
          <w:lang w:val="fr-FR"/>
        </w:rPr>
      </w:pPr>
    </w:p>
    <w:p w:rsidR="00771FEA" w:rsidRPr="00F125EF" w:rsidRDefault="00771FEA" w:rsidP="00824063">
      <w:pPr>
        <w:pStyle w:val="ESlet"/>
        <w:rPr>
          <w:noProof/>
          <w:lang w:val="fr-FR"/>
        </w:rPr>
      </w:pPr>
      <w:r w:rsidRPr="00F125EF">
        <w:rPr>
          <w:lang w:val="fr-FR"/>
        </w:rPr>
        <w:br w:type="page"/>
      </w:r>
    </w:p>
    <w:p w:rsidR="00E65F26" w:rsidRPr="00F125EF" w:rsidRDefault="005C7859" w:rsidP="00824063">
      <w:pPr>
        <w:pStyle w:val="ESlet"/>
        <w:rPr>
          <w:lang w:val="fr-FR"/>
        </w:rPr>
      </w:pPr>
      <w:r w:rsidRPr="00F125EF">
        <w:rPr>
          <w:lang w:val="fr-FR"/>
        </w:rPr>
        <w:t>c)</w:t>
      </w:r>
      <w:r w:rsidRPr="00F125EF">
        <w:rPr>
          <w:lang w:val="fr-FR"/>
        </w:rPr>
        <w:tab/>
        <w:t>A CO</w:t>
      </w:r>
      <w:r w:rsidRPr="00F125EF">
        <w:rPr>
          <w:noProof/>
          <w:vertAlign w:val="subscript"/>
          <w:lang w:val="fr-FR"/>
        </w:rPr>
        <w:t>2</w:t>
      </w:r>
      <w:r w:rsidRPr="00F125EF">
        <w:rPr>
          <w:lang w:val="fr-FR"/>
        </w:rPr>
        <w:t>-tartályokat legfeljebb 0,75 kg/l szintig szabad megtölteni. A nyomás alatt nem lévő CO</w:t>
      </w:r>
      <w:r w:rsidRPr="00F125EF">
        <w:rPr>
          <w:noProof/>
          <w:vertAlign w:val="subscript"/>
          <w:lang w:val="fr-FR"/>
        </w:rPr>
        <w:t>2</w:t>
      </w:r>
      <w:r w:rsidRPr="00F125EF">
        <w:rPr>
          <w:lang w:val="fr-FR"/>
        </w:rPr>
        <w:t>-gáz fajlagos térfogatát 0,56 m</w:t>
      </w:r>
      <w:r w:rsidRPr="00F125EF">
        <w:rPr>
          <w:noProof/>
          <w:vertAlign w:val="superscript"/>
          <w:lang w:val="fr-FR"/>
        </w:rPr>
        <w:t>3</w:t>
      </w:r>
      <w:r w:rsidRPr="00F125EF">
        <w:rPr>
          <w:lang w:val="fr-FR"/>
        </w:rPr>
        <w:t>/kg-nak kell venni.</w:t>
      </w:r>
    </w:p>
    <w:p w:rsidR="00E65F26" w:rsidRPr="00F125EF" w:rsidRDefault="005C7859" w:rsidP="00824063">
      <w:pPr>
        <w:pStyle w:val="ESlet"/>
        <w:rPr>
          <w:lang w:val="fr-FR"/>
        </w:rPr>
      </w:pPr>
      <w:r w:rsidRPr="00F125EF">
        <w:rPr>
          <w:lang w:val="fr-FR"/>
        </w:rPr>
        <w:t>d)</w:t>
      </w:r>
      <w:r w:rsidRPr="00F125EF">
        <w:rPr>
          <w:lang w:val="fr-FR"/>
        </w:rPr>
        <w:tab/>
        <w:t>A védendő helyiség védelmére szolgáló CO</w:t>
      </w:r>
      <w:r w:rsidRPr="00F125EF">
        <w:rPr>
          <w:noProof/>
          <w:vertAlign w:val="subscript"/>
          <w:lang w:val="fr-FR"/>
        </w:rPr>
        <w:t>2</w:t>
      </w:r>
      <w:r w:rsidRPr="00F125EF">
        <w:rPr>
          <w:lang w:val="fr-FR"/>
        </w:rPr>
        <w:t xml:space="preserve"> térfogata a helyiség bruttó térfogatának legalább 40 %-a. Biztosítani kell, hogy ez a mennyiség 120 másodperc alatt kiüríthető, a kiürítés megtörténte pedig ellenőrizhető legyen.</w:t>
      </w:r>
    </w:p>
    <w:p w:rsidR="00E65F26" w:rsidRPr="00F125EF" w:rsidRDefault="0029453D" w:rsidP="00824063">
      <w:pPr>
        <w:pStyle w:val="ESlet"/>
        <w:rPr>
          <w:lang w:val="fr-FR"/>
        </w:rPr>
      </w:pPr>
      <w:r w:rsidRPr="00F125EF">
        <w:rPr>
          <w:lang w:val="fr-FR"/>
        </w:rPr>
        <w:t>e)</w:t>
      </w:r>
      <w:r w:rsidRPr="00F125EF">
        <w:rPr>
          <w:lang w:val="fr-FR"/>
        </w:rPr>
        <w:tab/>
        <w:t>A tartályszelepek kinyitásának és az áramlásszabályozó szelep működtetésének két külön vezérlési műveletnek kell lennie.</w:t>
      </w:r>
    </w:p>
    <w:p w:rsidR="00E65F26" w:rsidRPr="00F125EF" w:rsidRDefault="0029453D" w:rsidP="00824063">
      <w:pPr>
        <w:pStyle w:val="ESlet"/>
        <w:rPr>
          <w:lang w:val="fr-FR"/>
        </w:rPr>
      </w:pPr>
      <w:r w:rsidRPr="00F125EF">
        <w:rPr>
          <w:lang w:val="fr-FR"/>
        </w:rPr>
        <w:t>f)</w:t>
      </w:r>
      <w:r w:rsidRPr="00F125EF">
        <w:rPr>
          <w:lang w:val="fr-FR"/>
        </w:rPr>
        <w:tab/>
        <w:t>A 6. bekezdés b) pontjában említett megfelelő időnek legalább 20 másodpercnek kell lennie. A CO</w:t>
      </w:r>
      <w:r w:rsidRPr="00F125EF">
        <w:rPr>
          <w:noProof/>
          <w:vertAlign w:val="subscript"/>
          <w:lang w:val="fr-FR"/>
        </w:rPr>
        <w:t>2</w:t>
      </w:r>
      <w:r w:rsidRPr="00F125EF">
        <w:rPr>
          <w:lang w:val="fr-FR"/>
        </w:rPr>
        <w:t>-gáz kiengedését megelőző késleltetéshez biztosítani kell egy megbízható eszköz rendelkezésre állását.</w:t>
      </w:r>
    </w:p>
    <w:p w:rsidR="00824063" w:rsidRPr="00F125EF" w:rsidRDefault="00824063" w:rsidP="00E65F26">
      <w:pPr>
        <w:pStyle w:val="ESch"/>
        <w:rPr>
          <w:noProof/>
          <w:lang w:val="fr-FR"/>
        </w:rPr>
      </w:pPr>
    </w:p>
    <w:p w:rsidR="00E65F26" w:rsidRPr="00F125EF" w:rsidRDefault="00E65F26" w:rsidP="00E65F26">
      <w:pPr>
        <w:pStyle w:val="ESch"/>
        <w:rPr>
          <w:lang w:val="fr-FR"/>
        </w:rPr>
      </w:pPr>
      <w:r w:rsidRPr="00F125EF">
        <w:rPr>
          <w:lang w:val="fr-FR"/>
        </w:rPr>
        <w:t>11.</w:t>
      </w:r>
      <w:r w:rsidRPr="00F125EF">
        <w:rPr>
          <w:lang w:val="fr-FR"/>
        </w:rPr>
        <w:tab/>
        <w:t>HFC-227ea-t használó tűzvédelmi rendszerek</w:t>
      </w:r>
    </w:p>
    <w:p w:rsidR="00824063" w:rsidRPr="00F125EF" w:rsidRDefault="00824063" w:rsidP="00824063">
      <w:pPr>
        <w:pStyle w:val="ESchpar"/>
        <w:rPr>
          <w:noProof/>
          <w:lang w:val="fr-FR"/>
        </w:rPr>
      </w:pPr>
    </w:p>
    <w:p w:rsidR="00E65F26" w:rsidRPr="00F125EF" w:rsidRDefault="00E65F26" w:rsidP="00824063">
      <w:pPr>
        <w:pStyle w:val="ESchpar"/>
        <w:rPr>
          <w:lang w:val="fr-FR"/>
        </w:rPr>
      </w:pPr>
      <w:r w:rsidRPr="00F125EF">
        <w:rPr>
          <w:lang w:val="fr-FR"/>
        </w:rPr>
        <w:t>Az oltóanyagként HFC-227ea-t használó tűzvédelmi rendszereknek az 1–9. bekezdésben foglalt követelményeken túl meg kell felelniük az alábbi előírásoknak:</w:t>
      </w:r>
    </w:p>
    <w:p w:rsidR="00E65F26" w:rsidRPr="00F125EF" w:rsidRDefault="005C7859" w:rsidP="00824063">
      <w:pPr>
        <w:pStyle w:val="ESlet"/>
        <w:rPr>
          <w:lang w:val="fr-FR"/>
        </w:rPr>
      </w:pPr>
      <w:r w:rsidRPr="00F125EF">
        <w:rPr>
          <w:lang w:val="fr-FR"/>
        </w:rPr>
        <w:t>a)</w:t>
      </w:r>
      <w:r w:rsidRPr="00F125EF">
        <w:rPr>
          <w:lang w:val="fr-FR"/>
        </w:rPr>
        <w:tab/>
        <w:t>Ha több, különböző bruttó térfogattal rendelkező helyiséget kell védeni, mindegyik helyiséget saját tűzvédelmi rendszerrel kell felszerelni.</w:t>
      </w:r>
    </w:p>
    <w:p w:rsidR="00E65F26" w:rsidRPr="00F125EF" w:rsidRDefault="005C7859" w:rsidP="00824063">
      <w:pPr>
        <w:pStyle w:val="ESlet"/>
        <w:rPr>
          <w:lang w:val="fr-FR"/>
        </w:rPr>
      </w:pPr>
      <w:r w:rsidRPr="00F125EF">
        <w:rPr>
          <w:lang w:val="fr-FR"/>
        </w:rPr>
        <w:t>b)</w:t>
      </w:r>
      <w:r w:rsidRPr="00F125EF">
        <w:rPr>
          <w:lang w:val="fr-FR"/>
        </w:rPr>
        <w:tab/>
        <w:t>A védendő helyiségben felszerelt minden HFC-227ea-tartályt nyomásszabályozó szeleppel kell ellátni. A szelepnek veszélytelenül ki kell engednie a tartály tartalmát a védendő helyiségbe, ha a tartály tűz hatásának van kitéve, és a tűzvédelmi rendszer nem oldódott ki.</w:t>
      </w:r>
    </w:p>
    <w:p w:rsidR="00E65F26" w:rsidRPr="00F125EF" w:rsidRDefault="005C7859" w:rsidP="00824063">
      <w:pPr>
        <w:pStyle w:val="ESlet"/>
        <w:rPr>
          <w:lang w:val="fr-FR"/>
        </w:rPr>
      </w:pPr>
      <w:r w:rsidRPr="00F125EF">
        <w:rPr>
          <w:lang w:val="fr-FR"/>
        </w:rPr>
        <w:t>c)</w:t>
      </w:r>
      <w:r w:rsidRPr="00F125EF">
        <w:rPr>
          <w:lang w:val="fr-FR"/>
        </w:rPr>
        <w:tab/>
        <w:t>Mindent tartályt gáznyomás-ellenőrző készülékkel kell ellátni.</w:t>
      </w:r>
    </w:p>
    <w:p w:rsidR="00E65F26" w:rsidRPr="00F125EF" w:rsidRDefault="005C7859" w:rsidP="00824063">
      <w:pPr>
        <w:pStyle w:val="ESlet"/>
        <w:rPr>
          <w:lang w:val="fr-FR"/>
        </w:rPr>
      </w:pPr>
      <w:r w:rsidRPr="00F125EF">
        <w:rPr>
          <w:lang w:val="fr-FR"/>
        </w:rPr>
        <w:t>d)</w:t>
      </w:r>
      <w:r w:rsidRPr="00F125EF">
        <w:rPr>
          <w:lang w:val="fr-FR"/>
        </w:rPr>
        <w:tab/>
        <w:t>A tartályokat legfeljebb 1,15 kg/l szintig szabad megtölteni. A nyomás alatt nem lévő HFC-227ea fajlagos térfogatát 0,1374 m</w:t>
      </w:r>
      <w:r w:rsidRPr="00F125EF">
        <w:rPr>
          <w:noProof/>
          <w:vertAlign w:val="superscript"/>
          <w:lang w:val="fr-FR"/>
        </w:rPr>
        <w:t>3</w:t>
      </w:r>
      <w:r w:rsidRPr="00F125EF">
        <w:rPr>
          <w:lang w:val="fr-FR"/>
        </w:rPr>
        <w:t>/kg-nak kell venni.</w:t>
      </w:r>
    </w:p>
    <w:p w:rsidR="00E65F26" w:rsidRPr="00F125EF" w:rsidRDefault="0029453D" w:rsidP="00824063">
      <w:pPr>
        <w:pStyle w:val="ESlet"/>
        <w:rPr>
          <w:lang w:val="fr-FR"/>
        </w:rPr>
      </w:pPr>
      <w:r w:rsidRPr="00F125EF">
        <w:rPr>
          <w:lang w:val="fr-FR"/>
        </w:rPr>
        <w:t>e)</w:t>
      </w:r>
      <w:r w:rsidRPr="00F125EF">
        <w:rPr>
          <w:lang w:val="fr-FR"/>
        </w:rPr>
        <w:tab/>
        <w:t>A védendő helyiség védelmére szolgáló HFC-227ea térfogata a helyiség bruttó térfogatának legalább 8 %-a. Biztosítani kell, hogy ez a mennyiség 10 másodperc alatt kiüríthető legyen.</w:t>
      </w:r>
    </w:p>
    <w:p w:rsidR="00E65F26" w:rsidRPr="00F125EF" w:rsidRDefault="0029453D" w:rsidP="00824063">
      <w:pPr>
        <w:pStyle w:val="ESlet"/>
        <w:rPr>
          <w:lang w:val="fr-FR"/>
        </w:rPr>
      </w:pPr>
      <w:r w:rsidRPr="00F125EF">
        <w:rPr>
          <w:lang w:val="fr-FR"/>
        </w:rPr>
        <w:t>f)</w:t>
      </w:r>
      <w:r w:rsidRPr="00F125EF">
        <w:rPr>
          <w:lang w:val="fr-FR"/>
        </w:rPr>
        <w:tab/>
        <w:t>A HFC-227ea-tartályokat nyomásfigyelővel kell ellátni, amely akusztikai és optikai vészjelzést ad a kormányállásban, amennyiben a hajtóanyag mennyisége indokolatlanul csökken. Kormányállás hiányában a vészjelzést a védendő helyiségen kívül kell adni.</w:t>
      </w:r>
    </w:p>
    <w:p w:rsidR="00E65F26" w:rsidRPr="00F125EF" w:rsidRDefault="0029453D" w:rsidP="00824063">
      <w:pPr>
        <w:pStyle w:val="ESlet"/>
        <w:rPr>
          <w:lang w:val="fr-FR"/>
        </w:rPr>
      </w:pPr>
      <w:r w:rsidRPr="00F125EF">
        <w:rPr>
          <w:lang w:val="fr-FR"/>
        </w:rPr>
        <w:t>g)</w:t>
      </w:r>
      <w:r w:rsidRPr="00F125EF">
        <w:rPr>
          <w:lang w:val="fr-FR"/>
        </w:rPr>
        <w:tab/>
        <w:t>Elárasztást követően a védendő helyiségben a koncentráció nem lépheti túl a 10,5 %-ot.</w:t>
      </w:r>
    </w:p>
    <w:p w:rsidR="00E65F26" w:rsidRPr="00F125EF" w:rsidRDefault="0029453D" w:rsidP="00824063">
      <w:pPr>
        <w:pStyle w:val="ESlet"/>
        <w:rPr>
          <w:lang w:val="fr-FR"/>
        </w:rPr>
      </w:pPr>
      <w:r w:rsidRPr="00F125EF">
        <w:rPr>
          <w:lang w:val="fr-FR"/>
        </w:rPr>
        <w:t>h)</w:t>
      </w:r>
      <w:r w:rsidRPr="00F125EF">
        <w:rPr>
          <w:lang w:val="fr-FR"/>
        </w:rPr>
        <w:tab/>
        <w:t>A tűzvédelmi rendszer nem tartalmazhat alumíniumból készült alkatrészeket.</w:t>
      </w:r>
    </w:p>
    <w:p w:rsidR="00824063" w:rsidRPr="00F125EF" w:rsidRDefault="00824063" w:rsidP="00E65F26">
      <w:pPr>
        <w:pStyle w:val="ESch"/>
        <w:rPr>
          <w:noProof/>
          <w:lang w:val="fr-FR"/>
        </w:rPr>
      </w:pPr>
    </w:p>
    <w:p w:rsidR="00E65F26" w:rsidRPr="00F125EF" w:rsidRDefault="00E65F26" w:rsidP="00E65F26">
      <w:pPr>
        <w:pStyle w:val="ESch"/>
        <w:rPr>
          <w:lang w:val="fr-FR"/>
        </w:rPr>
      </w:pPr>
      <w:r w:rsidRPr="00F125EF">
        <w:rPr>
          <w:lang w:val="fr-FR"/>
        </w:rPr>
        <w:t>12.</w:t>
      </w:r>
      <w:r w:rsidRPr="00F125EF">
        <w:rPr>
          <w:lang w:val="fr-FR"/>
        </w:rPr>
        <w:tab/>
        <w:t>IG-541-et használó tűzvédelmi rendszerek</w:t>
      </w:r>
    </w:p>
    <w:p w:rsidR="00824063" w:rsidRPr="00F125EF" w:rsidRDefault="00824063" w:rsidP="00E65F26">
      <w:pPr>
        <w:pStyle w:val="ESch"/>
        <w:rPr>
          <w:noProof/>
          <w:lang w:val="fr-FR"/>
        </w:rPr>
      </w:pPr>
    </w:p>
    <w:p w:rsidR="00E65F26" w:rsidRPr="00F125EF" w:rsidRDefault="00E65F26" w:rsidP="00824063">
      <w:pPr>
        <w:pStyle w:val="ESchpar"/>
        <w:rPr>
          <w:lang w:val="fr-FR"/>
        </w:rPr>
      </w:pPr>
      <w:r w:rsidRPr="00F125EF">
        <w:rPr>
          <w:lang w:val="fr-FR"/>
        </w:rPr>
        <w:t>Az oltóanyagként IG-541-et használó tűzvédelmi rendszereknek az 1–9. bekezdésben foglalt követelményeken túl meg kell felelniük az alábbi előírásoknak:</w:t>
      </w:r>
    </w:p>
    <w:p w:rsidR="00E65F26" w:rsidRPr="00F125EF" w:rsidRDefault="005C7859" w:rsidP="00824063">
      <w:pPr>
        <w:pStyle w:val="ESlet"/>
        <w:rPr>
          <w:lang w:val="fr-FR"/>
        </w:rPr>
      </w:pPr>
      <w:r w:rsidRPr="00F125EF">
        <w:rPr>
          <w:lang w:val="fr-FR"/>
        </w:rPr>
        <w:t>a)</w:t>
      </w:r>
      <w:r w:rsidRPr="00F125EF">
        <w:rPr>
          <w:lang w:val="fr-FR"/>
        </w:rPr>
        <w:tab/>
        <w:t>Ha több, különböző bruttó térfogattal rendelkező helyiséget kell védeni, mindegyik helyiséget saját tűzvédelmi rendszerrel kell felszerelni.</w:t>
      </w:r>
    </w:p>
    <w:p w:rsidR="00E65F26" w:rsidRPr="00F125EF" w:rsidRDefault="005C7859" w:rsidP="00824063">
      <w:pPr>
        <w:pStyle w:val="ESlet"/>
        <w:rPr>
          <w:lang w:val="fr-FR"/>
        </w:rPr>
      </w:pPr>
      <w:r w:rsidRPr="00F125EF">
        <w:rPr>
          <w:lang w:val="fr-FR"/>
        </w:rPr>
        <w:t>b)</w:t>
      </w:r>
      <w:r w:rsidRPr="00F125EF">
        <w:rPr>
          <w:lang w:val="fr-FR"/>
        </w:rPr>
        <w:tab/>
        <w:t>A védendő helyiségben felszerelt minden IG-541-tartályt nyomásszabályozó szeleppel kell ellátni. A szelepnek veszélytelenül ki kell engednie a tartály tartalmát a védendő helyiségbe, ha a tartály tűz hatásának van kitéve, és a tűzvédelmi rendszer nem oldódott ki.</w:t>
      </w:r>
    </w:p>
    <w:p w:rsidR="00E65F26" w:rsidRPr="00F125EF" w:rsidRDefault="005C7859" w:rsidP="00824063">
      <w:pPr>
        <w:pStyle w:val="ESlet"/>
        <w:rPr>
          <w:lang w:val="fr-FR"/>
        </w:rPr>
      </w:pPr>
      <w:r w:rsidRPr="00F125EF">
        <w:rPr>
          <w:lang w:val="fr-FR"/>
        </w:rPr>
        <w:t>c)</w:t>
      </w:r>
      <w:r w:rsidRPr="00F125EF">
        <w:rPr>
          <w:lang w:val="fr-FR"/>
        </w:rPr>
        <w:tab/>
        <w:t>Minden tartályt tartalom-ellenőrző eszközzel kell ellátni.</w:t>
      </w:r>
    </w:p>
    <w:p w:rsidR="00771FEA" w:rsidRPr="00F125EF" w:rsidRDefault="00771FEA" w:rsidP="00824063">
      <w:pPr>
        <w:pStyle w:val="ESlet"/>
        <w:rPr>
          <w:noProof/>
          <w:lang w:val="fr-FR"/>
        </w:rPr>
      </w:pPr>
    </w:p>
    <w:p w:rsidR="00771FEA" w:rsidRPr="00F125EF" w:rsidRDefault="00771FEA" w:rsidP="00824063">
      <w:pPr>
        <w:pStyle w:val="ESlet"/>
        <w:rPr>
          <w:noProof/>
          <w:lang w:val="fr-FR"/>
        </w:rPr>
      </w:pPr>
      <w:r w:rsidRPr="00F125EF">
        <w:rPr>
          <w:lang w:val="fr-FR"/>
        </w:rPr>
        <w:br w:type="page"/>
      </w:r>
    </w:p>
    <w:p w:rsidR="00E65F26" w:rsidRPr="00F125EF" w:rsidRDefault="005C7859" w:rsidP="00824063">
      <w:pPr>
        <w:pStyle w:val="ESlet"/>
        <w:rPr>
          <w:lang w:val="pt-PT"/>
        </w:rPr>
      </w:pPr>
      <w:r w:rsidRPr="00F125EF">
        <w:rPr>
          <w:lang w:val="pt-PT"/>
        </w:rPr>
        <w:t>d)</w:t>
      </w:r>
      <w:r w:rsidRPr="00F125EF">
        <w:rPr>
          <w:lang w:val="pt-PT"/>
        </w:rPr>
        <w:tab/>
        <w:t>A tartály töltési nyomása nem lépheti túl a 200 bart +15 °C-on.</w:t>
      </w:r>
    </w:p>
    <w:p w:rsidR="00E65F26" w:rsidRPr="00F125EF" w:rsidRDefault="0029453D" w:rsidP="00824063">
      <w:pPr>
        <w:pStyle w:val="ESlet"/>
        <w:rPr>
          <w:lang w:val="pt-PT"/>
        </w:rPr>
      </w:pPr>
      <w:r w:rsidRPr="00F125EF">
        <w:rPr>
          <w:lang w:val="pt-PT"/>
        </w:rPr>
        <w:t>e)</w:t>
      </w:r>
      <w:r w:rsidRPr="00F125EF">
        <w:rPr>
          <w:lang w:val="pt-PT"/>
        </w:rPr>
        <w:tab/>
        <w:t>A védendő helyiség védelmére szolgáló IG-541 térfogata a helyiség bruttó térfogatának legalább 44 %-a, de legfeljebb 50 %-a. Biztosítani kell, hogy ez a mennyiség 120 másodperc alatt kiüríthető legyen.</w:t>
      </w:r>
    </w:p>
    <w:p w:rsidR="00824063" w:rsidRPr="00F125EF" w:rsidRDefault="00824063" w:rsidP="00E65F26">
      <w:pPr>
        <w:pStyle w:val="ESch"/>
        <w:rPr>
          <w:noProof/>
          <w:lang w:val="pt-PT"/>
        </w:rPr>
      </w:pPr>
    </w:p>
    <w:p w:rsidR="00E65F26" w:rsidRPr="00F125EF" w:rsidRDefault="00E65F26" w:rsidP="00E65F26">
      <w:pPr>
        <w:pStyle w:val="ESch"/>
        <w:rPr>
          <w:lang w:val="pt-PT"/>
        </w:rPr>
      </w:pPr>
      <w:r w:rsidRPr="00F125EF">
        <w:rPr>
          <w:lang w:val="pt-PT"/>
        </w:rPr>
        <w:t>13.</w:t>
      </w:r>
      <w:r w:rsidRPr="00F125EF">
        <w:rPr>
          <w:lang w:val="pt-PT"/>
        </w:rPr>
        <w:tab/>
        <w:t>FK-5-1-12-t használó tűzvédelmi rendszerek</w:t>
      </w:r>
    </w:p>
    <w:p w:rsidR="00824063" w:rsidRPr="00F125EF" w:rsidRDefault="00824063" w:rsidP="00E65F26">
      <w:pPr>
        <w:pStyle w:val="ESch"/>
        <w:rPr>
          <w:noProof/>
          <w:lang w:val="pt-PT"/>
        </w:rPr>
      </w:pPr>
    </w:p>
    <w:p w:rsidR="00E65F26" w:rsidRPr="00F125EF" w:rsidRDefault="00E65F26" w:rsidP="00824063">
      <w:pPr>
        <w:pStyle w:val="ESchpar"/>
        <w:rPr>
          <w:lang w:val="pt-PT"/>
        </w:rPr>
      </w:pPr>
      <w:r w:rsidRPr="00F125EF">
        <w:rPr>
          <w:lang w:val="pt-PT"/>
        </w:rPr>
        <w:t>Az oltóanyagként FK-5-1-12-t használó tűzvédelmi rendszereknek az 1–9. bekezdésben foglalt követelményeken túl meg kell felelniük az alábbi előírásoknak:</w:t>
      </w:r>
    </w:p>
    <w:p w:rsidR="00E65F26" w:rsidRPr="00F125EF" w:rsidRDefault="005C7859" w:rsidP="00824063">
      <w:pPr>
        <w:pStyle w:val="ESlet"/>
        <w:rPr>
          <w:lang w:val="pt-PT"/>
        </w:rPr>
      </w:pPr>
      <w:r w:rsidRPr="00F125EF">
        <w:rPr>
          <w:lang w:val="pt-PT"/>
        </w:rPr>
        <w:t>a)</w:t>
      </w:r>
      <w:r w:rsidRPr="00F125EF">
        <w:rPr>
          <w:lang w:val="pt-PT"/>
        </w:rPr>
        <w:tab/>
        <w:t>Ha több, különböző bruttó térfogattal rendelkező helyiséget kell védeni, mindegyik helyiséget saját tűzvédelmi rendszerrel kell felszerelni.</w:t>
      </w:r>
    </w:p>
    <w:p w:rsidR="00E65F26" w:rsidRPr="00F125EF" w:rsidRDefault="005C7859" w:rsidP="00824063">
      <w:pPr>
        <w:pStyle w:val="ESlet"/>
        <w:rPr>
          <w:lang w:val="pt-PT"/>
        </w:rPr>
      </w:pPr>
      <w:r w:rsidRPr="00F125EF">
        <w:rPr>
          <w:lang w:val="pt-PT"/>
        </w:rPr>
        <w:t>b)</w:t>
      </w:r>
      <w:r w:rsidRPr="00F125EF">
        <w:rPr>
          <w:lang w:val="pt-PT"/>
        </w:rPr>
        <w:tab/>
        <w:t>A védendő helyiségben felszerelt minden FK-5-1-12-tartályt túlnyomás-szabályozó szeleppel kell ellátni. A nyomásszabályozó szelepnek veszélytelenül ki kell engednie a tartály tartalmát a védendő helyiségbe, ha a tartály tűz hatásának van kitéve, és a tűzvédelmi rendszer nem oldódott ki.</w:t>
      </w:r>
    </w:p>
    <w:p w:rsidR="00E65F26" w:rsidRPr="00F125EF" w:rsidRDefault="005C7859" w:rsidP="00824063">
      <w:pPr>
        <w:pStyle w:val="ESlet"/>
        <w:rPr>
          <w:lang w:val="pt-PT"/>
        </w:rPr>
      </w:pPr>
      <w:r w:rsidRPr="00F125EF">
        <w:rPr>
          <w:lang w:val="pt-PT"/>
        </w:rPr>
        <w:t>c)</w:t>
      </w:r>
      <w:r w:rsidRPr="00F125EF">
        <w:rPr>
          <w:lang w:val="pt-PT"/>
        </w:rPr>
        <w:tab/>
        <w:t>Mindent tartályt gáznyomás-ellenőrző készülékkel kell ellátni.</w:t>
      </w:r>
    </w:p>
    <w:p w:rsidR="00E65F26" w:rsidRPr="00F125EF" w:rsidRDefault="005C7859" w:rsidP="00824063">
      <w:pPr>
        <w:pStyle w:val="ESlet"/>
        <w:rPr>
          <w:lang w:val="pt-PT"/>
        </w:rPr>
      </w:pPr>
      <w:r w:rsidRPr="00F125EF">
        <w:rPr>
          <w:lang w:val="pt-PT"/>
        </w:rPr>
        <w:t>d)</w:t>
      </w:r>
      <w:r w:rsidRPr="00F125EF">
        <w:rPr>
          <w:lang w:val="pt-PT"/>
        </w:rPr>
        <w:tab/>
        <w:t>A tartályokat legfeljebb 1,00 kg/l szintig szabad megtölteni. A nyomás alatt nem lévő FK-5-1-12 fajlagos térfogatát 0,0719 m</w:t>
      </w:r>
      <w:r w:rsidRPr="00F125EF">
        <w:rPr>
          <w:noProof/>
          <w:vertAlign w:val="superscript"/>
          <w:lang w:val="pt-PT"/>
        </w:rPr>
        <w:t>3</w:t>
      </w:r>
      <w:r w:rsidRPr="00F125EF">
        <w:rPr>
          <w:lang w:val="pt-PT"/>
        </w:rPr>
        <w:t>/kg-nak kell venni.</w:t>
      </w:r>
    </w:p>
    <w:p w:rsidR="00E65F26" w:rsidRPr="00F125EF" w:rsidRDefault="0029453D" w:rsidP="00824063">
      <w:pPr>
        <w:pStyle w:val="ESlet"/>
        <w:rPr>
          <w:lang w:val="pt-PT"/>
        </w:rPr>
      </w:pPr>
      <w:r w:rsidRPr="00F125EF">
        <w:rPr>
          <w:lang w:val="pt-PT"/>
        </w:rPr>
        <w:t>e)</w:t>
      </w:r>
      <w:r w:rsidRPr="00F125EF">
        <w:rPr>
          <w:lang w:val="pt-PT"/>
        </w:rPr>
        <w:tab/>
        <w:t>A védendő helyiség védelmére szolgáló FK-5-1-12 térfogata a helyiség bruttó térfogatának legalább 5,5 %-a. Biztosítani kell, hogy ez a mennyiség 10 másodperc alatt kiüríthető legyen.</w:t>
      </w:r>
    </w:p>
    <w:p w:rsidR="00E65F26" w:rsidRPr="00F125EF" w:rsidRDefault="0029453D" w:rsidP="00824063">
      <w:pPr>
        <w:pStyle w:val="ESlet"/>
        <w:rPr>
          <w:lang w:val="pt-PT"/>
        </w:rPr>
      </w:pPr>
      <w:r w:rsidRPr="00F125EF">
        <w:rPr>
          <w:lang w:val="pt-PT"/>
        </w:rPr>
        <w:t>f)</w:t>
      </w:r>
      <w:r w:rsidRPr="00F125EF">
        <w:rPr>
          <w:lang w:val="pt-PT"/>
        </w:rPr>
        <w:tab/>
        <w:t>Az FK-5-1-12-tartályokat nyomásfigyelővel kell ellátni, amely akusztikai és optikai vészjelzést ad a kormányállásban, amennyiben a hajtóanyag mennyisége indokolatlanul csökken. Kormányállás hiányában a vészjelzést a védendő helyiségen kívül kell adni.</w:t>
      </w:r>
    </w:p>
    <w:p w:rsidR="00E65F26" w:rsidRPr="00F125EF" w:rsidRDefault="0029453D" w:rsidP="00824063">
      <w:pPr>
        <w:pStyle w:val="ESlet"/>
        <w:rPr>
          <w:noProof/>
          <w:lang w:val="pt-PT"/>
        </w:rPr>
      </w:pPr>
      <w:r w:rsidRPr="00F125EF">
        <w:rPr>
          <w:lang w:val="pt-PT"/>
        </w:rPr>
        <w:t>g)</w:t>
      </w:r>
      <w:r w:rsidRPr="00F125EF">
        <w:rPr>
          <w:lang w:val="pt-PT"/>
        </w:rPr>
        <w:tab/>
        <w:t>Elárasztást követően a védendő helyiségben a koncentráció nem lépheti túl a 10,0 %-ot.</w:t>
      </w:r>
    </w:p>
    <w:p w:rsidR="00C44D3C" w:rsidRPr="00F125EF" w:rsidRDefault="00C44D3C" w:rsidP="00C44D3C">
      <w:pPr>
        <w:widowControl w:val="0"/>
        <w:ind w:left="1276"/>
        <w:rPr>
          <w:noProof/>
          <w:lang w:val="pt-PT"/>
        </w:rPr>
      </w:pPr>
    </w:p>
    <w:p w:rsidR="00C44D3C" w:rsidRPr="00F125EF" w:rsidRDefault="00C44D3C" w:rsidP="00C44D3C">
      <w:pPr>
        <w:pStyle w:val="ESch"/>
        <w:rPr>
          <w:noProof/>
          <w:lang w:val="pt-PT"/>
        </w:rPr>
      </w:pPr>
      <w:r w:rsidRPr="00F125EF">
        <w:rPr>
          <w:lang w:val="pt-PT"/>
        </w:rPr>
        <w:t>14.</w:t>
      </w:r>
      <w:r w:rsidRPr="00F125EF">
        <w:rPr>
          <w:lang w:val="pt-PT"/>
        </w:rPr>
        <w:tab/>
        <w:t xml:space="preserve">Oltóanyagként vizet használó tűzvédelmi rendszerek </w:t>
      </w:r>
    </w:p>
    <w:p w:rsidR="00C44D3C" w:rsidRPr="00F125EF" w:rsidRDefault="00C44D3C" w:rsidP="00980973">
      <w:pPr>
        <w:pStyle w:val="ESch"/>
        <w:rPr>
          <w:highlight w:val="lightGray"/>
          <w:lang w:val="pt-PT"/>
        </w:rPr>
      </w:pPr>
    </w:p>
    <w:p w:rsidR="00C44D3C" w:rsidRPr="00F125EF" w:rsidRDefault="00C44D3C" w:rsidP="00C44D3C">
      <w:pPr>
        <w:pStyle w:val="ESchpar"/>
        <w:rPr>
          <w:szCs w:val="20"/>
          <w:lang w:val="pt-PT"/>
        </w:rPr>
      </w:pPr>
      <w:r w:rsidRPr="00F125EF">
        <w:rPr>
          <w:lang w:val="pt-PT"/>
        </w:rPr>
        <w:t xml:space="preserve">Az oltóanyagként vizet használó tűzvédelmi rendszerek a vizet csak vízköd formájában szórhatják ki a védendő helyiségbe. A cseppméretnek 5 és 300 mikron között kell lennie. </w:t>
      </w:r>
    </w:p>
    <w:p w:rsidR="00C44D3C" w:rsidRPr="00F125EF" w:rsidRDefault="00C44D3C" w:rsidP="00980973">
      <w:pPr>
        <w:pStyle w:val="ESch"/>
        <w:rPr>
          <w:lang w:val="pt-PT"/>
        </w:rPr>
      </w:pPr>
    </w:p>
    <w:p w:rsidR="00C44D3C" w:rsidRPr="00F125EF" w:rsidRDefault="00C44D3C" w:rsidP="00980973">
      <w:pPr>
        <w:pStyle w:val="ESchpar"/>
        <w:rPr>
          <w:lang w:val="pt-PT"/>
        </w:rPr>
      </w:pPr>
      <w:r w:rsidRPr="00F125EF">
        <w:rPr>
          <w:lang w:val="pt-PT"/>
        </w:rPr>
        <w:t>Az oltóanyagként vizet használó tűzvédelmi rendszereknek az 1–7. és 9. bekezdésben foglalt és a 8. bekezdésben értelemszerűen alkalmazott követelményeken túl meg kell felelniük az alábbi előírásoknak:</w:t>
      </w:r>
    </w:p>
    <w:p w:rsidR="00C44D3C" w:rsidRPr="00F125EF" w:rsidRDefault="00C44D3C" w:rsidP="00980973">
      <w:pPr>
        <w:pStyle w:val="ESlet"/>
        <w:rPr>
          <w:rFonts w:cs="Arial"/>
          <w:lang w:val="pt-PT"/>
        </w:rPr>
      </w:pPr>
      <w:r w:rsidRPr="00F125EF">
        <w:rPr>
          <w:lang w:val="pt-PT"/>
        </w:rPr>
        <w:t>a)</w:t>
      </w:r>
      <w:r w:rsidRPr="00F125EF">
        <w:rPr>
          <w:lang w:val="pt-PT"/>
        </w:rPr>
        <w:tab/>
        <w:t>A tűzvédelmi rendszer esetében típusjóváhagyásra van szükség az MSC/Circ. 1165 sz. IMO-körlevél</w:t>
      </w:r>
      <w:r>
        <w:rPr>
          <w:vertAlign w:val="superscript"/>
        </w:rPr>
        <w:footnoteReference w:id="10"/>
      </w:r>
      <w:r w:rsidRPr="00F125EF">
        <w:rPr>
          <w:lang w:val="pt-PT"/>
        </w:rPr>
        <w:t xml:space="preserve"> értelmében vagy más, az egyik tagállam által elismert szabvány szerint. A típusjóváhagyást csak elismert hajóosztályozó társaság vagy akkreditált vizsgáló intézmény végezheti el. Az akkreditált vizsgálati intézménynek meg kell felelnie a vizsgálati és kalibráló laboratóriumok alkalmasságának általános követelményeire vonatkozó európai szabványnak (EN ISO/IEC 17025:2005).</w:t>
      </w:r>
    </w:p>
    <w:p w:rsidR="00C44D3C" w:rsidRPr="00F125EF" w:rsidRDefault="00C44D3C" w:rsidP="00980973">
      <w:pPr>
        <w:pStyle w:val="ESlet"/>
        <w:rPr>
          <w:snapToGrid w:val="0"/>
          <w:lang w:val="pt-PT"/>
        </w:rPr>
      </w:pPr>
      <w:r w:rsidRPr="00F125EF">
        <w:rPr>
          <w:lang w:val="pt-PT"/>
        </w:rPr>
        <w:t>b)</w:t>
      </w:r>
      <w:r w:rsidRPr="00F125EF">
        <w:rPr>
          <w:lang w:val="pt-PT"/>
        </w:rPr>
        <w:tab/>
        <w:t>A tűzvédelmi rendszert a védendő helyiségek legnagyobbikának a figyelembevételével kell kalibrálni úgy, hogy képes legyen legalább 30 percig folyamatosan vizet permetezni a szóban forgó a helyiségbe.</w:t>
      </w:r>
    </w:p>
    <w:p w:rsidR="00C44D3C" w:rsidRPr="00F125EF" w:rsidRDefault="00C44D3C" w:rsidP="00980973">
      <w:pPr>
        <w:pStyle w:val="ESlet"/>
        <w:rPr>
          <w:lang w:val="pt-PT"/>
        </w:rPr>
      </w:pPr>
      <w:r w:rsidRPr="00F125EF">
        <w:rPr>
          <w:lang w:val="pt-PT"/>
        </w:rPr>
        <w:br w:type="page"/>
      </w:r>
    </w:p>
    <w:p w:rsidR="00C44D3C" w:rsidRPr="00F125EF" w:rsidRDefault="00C44D3C" w:rsidP="00980973">
      <w:pPr>
        <w:pStyle w:val="ESlet"/>
        <w:rPr>
          <w:rFonts w:cs="Arial"/>
          <w:lang w:val="pt-PT"/>
        </w:rPr>
      </w:pPr>
      <w:r w:rsidRPr="00F125EF">
        <w:rPr>
          <w:lang w:val="pt-PT"/>
        </w:rPr>
        <w:t>c)</w:t>
      </w:r>
      <w:r w:rsidRPr="00F125EF">
        <w:rPr>
          <w:lang w:val="pt-PT"/>
        </w:rPr>
        <w:tab/>
        <w:t xml:space="preserve">A szivattyúkat, azok kapcsolómechanizmusait és a rendszer működtetéséhez szükséges szelepeket egy, a védendő helyiségeken kívüli helyiségben kell telepíteni. A telepítés helye szerinti helyiséget legalább A30 típusú térelválasztó fallal el kell különíteni a szomszédos helyiségektől. </w:t>
      </w:r>
    </w:p>
    <w:p w:rsidR="00C44D3C" w:rsidRPr="00F125EF" w:rsidRDefault="00C44D3C" w:rsidP="00980973">
      <w:pPr>
        <w:pStyle w:val="ESlet"/>
        <w:rPr>
          <w:rFonts w:cs="Arial"/>
          <w:lang w:val="pt-PT"/>
        </w:rPr>
      </w:pPr>
      <w:r w:rsidRPr="00F125EF">
        <w:rPr>
          <w:lang w:val="pt-PT"/>
        </w:rPr>
        <w:t>d)</w:t>
      </w:r>
      <w:r w:rsidRPr="00F125EF">
        <w:rPr>
          <w:lang w:val="pt-PT"/>
        </w:rPr>
        <w:tab/>
        <w:t>A tűzvédelmi rendszernek mindenkor teljesen töltve kell lennie vízzel, egészen a permetező fúvókákig, és az előírt kezdeti üzemi nyomással kell rendelkeznie. A rendszer aktiválásakor a vízszivattyúknak automatikusan működésbe kell lépniük. A rendszernek folyamatosan működő vízellátással kell rendelkeznie. Intézkedéseket kell hozni annak biztosítására, hogy a szennyeződések ne befolyásolják a rendszer működését.</w:t>
      </w:r>
    </w:p>
    <w:p w:rsidR="00C44D3C" w:rsidRPr="00F125EF" w:rsidRDefault="00C44D3C" w:rsidP="00980973">
      <w:pPr>
        <w:pStyle w:val="ESlet"/>
        <w:rPr>
          <w:rFonts w:cs="Arial"/>
          <w:lang w:val="pt-PT"/>
        </w:rPr>
      </w:pPr>
      <w:r w:rsidRPr="00F125EF">
        <w:rPr>
          <w:lang w:val="pt-PT"/>
        </w:rPr>
        <w:t>e)</w:t>
      </w:r>
      <w:r w:rsidRPr="00F125EF">
        <w:rPr>
          <w:lang w:val="pt-PT"/>
        </w:rPr>
        <w:tab/>
        <w:t>A rendszer csővezeték-hálózata kapacitásának és kialakításának hidraulikai számításon kell alapulnia.</w:t>
      </w:r>
    </w:p>
    <w:p w:rsidR="00C44D3C" w:rsidRPr="00F125EF" w:rsidRDefault="00C44D3C" w:rsidP="00980973">
      <w:pPr>
        <w:pStyle w:val="ESlet"/>
        <w:rPr>
          <w:rFonts w:cs="Arial"/>
          <w:lang w:val="pt-PT"/>
        </w:rPr>
      </w:pPr>
      <w:r w:rsidRPr="00F125EF">
        <w:rPr>
          <w:lang w:val="pt-PT"/>
        </w:rPr>
        <w:t>f)</w:t>
      </w:r>
      <w:r w:rsidRPr="00F125EF">
        <w:rPr>
          <w:lang w:val="pt-PT"/>
        </w:rPr>
        <w:tab/>
        <w:t xml:space="preserve">A fúvókák számának és elrendezésének biztosítania kell a víz megfelelő szétoszlását a védendő helyiségekben. A permetező fúvókákat úgy kell elhelyezni, hogy a vízköd a védendő helyiség egészében szétoszoljon, és különösen azokra a területekre jusson, ahol nagyobb a tűz kockázata, beleértve a szerelvények mögötti és a padló alatti területeket is. </w:t>
      </w:r>
    </w:p>
    <w:p w:rsidR="00C44D3C" w:rsidRPr="00F125EF" w:rsidRDefault="00C44D3C" w:rsidP="00980973">
      <w:pPr>
        <w:pStyle w:val="ESlet"/>
        <w:rPr>
          <w:rFonts w:cs="Arial"/>
          <w:lang w:val="pt-PT"/>
        </w:rPr>
      </w:pPr>
      <w:r w:rsidRPr="00F125EF">
        <w:rPr>
          <w:lang w:val="pt-PT"/>
        </w:rPr>
        <w:t>g)</w:t>
      </w:r>
      <w:r w:rsidRPr="00F125EF">
        <w:rPr>
          <w:lang w:val="pt-PT"/>
        </w:rPr>
        <w:tab/>
        <w:t>A tűzvédelmi rendszer védendő helyiségben lévő elektromos alkatrészeinek meg kell felelniük legalább az IP54 védelmi osztálynak. A rendszernek két független energiaforrással kell rendelkeznie, amelyek tekintetében az átkapcsolás automatikus. Az energiaforrások egyikét a védendő helyiségen kívül kell elhelyezni. Mindkét energiaforrásnak önmagában is képesnek kell lennie a rendszer működésének biztosítására.</w:t>
      </w:r>
    </w:p>
    <w:p w:rsidR="00C44D3C" w:rsidRPr="00F125EF" w:rsidRDefault="00C44D3C" w:rsidP="00980973">
      <w:pPr>
        <w:pStyle w:val="ESlet"/>
        <w:rPr>
          <w:rFonts w:cs="Arial"/>
          <w:lang w:val="pt-PT"/>
        </w:rPr>
      </w:pPr>
      <w:r w:rsidRPr="00F125EF">
        <w:rPr>
          <w:lang w:val="pt-PT"/>
        </w:rPr>
        <w:t>h)</w:t>
      </w:r>
      <w:r w:rsidRPr="00F125EF">
        <w:rPr>
          <w:lang w:val="pt-PT"/>
        </w:rPr>
        <w:tab/>
        <w:t xml:space="preserve">A tűzvédelmi rendszernek a szükségesnél több szivattyúval kell rendelkeznie. </w:t>
      </w:r>
    </w:p>
    <w:p w:rsidR="00C44D3C" w:rsidRPr="00F125EF" w:rsidRDefault="00C44D3C" w:rsidP="00980973">
      <w:pPr>
        <w:pStyle w:val="ESlet"/>
        <w:rPr>
          <w:rFonts w:cs="Arial"/>
          <w:lang w:val="pt-PT"/>
        </w:rPr>
      </w:pPr>
      <w:r w:rsidRPr="00F125EF">
        <w:rPr>
          <w:lang w:val="pt-PT"/>
        </w:rPr>
        <w:t>i)</w:t>
      </w:r>
      <w:r w:rsidRPr="00F125EF">
        <w:rPr>
          <w:lang w:val="pt-PT"/>
        </w:rPr>
        <w:tab/>
        <w:t>A tűzvédelmi rendszert olyan ellenőrző berendezéssel kell felszerelni, amely vészjelzést ad a kormányállásban a következő esetekben:</w:t>
      </w:r>
    </w:p>
    <w:p w:rsidR="00C44D3C" w:rsidRPr="00F125EF" w:rsidRDefault="00C44D3C" w:rsidP="00C44D3C">
      <w:pPr>
        <w:pStyle w:val="EStiret"/>
        <w:rPr>
          <w:lang w:val="pt-PT"/>
        </w:rPr>
      </w:pPr>
      <w:r w:rsidRPr="00F125EF">
        <w:rPr>
          <w:lang w:val="pt-PT"/>
        </w:rPr>
        <w:t>-</w:t>
      </w:r>
      <w:r w:rsidRPr="00F125EF">
        <w:rPr>
          <w:lang w:val="pt-PT"/>
        </w:rPr>
        <w:tab/>
        <w:t>a víztartály szintjének csökkenése (ha van víztartály),</w:t>
      </w:r>
    </w:p>
    <w:p w:rsidR="00C44D3C" w:rsidRPr="00F125EF" w:rsidRDefault="00C44D3C" w:rsidP="00C44D3C">
      <w:pPr>
        <w:pStyle w:val="EStiret"/>
        <w:rPr>
          <w:lang w:val="pt-PT"/>
        </w:rPr>
      </w:pPr>
      <w:r w:rsidRPr="00F125EF">
        <w:rPr>
          <w:lang w:val="pt-PT"/>
        </w:rPr>
        <w:t>-</w:t>
      </w:r>
      <w:r w:rsidRPr="00F125EF">
        <w:rPr>
          <w:lang w:val="pt-PT"/>
        </w:rPr>
        <w:tab/>
        <w:t>az energiaellátás kimaradása,</w:t>
      </w:r>
    </w:p>
    <w:p w:rsidR="00C44D3C" w:rsidRPr="00F125EF" w:rsidRDefault="00C44D3C" w:rsidP="00C44D3C">
      <w:pPr>
        <w:pStyle w:val="EStiret"/>
        <w:rPr>
          <w:lang w:val="pt-PT"/>
        </w:rPr>
      </w:pPr>
      <w:r w:rsidRPr="00F125EF">
        <w:rPr>
          <w:lang w:val="pt-PT"/>
        </w:rPr>
        <w:t>-</w:t>
      </w:r>
      <w:r w:rsidRPr="00F125EF">
        <w:rPr>
          <w:lang w:val="pt-PT"/>
        </w:rPr>
        <w:tab/>
        <w:t>nyomáscsökkenés az alacsony nyomású rendszer csőhálózatában,</w:t>
      </w:r>
    </w:p>
    <w:p w:rsidR="00C44D3C" w:rsidRPr="00F125EF" w:rsidRDefault="00C44D3C" w:rsidP="00C44D3C">
      <w:pPr>
        <w:pStyle w:val="EStiret"/>
        <w:rPr>
          <w:lang w:val="pt-PT"/>
        </w:rPr>
      </w:pPr>
      <w:r w:rsidRPr="00F125EF">
        <w:rPr>
          <w:lang w:val="pt-PT"/>
        </w:rPr>
        <w:t>-</w:t>
      </w:r>
      <w:r w:rsidRPr="00F125EF">
        <w:rPr>
          <w:lang w:val="pt-PT"/>
        </w:rPr>
        <w:tab/>
        <w:t>nyomáscsökkenés a magas nyomású hálózatban,</w:t>
      </w:r>
    </w:p>
    <w:p w:rsidR="00C44D3C" w:rsidRPr="00F125EF" w:rsidRDefault="00C44D3C" w:rsidP="00C44D3C">
      <w:pPr>
        <w:pStyle w:val="EStiret"/>
        <w:rPr>
          <w:lang w:val="pt-PT"/>
        </w:rPr>
      </w:pPr>
      <w:r w:rsidRPr="00F125EF">
        <w:rPr>
          <w:lang w:val="pt-PT"/>
        </w:rPr>
        <w:t>-</w:t>
      </w:r>
      <w:r w:rsidRPr="00F125EF">
        <w:rPr>
          <w:lang w:val="pt-PT"/>
        </w:rPr>
        <w:tab/>
        <w:t>a rendszer aktiválódása.</w:t>
      </w:r>
    </w:p>
    <w:p w:rsidR="00C44D3C" w:rsidRPr="00F125EF" w:rsidRDefault="00C44D3C" w:rsidP="00980973">
      <w:pPr>
        <w:pStyle w:val="ESlet"/>
        <w:rPr>
          <w:lang w:val="pt-PT"/>
        </w:rPr>
      </w:pPr>
      <w:r w:rsidRPr="00F125EF">
        <w:rPr>
          <w:lang w:val="pt-PT"/>
        </w:rPr>
        <w:t>j)</w:t>
      </w:r>
      <w:r w:rsidRPr="00F125EF">
        <w:rPr>
          <w:lang w:val="pt-PT"/>
        </w:rPr>
        <w:tab/>
        <w:t xml:space="preserve">A rendszer 9. bekezdésben említett felszereléséhez, funkcionális vizsgálatához és dokumentálásához szükséges dokumentumok legalább a következőket tartalmazzák: </w:t>
      </w:r>
    </w:p>
    <w:p w:rsidR="00C44D3C" w:rsidRPr="00F125EF" w:rsidRDefault="00C44D3C" w:rsidP="00C44D3C">
      <w:pPr>
        <w:pStyle w:val="EStiret"/>
        <w:rPr>
          <w:lang w:val="pt-PT"/>
        </w:rPr>
      </w:pPr>
      <w:r w:rsidRPr="00F125EF">
        <w:rPr>
          <w:lang w:val="pt-PT"/>
        </w:rPr>
        <w:t xml:space="preserve">- </w:t>
      </w:r>
      <w:r w:rsidRPr="00F125EF">
        <w:rPr>
          <w:lang w:val="pt-PT"/>
        </w:rPr>
        <w:tab/>
        <w:t>a rendszer vázlatos ábrája, amely bemutatja a csövezet szakaszait és a permetező fúvókák típusait,</w:t>
      </w:r>
    </w:p>
    <w:p w:rsidR="00C44D3C" w:rsidRPr="00F125EF" w:rsidRDefault="00C44D3C" w:rsidP="00C44D3C">
      <w:pPr>
        <w:pStyle w:val="EStiret"/>
        <w:rPr>
          <w:lang w:val="pt-PT"/>
        </w:rPr>
      </w:pPr>
      <w:r w:rsidRPr="00F125EF">
        <w:rPr>
          <w:lang w:val="pt-PT"/>
        </w:rPr>
        <w:t xml:space="preserve">- </w:t>
      </w:r>
      <w:r w:rsidRPr="00F125EF">
        <w:rPr>
          <w:lang w:val="pt-PT"/>
        </w:rPr>
        <w:tab/>
        <w:t>a d) pontban említett hidraulikai számítás,</w:t>
      </w:r>
    </w:p>
    <w:p w:rsidR="00C44D3C" w:rsidRPr="00F125EF" w:rsidRDefault="00C44D3C" w:rsidP="00C44D3C">
      <w:pPr>
        <w:pStyle w:val="EStiret"/>
        <w:rPr>
          <w:lang w:val="pt-PT"/>
        </w:rPr>
      </w:pPr>
      <w:r w:rsidRPr="00F125EF">
        <w:rPr>
          <w:lang w:val="pt-PT"/>
        </w:rPr>
        <w:t xml:space="preserve">- </w:t>
      </w:r>
      <w:r w:rsidRPr="00F125EF">
        <w:rPr>
          <w:lang w:val="pt-PT"/>
        </w:rPr>
        <w:tab/>
        <w:t>a gyártó műszaki dokumentációja, amely a rendszer valamennyi szempontjára kiterjed,</w:t>
      </w:r>
    </w:p>
    <w:p w:rsidR="00C44D3C" w:rsidRPr="00F125EF" w:rsidRDefault="00C44D3C" w:rsidP="00C44D3C">
      <w:pPr>
        <w:pStyle w:val="EStiret"/>
        <w:rPr>
          <w:lang w:val="pt-PT"/>
        </w:rPr>
      </w:pPr>
      <w:r w:rsidRPr="00F125EF">
        <w:rPr>
          <w:lang w:val="pt-PT"/>
        </w:rPr>
        <w:t xml:space="preserve">- </w:t>
      </w:r>
      <w:r w:rsidRPr="00F125EF">
        <w:rPr>
          <w:lang w:val="pt-PT"/>
        </w:rPr>
        <w:tab/>
        <w:t>a karbantartási útmutató.</w:t>
      </w:r>
    </w:p>
    <w:p w:rsidR="00E65F26" w:rsidRPr="00F125EF" w:rsidRDefault="00E65F26" w:rsidP="00E65F26">
      <w:pPr>
        <w:pStyle w:val="ESch"/>
        <w:rPr>
          <w:lang w:val="pt-PT"/>
        </w:rPr>
      </w:pPr>
    </w:p>
    <w:p w:rsidR="00771FEA" w:rsidRPr="00F125EF" w:rsidRDefault="00771FEA" w:rsidP="00E65F26">
      <w:pPr>
        <w:pStyle w:val="ESch"/>
        <w:rPr>
          <w:lang w:val="pt-PT"/>
        </w:rPr>
      </w:pPr>
    </w:p>
    <w:p w:rsidR="00C83149" w:rsidRPr="00F125EF" w:rsidRDefault="00C83149" w:rsidP="00C83149">
      <w:pPr>
        <w:pStyle w:val="ES-Titre3"/>
        <w:rPr>
          <w:i/>
          <w:noProof/>
          <w:lang w:val="pt-PT"/>
        </w:rPr>
      </w:pPr>
      <w:bookmarkStart w:id="220" w:name="_Toc491854107"/>
      <w:bookmarkStart w:id="221" w:name="_Toc535853886"/>
      <w:r w:rsidRPr="00F125EF">
        <w:rPr>
          <w:lang w:val="pt-PT"/>
        </w:rPr>
        <w:t>13.06. cikk</w:t>
      </w:r>
      <w:r w:rsidRPr="00F125EF">
        <w:rPr>
          <w:lang w:val="pt-PT"/>
        </w:rPr>
        <w:br/>
      </w:r>
      <w:r w:rsidRPr="00F125EF">
        <w:rPr>
          <w:i/>
          <w:noProof/>
          <w:lang w:val="pt-PT"/>
        </w:rPr>
        <w:t>Tárgyak védelmét szolgáló tartósan rögzített tűzvédelmi rendszerek</w:t>
      </w:r>
      <w:bookmarkEnd w:id="220"/>
      <w:bookmarkEnd w:id="221"/>
    </w:p>
    <w:p w:rsidR="00C83149" w:rsidRPr="00F125EF" w:rsidRDefault="00C83149" w:rsidP="00E65F26">
      <w:pPr>
        <w:pStyle w:val="ESch"/>
        <w:rPr>
          <w:lang w:val="pt-PT"/>
        </w:rPr>
      </w:pPr>
    </w:p>
    <w:p w:rsidR="00C83149" w:rsidRPr="00F125EF" w:rsidRDefault="00C83149" w:rsidP="00C83149">
      <w:pPr>
        <w:pStyle w:val="ESgauche"/>
        <w:rPr>
          <w:lang w:val="pt-PT"/>
        </w:rPr>
      </w:pPr>
      <w:r w:rsidRPr="00F125EF">
        <w:rPr>
          <w:lang w:val="pt-PT"/>
        </w:rPr>
        <w:t>Tárgyak védelmét szolgáló tartósan rögzített tűzvédelmi rendszerek alkalmazása tilos.</w:t>
      </w:r>
    </w:p>
    <w:p w:rsidR="00C83149" w:rsidRPr="00F125EF" w:rsidRDefault="00C83149" w:rsidP="00E65F26">
      <w:pPr>
        <w:pStyle w:val="ESch"/>
        <w:rPr>
          <w:lang w:val="pt-PT"/>
        </w:rPr>
      </w:pPr>
    </w:p>
    <w:p w:rsidR="00C83149" w:rsidRPr="00F125EF" w:rsidRDefault="00C83149" w:rsidP="00E65F26">
      <w:pPr>
        <w:pStyle w:val="ESch"/>
        <w:rPr>
          <w:lang w:val="pt-PT"/>
        </w:rPr>
      </w:pPr>
    </w:p>
    <w:p w:rsidR="00C44D3C" w:rsidRPr="00F125EF" w:rsidRDefault="00C44D3C">
      <w:pPr>
        <w:rPr>
          <w:rFonts w:eastAsia="Calibri"/>
          <w:b/>
          <w:noProof/>
          <w:lang w:val="pt-PT"/>
        </w:rPr>
      </w:pPr>
      <w:r w:rsidRPr="00F125EF">
        <w:rPr>
          <w:lang w:val="pt-PT"/>
        </w:rPr>
        <w:br w:type="page"/>
      </w:r>
    </w:p>
    <w:p w:rsidR="00E65F26" w:rsidRPr="00F125EF" w:rsidRDefault="00E65F26" w:rsidP="00824063">
      <w:pPr>
        <w:pStyle w:val="ES-Titre3"/>
        <w:rPr>
          <w:i/>
          <w:lang w:val="pt-PT"/>
        </w:rPr>
      </w:pPr>
      <w:bookmarkStart w:id="222" w:name="_Toc491854108"/>
      <w:bookmarkStart w:id="223" w:name="_Toc535853887"/>
      <w:r w:rsidRPr="00F125EF">
        <w:rPr>
          <w:lang w:val="pt-PT"/>
        </w:rPr>
        <w:t>13.07. cikk</w:t>
      </w:r>
      <w:r w:rsidRPr="00F125EF">
        <w:rPr>
          <w:lang w:val="pt-PT"/>
        </w:rPr>
        <w:br/>
      </w:r>
      <w:r w:rsidRPr="00F125EF">
        <w:rPr>
          <w:i/>
          <w:noProof/>
          <w:lang w:val="pt-PT"/>
        </w:rPr>
        <w:t>Szolgálati csónakok</w:t>
      </w:r>
      <w:bookmarkEnd w:id="222"/>
      <w:bookmarkEnd w:id="223"/>
    </w:p>
    <w:p w:rsidR="00824063" w:rsidRPr="00F125EF" w:rsidRDefault="00824063" w:rsidP="00E65F26">
      <w:pPr>
        <w:pStyle w:val="ESch"/>
        <w:rPr>
          <w:noProof/>
          <w:lang w:val="pt-PT"/>
        </w:rPr>
      </w:pPr>
    </w:p>
    <w:p w:rsidR="00E65F26" w:rsidRPr="00F125EF" w:rsidRDefault="00E65F26" w:rsidP="00E65F26">
      <w:pPr>
        <w:pStyle w:val="ESch"/>
        <w:rPr>
          <w:noProof/>
          <w:lang w:val="pt-PT"/>
        </w:rPr>
      </w:pPr>
      <w:r w:rsidRPr="00F125EF">
        <w:rPr>
          <w:lang w:val="pt-PT"/>
        </w:rPr>
        <w:t>1.</w:t>
      </w:r>
      <w:r w:rsidRPr="00F125EF">
        <w:rPr>
          <w:lang w:val="pt-PT"/>
        </w:rPr>
        <w:tab/>
        <w:t>Az alábbi vízi járműveknek rendelkezniük kell az EN 1914:2016 európai szabvány szerinti szolgálati csónakkal:</w:t>
      </w:r>
    </w:p>
    <w:p w:rsidR="00E65F26" w:rsidRPr="00F125EF" w:rsidRDefault="005C7859" w:rsidP="00824063">
      <w:pPr>
        <w:pStyle w:val="ESlet"/>
        <w:rPr>
          <w:lang w:val="pt-PT"/>
        </w:rPr>
      </w:pPr>
      <w:r w:rsidRPr="00F125EF">
        <w:rPr>
          <w:lang w:val="pt-PT"/>
        </w:rPr>
        <w:t>a)</w:t>
      </w:r>
      <w:r w:rsidRPr="00F125EF">
        <w:rPr>
          <w:lang w:val="pt-PT"/>
        </w:rPr>
        <w:tab/>
        <w:t>a 150 tonnánál nagyobb hordképességű önjáró hajók és uszályok;</w:t>
      </w:r>
    </w:p>
    <w:p w:rsidR="00E65F26" w:rsidRPr="00F125EF" w:rsidRDefault="005C7859" w:rsidP="00824063">
      <w:pPr>
        <w:pStyle w:val="ESlet"/>
        <w:rPr>
          <w:lang w:val="pt-PT"/>
        </w:rPr>
      </w:pPr>
      <w:r w:rsidRPr="00F125EF">
        <w:rPr>
          <w:lang w:val="pt-PT"/>
        </w:rPr>
        <w:t>b)</w:t>
      </w:r>
      <w:r w:rsidRPr="00F125EF">
        <w:rPr>
          <w:lang w:val="pt-PT"/>
        </w:rPr>
        <w:tab/>
        <w:t>a 150 m</w:t>
      </w:r>
      <w:r w:rsidRPr="00F125EF">
        <w:rPr>
          <w:noProof/>
          <w:vertAlign w:val="superscript"/>
          <w:lang w:val="pt-PT"/>
        </w:rPr>
        <w:t>3</w:t>
      </w:r>
      <w:r w:rsidRPr="00F125EF">
        <w:rPr>
          <w:lang w:val="pt-PT"/>
        </w:rPr>
        <w:t>-nél nagyobb vízkiszorítási térfogatú vontató- és tolóhajók;</w:t>
      </w:r>
    </w:p>
    <w:p w:rsidR="00E65F26" w:rsidRPr="00F125EF" w:rsidRDefault="005C7859" w:rsidP="00824063">
      <w:pPr>
        <w:pStyle w:val="ESlet"/>
        <w:rPr>
          <w:lang w:val="pt-PT"/>
        </w:rPr>
      </w:pPr>
      <w:r w:rsidRPr="00F125EF">
        <w:rPr>
          <w:lang w:val="pt-PT"/>
        </w:rPr>
        <w:t>c)</w:t>
      </w:r>
      <w:r w:rsidRPr="00F125EF">
        <w:rPr>
          <w:lang w:val="pt-PT"/>
        </w:rPr>
        <w:tab/>
        <w:t>úszó munkagépek;</w:t>
      </w:r>
    </w:p>
    <w:p w:rsidR="00E65F26" w:rsidRPr="00F125EF" w:rsidRDefault="005C7859" w:rsidP="00824063">
      <w:pPr>
        <w:pStyle w:val="ESlet"/>
        <w:rPr>
          <w:lang w:val="pt-PT"/>
        </w:rPr>
      </w:pPr>
      <w:r w:rsidRPr="00F125EF">
        <w:rPr>
          <w:lang w:val="pt-PT"/>
        </w:rPr>
        <w:t>d)</w:t>
      </w:r>
      <w:r w:rsidRPr="00F125EF">
        <w:rPr>
          <w:lang w:val="pt-PT"/>
        </w:rPr>
        <w:tab/>
        <w:t>személyhajók.</w:t>
      </w:r>
    </w:p>
    <w:p w:rsidR="00771FEA" w:rsidRPr="00F125EF" w:rsidRDefault="00771FEA" w:rsidP="00E65F26">
      <w:pPr>
        <w:pStyle w:val="ESch"/>
        <w:rPr>
          <w:noProof/>
          <w:lang w:val="pt-PT"/>
        </w:rPr>
      </w:pPr>
    </w:p>
    <w:p w:rsidR="00E65F26" w:rsidRPr="00F125EF" w:rsidRDefault="00E65F26" w:rsidP="00E65F26">
      <w:pPr>
        <w:pStyle w:val="ESch"/>
        <w:rPr>
          <w:lang w:val="pt-PT"/>
        </w:rPr>
      </w:pPr>
      <w:r w:rsidRPr="00F125EF">
        <w:rPr>
          <w:lang w:val="pt-PT"/>
        </w:rPr>
        <w:t>2.</w:t>
      </w:r>
      <w:r w:rsidRPr="00F125EF">
        <w:rPr>
          <w:lang w:val="pt-PT"/>
        </w:rPr>
        <w:tab/>
        <w:t>Biztosítani kell, hogy az ilyen szolgálati csónakok egy személy által biztonságosan vízre bocsáthatók legyenek az első szükséges kézi művelettől számított öt percen belül. Ha gépi meghajtású vízre</w:t>
      </w:r>
      <w:r w:rsidR="00AA2973">
        <w:rPr>
          <w:lang w:val="pt-PT"/>
        </w:rPr>
        <w:t xml:space="preserve"> </w:t>
      </w:r>
      <w:r w:rsidRPr="00F125EF">
        <w:rPr>
          <w:lang w:val="pt-PT"/>
        </w:rPr>
        <w:t>bocsátó eszközt használnak, biztosítani kell, hogy az energiaforrás leállása ne befolyásolja hátrányosan a biztonságos és gyors vízre</w:t>
      </w:r>
      <w:r w:rsidR="00AA2973">
        <w:rPr>
          <w:lang w:val="pt-PT"/>
        </w:rPr>
        <w:t xml:space="preserve"> </w:t>
      </w:r>
      <w:r w:rsidRPr="00F125EF">
        <w:rPr>
          <w:lang w:val="pt-PT"/>
        </w:rPr>
        <w:t>bocsátást.</w:t>
      </w:r>
    </w:p>
    <w:p w:rsidR="00824063" w:rsidRPr="00F125EF" w:rsidRDefault="00824063" w:rsidP="00E65F26">
      <w:pPr>
        <w:pStyle w:val="ESch"/>
        <w:rPr>
          <w:noProof/>
          <w:lang w:val="pt-PT"/>
        </w:rPr>
      </w:pPr>
    </w:p>
    <w:p w:rsidR="00E65F26" w:rsidRPr="00F125EF" w:rsidRDefault="00E65F26" w:rsidP="00E65F26">
      <w:pPr>
        <w:pStyle w:val="ESch"/>
        <w:rPr>
          <w:lang w:val="pt-PT"/>
        </w:rPr>
      </w:pPr>
      <w:r w:rsidRPr="00F125EF">
        <w:rPr>
          <w:lang w:val="pt-PT"/>
        </w:rPr>
        <w:t>3.</w:t>
      </w:r>
      <w:r w:rsidRPr="00F125EF">
        <w:rPr>
          <w:lang w:val="pt-PT"/>
        </w:rPr>
        <w:tab/>
        <w:t>A felfújható szolgálati csónakokat a gyártó utasításai szerint kell ellenőrizni.</w:t>
      </w:r>
    </w:p>
    <w:p w:rsidR="00E65F26" w:rsidRPr="00F125EF" w:rsidRDefault="00E65F26" w:rsidP="00E65F26">
      <w:pPr>
        <w:pStyle w:val="ESch"/>
        <w:rPr>
          <w:lang w:val="pt-PT"/>
        </w:rPr>
      </w:pPr>
    </w:p>
    <w:p w:rsidR="00771FEA" w:rsidRPr="00F125EF" w:rsidRDefault="00771FEA" w:rsidP="00E65F26">
      <w:pPr>
        <w:pStyle w:val="ESch"/>
        <w:rPr>
          <w:lang w:val="pt-PT"/>
        </w:rPr>
      </w:pPr>
    </w:p>
    <w:p w:rsidR="00771FEA" w:rsidRPr="00F125EF" w:rsidRDefault="00771FEA" w:rsidP="00E65F26">
      <w:pPr>
        <w:pStyle w:val="ESch"/>
        <w:rPr>
          <w:lang w:val="pt-PT"/>
        </w:rPr>
      </w:pPr>
    </w:p>
    <w:p w:rsidR="00E65F26" w:rsidRPr="00F125EF" w:rsidRDefault="00E65F26" w:rsidP="00824063">
      <w:pPr>
        <w:pStyle w:val="ES-Titre3"/>
        <w:rPr>
          <w:i/>
          <w:noProof/>
          <w:lang w:val="pt-PT"/>
        </w:rPr>
      </w:pPr>
      <w:bookmarkStart w:id="224" w:name="_Toc491854109"/>
      <w:bookmarkStart w:id="225" w:name="_Toc535853888"/>
      <w:r w:rsidRPr="00F125EF">
        <w:rPr>
          <w:lang w:val="pt-PT"/>
        </w:rPr>
        <w:t>13.08. cikk</w:t>
      </w:r>
      <w:r w:rsidRPr="00F125EF">
        <w:rPr>
          <w:lang w:val="pt-PT"/>
        </w:rPr>
        <w:br/>
      </w:r>
      <w:r w:rsidRPr="00F125EF">
        <w:rPr>
          <w:i/>
          <w:noProof/>
          <w:lang w:val="pt-PT"/>
        </w:rPr>
        <w:t>Mentőgyűrűk és mentőmellények</w:t>
      </w:r>
      <w:bookmarkEnd w:id="224"/>
      <w:bookmarkEnd w:id="225"/>
    </w:p>
    <w:p w:rsidR="00824063" w:rsidRPr="00F125EF" w:rsidRDefault="00824063" w:rsidP="00E65F26">
      <w:pPr>
        <w:pStyle w:val="ESch"/>
        <w:rPr>
          <w:noProof/>
          <w:lang w:val="pt-PT"/>
        </w:rPr>
      </w:pPr>
    </w:p>
    <w:p w:rsidR="00E65F26" w:rsidRPr="00F125EF" w:rsidRDefault="00E65F26" w:rsidP="00E65F26">
      <w:pPr>
        <w:pStyle w:val="ESch"/>
        <w:rPr>
          <w:lang w:val="pt-PT"/>
        </w:rPr>
      </w:pPr>
      <w:r w:rsidRPr="00F125EF">
        <w:rPr>
          <w:lang w:val="pt-PT"/>
        </w:rPr>
        <w:t>1.</w:t>
      </w:r>
      <w:r w:rsidRPr="00F125EF">
        <w:rPr>
          <w:lang w:val="pt-PT"/>
        </w:rPr>
        <w:tab/>
        <w:t xml:space="preserve">A vízi járműnek az alábbiaknak megfelelően legalább három mentőgyűrűvel kell rendelkeznie: </w:t>
      </w:r>
    </w:p>
    <w:p w:rsidR="00E65F26" w:rsidRPr="00F125EF" w:rsidRDefault="00E65F26" w:rsidP="00574385">
      <w:pPr>
        <w:pStyle w:val="ESlet"/>
        <w:rPr>
          <w:lang w:val="pt-PT"/>
        </w:rPr>
      </w:pPr>
      <w:r w:rsidRPr="00F125EF">
        <w:rPr>
          <w:lang w:val="pt-PT"/>
        </w:rPr>
        <w:t>-</w:t>
      </w:r>
      <w:r w:rsidRPr="00F125EF">
        <w:rPr>
          <w:lang w:val="pt-PT"/>
        </w:rPr>
        <w:tab/>
        <w:t>az EN 14144:2003 európai szabvány; vagy</w:t>
      </w:r>
    </w:p>
    <w:p w:rsidR="00E65F26" w:rsidRPr="00F125EF" w:rsidRDefault="00E65F26" w:rsidP="00574385">
      <w:pPr>
        <w:pStyle w:val="ESlet"/>
        <w:rPr>
          <w:lang w:val="pt-PT"/>
        </w:rPr>
      </w:pPr>
      <w:r w:rsidRPr="00F125EF">
        <w:rPr>
          <w:lang w:val="pt-PT"/>
        </w:rPr>
        <w:t>-</w:t>
      </w:r>
      <w:r w:rsidRPr="00F125EF">
        <w:rPr>
          <w:lang w:val="pt-PT"/>
        </w:rPr>
        <w:tab/>
        <w:t>az „Életbiztonság a tengeren” tárgyú 1974. évi nemzetközi egyezmény (1974. évi SOLAS-egyezmény) III. fejezetének 7.1. előírása és Az életmentő felszerelések nemzetközi szabályzatának (LSA-szabályzat) 2.1. alpontja.</w:t>
      </w:r>
    </w:p>
    <w:p w:rsidR="00824063" w:rsidRPr="00F125EF" w:rsidRDefault="00824063" w:rsidP="00E65F26">
      <w:pPr>
        <w:pStyle w:val="ESch"/>
        <w:rPr>
          <w:noProof/>
          <w:lang w:val="pt-PT"/>
        </w:rPr>
      </w:pPr>
    </w:p>
    <w:p w:rsidR="00E65F26" w:rsidRPr="00F125EF" w:rsidRDefault="00E65F26" w:rsidP="00574385">
      <w:pPr>
        <w:pStyle w:val="ESchpar"/>
        <w:rPr>
          <w:lang w:val="pt-PT"/>
        </w:rPr>
      </w:pPr>
      <w:r w:rsidRPr="00F125EF">
        <w:rPr>
          <w:lang w:val="pt-PT"/>
        </w:rPr>
        <w:t>A bevetésre kész mentőgyűrűket a tartójukhoz történő rögzítés nélkül kell elhelyezni a fedélzet megfelelő pontjain. Legalább egy mentőgyűrűnek a kormányállás közvetlen közelében kell lennie, és fel kell szerelni önműködően bekapcsolódó, elemmel működő, a víz hatására ki nem alvó fénnyel.</w:t>
      </w:r>
    </w:p>
    <w:p w:rsidR="00574385" w:rsidRPr="00F125EF" w:rsidRDefault="00574385" w:rsidP="00E65F26">
      <w:pPr>
        <w:pStyle w:val="ESch"/>
        <w:rPr>
          <w:lang w:val="pt-PT"/>
        </w:rPr>
      </w:pPr>
    </w:p>
    <w:p w:rsidR="00E65F26" w:rsidRPr="00F125EF" w:rsidRDefault="00E65F26" w:rsidP="00E65F26">
      <w:pPr>
        <w:pStyle w:val="ESch"/>
        <w:rPr>
          <w:lang w:val="pt-PT"/>
        </w:rPr>
      </w:pPr>
      <w:r w:rsidRPr="00F125EF">
        <w:rPr>
          <w:lang w:val="pt-PT"/>
        </w:rPr>
        <w:t>2.</w:t>
      </w:r>
      <w:r w:rsidRPr="00F125EF">
        <w:rPr>
          <w:lang w:val="pt-PT"/>
        </w:rPr>
        <w:tab/>
        <w:t xml:space="preserve">A vízi járművön szokásosan tartózkodó személyek számára könnyen elérhetőnek kell lennie egy-egy személyre szóló, önműködően felfújódó mentőmellénynek. Ezeknek meg kell felelniük a következőknek: </w:t>
      </w:r>
    </w:p>
    <w:p w:rsidR="00E65F26" w:rsidRPr="00F125EF" w:rsidRDefault="00E65F26" w:rsidP="00574385">
      <w:pPr>
        <w:pStyle w:val="ESlet"/>
        <w:rPr>
          <w:lang w:val="pt-PT"/>
        </w:rPr>
      </w:pPr>
      <w:r w:rsidRPr="00F125EF">
        <w:rPr>
          <w:lang w:val="pt-PT"/>
        </w:rPr>
        <w:t>-</w:t>
      </w:r>
      <w:r w:rsidRPr="00F125EF">
        <w:rPr>
          <w:lang w:val="pt-PT"/>
        </w:rPr>
        <w:tab/>
        <w:t>az EN ISO 12402-2:2006, az EN ISO 12402-3:2006 és az EN ISO 12402</w:t>
      </w:r>
      <w:r w:rsidRPr="00F125EF">
        <w:rPr>
          <w:lang w:val="pt-PT"/>
        </w:rPr>
        <w:softHyphen/>
        <w:t>4:2006 európai szabvány; vagy</w:t>
      </w:r>
    </w:p>
    <w:p w:rsidR="00E65F26" w:rsidRPr="00F125EF" w:rsidRDefault="00E65F26" w:rsidP="00574385">
      <w:pPr>
        <w:pStyle w:val="ESlet"/>
        <w:rPr>
          <w:lang w:val="pt-PT"/>
        </w:rPr>
      </w:pPr>
      <w:r w:rsidRPr="00F125EF">
        <w:rPr>
          <w:lang w:val="pt-PT"/>
        </w:rPr>
        <w:t>-</w:t>
      </w:r>
      <w:r w:rsidRPr="00F125EF">
        <w:rPr>
          <w:lang w:val="pt-PT"/>
        </w:rPr>
        <w:tab/>
        <w:t>az „Életbiztonság a tengeren” tárgyú 1974. évi nemzetközi egyezmény (1974. évi SOLAS-egyezmény) III. fejezetének 7.2. előírása és Az életmentő felszerelések nemzetközi szabályzatának (LSA-szabályzat) 2.2. alpontja.</w:t>
      </w:r>
    </w:p>
    <w:p w:rsidR="00574385" w:rsidRPr="00F125EF" w:rsidRDefault="00574385" w:rsidP="00574385">
      <w:pPr>
        <w:pStyle w:val="ESchpar"/>
        <w:rPr>
          <w:noProof/>
          <w:lang w:val="pt-PT"/>
        </w:rPr>
      </w:pPr>
    </w:p>
    <w:p w:rsidR="00E65F26" w:rsidRPr="00F125EF" w:rsidRDefault="00E65F26" w:rsidP="00574385">
      <w:pPr>
        <w:pStyle w:val="ESchpar"/>
        <w:rPr>
          <w:lang w:val="pt-PT"/>
        </w:rPr>
      </w:pPr>
      <w:r w:rsidRPr="00F125EF">
        <w:rPr>
          <w:lang w:val="pt-PT"/>
        </w:rPr>
        <w:t>Gyermekek számára engedélyezettek az e szabványoknak megfelelő, nem felfújható mentőmellények is.</w:t>
      </w:r>
    </w:p>
    <w:p w:rsidR="00574385" w:rsidRPr="00F125EF" w:rsidRDefault="00574385" w:rsidP="00E65F26">
      <w:pPr>
        <w:pStyle w:val="ESch"/>
        <w:rPr>
          <w:noProof/>
          <w:lang w:val="pt-PT"/>
        </w:rPr>
      </w:pPr>
    </w:p>
    <w:p w:rsidR="00E65F26" w:rsidRPr="00F125EF" w:rsidRDefault="00E65F26" w:rsidP="00E65F26">
      <w:pPr>
        <w:pStyle w:val="ESch"/>
        <w:rPr>
          <w:lang w:val="pt-PT"/>
        </w:rPr>
      </w:pPr>
      <w:r w:rsidRPr="00F125EF">
        <w:rPr>
          <w:lang w:val="pt-PT"/>
        </w:rPr>
        <w:t>3.</w:t>
      </w:r>
      <w:r w:rsidRPr="00F125EF">
        <w:rPr>
          <w:lang w:val="pt-PT"/>
        </w:rPr>
        <w:tab/>
        <w:t>A mentőmellényeket a gyártó utasításai szerint kell ellenőrizni.</w:t>
      </w:r>
    </w:p>
    <w:p w:rsidR="00E65F26" w:rsidRPr="00F125EF" w:rsidRDefault="00E65F26" w:rsidP="00E65F26">
      <w:pPr>
        <w:pStyle w:val="ESch"/>
        <w:rPr>
          <w:lang w:val="pt-PT"/>
        </w:rPr>
      </w:pPr>
    </w:p>
    <w:p w:rsidR="00AD0BF7" w:rsidRPr="00F125EF" w:rsidRDefault="00AD0BF7" w:rsidP="00E65F26">
      <w:pPr>
        <w:pStyle w:val="ESch"/>
        <w:rPr>
          <w:lang w:val="pt-PT"/>
        </w:rPr>
      </w:pPr>
    </w:p>
    <w:p w:rsidR="00AD0BF7" w:rsidRPr="00F125EF" w:rsidRDefault="00B51D33" w:rsidP="00E65F26">
      <w:pPr>
        <w:pStyle w:val="ESch"/>
        <w:rPr>
          <w:lang w:val="pt-PT"/>
        </w:rPr>
      </w:pPr>
      <w:r w:rsidRPr="00F125EF">
        <w:rPr>
          <w:lang w:val="pt-PT"/>
        </w:rPr>
        <w:br w:type="page"/>
      </w:r>
    </w:p>
    <w:p w:rsidR="005144F5" w:rsidRPr="00166EA9" w:rsidRDefault="00F06174" w:rsidP="00F6371D">
      <w:pPr>
        <w:pStyle w:val="ES-Titre2"/>
        <w:rPr>
          <w:lang w:val="pt-PT"/>
        </w:rPr>
      </w:pPr>
      <w:bookmarkStart w:id="226" w:name="_Toc491854110"/>
      <w:bookmarkStart w:id="227" w:name="_Toc535853889"/>
      <w:r w:rsidRPr="00166EA9">
        <w:rPr>
          <w:lang w:val="pt-PT"/>
        </w:rPr>
        <w:t>14. fejezet</w:t>
      </w:r>
      <w:r w:rsidRPr="00166EA9">
        <w:rPr>
          <w:lang w:val="pt-PT"/>
        </w:rPr>
        <w:br/>
        <w:t>Biztonság a munkaállomásokon</w:t>
      </w:r>
      <w:bookmarkEnd w:id="226"/>
      <w:bookmarkEnd w:id="227"/>
    </w:p>
    <w:p w:rsidR="005144F5" w:rsidRPr="00F125EF" w:rsidRDefault="005144F5" w:rsidP="005144F5">
      <w:pPr>
        <w:rPr>
          <w:lang w:val="pt-PT"/>
        </w:rPr>
      </w:pPr>
    </w:p>
    <w:p w:rsidR="00F06174" w:rsidRPr="00F125EF" w:rsidRDefault="00F06174" w:rsidP="00DE69C7">
      <w:pPr>
        <w:pStyle w:val="ES-Titre3"/>
        <w:rPr>
          <w:lang w:val="pt-PT"/>
        </w:rPr>
      </w:pPr>
      <w:bookmarkStart w:id="228" w:name="_Toc491854111"/>
      <w:bookmarkStart w:id="229" w:name="_Toc535853890"/>
      <w:r w:rsidRPr="00F125EF">
        <w:rPr>
          <w:lang w:val="pt-PT"/>
        </w:rPr>
        <w:t>14.01. cikk</w:t>
      </w:r>
      <w:r w:rsidRPr="00F125EF">
        <w:rPr>
          <w:lang w:val="pt-PT"/>
        </w:rPr>
        <w:br/>
      </w:r>
      <w:r w:rsidRPr="00F125EF">
        <w:rPr>
          <w:i/>
          <w:noProof/>
          <w:lang w:val="pt-PT"/>
        </w:rPr>
        <w:t>Általános rendelkezések</w:t>
      </w:r>
      <w:bookmarkEnd w:id="228"/>
      <w:bookmarkEnd w:id="229"/>
    </w:p>
    <w:p w:rsidR="00725D4A" w:rsidRPr="00F125EF" w:rsidRDefault="00725D4A" w:rsidP="00F06174">
      <w:pPr>
        <w:rPr>
          <w:rFonts w:cs="Arial"/>
          <w:noProof/>
          <w:szCs w:val="20"/>
          <w:lang w:val="pt-PT"/>
        </w:rPr>
      </w:pPr>
    </w:p>
    <w:p w:rsidR="00F06174" w:rsidRPr="00F125EF" w:rsidRDefault="00F06174" w:rsidP="00725D4A">
      <w:pPr>
        <w:pStyle w:val="ESch"/>
        <w:rPr>
          <w:noProof/>
          <w:lang w:val="pt-PT"/>
        </w:rPr>
      </w:pPr>
      <w:r w:rsidRPr="00F125EF">
        <w:rPr>
          <w:lang w:val="pt-PT"/>
        </w:rPr>
        <w:t>1.</w:t>
      </w:r>
      <w:r w:rsidRPr="00F125EF">
        <w:rPr>
          <w:lang w:val="pt-PT"/>
        </w:rPr>
        <w:tab/>
        <w:t xml:space="preserve">A hajókat úgy kell megépíteni, berendezni és felszerelni, hogy az átjárókban biztonságosan lehessen dolgozni és közlekedni. </w:t>
      </w:r>
    </w:p>
    <w:p w:rsidR="00DE69C7" w:rsidRPr="00F125EF" w:rsidRDefault="00DE69C7" w:rsidP="00725D4A">
      <w:pPr>
        <w:pStyle w:val="ESch"/>
        <w:rPr>
          <w:noProof/>
          <w:lang w:val="pt-PT"/>
        </w:rPr>
      </w:pPr>
    </w:p>
    <w:p w:rsidR="00F06174" w:rsidRPr="00F125EF" w:rsidRDefault="00F06174" w:rsidP="00725D4A">
      <w:pPr>
        <w:pStyle w:val="ESch"/>
        <w:rPr>
          <w:noProof/>
          <w:lang w:val="pt-PT"/>
        </w:rPr>
      </w:pPr>
      <w:r w:rsidRPr="00F125EF">
        <w:rPr>
          <w:lang w:val="pt-PT"/>
        </w:rPr>
        <w:t>2.</w:t>
      </w:r>
      <w:r w:rsidRPr="00F125EF">
        <w:rPr>
          <w:lang w:val="pt-PT"/>
        </w:rPr>
        <w:tab/>
        <w:t xml:space="preserve">A fedélzeti munkavégzéshez szükséges tartósan rögzített berendezéseket úgy kell elhelyezni, kialakítani és rögzíteni, hogy működésük, használatuk és karbantartásuk biztonságos és egyszerű legyen. A mobil vagy magas hőmérsékletű alkotóelemeket szükség esetén védelmi eszközökkel kell felszerelni. </w:t>
      </w:r>
    </w:p>
    <w:p w:rsidR="00F06174" w:rsidRPr="00F125EF" w:rsidRDefault="00F06174" w:rsidP="00725D4A">
      <w:pPr>
        <w:pStyle w:val="ESch"/>
        <w:rPr>
          <w:lang w:val="pt-PT"/>
        </w:rPr>
      </w:pPr>
    </w:p>
    <w:p w:rsidR="00DE69C7" w:rsidRPr="00F125EF" w:rsidRDefault="00DE69C7" w:rsidP="00F06174">
      <w:pPr>
        <w:rPr>
          <w:rFonts w:cs="Arial"/>
          <w:szCs w:val="20"/>
          <w:lang w:val="pt-PT"/>
        </w:rPr>
      </w:pPr>
    </w:p>
    <w:p w:rsidR="00F06174" w:rsidRPr="00F125EF" w:rsidRDefault="00F06174" w:rsidP="00DE69C7">
      <w:pPr>
        <w:pStyle w:val="ES-Titre3"/>
        <w:rPr>
          <w:i/>
          <w:lang w:val="pt-PT"/>
        </w:rPr>
      </w:pPr>
      <w:bookmarkStart w:id="230" w:name="_Toc491854112"/>
      <w:bookmarkStart w:id="231" w:name="_Toc535853891"/>
      <w:r w:rsidRPr="00F125EF">
        <w:rPr>
          <w:lang w:val="pt-PT"/>
        </w:rPr>
        <w:t>14.02. cikk</w:t>
      </w:r>
      <w:r w:rsidRPr="00F125EF">
        <w:rPr>
          <w:lang w:val="pt-PT"/>
        </w:rPr>
        <w:br/>
      </w:r>
      <w:r w:rsidRPr="00F125EF">
        <w:rPr>
          <w:i/>
          <w:noProof/>
          <w:lang w:val="pt-PT"/>
        </w:rPr>
        <w:t>Leesés elleni védelem</w:t>
      </w:r>
      <w:bookmarkEnd w:id="230"/>
      <w:bookmarkEnd w:id="231"/>
    </w:p>
    <w:p w:rsidR="00DE69C7" w:rsidRPr="00F125EF" w:rsidRDefault="00DE69C7" w:rsidP="00F06174">
      <w:pPr>
        <w:rPr>
          <w:rFonts w:cs="Arial"/>
          <w:noProof/>
          <w:szCs w:val="20"/>
          <w:lang w:val="pt-PT"/>
        </w:rPr>
      </w:pPr>
    </w:p>
    <w:p w:rsidR="00F06174" w:rsidRPr="00F125EF" w:rsidRDefault="00F06174" w:rsidP="00725D4A">
      <w:pPr>
        <w:pStyle w:val="ESch"/>
        <w:rPr>
          <w:lang w:val="pt-PT"/>
        </w:rPr>
      </w:pPr>
      <w:r w:rsidRPr="00F125EF">
        <w:rPr>
          <w:lang w:val="pt-PT"/>
        </w:rPr>
        <w:t>1.</w:t>
      </w:r>
      <w:r w:rsidRPr="00F125EF">
        <w:rPr>
          <w:lang w:val="pt-PT"/>
        </w:rPr>
        <w:tab/>
        <w:t>A fedélzeteknek és az oldalfedélzeteknek egyenletes felületűeknek kell lenniük, és egyetlen pontjukon sem okozhatnak megbotlást; biztosítani kell továbbá, hogy ne alakulhasson ki rajtuk tócsa.</w:t>
      </w:r>
    </w:p>
    <w:p w:rsidR="00DE69C7" w:rsidRPr="00F125EF" w:rsidRDefault="00DE69C7" w:rsidP="00725D4A">
      <w:pPr>
        <w:pStyle w:val="ESch"/>
        <w:rPr>
          <w:noProof/>
          <w:lang w:val="pt-PT"/>
        </w:rPr>
      </w:pPr>
    </w:p>
    <w:p w:rsidR="00F06174" w:rsidRPr="00F125EF" w:rsidRDefault="00F06174" w:rsidP="00725D4A">
      <w:pPr>
        <w:pStyle w:val="ESch"/>
        <w:rPr>
          <w:noProof/>
          <w:lang w:val="pt-PT"/>
        </w:rPr>
      </w:pPr>
      <w:r w:rsidRPr="00F125EF">
        <w:rPr>
          <w:lang w:val="pt-PT"/>
        </w:rPr>
        <w:t>2.</w:t>
      </w:r>
      <w:r w:rsidRPr="00F125EF">
        <w:rPr>
          <w:lang w:val="pt-PT"/>
        </w:rPr>
        <w:tab/>
        <w:t>Biztosítani kell, hogy a fedélzetek, oldalfedélzetek, géptérpadlók, fordulók és lépcsők felülete, valamint az oldalfedélzet kikötőbakjainak teteje csúszásmentes legyen.</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3.</w:t>
      </w:r>
      <w:r w:rsidRPr="00F125EF">
        <w:rPr>
          <w:lang w:val="pt-PT"/>
        </w:rPr>
        <w:tab/>
        <w:t>Az oldalfedélzet kikötőbakjainak tetejét és az átjárókon lévő akadályokat, például lépcsőszegélyeket, a környező fedélzettől elütő színűre kell festeni.</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4.</w:t>
      </w:r>
      <w:r w:rsidRPr="00F125EF">
        <w:rPr>
          <w:lang w:val="pt-PT"/>
        </w:rPr>
        <w:tab/>
        <w:t>A fedélzetek és oldalfedélzetek külső peremét és az olyan munkaállomásokat, ahol több mint 1 m-ről le lehet esni, legalább 0,90 m magas mellvéddel vagy nyíláskerettel, vagy az EN 711:2016 európai szabványnak megfelelő folyamatos védőkorláttal kell felszerelni. Amennyiben a hajó oldalán lévő védőkorlát visszahúzható,</w:t>
      </w:r>
    </w:p>
    <w:p w:rsidR="00F06174" w:rsidRPr="00F125EF" w:rsidRDefault="005C7859" w:rsidP="00725D4A">
      <w:pPr>
        <w:pStyle w:val="ESlet"/>
        <w:rPr>
          <w:lang w:val="pt-PT"/>
        </w:rPr>
      </w:pPr>
      <w:r w:rsidRPr="00F125EF">
        <w:rPr>
          <w:lang w:val="pt-PT"/>
        </w:rPr>
        <w:t>a)</w:t>
      </w:r>
      <w:r w:rsidRPr="00F125EF">
        <w:rPr>
          <w:lang w:val="pt-PT"/>
        </w:rPr>
        <w:tab/>
        <w:t>a nyíláskerethez 0,7–1,1 m magasságban további, 0,02–0,04 m átmérőjű, folyamatos kapaszkodót kell rögzíteni; és</w:t>
      </w:r>
    </w:p>
    <w:p w:rsidR="00F06174" w:rsidRPr="00F125EF" w:rsidRDefault="005C7859" w:rsidP="00725D4A">
      <w:pPr>
        <w:pStyle w:val="ESlet"/>
        <w:rPr>
          <w:lang w:val="pt-PT"/>
        </w:rPr>
      </w:pPr>
      <w:r w:rsidRPr="00F125EF">
        <w:rPr>
          <w:lang w:val="pt-PT"/>
        </w:rPr>
        <w:t>b)</w:t>
      </w:r>
      <w:r w:rsidRPr="00F125EF">
        <w:rPr>
          <w:lang w:val="pt-PT"/>
        </w:rPr>
        <w:tab/>
        <w:t>ott, ahol az oldalfedélzet kezdődik, jól látható helyekre a 4. melléklet 10. ábrájának megfelelő, legalább 15 cm átmérőjű jelzéseket kell elhelyezni.</w:t>
      </w:r>
    </w:p>
    <w:p w:rsidR="00F06174" w:rsidRPr="00F125EF" w:rsidRDefault="00F06174" w:rsidP="00DE69C7">
      <w:pPr>
        <w:rPr>
          <w:rFonts w:cs="Arial"/>
          <w:szCs w:val="20"/>
          <w:lang w:val="pt-PT"/>
        </w:rPr>
      </w:pPr>
    </w:p>
    <w:p w:rsidR="00F06174" w:rsidRPr="00F125EF" w:rsidRDefault="00F06174" w:rsidP="00725D4A">
      <w:pPr>
        <w:pStyle w:val="ESch"/>
        <w:rPr>
          <w:lang w:val="pt-PT"/>
        </w:rPr>
      </w:pPr>
      <w:r w:rsidRPr="00F125EF">
        <w:rPr>
          <w:lang w:val="pt-PT"/>
        </w:rPr>
        <w:t>5.</w:t>
      </w:r>
      <w:r w:rsidRPr="00F125EF">
        <w:rPr>
          <w:lang w:val="pt-PT"/>
        </w:rPr>
        <w:tab/>
        <w:t>A 4. bekezdéstől eltérve, a lakótérrel nem rendelkező bárkákat és uszályokat nem kötelező mellvéddel vagy védőkorláttal ellátni, amennyiben:</w:t>
      </w:r>
    </w:p>
    <w:p w:rsidR="00F06174" w:rsidRPr="00F125EF" w:rsidRDefault="005C7859" w:rsidP="00725D4A">
      <w:pPr>
        <w:pStyle w:val="ESlet"/>
        <w:rPr>
          <w:lang w:val="pt-PT"/>
        </w:rPr>
      </w:pPr>
      <w:r w:rsidRPr="00F125EF">
        <w:rPr>
          <w:lang w:val="pt-PT"/>
        </w:rPr>
        <w:t>a)</w:t>
      </w:r>
      <w:r w:rsidRPr="00F125EF">
        <w:rPr>
          <w:lang w:val="pt-PT"/>
        </w:rPr>
        <w:tab/>
        <w:t>a fedélzetek és az oldalfedélzetek külső széleit lábvédő korláttal látták el;</w:t>
      </w:r>
    </w:p>
    <w:p w:rsidR="00F06174" w:rsidRPr="00F125EF" w:rsidRDefault="005C7859" w:rsidP="00725D4A">
      <w:pPr>
        <w:pStyle w:val="ESlet"/>
        <w:rPr>
          <w:lang w:val="pt-PT"/>
        </w:rPr>
      </w:pPr>
      <w:r w:rsidRPr="00F125EF">
        <w:rPr>
          <w:lang w:val="pt-PT"/>
        </w:rPr>
        <w:t>b)</w:t>
      </w:r>
      <w:r w:rsidRPr="00F125EF">
        <w:rPr>
          <w:lang w:val="pt-PT"/>
        </w:rPr>
        <w:tab/>
        <w:t>a nyíláskereteket a 4. bekezdés a) pontjának megfelelően kapaszkodókkal látták el; és</w:t>
      </w:r>
    </w:p>
    <w:p w:rsidR="00F06174" w:rsidRPr="00F125EF" w:rsidRDefault="005C7859" w:rsidP="00725D4A">
      <w:pPr>
        <w:pStyle w:val="ESlet"/>
        <w:rPr>
          <w:lang w:val="pt-PT"/>
        </w:rPr>
      </w:pPr>
      <w:r w:rsidRPr="00F125EF">
        <w:rPr>
          <w:lang w:val="pt-PT"/>
        </w:rPr>
        <w:t>c)</w:t>
      </w:r>
      <w:r w:rsidRPr="00F125EF">
        <w:rPr>
          <w:lang w:val="pt-PT"/>
        </w:rPr>
        <w:tab/>
        <w:t>a fedélzeten jól látható helyekre a 4. melléklet 10. ábrájának megfelelő, legalább 15 cm átmérőjű jelzéseket helyeztek el.</w:t>
      </w:r>
    </w:p>
    <w:p w:rsidR="00DE69C7" w:rsidRPr="00F125EF" w:rsidRDefault="00DE69C7" w:rsidP="00F06174">
      <w:pPr>
        <w:rPr>
          <w:rFonts w:cs="Arial"/>
          <w:szCs w:val="20"/>
          <w:lang w:val="pt-PT"/>
        </w:rPr>
      </w:pPr>
    </w:p>
    <w:p w:rsidR="00F06174" w:rsidRPr="00F125EF" w:rsidRDefault="00F06174" w:rsidP="00725D4A">
      <w:pPr>
        <w:pStyle w:val="ESch"/>
        <w:rPr>
          <w:lang w:val="pt-PT"/>
        </w:rPr>
      </w:pPr>
      <w:r w:rsidRPr="00F125EF">
        <w:rPr>
          <w:lang w:val="pt-PT"/>
        </w:rPr>
        <w:t>6.</w:t>
      </w:r>
      <w:r w:rsidRPr="00F125EF">
        <w:rPr>
          <w:lang w:val="pt-PT"/>
        </w:rPr>
        <w:tab/>
        <w:t>A 4. bekezdéstől eltérve, a süllyesztett vagy emelt rakományfedélzettel rendelkező hajók esetében nem kötelező védőkorláttal ellátni a fedélzetek külső széleit vagy az oldalfedélzeteket, amennyiben:</w:t>
      </w:r>
    </w:p>
    <w:p w:rsidR="00F06174" w:rsidRPr="00F125EF" w:rsidRDefault="005C7859" w:rsidP="00725D4A">
      <w:pPr>
        <w:pStyle w:val="ESlet"/>
        <w:rPr>
          <w:lang w:val="pt-PT"/>
        </w:rPr>
      </w:pPr>
      <w:r w:rsidRPr="00F125EF">
        <w:rPr>
          <w:lang w:val="pt-PT"/>
        </w:rPr>
        <w:t>a)</w:t>
      </w:r>
      <w:r w:rsidRPr="00F125EF">
        <w:rPr>
          <w:lang w:val="pt-PT"/>
        </w:rPr>
        <w:tab/>
        <w:t>az átjárók e fedélzetek felett haladnak át;</w:t>
      </w:r>
    </w:p>
    <w:p w:rsidR="00F06174" w:rsidRPr="00F125EF" w:rsidRDefault="00725D4A" w:rsidP="00725D4A">
      <w:pPr>
        <w:pStyle w:val="ESlet"/>
        <w:rPr>
          <w:lang w:val="pt-PT"/>
        </w:rPr>
      </w:pPr>
      <w:r w:rsidRPr="00F125EF">
        <w:rPr>
          <w:lang w:val="pt-PT"/>
        </w:rPr>
        <w:br w:type="page"/>
        <w:t>b)</w:t>
      </w:r>
      <w:r w:rsidRPr="00F125EF">
        <w:rPr>
          <w:lang w:val="pt-PT"/>
        </w:rPr>
        <w:tab/>
      </w:r>
      <w:r w:rsidRPr="0003171D">
        <w:rPr>
          <w:lang w:val="pt-PT"/>
        </w:rPr>
        <w:t>az e fedélzeteken lévő átjárókat és munkaállomásokat rögzített védőkorlát veszi körül az EN 711:2016 szabványnak megfelelően; és</w:t>
      </w:r>
    </w:p>
    <w:p w:rsidR="00F06174" w:rsidRPr="00F125EF" w:rsidRDefault="00F06174" w:rsidP="00725D4A">
      <w:pPr>
        <w:pStyle w:val="ESlet"/>
        <w:rPr>
          <w:lang w:val="pt-PT"/>
        </w:rPr>
      </w:pPr>
      <w:r w:rsidRPr="00F125EF">
        <w:rPr>
          <w:lang w:val="pt-PT"/>
        </w:rPr>
        <w:t>c)</w:t>
      </w:r>
      <w:r w:rsidRPr="00F125EF">
        <w:rPr>
          <w:lang w:val="pt-PT"/>
        </w:rPr>
        <w:tab/>
        <w:t>ott, ahol a védőkorlát nélküli területek kezdődnek, jól látható helyeken a 4. melléklet 10. ábrájának megfelelő, legalább 15 cm átmérőjű jelzéseket helyeztek el.</w:t>
      </w:r>
    </w:p>
    <w:p w:rsidR="00DE69C7" w:rsidRPr="00F125EF" w:rsidRDefault="00DE69C7" w:rsidP="00F06174">
      <w:pPr>
        <w:rPr>
          <w:rFonts w:cs="Arial"/>
          <w:noProof/>
          <w:szCs w:val="20"/>
          <w:lang w:val="pt-PT"/>
        </w:rPr>
      </w:pPr>
    </w:p>
    <w:p w:rsidR="00F06174" w:rsidRPr="00F125EF" w:rsidRDefault="00F06174" w:rsidP="00725D4A">
      <w:pPr>
        <w:pStyle w:val="ESch"/>
        <w:rPr>
          <w:lang w:val="pt-PT"/>
        </w:rPr>
      </w:pPr>
      <w:r w:rsidRPr="00F125EF">
        <w:rPr>
          <w:lang w:val="pt-PT"/>
        </w:rPr>
        <w:t>7.</w:t>
      </w:r>
      <w:r w:rsidRPr="00F125EF">
        <w:rPr>
          <w:lang w:val="pt-PT"/>
        </w:rPr>
        <w:tab/>
        <w:t>Az olyan munkaállomásokon, ahol fennáll a több mint 1 m magasságból való leesés veszélye, az ellenőrző szerv előírhatja megfelelő szerelvények és felszerelés használatát a biztonságos munkavégzés biztosítása érdekében.</w:t>
      </w:r>
    </w:p>
    <w:p w:rsidR="00F06174" w:rsidRPr="00F125EF" w:rsidRDefault="00F06174" w:rsidP="00F06174">
      <w:pPr>
        <w:rPr>
          <w:rFonts w:cs="Arial"/>
          <w:szCs w:val="20"/>
          <w:lang w:val="pt-PT"/>
        </w:rPr>
      </w:pPr>
    </w:p>
    <w:p w:rsidR="00F06174" w:rsidRPr="00F125EF" w:rsidRDefault="00F06174" w:rsidP="00F06174">
      <w:pPr>
        <w:rPr>
          <w:rFonts w:cs="Arial"/>
          <w:szCs w:val="20"/>
          <w:lang w:val="pt-PT"/>
        </w:rPr>
      </w:pPr>
    </w:p>
    <w:p w:rsidR="00F06174" w:rsidRPr="00F125EF" w:rsidRDefault="00F06174" w:rsidP="00DE69C7">
      <w:pPr>
        <w:pStyle w:val="ES-Titre3"/>
        <w:rPr>
          <w:lang w:val="pt-PT"/>
        </w:rPr>
      </w:pPr>
      <w:bookmarkStart w:id="232" w:name="_Toc491854113"/>
      <w:bookmarkStart w:id="233" w:name="_Toc535853892"/>
      <w:r w:rsidRPr="00F125EF">
        <w:rPr>
          <w:lang w:val="pt-PT"/>
        </w:rPr>
        <w:t>14.03. cikk</w:t>
      </w:r>
      <w:r w:rsidRPr="00F125EF">
        <w:rPr>
          <w:lang w:val="pt-PT"/>
        </w:rPr>
        <w:br/>
      </w:r>
      <w:r w:rsidRPr="00F125EF">
        <w:rPr>
          <w:i/>
          <w:noProof/>
          <w:lang w:val="pt-PT"/>
        </w:rPr>
        <w:t>A munkaállomások méretei</w:t>
      </w:r>
      <w:bookmarkEnd w:id="232"/>
      <w:bookmarkEnd w:id="233"/>
    </w:p>
    <w:p w:rsidR="00DE69C7" w:rsidRPr="00F125EF" w:rsidRDefault="00DE69C7" w:rsidP="00DE69C7">
      <w:pPr>
        <w:rPr>
          <w:rFonts w:cs="Arial"/>
          <w:noProof/>
          <w:szCs w:val="20"/>
          <w:lang w:val="pt-PT"/>
        </w:rPr>
      </w:pPr>
    </w:p>
    <w:p w:rsidR="00F06174" w:rsidRPr="00F125EF" w:rsidRDefault="00F06174" w:rsidP="00725D4A">
      <w:pPr>
        <w:pStyle w:val="ESgauche"/>
        <w:rPr>
          <w:lang w:val="pt-PT"/>
        </w:rPr>
      </w:pPr>
      <w:r w:rsidRPr="00F125EF">
        <w:rPr>
          <w:lang w:val="pt-PT"/>
        </w:rPr>
        <w:t>A munkaállomásoknak elég tágasaknak kell lenniük ahhoz, hogy az ott dolgozó személyek megfelelő szabad mozgástérrel rendelkezzenek.</w:t>
      </w:r>
    </w:p>
    <w:p w:rsidR="00F06174" w:rsidRPr="00F125EF" w:rsidRDefault="00F06174" w:rsidP="00F06174">
      <w:pPr>
        <w:rPr>
          <w:rFonts w:cs="Arial"/>
          <w:szCs w:val="20"/>
          <w:lang w:val="pt-PT"/>
        </w:rPr>
      </w:pPr>
    </w:p>
    <w:p w:rsidR="00DE69C7" w:rsidRPr="00F125EF" w:rsidRDefault="00DE69C7" w:rsidP="00F06174">
      <w:pPr>
        <w:rPr>
          <w:rFonts w:cs="Arial"/>
          <w:szCs w:val="20"/>
          <w:lang w:val="pt-PT"/>
        </w:rPr>
      </w:pPr>
    </w:p>
    <w:p w:rsidR="00F06174" w:rsidRPr="00F125EF" w:rsidRDefault="00F06174" w:rsidP="00DE69C7">
      <w:pPr>
        <w:pStyle w:val="ES-Titre3"/>
        <w:rPr>
          <w:sz w:val="20"/>
          <w:lang w:val="pt-PT"/>
        </w:rPr>
      </w:pPr>
      <w:bookmarkStart w:id="234" w:name="_Toc491854114"/>
      <w:bookmarkStart w:id="235" w:name="_Toc535853893"/>
      <w:r w:rsidRPr="00F125EF">
        <w:rPr>
          <w:lang w:val="pt-PT"/>
        </w:rPr>
        <w:t>14.04. cikk</w:t>
      </w:r>
      <w:r w:rsidRPr="00F125EF">
        <w:rPr>
          <w:lang w:val="pt-PT"/>
        </w:rPr>
        <w:br/>
      </w:r>
      <w:r w:rsidRPr="00F125EF">
        <w:rPr>
          <w:i/>
          <w:noProof/>
          <w:lang w:val="pt-PT"/>
        </w:rPr>
        <w:t>Oldalfedélzetek</w:t>
      </w:r>
      <w:bookmarkEnd w:id="234"/>
      <w:bookmarkEnd w:id="235"/>
    </w:p>
    <w:p w:rsidR="00DE69C7" w:rsidRPr="00F125EF" w:rsidRDefault="00DE69C7" w:rsidP="00F06174">
      <w:pPr>
        <w:rPr>
          <w:rFonts w:cs="Arial"/>
          <w:noProof/>
          <w:szCs w:val="20"/>
          <w:lang w:val="pt-PT"/>
        </w:rPr>
      </w:pPr>
    </w:p>
    <w:p w:rsidR="00F06174" w:rsidRPr="00F125EF" w:rsidRDefault="00F06174" w:rsidP="00725D4A">
      <w:pPr>
        <w:pStyle w:val="ESch"/>
        <w:rPr>
          <w:lang w:val="pt-PT"/>
        </w:rPr>
      </w:pPr>
      <w:r w:rsidRPr="00F125EF">
        <w:rPr>
          <w:lang w:val="pt-PT"/>
        </w:rPr>
        <w:t xml:space="preserve">1. </w:t>
      </w:r>
      <w:r w:rsidRPr="00F125EF">
        <w:rPr>
          <w:lang w:val="pt-PT"/>
        </w:rPr>
        <w:tab/>
        <w:t>Az oldalfedélzet szabad szélessége legalább 0,60 m. Ez a méret bizonyos pontokon, ahol a hajó üzemeltetéséhez szükséges berendezések találhatók, például a fedélzetmosó szelepeknél, 0,50 m-re csökkenthető. A kikötőbakoknál és a kötélbakoknál ez a méret 0,40 m-re csökkenthető.</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2.</w:t>
      </w:r>
      <w:r w:rsidRPr="00F125EF">
        <w:rPr>
          <w:lang w:val="pt-PT"/>
        </w:rPr>
        <w:tab/>
        <w:t>Az oldalfedélzet felett mért 0,90 m magasságig az oldalfedélzet szabad szélessége 0,50 m-re csökkenthető, ha a fenti szabad szélesség a hajótest külső széle és a rakománytér belső széle között legalább 0,65 m.</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 xml:space="preserve">3. </w:t>
      </w:r>
      <w:r w:rsidRPr="00F125EF">
        <w:rPr>
          <w:lang w:val="pt-PT"/>
        </w:rPr>
        <w:tab/>
        <w:t>Az 1. és 2. bekezdés követelményei az oldalfedélzet feletti 2,00 m magasságig érvényesek.</w:t>
      </w:r>
    </w:p>
    <w:p w:rsidR="00F06174" w:rsidRPr="00F125EF" w:rsidRDefault="00F06174" w:rsidP="00F06174">
      <w:pPr>
        <w:rPr>
          <w:rFonts w:cs="Arial"/>
          <w:szCs w:val="20"/>
          <w:lang w:val="pt-PT"/>
        </w:rPr>
      </w:pPr>
    </w:p>
    <w:p w:rsidR="00F06174" w:rsidRPr="00F125EF" w:rsidRDefault="00F06174" w:rsidP="00F06174">
      <w:pPr>
        <w:rPr>
          <w:rFonts w:cs="Arial"/>
          <w:szCs w:val="20"/>
          <w:lang w:val="pt-PT"/>
        </w:rPr>
      </w:pPr>
    </w:p>
    <w:p w:rsidR="00F06174" w:rsidRPr="00F125EF" w:rsidRDefault="00F06174" w:rsidP="00DE69C7">
      <w:pPr>
        <w:pStyle w:val="ES-Titre3"/>
        <w:rPr>
          <w:i/>
          <w:sz w:val="20"/>
          <w:lang w:val="pt-PT"/>
        </w:rPr>
      </w:pPr>
      <w:bookmarkStart w:id="236" w:name="_Toc491854115"/>
      <w:bookmarkStart w:id="237" w:name="_Toc535853894"/>
      <w:r w:rsidRPr="00F125EF">
        <w:rPr>
          <w:lang w:val="pt-PT"/>
        </w:rPr>
        <w:t>14.05. cikk</w:t>
      </w:r>
      <w:r w:rsidRPr="00F125EF">
        <w:rPr>
          <w:lang w:val="pt-PT"/>
        </w:rPr>
        <w:br/>
      </w:r>
      <w:r w:rsidRPr="00F125EF">
        <w:rPr>
          <w:i/>
          <w:noProof/>
          <w:lang w:val="pt-PT"/>
        </w:rPr>
        <w:t>A munkaállomások megközelítése</w:t>
      </w:r>
      <w:bookmarkEnd w:id="236"/>
      <w:bookmarkEnd w:id="237"/>
    </w:p>
    <w:p w:rsidR="00DE69C7" w:rsidRPr="00F125EF" w:rsidRDefault="00DE69C7" w:rsidP="00F06174">
      <w:pPr>
        <w:rPr>
          <w:rFonts w:cs="Arial"/>
          <w:noProof/>
          <w:szCs w:val="20"/>
          <w:lang w:val="pt-PT"/>
        </w:rPr>
      </w:pPr>
    </w:p>
    <w:p w:rsidR="00F06174" w:rsidRPr="00F125EF" w:rsidRDefault="00F06174" w:rsidP="00725D4A">
      <w:pPr>
        <w:pStyle w:val="ESch"/>
        <w:rPr>
          <w:lang w:val="pt-PT"/>
        </w:rPr>
      </w:pPr>
      <w:r w:rsidRPr="00F125EF">
        <w:rPr>
          <w:lang w:val="pt-PT"/>
        </w:rPr>
        <w:t>1.</w:t>
      </w:r>
      <w:r w:rsidRPr="00F125EF">
        <w:rPr>
          <w:lang w:val="pt-PT"/>
        </w:rPr>
        <w:tab/>
        <w:t>A személyek és tárgyak mozgásához szükséges megközelítési pontoknak és átjáróknak megfelelő méretűeknek kell lenniük, elrendezésük pedig az alábbiakat követi:</w:t>
      </w:r>
    </w:p>
    <w:p w:rsidR="00F06174" w:rsidRPr="00F125EF" w:rsidRDefault="005C7859" w:rsidP="00725D4A">
      <w:pPr>
        <w:pStyle w:val="ESlet"/>
        <w:rPr>
          <w:lang w:val="pt-PT"/>
        </w:rPr>
      </w:pPr>
      <w:r w:rsidRPr="00F125EF">
        <w:rPr>
          <w:lang w:val="pt-PT"/>
        </w:rPr>
        <w:t>a)</w:t>
      </w:r>
      <w:r w:rsidRPr="00F125EF">
        <w:rPr>
          <w:lang w:val="pt-PT"/>
        </w:rPr>
        <w:tab/>
        <w:t>a megközelítési nyílások előtt elegendő hely van, hogy a mozgást semmi ne akadályozza;</w:t>
      </w:r>
    </w:p>
    <w:p w:rsidR="00F06174" w:rsidRPr="00F125EF" w:rsidRDefault="005C7859" w:rsidP="00725D4A">
      <w:pPr>
        <w:pStyle w:val="ESlet"/>
        <w:rPr>
          <w:lang w:val="pt-PT"/>
        </w:rPr>
      </w:pPr>
      <w:r w:rsidRPr="00F125EF">
        <w:rPr>
          <w:lang w:val="pt-PT"/>
        </w:rPr>
        <w:t>b)</w:t>
      </w:r>
      <w:r w:rsidRPr="00F125EF">
        <w:rPr>
          <w:lang w:val="pt-PT"/>
        </w:rPr>
        <w:tab/>
        <w:t>az átjáró szabad szélességének meg kell felelnie a munkaterület tervezett használatának, és nem lehet 0,60 m-nél keskenyebb, kivéve a 8 m-nél kisebb szélességű vízi járművek esetében, ahol ez a méret 0,50 m-re csökkenthető;</w:t>
      </w:r>
    </w:p>
    <w:p w:rsidR="00F06174" w:rsidRPr="00F125EF" w:rsidRDefault="005C7859" w:rsidP="00725D4A">
      <w:pPr>
        <w:pStyle w:val="ESlet"/>
        <w:rPr>
          <w:lang w:val="pt-PT"/>
        </w:rPr>
      </w:pPr>
      <w:r w:rsidRPr="00F125EF">
        <w:rPr>
          <w:lang w:val="pt-PT"/>
        </w:rPr>
        <w:t>c)</w:t>
      </w:r>
      <w:r w:rsidRPr="00F125EF">
        <w:rPr>
          <w:lang w:val="pt-PT"/>
        </w:rPr>
        <w:tab/>
        <w:t>az átjáró szabad magassága a párkánnyal együtt legalább 1,90 m.</w:t>
      </w:r>
    </w:p>
    <w:p w:rsidR="00DE69C7" w:rsidRPr="00F125EF" w:rsidRDefault="00DE69C7" w:rsidP="00F06174">
      <w:pPr>
        <w:rPr>
          <w:rFonts w:cs="Arial"/>
          <w:noProof/>
          <w:szCs w:val="20"/>
          <w:lang w:val="pt-PT"/>
        </w:rPr>
      </w:pPr>
    </w:p>
    <w:p w:rsidR="00F06174" w:rsidRPr="00F125EF" w:rsidRDefault="00F06174" w:rsidP="00725D4A">
      <w:pPr>
        <w:pStyle w:val="ESch"/>
        <w:rPr>
          <w:lang w:val="pt-PT"/>
        </w:rPr>
      </w:pPr>
      <w:r w:rsidRPr="00F125EF">
        <w:rPr>
          <w:lang w:val="pt-PT"/>
        </w:rPr>
        <w:t>2.</w:t>
      </w:r>
      <w:r w:rsidRPr="00F125EF">
        <w:rPr>
          <w:lang w:val="pt-PT"/>
        </w:rPr>
        <w:tab/>
        <w:t>Az ajtókat úgy kell elrendezni, hogy mindkét oldalról biztonságosan nyithatók és csukhatók legyenek. Védeni kell őket a véletlen nyitás vagy csukás ellen.</w:t>
      </w:r>
    </w:p>
    <w:p w:rsidR="00DE69C7" w:rsidRPr="00F125EF" w:rsidRDefault="00DE69C7" w:rsidP="00725D4A">
      <w:pPr>
        <w:pStyle w:val="ESch"/>
        <w:rPr>
          <w:noProof/>
          <w:lang w:val="pt-PT"/>
        </w:rPr>
      </w:pPr>
    </w:p>
    <w:p w:rsidR="00101CB2" w:rsidRPr="00F125EF" w:rsidRDefault="00101CB2">
      <w:pPr>
        <w:rPr>
          <w:noProof/>
          <w:lang w:val="pt-PT"/>
        </w:rPr>
      </w:pPr>
      <w:r w:rsidRPr="00F125EF">
        <w:rPr>
          <w:lang w:val="pt-PT"/>
        </w:rPr>
        <w:br w:type="page"/>
      </w:r>
    </w:p>
    <w:p w:rsidR="00F06174" w:rsidRPr="00F125EF" w:rsidRDefault="00F06174" w:rsidP="00725D4A">
      <w:pPr>
        <w:pStyle w:val="ESch"/>
        <w:rPr>
          <w:lang w:val="pt-PT"/>
        </w:rPr>
      </w:pPr>
      <w:r w:rsidRPr="00F125EF">
        <w:rPr>
          <w:lang w:val="pt-PT"/>
        </w:rPr>
        <w:t>3.</w:t>
      </w:r>
      <w:r w:rsidRPr="00F125EF">
        <w:rPr>
          <w:lang w:val="pt-PT"/>
        </w:rPr>
        <w:tab/>
        <w:t>Ha a hozzáférési pontok, kijáratok és átjárók padlószintjében 0,50 m-nél nagyobb különbség mutatkozik, akkor megfelelő lépcsőket, létrákat vagy hágcsókat kell alkalmazni.</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4.</w:t>
      </w:r>
      <w:r w:rsidRPr="00F125EF">
        <w:rPr>
          <w:lang w:val="pt-PT"/>
        </w:rPr>
        <w:tab/>
        <w:t>Lépcsőt kell alkalmazni, ha egy olyan munkaállomás szintje, amelyen állandóan tartózkodik személyzet, több mint 1,00 m-rel meghaladja a padló szintjét. Ez a követelmény nem vonatkozik a vészkijáratokra.</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5.</w:t>
      </w:r>
      <w:r w:rsidRPr="00F125EF">
        <w:rPr>
          <w:lang w:val="pt-PT"/>
        </w:rPr>
        <w:tab/>
        <w:t>A rakománytérrel rendelkező hajóknál minden rakománytér végein legalább egy tartósan rögzített hozzáférési lehetőséget kell biztosítani.</w:t>
      </w:r>
    </w:p>
    <w:p w:rsidR="00DE69C7" w:rsidRPr="00F125EF" w:rsidRDefault="00DE69C7" w:rsidP="00725D4A">
      <w:pPr>
        <w:pStyle w:val="ESch"/>
        <w:rPr>
          <w:noProof/>
          <w:lang w:val="pt-PT"/>
        </w:rPr>
      </w:pPr>
    </w:p>
    <w:p w:rsidR="00F06174" w:rsidRPr="00F125EF" w:rsidRDefault="00F06174" w:rsidP="00725D4A">
      <w:pPr>
        <w:pStyle w:val="ESchpar"/>
        <w:rPr>
          <w:lang w:val="pt-PT"/>
        </w:rPr>
      </w:pPr>
      <w:r w:rsidRPr="00F125EF">
        <w:rPr>
          <w:lang w:val="pt-PT"/>
        </w:rPr>
        <w:t>Az első mondattól eltérve, a tartósan rögzített hozzáférési lehetőségtől el lehet tekinteni, ha rendelkezésre áll legalább két olyan mozgatható létra , amelyek 60°-os döntés mellett legalább 3 fokkal túlnyúlnak a nyíláskereten.</w:t>
      </w:r>
    </w:p>
    <w:p w:rsidR="00F06174" w:rsidRPr="00F125EF" w:rsidRDefault="00F06174" w:rsidP="00F06174">
      <w:pPr>
        <w:rPr>
          <w:rFonts w:cs="Arial"/>
          <w:szCs w:val="20"/>
          <w:lang w:val="pt-PT"/>
        </w:rPr>
      </w:pPr>
    </w:p>
    <w:p w:rsidR="00725D4A" w:rsidRPr="00F125EF" w:rsidRDefault="00725D4A" w:rsidP="00F06174">
      <w:pPr>
        <w:rPr>
          <w:rFonts w:cs="Arial"/>
          <w:szCs w:val="20"/>
          <w:lang w:val="pt-PT"/>
        </w:rPr>
      </w:pPr>
    </w:p>
    <w:p w:rsidR="00F06174" w:rsidRPr="00F125EF" w:rsidRDefault="00F06174" w:rsidP="00DE69C7">
      <w:pPr>
        <w:pStyle w:val="ES-Titre3"/>
        <w:rPr>
          <w:sz w:val="20"/>
          <w:lang w:val="pt-PT"/>
        </w:rPr>
      </w:pPr>
      <w:bookmarkStart w:id="238" w:name="_Toc491854116"/>
      <w:bookmarkStart w:id="239" w:name="_Toc535853895"/>
      <w:r w:rsidRPr="00F125EF">
        <w:rPr>
          <w:lang w:val="pt-PT"/>
        </w:rPr>
        <w:t>14.06. cikk</w:t>
      </w:r>
      <w:r w:rsidRPr="00F125EF">
        <w:rPr>
          <w:lang w:val="pt-PT"/>
        </w:rPr>
        <w:br/>
      </w:r>
      <w:r w:rsidRPr="00F125EF">
        <w:rPr>
          <w:i/>
          <w:noProof/>
          <w:lang w:val="pt-PT"/>
        </w:rPr>
        <w:t>Kijáratok és vészkijáratok</w:t>
      </w:r>
      <w:bookmarkEnd w:id="238"/>
      <w:bookmarkEnd w:id="239"/>
    </w:p>
    <w:p w:rsidR="00DE69C7" w:rsidRPr="00F125EF" w:rsidRDefault="00DE69C7" w:rsidP="00F06174">
      <w:pPr>
        <w:rPr>
          <w:rFonts w:cs="Arial"/>
          <w:noProof/>
          <w:szCs w:val="20"/>
          <w:lang w:val="pt-PT"/>
        </w:rPr>
      </w:pPr>
    </w:p>
    <w:p w:rsidR="00F06174" w:rsidRPr="00F125EF" w:rsidRDefault="00F06174" w:rsidP="00725D4A">
      <w:pPr>
        <w:pStyle w:val="ESch"/>
        <w:rPr>
          <w:lang w:val="pt-PT"/>
        </w:rPr>
      </w:pPr>
      <w:r w:rsidRPr="00F125EF">
        <w:rPr>
          <w:lang w:val="pt-PT"/>
        </w:rPr>
        <w:t>1.</w:t>
      </w:r>
      <w:r w:rsidRPr="00F125EF">
        <w:rPr>
          <w:lang w:val="pt-PT"/>
        </w:rPr>
        <w:tab/>
        <w:t>A kijáratok – köztük a vészkijáratok – számának, kialakításának és méretének összhangban kell lenniük az adott helyiség rendeltetésével és méretével. Ha az egyik kijárat vészkijárat, azt egyértelműen vészkijáratként kell jelölni.</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2.</w:t>
      </w:r>
      <w:r w:rsidRPr="00F125EF">
        <w:rPr>
          <w:lang w:val="pt-PT"/>
        </w:rPr>
        <w:tab/>
        <w:t>A vészkijáratok, a vészkijáratként szolgáló ablakok, valamint a vészkijáratként használt tetőablakok fedeleinek szabad nyílása legalább 0,36 m</w:t>
      </w:r>
      <w:r w:rsidRPr="00F125EF">
        <w:rPr>
          <w:noProof/>
          <w:vertAlign w:val="superscript"/>
          <w:lang w:val="pt-PT"/>
        </w:rPr>
        <w:t>2</w:t>
      </w:r>
      <w:r w:rsidRPr="00F125EF">
        <w:rPr>
          <w:lang w:val="pt-PT"/>
        </w:rPr>
        <w:t>, legkisebb méretük pedig legalább 0,50 m.</w:t>
      </w:r>
    </w:p>
    <w:p w:rsidR="00F06174" w:rsidRPr="00F125EF" w:rsidRDefault="00F06174" w:rsidP="00F06174">
      <w:pPr>
        <w:rPr>
          <w:rFonts w:cs="Arial"/>
          <w:szCs w:val="20"/>
          <w:lang w:val="pt-PT"/>
        </w:rPr>
      </w:pPr>
    </w:p>
    <w:p w:rsidR="00F06174" w:rsidRPr="00F125EF" w:rsidRDefault="00F06174" w:rsidP="00DE69C7">
      <w:pPr>
        <w:pStyle w:val="ES-Titre3"/>
        <w:rPr>
          <w:sz w:val="20"/>
          <w:lang w:val="pt-PT"/>
        </w:rPr>
      </w:pPr>
      <w:bookmarkStart w:id="240" w:name="_Toc491854117"/>
      <w:bookmarkStart w:id="241" w:name="_Toc535853896"/>
      <w:r w:rsidRPr="00F125EF">
        <w:rPr>
          <w:lang w:val="pt-PT"/>
        </w:rPr>
        <w:t>14.07. cikk</w:t>
      </w:r>
      <w:r w:rsidRPr="00F125EF">
        <w:rPr>
          <w:lang w:val="pt-PT"/>
        </w:rPr>
        <w:br/>
      </w:r>
      <w:r w:rsidRPr="00F125EF">
        <w:rPr>
          <w:i/>
          <w:noProof/>
          <w:lang w:val="pt-PT"/>
        </w:rPr>
        <w:t>Létrák, lépcsők és hasonló eszközök</w:t>
      </w:r>
      <w:bookmarkEnd w:id="240"/>
      <w:bookmarkEnd w:id="241"/>
    </w:p>
    <w:p w:rsidR="00DE69C7" w:rsidRPr="00F125EF" w:rsidRDefault="00DE69C7" w:rsidP="00F06174">
      <w:pPr>
        <w:rPr>
          <w:rFonts w:cs="Arial"/>
          <w:noProof/>
          <w:szCs w:val="20"/>
          <w:lang w:val="pt-PT"/>
        </w:rPr>
      </w:pPr>
    </w:p>
    <w:p w:rsidR="00F06174" w:rsidRPr="00F125EF" w:rsidRDefault="00F06174" w:rsidP="00725D4A">
      <w:pPr>
        <w:pStyle w:val="ESch"/>
        <w:rPr>
          <w:lang w:val="pt-PT"/>
        </w:rPr>
      </w:pPr>
      <w:r w:rsidRPr="00F125EF">
        <w:rPr>
          <w:lang w:val="pt-PT"/>
        </w:rPr>
        <w:t>1.</w:t>
      </w:r>
      <w:r w:rsidRPr="00F125EF">
        <w:rPr>
          <w:lang w:val="pt-PT"/>
        </w:rPr>
        <w:tab/>
        <w:t>A lépcsőket és a létrákat szilárdan rögzíteni kell. A lépcsőfokok legalább 0,60 m szélesek, és a kapaszkodók közötti szabad szélesség szintén legalább 0,60 m; a lépcsőfokok legalább 0,15 m mélyek; a lépcsőfokok felülete csúszásmentes, a háromnál több fokú lépcsőket pedig kapaszkodókkal kell felszerelni.</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2.</w:t>
      </w:r>
      <w:r w:rsidRPr="00F125EF">
        <w:rPr>
          <w:lang w:val="pt-PT"/>
        </w:rPr>
        <w:tab/>
        <w:t>A létrák és a külön felszerelt létrafokok szabad szélessége legalább 0,30 m; a létrafokok nem lehetnek 0,30 m-nél távolabb egymástól, a fokok és a szerkezeti elemek közötti távolság pedig legalább 0,15 m.</w:t>
      </w:r>
    </w:p>
    <w:p w:rsidR="00DE69C7" w:rsidRPr="00F125EF" w:rsidRDefault="00DE69C7" w:rsidP="00725D4A">
      <w:pPr>
        <w:pStyle w:val="ESch"/>
        <w:rPr>
          <w:noProof/>
          <w:lang w:val="pt-PT"/>
        </w:rPr>
      </w:pPr>
    </w:p>
    <w:p w:rsidR="00F06174" w:rsidRPr="00F125EF" w:rsidRDefault="00CD654F" w:rsidP="00725D4A">
      <w:pPr>
        <w:pStyle w:val="ESch"/>
        <w:rPr>
          <w:lang w:val="pt-PT"/>
        </w:rPr>
      </w:pPr>
      <w:r w:rsidRPr="00F125EF">
        <w:rPr>
          <w:lang w:val="pt-PT"/>
        </w:rPr>
        <w:t>3.</w:t>
      </w:r>
      <w:r w:rsidRPr="00F125EF">
        <w:rPr>
          <w:lang w:val="pt-PT"/>
        </w:rPr>
        <w:tab/>
        <w:t>A létrák és a külön felszerelt létrafokok felülről könnyen észlelhetők, a kijárati nyílások felett pedig biztonsági kapaszkodókkal kell felszerelni őket.</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4.</w:t>
      </w:r>
      <w:r w:rsidRPr="00F125EF">
        <w:rPr>
          <w:lang w:val="pt-PT"/>
        </w:rPr>
        <w:tab/>
        <w:t>A mozgatható létrák legalább 0,40 m szélesek, a lábuknál azonban legalább 0,50 m szélesek; biztosítani kell, hogy ne dőlhessenek fel, illetve ne csúszhassanak meg; a létrafokokat biztonságosan rögzíteni kell a függőleges részhez.</w:t>
      </w:r>
    </w:p>
    <w:p w:rsidR="00F06174" w:rsidRPr="00F125EF" w:rsidRDefault="00F06174" w:rsidP="00F06174">
      <w:pPr>
        <w:rPr>
          <w:rFonts w:cs="Arial"/>
          <w:szCs w:val="20"/>
          <w:lang w:val="pt-PT"/>
        </w:rPr>
      </w:pPr>
    </w:p>
    <w:p w:rsidR="00DE69C7" w:rsidRPr="00F125EF" w:rsidRDefault="00DE69C7" w:rsidP="00F06174">
      <w:pPr>
        <w:rPr>
          <w:rFonts w:cs="Arial"/>
          <w:szCs w:val="20"/>
          <w:lang w:val="pt-PT"/>
        </w:rPr>
      </w:pPr>
    </w:p>
    <w:p w:rsidR="00F06174" w:rsidRPr="00F125EF" w:rsidRDefault="00F06174" w:rsidP="00DE69C7">
      <w:pPr>
        <w:pStyle w:val="ES-Titre3"/>
        <w:rPr>
          <w:lang w:val="pt-PT"/>
        </w:rPr>
      </w:pPr>
      <w:bookmarkStart w:id="242" w:name="_Toc491854118"/>
      <w:bookmarkStart w:id="243" w:name="_Toc535853897"/>
      <w:r w:rsidRPr="00F125EF">
        <w:rPr>
          <w:lang w:val="pt-PT"/>
        </w:rPr>
        <w:t>14.08. cikk</w:t>
      </w:r>
      <w:r w:rsidRPr="00F125EF">
        <w:rPr>
          <w:lang w:val="pt-PT"/>
        </w:rPr>
        <w:br/>
      </w:r>
      <w:r w:rsidRPr="00F125EF">
        <w:rPr>
          <w:i/>
          <w:lang w:val="pt-PT"/>
        </w:rPr>
        <w:t>Belső terek</w:t>
      </w:r>
      <w:bookmarkEnd w:id="242"/>
      <w:bookmarkEnd w:id="243"/>
    </w:p>
    <w:p w:rsidR="00DE69C7" w:rsidRPr="00F125EF" w:rsidRDefault="00DE69C7" w:rsidP="00F06174">
      <w:pPr>
        <w:rPr>
          <w:rFonts w:cs="Arial"/>
          <w:noProof/>
          <w:szCs w:val="20"/>
          <w:lang w:val="pt-PT"/>
        </w:rPr>
      </w:pPr>
    </w:p>
    <w:p w:rsidR="00F06174" w:rsidRPr="00F125EF" w:rsidRDefault="00F06174" w:rsidP="00725D4A">
      <w:pPr>
        <w:pStyle w:val="ESch"/>
        <w:rPr>
          <w:lang w:val="pt-PT"/>
        </w:rPr>
      </w:pPr>
      <w:r w:rsidRPr="00F125EF">
        <w:rPr>
          <w:lang w:val="pt-PT"/>
        </w:rPr>
        <w:t>1.</w:t>
      </w:r>
      <w:r w:rsidRPr="00F125EF">
        <w:rPr>
          <w:lang w:val="pt-PT"/>
        </w:rPr>
        <w:tab/>
        <w:t>A belső munkaállomások méretének, kialakításának és elrendezésének összhangban kell lennie a végzendő munkával, és meg kell felelnie az egészség- és biztonságvédelmi követelményeknek. A munkaállomásokat el kell látni megfelelő, nem vakító világítással, valamint megfelelő szellőzéssel. A munkaállomásokat szükség esetén fel kell szerelni megfelelő hőmérsékletet biztosító fűtőberendezéssel.</w:t>
      </w:r>
    </w:p>
    <w:p w:rsidR="00DE69C7" w:rsidRPr="00F125EF" w:rsidRDefault="00DE69C7" w:rsidP="00725D4A">
      <w:pPr>
        <w:pStyle w:val="ESch"/>
        <w:rPr>
          <w:noProof/>
          <w:lang w:val="pt-PT"/>
        </w:rPr>
      </w:pPr>
    </w:p>
    <w:p w:rsidR="00725D4A" w:rsidRPr="00F125EF" w:rsidRDefault="00725D4A" w:rsidP="00725D4A">
      <w:pPr>
        <w:pStyle w:val="ESch"/>
        <w:rPr>
          <w:noProof/>
          <w:lang w:val="pt-PT"/>
        </w:rPr>
      </w:pPr>
      <w:r w:rsidRPr="00F125EF">
        <w:rPr>
          <w:lang w:val="pt-PT"/>
        </w:rPr>
        <w:br w:type="page"/>
      </w:r>
    </w:p>
    <w:p w:rsidR="00F06174" w:rsidRPr="00F125EF" w:rsidRDefault="00F06174" w:rsidP="00725D4A">
      <w:pPr>
        <w:pStyle w:val="ESch"/>
        <w:rPr>
          <w:lang w:val="pt-PT"/>
        </w:rPr>
      </w:pPr>
      <w:r w:rsidRPr="00F125EF">
        <w:rPr>
          <w:lang w:val="pt-PT"/>
        </w:rPr>
        <w:t>2.</w:t>
      </w:r>
      <w:r w:rsidRPr="00F125EF">
        <w:rPr>
          <w:lang w:val="pt-PT"/>
        </w:rPr>
        <w:tab/>
        <w:t>A belső munkaterületek padlójának szilárdnak és tartósnak kell lennie, és úgy kell kialakítani, hogy ne okozzon botlást vagy csúszást. Biztosítani kell, hogy a nyitott fedélzeti és padlónyílások ne járjanak a leesés kockázatával. Az ablakokat és a tetőablakokat úgy kell kialakítani és felszerelni, hogy működtetésük és tisztításuk biztonságos legyen.</w:t>
      </w:r>
    </w:p>
    <w:p w:rsidR="00F06174" w:rsidRPr="00F125EF" w:rsidRDefault="00F06174" w:rsidP="00F06174">
      <w:pPr>
        <w:rPr>
          <w:rFonts w:cs="Arial"/>
          <w:szCs w:val="20"/>
          <w:lang w:val="pt-PT"/>
        </w:rPr>
      </w:pPr>
    </w:p>
    <w:p w:rsidR="00DE69C7" w:rsidRPr="00F125EF" w:rsidRDefault="00DE69C7" w:rsidP="00F06174">
      <w:pPr>
        <w:rPr>
          <w:rFonts w:cs="Arial"/>
          <w:szCs w:val="20"/>
          <w:lang w:val="pt-PT"/>
        </w:rPr>
      </w:pPr>
    </w:p>
    <w:p w:rsidR="00F06174" w:rsidRPr="00F125EF" w:rsidRDefault="00F06174" w:rsidP="00DE69C7">
      <w:pPr>
        <w:pStyle w:val="ES-Titre3"/>
        <w:rPr>
          <w:lang w:val="pt-PT"/>
        </w:rPr>
      </w:pPr>
      <w:bookmarkStart w:id="244" w:name="_Toc491854119"/>
      <w:bookmarkStart w:id="245" w:name="_Toc535853898"/>
      <w:r w:rsidRPr="00F125EF">
        <w:rPr>
          <w:lang w:val="pt-PT"/>
        </w:rPr>
        <w:t>14.09. cikk</w:t>
      </w:r>
      <w:r w:rsidRPr="00F125EF">
        <w:rPr>
          <w:lang w:val="pt-PT"/>
        </w:rPr>
        <w:br/>
      </w:r>
      <w:r w:rsidRPr="00F125EF">
        <w:rPr>
          <w:i/>
          <w:lang w:val="pt-PT"/>
        </w:rPr>
        <w:t>Zaj- és rezgésvédelem</w:t>
      </w:r>
      <w:bookmarkEnd w:id="244"/>
      <w:bookmarkEnd w:id="245"/>
    </w:p>
    <w:p w:rsidR="00DE69C7" w:rsidRPr="00F125EF" w:rsidRDefault="00DE69C7" w:rsidP="00F06174">
      <w:pPr>
        <w:rPr>
          <w:rFonts w:cs="Arial"/>
          <w:szCs w:val="20"/>
          <w:lang w:val="pt-PT"/>
        </w:rPr>
      </w:pPr>
    </w:p>
    <w:p w:rsidR="00F06174" w:rsidRPr="00F125EF" w:rsidRDefault="00F06174" w:rsidP="00725D4A">
      <w:pPr>
        <w:pStyle w:val="ESch"/>
        <w:rPr>
          <w:lang w:val="pt-PT"/>
        </w:rPr>
      </w:pPr>
      <w:r w:rsidRPr="00F125EF">
        <w:rPr>
          <w:lang w:val="pt-PT"/>
        </w:rPr>
        <w:t>1.</w:t>
      </w:r>
      <w:r w:rsidRPr="00F125EF">
        <w:rPr>
          <w:lang w:val="pt-PT"/>
        </w:rPr>
        <w:tab/>
        <w:t>A munkaterületeket úgy kell elhelyezni, felszerelni és kialakítani, hogy az alkalmazottak ne legyenek kitéve káros rezgéseknek.</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2.</w:t>
      </w:r>
      <w:r w:rsidRPr="00F125EF">
        <w:rPr>
          <w:lang w:val="pt-PT"/>
        </w:rPr>
        <w:tab/>
        <w:t>Az állandó munkaterületeket továbbá úgy kell kialakítani és hangszigetelni, hogy a zaj ne veszélyeztesse az alkalmazottak egészségét és biztonságát.</w:t>
      </w:r>
    </w:p>
    <w:p w:rsidR="00DE69C7" w:rsidRPr="00F125EF" w:rsidRDefault="00DE69C7" w:rsidP="00725D4A">
      <w:pPr>
        <w:pStyle w:val="ESch"/>
        <w:rPr>
          <w:noProof/>
          <w:lang w:val="pt-PT"/>
        </w:rPr>
      </w:pPr>
    </w:p>
    <w:p w:rsidR="00F06174" w:rsidRPr="00F125EF" w:rsidRDefault="00F06174" w:rsidP="00725D4A">
      <w:pPr>
        <w:pStyle w:val="ESch"/>
        <w:rPr>
          <w:lang w:val="pt-PT"/>
        </w:rPr>
      </w:pPr>
      <w:r w:rsidRPr="00F125EF">
        <w:rPr>
          <w:lang w:val="pt-PT"/>
        </w:rPr>
        <w:t>3.</w:t>
      </w:r>
      <w:r w:rsidRPr="00F125EF">
        <w:rPr>
          <w:lang w:val="pt-PT"/>
        </w:rPr>
        <w:tab/>
        <w:t>Egyéni hallásvédő felszerelést kell biztosítani azon alkalmazottak részére, akik minden nap 85 dB(A)-t meghaladó zajszintnek vannak kitéve. A 90 dB(A)-t meghaladó zajszintű munkaterületeken ki kell helyezni a 4. melléklet 7. ábrája szerinti „Hallásvédő felszerelés használata kötelező” szimbólumot, amelynek átmérője legalább 10 cm.</w:t>
      </w:r>
    </w:p>
    <w:p w:rsidR="00F06174" w:rsidRPr="00F125EF" w:rsidRDefault="00F06174" w:rsidP="00F06174">
      <w:pPr>
        <w:rPr>
          <w:rFonts w:cs="Arial"/>
          <w:szCs w:val="20"/>
          <w:lang w:val="pt-PT"/>
        </w:rPr>
      </w:pPr>
    </w:p>
    <w:p w:rsidR="00C973E6" w:rsidRPr="00F125EF" w:rsidRDefault="00C973E6" w:rsidP="00F06174">
      <w:pPr>
        <w:rPr>
          <w:rFonts w:cs="Arial"/>
          <w:szCs w:val="20"/>
          <w:lang w:val="pt-PT"/>
        </w:rPr>
      </w:pPr>
    </w:p>
    <w:p w:rsidR="00F06174" w:rsidRPr="00F125EF" w:rsidRDefault="00F06174" w:rsidP="00DE69C7">
      <w:pPr>
        <w:pStyle w:val="ES-Titre3"/>
        <w:rPr>
          <w:sz w:val="20"/>
          <w:lang w:val="pt-PT"/>
        </w:rPr>
      </w:pPr>
      <w:bookmarkStart w:id="246" w:name="_Toc491854120"/>
      <w:bookmarkStart w:id="247" w:name="_Toc535853899"/>
      <w:r w:rsidRPr="00F125EF">
        <w:rPr>
          <w:lang w:val="pt-PT"/>
        </w:rPr>
        <w:t>14.10. cikk</w:t>
      </w:r>
      <w:r w:rsidRPr="00F125EF">
        <w:rPr>
          <w:lang w:val="pt-PT"/>
        </w:rPr>
        <w:br/>
      </w:r>
      <w:r w:rsidRPr="00F125EF">
        <w:rPr>
          <w:i/>
          <w:noProof/>
          <w:lang w:val="pt-PT"/>
        </w:rPr>
        <w:t>Nyílásfedelek</w:t>
      </w:r>
      <w:bookmarkEnd w:id="246"/>
      <w:bookmarkEnd w:id="247"/>
    </w:p>
    <w:p w:rsidR="00725D4A" w:rsidRPr="00F125EF" w:rsidRDefault="00725D4A" w:rsidP="00725D4A">
      <w:pPr>
        <w:pStyle w:val="ESch"/>
        <w:rPr>
          <w:noProof/>
          <w:lang w:val="pt-PT"/>
        </w:rPr>
      </w:pPr>
    </w:p>
    <w:p w:rsidR="00F06174" w:rsidRPr="00F125EF" w:rsidRDefault="00F06174" w:rsidP="00725D4A">
      <w:pPr>
        <w:pStyle w:val="ESch"/>
        <w:rPr>
          <w:lang w:val="pt-PT"/>
        </w:rPr>
      </w:pPr>
      <w:r w:rsidRPr="00F125EF">
        <w:rPr>
          <w:lang w:val="pt-PT"/>
        </w:rPr>
        <w:t xml:space="preserve">1. </w:t>
      </w:r>
      <w:r w:rsidRPr="00F125EF">
        <w:rPr>
          <w:lang w:val="pt-PT"/>
        </w:rPr>
        <w:tab/>
        <w:t>A nyílásfedeleknek könnyen hozzáférhetőknek és biztonságosan kezelhetőknek kell lenniük. A 40 kg-ot meghaladó súlyú nyílásfedélrészeket úgy kell kialakítani, hogy csússzanak vagy elforduljanak, vagy fel kell szerelni mechanikus nyitószerkezettel. Az emelőszerkezettel nyíló nyílásfedeleket fel kell szerelni megfelelő és könnyen hozzáférhető csatlakoztatószerkezettel. Az egymással fel nem cserélhető nyílásfedeleket és a felső párkányokat jól láthatóan jelölni kell, hogy látszódjon, melyik nyíláshoz tartoznak, és fel kell tüntetni az említett nyílásfedelek pontos helyét.</w:t>
      </w:r>
    </w:p>
    <w:p w:rsidR="00756D4B" w:rsidRPr="00F125EF" w:rsidRDefault="00756D4B" w:rsidP="00725D4A">
      <w:pPr>
        <w:pStyle w:val="ESch"/>
        <w:rPr>
          <w:noProof/>
          <w:lang w:val="pt-PT"/>
        </w:rPr>
      </w:pPr>
    </w:p>
    <w:p w:rsidR="00F06174" w:rsidRPr="00F125EF" w:rsidRDefault="00F06174" w:rsidP="00725D4A">
      <w:pPr>
        <w:pStyle w:val="ESch"/>
        <w:rPr>
          <w:lang w:val="pt-PT"/>
        </w:rPr>
      </w:pPr>
      <w:r w:rsidRPr="00F125EF">
        <w:rPr>
          <w:lang w:val="pt-PT"/>
        </w:rPr>
        <w:t>2.</w:t>
      </w:r>
      <w:r w:rsidRPr="00F125EF">
        <w:rPr>
          <w:lang w:val="pt-PT"/>
        </w:rPr>
        <w:tab/>
        <w:t>A nyílásfedeleket rögzíteni kell, hogy a szél vagy a rakodóberendezés ne hajlíthassa ki őket. A csúszófedeleket rögzítőszerkezettel kell felszerelni, amelyek megakadályozzák a 0,40 m-nél nagyobb véletlen vízszintes elmozdulást; a csúszófedeleknek rögzíthetőknek kell lenniük végleges pozíciójukban. A többsoros nyílásfedeleket megfelelő, pozícióba rögzítő szerkezettel kell ellátni.</w:t>
      </w:r>
    </w:p>
    <w:p w:rsidR="00756D4B" w:rsidRPr="00F125EF" w:rsidRDefault="00756D4B" w:rsidP="00725D4A">
      <w:pPr>
        <w:pStyle w:val="ESch"/>
        <w:rPr>
          <w:noProof/>
          <w:lang w:val="pt-PT"/>
        </w:rPr>
      </w:pPr>
    </w:p>
    <w:p w:rsidR="00F06174" w:rsidRPr="00F125EF" w:rsidRDefault="00F06174" w:rsidP="00725D4A">
      <w:pPr>
        <w:pStyle w:val="ESch"/>
        <w:rPr>
          <w:lang w:val="pt-PT"/>
        </w:rPr>
      </w:pPr>
      <w:r w:rsidRPr="00F125EF">
        <w:rPr>
          <w:lang w:val="pt-PT"/>
        </w:rPr>
        <w:t>3.</w:t>
      </w:r>
      <w:r w:rsidRPr="00F125EF">
        <w:rPr>
          <w:lang w:val="pt-PT"/>
        </w:rPr>
        <w:tab/>
        <w:t>A gépileg működtetett nyílásfedelek energiaforrásának a vezérlőkapcsoló kioldásával automatikusan ki kell kapcsolnia.</w:t>
      </w:r>
    </w:p>
    <w:p w:rsidR="00756D4B" w:rsidRPr="00F125EF" w:rsidRDefault="00756D4B" w:rsidP="00725D4A">
      <w:pPr>
        <w:pStyle w:val="ESch"/>
        <w:rPr>
          <w:lang w:val="pt-PT"/>
        </w:rPr>
      </w:pPr>
    </w:p>
    <w:p w:rsidR="00F06174" w:rsidRPr="00F125EF" w:rsidRDefault="00F06174" w:rsidP="00725D4A">
      <w:pPr>
        <w:pStyle w:val="ESch"/>
        <w:rPr>
          <w:lang w:val="pt-PT"/>
        </w:rPr>
      </w:pPr>
      <w:r w:rsidRPr="00F125EF">
        <w:rPr>
          <w:lang w:val="pt-PT"/>
        </w:rPr>
        <w:t>4.</w:t>
      </w:r>
      <w:r w:rsidRPr="00F125EF">
        <w:rPr>
          <w:lang w:val="pt-PT"/>
        </w:rPr>
        <w:tab/>
        <w:t>A nyílásfedeleknek el kell bírniuk azokat a terheket, amelyeknek ki lehetnek téve: azoknak a nyílásfedeleknek, amelyeket rajtuk való járásra terveztek, legalább 75 kg koncentrált terhelést kell elbírniuk. Azokat a nyílásfedeleket, amelyeket nem rajtuk való járásra terveztek, jelölni kell. Azokon a nyílásfedeleken, amelyeket úgy alakítottak ki, hogy a fedélzeti rakományt elbírják, fel kell tüntetni a megengedett terhelést t/m</w:t>
      </w:r>
      <w:r w:rsidRPr="00F125EF">
        <w:rPr>
          <w:noProof/>
          <w:vertAlign w:val="superscript"/>
          <w:lang w:val="pt-PT"/>
        </w:rPr>
        <w:t>2</w:t>
      </w:r>
      <w:r w:rsidRPr="00F125EF">
        <w:rPr>
          <w:lang w:val="pt-PT"/>
        </w:rPr>
        <w:t>-ben. Ha a megengedett legnagyobb terhelés felvételéhez alátámasztásra van szükség, ezt egy arra alkalmas helyen jelölni kell; ebben az esetben a vonatkozó tervrajzokat a fedélzeten kell tartani.</w:t>
      </w:r>
    </w:p>
    <w:p w:rsidR="00F06174" w:rsidRPr="00F125EF" w:rsidRDefault="00F06174" w:rsidP="00F06174">
      <w:pPr>
        <w:rPr>
          <w:rFonts w:cs="Arial"/>
          <w:szCs w:val="20"/>
          <w:lang w:val="pt-PT"/>
        </w:rPr>
      </w:pPr>
    </w:p>
    <w:p w:rsidR="00756D4B" w:rsidRPr="00F125EF" w:rsidRDefault="00725D4A" w:rsidP="00F06174">
      <w:pPr>
        <w:rPr>
          <w:rFonts w:cs="Arial"/>
          <w:szCs w:val="20"/>
          <w:lang w:val="pt-PT"/>
        </w:rPr>
      </w:pPr>
      <w:r w:rsidRPr="00F125EF">
        <w:rPr>
          <w:lang w:val="pt-PT"/>
        </w:rPr>
        <w:br w:type="page"/>
      </w:r>
    </w:p>
    <w:p w:rsidR="00F06174" w:rsidRPr="00F125EF" w:rsidRDefault="00F06174" w:rsidP="00756D4B">
      <w:pPr>
        <w:pStyle w:val="ES-Titre3"/>
        <w:rPr>
          <w:lang w:val="pt-PT"/>
        </w:rPr>
      </w:pPr>
      <w:bookmarkStart w:id="248" w:name="_Toc491854121"/>
      <w:bookmarkStart w:id="249" w:name="_Toc535853900"/>
      <w:r w:rsidRPr="00F125EF">
        <w:rPr>
          <w:lang w:val="pt-PT"/>
        </w:rPr>
        <w:t>14.11. cikk</w:t>
      </w:r>
      <w:r w:rsidRPr="00F125EF">
        <w:rPr>
          <w:lang w:val="pt-PT"/>
        </w:rPr>
        <w:br/>
      </w:r>
      <w:r w:rsidRPr="00F125EF">
        <w:rPr>
          <w:i/>
          <w:lang w:val="pt-PT"/>
        </w:rPr>
        <w:t>Csörlők</w:t>
      </w:r>
      <w:bookmarkEnd w:id="248"/>
      <w:bookmarkEnd w:id="249"/>
    </w:p>
    <w:p w:rsidR="00725D4A" w:rsidRPr="00F125EF" w:rsidRDefault="00725D4A" w:rsidP="00725D4A">
      <w:pPr>
        <w:pStyle w:val="ESch"/>
        <w:rPr>
          <w:noProof/>
          <w:lang w:val="pt-PT"/>
        </w:rPr>
      </w:pPr>
    </w:p>
    <w:p w:rsidR="00F06174" w:rsidRPr="00F125EF" w:rsidRDefault="00F06174" w:rsidP="00725D4A">
      <w:pPr>
        <w:pStyle w:val="ESch"/>
        <w:rPr>
          <w:lang w:val="pt-PT"/>
        </w:rPr>
      </w:pPr>
      <w:r w:rsidRPr="00F125EF">
        <w:rPr>
          <w:lang w:val="pt-PT"/>
        </w:rPr>
        <w:t>1.</w:t>
      </w:r>
      <w:r w:rsidRPr="00F125EF">
        <w:rPr>
          <w:lang w:val="pt-PT"/>
        </w:rPr>
        <w:tab/>
        <w:t>A csörlőket úgy kell kialakítani, hogy lehetővé tegyék a biztonságos munkavégzést. A csörlőket fel kell szerelni a teher szándékolatlan visszaejtését megakadályozó berendezéssel. A nem önzáró csörlőket a húzóerőre méretezett fékkel kell ellátni.</w:t>
      </w:r>
    </w:p>
    <w:p w:rsidR="00756D4B" w:rsidRPr="00F125EF" w:rsidRDefault="00756D4B" w:rsidP="00725D4A">
      <w:pPr>
        <w:pStyle w:val="ESch"/>
        <w:rPr>
          <w:noProof/>
          <w:lang w:val="pt-PT"/>
        </w:rPr>
      </w:pPr>
    </w:p>
    <w:p w:rsidR="00F06174" w:rsidRPr="00F125EF" w:rsidRDefault="00F06174" w:rsidP="00725D4A">
      <w:pPr>
        <w:pStyle w:val="ESch"/>
        <w:rPr>
          <w:lang w:val="pt-PT"/>
        </w:rPr>
      </w:pPr>
      <w:r w:rsidRPr="00F125EF">
        <w:rPr>
          <w:lang w:val="pt-PT"/>
        </w:rPr>
        <w:t>2.</w:t>
      </w:r>
      <w:r w:rsidRPr="00F125EF">
        <w:rPr>
          <w:lang w:val="pt-PT"/>
        </w:rPr>
        <w:tab/>
        <w:t>A kézi működtetésű csörlőket a hajtókar visszarúgását megakadályozó berendezéssel kell ellátni. Azokat a csörlőket, amelyek gépi és kézi hajtással is el vannak látva, úgy kell megtervezni, hogy a gépi hajtás ne tudja mozgásba hozni a kézi hajtótengelyt.</w:t>
      </w:r>
    </w:p>
    <w:p w:rsidR="00F06174" w:rsidRPr="00F125EF" w:rsidRDefault="00F06174" w:rsidP="00F06174">
      <w:pPr>
        <w:rPr>
          <w:rFonts w:cs="Arial"/>
          <w:szCs w:val="20"/>
          <w:lang w:val="pt-PT"/>
        </w:rPr>
      </w:pPr>
    </w:p>
    <w:p w:rsidR="00725D4A" w:rsidRPr="00F125EF" w:rsidRDefault="00725D4A" w:rsidP="00F06174">
      <w:pPr>
        <w:rPr>
          <w:rFonts w:cs="Arial"/>
          <w:szCs w:val="20"/>
          <w:lang w:val="pt-PT"/>
        </w:rPr>
      </w:pPr>
    </w:p>
    <w:p w:rsidR="00F06174" w:rsidRPr="00F125EF" w:rsidRDefault="00F06174" w:rsidP="00756D4B">
      <w:pPr>
        <w:pStyle w:val="ES-Titre3"/>
        <w:rPr>
          <w:lang w:val="pt-PT"/>
        </w:rPr>
      </w:pPr>
      <w:bookmarkStart w:id="250" w:name="_Toc491854122"/>
      <w:bookmarkStart w:id="251" w:name="_Toc535853901"/>
      <w:r w:rsidRPr="00F125EF">
        <w:rPr>
          <w:lang w:val="pt-PT"/>
        </w:rPr>
        <w:t>14.12. cikk</w:t>
      </w:r>
      <w:r w:rsidRPr="00F125EF">
        <w:rPr>
          <w:lang w:val="pt-PT"/>
        </w:rPr>
        <w:br/>
      </w:r>
      <w:r w:rsidRPr="00F125EF">
        <w:rPr>
          <w:i/>
          <w:noProof/>
          <w:lang w:val="pt-PT"/>
        </w:rPr>
        <w:t>Daruk</w:t>
      </w:r>
      <w:bookmarkEnd w:id="250"/>
      <w:bookmarkEnd w:id="251"/>
    </w:p>
    <w:p w:rsidR="00756D4B" w:rsidRPr="00F125EF" w:rsidRDefault="00756D4B" w:rsidP="00F06174">
      <w:pPr>
        <w:rPr>
          <w:rFonts w:cs="Arial"/>
          <w:noProof/>
          <w:szCs w:val="20"/>
          <w:lang w:val="pt-PT"/>
        </w:rPr>
      </w:pPr>
    </w:p>
    <w:p w:rsidR="00F06174" w:rsidRPr="00F125EF" w:rsidRDefault="00F06174" w:rsidP="00725D4A">
      <w:pPr>
        <w:pStyle w:val="ESch"/>
        <w:rPr>
          <w:lang w:val="pt-PT"/>
        </w:rPr>
      </w:pPr>
      <w:r w:rsidRPr="00F125EF">
        <w:rPr>
          <w:lang w:val="pt-PT"/>
        </w:rPr>
        <w:t>1.</w:t>
      </w:r>
      <w:r w:rsidRPr="00F125EF">
        <w:rPr>
          <w:lang w:val="pt-PT"/>
        </w:rPr>
        <w:tab/>
        <w:t>A darukat a bevált gyakorlat szerint kell megépíteni. Az üzem közben fellépő erőket biztonságos módon be kell vezetni a hajó szerkezetébe; ezek az erők nem befolyásolhatják hátrányosan a hajó stabilitását.</w:t>
      </w:r>
    </w:p>
    <w:p w:rsidR="00756D4B" w:rsidRPr="00F125EF" w:rsidRDefault="00756D4B" w:rsidP="00725D4A">
      <w:pPr>
        <w:pStyle w:val="ESch"/>
        <w:rPr>
          <w:noProof/>
          <w:lang w:val="pt-PT"/>
        </w:rPr>
      </w:pPr>
    </w:p>
    <w:p w:rsidR="00F06174" w:rsidRPr="00F125EF" w:rsidRDefault="00F06174" w:rsidP="00725D4A">
      <w:pPr>
        <w:pStyle w:val="ESch"/>
        <w:rPr>
          <w:lang w:val="pt-PT"/>
        </w:rPr>
      </w:pPr>
      <w:r w:rsidRPr="00F125EF">
        <w:rPr>
          <w:lang w:val="pt-PT"/>
        </w:rPr>
        <w:t>2.</w:t>
      </w:r>
      <w:r w:rsidRPr="00F125EF">
        <w:rPr>
          <w:lang w:val="pt-PT"/>
        </w:rPr>
        <w:tab/>
        <w:t>A darun az alábbi adatokat tartalmazó gyár</w:t>
      </w:r>
      <w:r w:rsidR="00F75A1F">
        <w:rPr>
          <w:lang w:val="pt-PT"/>
        </w:rPr>
        <w:t>i adatt</w:t>
      </w:r>
      <w:r w:rsidRPr="00F125EF">
        <w:rPr>
          <w:lang w:val="pt-PT"/>
        </w:rPr>
        <w:t>áblát kell elhelyezni:</w:t>
      </w:r>
    </w:p>
    <w:p w:rsidR="00F06174" w:rsidRPr="00F125EF" w:rsidRDefault="005C7859" w:rsidP="00725D4A">
      <w:pPr>
        <w:pStyle w:val="ESlet"/>
        <w:rPr>
          <w:lang w:val="pt-PT"/>
        </w:rPr>
      </w:pPr>
      <w:r w:rsidRPr="00F125EF">
        <w:rPr>
          <w:lang w:val="pt-PT"/>
        </w:rPr>
        <w:t>a)</w:t>
      </w:r>
      <w:r w:rsidRPr="00F125EF">
        <w:rPr>
          <w:lang w:val="pt-PT"/>
        </w:rPr>
        <w:tab/>
        <w:t>a gyártó neve és címe;</w:t>
      </w:r>
    </w:p>
    <w:p w:rsidR="00F06174" w:rsidRPr="00F125EF" w:rsidRDefault="005C7859" w:rsidP="00725D4A">
      <w:pPr>
        <w:pStyle w:val="ESlet"/>
        <w:rPr>
          <w:lang w:val="fr-FR"/>
        </w:rPr>
      </w:pPr>
      <w:r w:rsidRPr="00F125EF">
        <w:rPr>
          <w:lang w:val="fr-FR"/>
        </w:rPr>
        <w:t>b)</w:t>
      </w:r>
      <w:r w:rsidRPr="00F125EF">
        <w:rPr>
          <w:lang w:val="fr-FR"/>
        </w:rPr>
        <w:tab/>
        <w:t>a CE-jelölés és a gyártás éve;</w:t>
      </w:r>
    </w:p>
    <w:p w:rsidR="00F06174" w:rsidRPr="00F125EF" w:rsidRDefault="005C7859" w:rsidP="00725D4A">
      <w:pPr>
        <w:pStyle w:val="ESlet"/>
        <w:rPr>
          <w:lang w:val="fr-FR"/>
        </w:rPr>
      </w:pPr>
      <w:r w:rsidRPr="00F125EF">
        <w:rPr>
          <w:lang w:val="fr-FR"/>
        </w:rPr>
        <w:t>c)</w:t>
      </w:r>
      <w:r w:rsidRPr="00F125EF">
        <w:rPr>
          <w:lang w:val="fr-FR"/>
        </w:rPr>
        <w:tab/>
        <w:t>sorozat- vagy típusjelzés;</w:t>
      </w:r>
    </w:p>
    <w:p w:rsidR="00F06174" w:rsidRPr="00F125EF" w:rsidRDefault="005C7859" w:rsidP="00725D4A">
      <w:pPr>
        <w:pStyle w:val="ESlet"/>
        <w:rPr>
          <w:lang w:val="fr-FR"/>
        </w:rPr>
      </w:pPr>
      <w:r w:rsidRPr="00F125EF">
        <w:rPr>
          <w:lang w:val="fr-FR"/>
        </w:rPr>
        <w:t>d)</w:t>
      </w:r>
      <w:r w:rsidRPr="00F125EF">
        <w:rPr>
          <w:lang w:val="fr-FR"/>
        </w:rPr>
        <w:tab/>
        <w:t>adott esetben a gyártási szám.</w:t>
      </w:r>
    </w:p>
    <w:p w:rsidR="00756D4B" w:rsidRPr="00F125EF" w:rsidRDefault="00756D4B" w:rsidP="00F06174">
      <w:pPr>
        <w:rPr>
          <w:rFonts w:cs="Arial"/>
          <w:noProof/>
          <w:szCs w:val="20"/>
          <w:lang w:val="fr-FR"/>
        </w:rPr>
      </w:pPr>
    </w:p>
    <w:p w:rsidR="00F06174" w:rsidRPr="00F125EF" w:rsidRDefault="00F06174" w:rsidP="00725D4A">
      <w:pPr>
        <w:pStyle w:val="ESch"/>
        <w:rPr>
          <w:lang w:val="fr-FR"/>
        </w:rPr>
      </w:pPr>
      <w:r w:rsidRPr="00F125EF">
        <w:rPr>
          <w:lang w:val="fr-FR"/>
        </w:rPr>
        <w:t>3.</w:t>
      </w:r>
      <w:r w:rsidRPr="00F125EF">
        <w:rPr>
          <w:lang w:val="fr-FR"/>
        </w:rPr>
        <w:tab/>
        <w:t>A darukon tartósan és jól olvashatóan fel kell tüntetni a megengedett legnagyobb teherbírásokat.</w:t>
      </w:r>
    </w:p>
    <w:p w:rsidR="00756D4B" w:rsidRPr="00F125EF" w:rsidRDefault="00756D4B" w:rsidP="00725D4A">
      <w:pPr>
        <w:pStyle w:val="ESch"/>
        <w:rPr>
          <w:noProof/>
          <w:lang w:val="fr-FR"/>
        </w:rPr>
      </w:pPr>
    </w:p>
    <w:p w:rsidR="00F06174" w:rsidRPr="00F125EF" w:rsidRDefault="00F06174" w:rsidP="00725D4A">
      <w:pPr>
        <w:pStyle w:val="ESchpar"/>
        <w:rPr>
          <w:lang w:val="fr-FR"/>
        </w:rPr>
      </w:pPr>
      <w:r w:rsidRPr="00F125EF">
        <w:rPr>
          <w:lang w:val="fr-FR"/>
        </w:rPr>
        <w:t>Azoknál a daruknál, amelyek legnagyobb hasznos teherbírása a 2000 kg-ot nem haladja meg, csak a legnagyobb gémkinyúláshoz tartozó legnagyobb hasznos teherbírást kell tartósan és jól olvashatóan feltüntetni.</w:t>
      </w:r>
    </w:p>
    <w:p w:rsidR="00756D4B" w:rsidRPr="00F125EF" w:rsidRDefault="00756D4B" w:rsidP="00725D4A">
      <w:pPr>
        <w:pStyle w:val="ESch"/>
        <w:rPr>
          <w:noProof/>
          <w:lang w:val="fr-FR"/>
        </w:rPr>
      </w:pPr>
    </w:p>
    <w:p w:rsidR="00F06174" w:rsidRPr="00F125EF" w:rsidRDefault="00F06174" w:rsidP="00725D4A">
      <w:pPr>
        <w:pStyle w:val="ESch"/>
        <w:rPr>
          <w:lang w:val="fr-FR"/>
        </w:rPr>
      </w:pPr>
      <w:r w:rsidRPr="00F125EF">
        <w:rPr>
          <w:lang w:val="fr-FR"/>
        </w:rPr>
        <w:t>4.</w:t>
      </w:r>
      <w:r w:rsidRPr="00F125EF">
        <w:rPr>
          <w:lang w:val="fr-FR"/>
        </w:rPr>
        <w:tab/>
        <w:t>A törés és elnyíródás veszélyének elkerülésére védőszerkezeteket kell alkalmazni. A daru külső részei, valamint a munkaállomások és az átjárók rögzített felépítményei között legalább 0,50 m biztonsági távolságot kell hagyni.</w:t>
      </w:r>
    </w:p>
    <w:p w:rsidR="00756D4B" w:rsidRPr="00F125EF" w:rsidRDefault="00756D4B" w:rsidP="00725D4A">
      <w:pPr>
        <w:pStyle w:val="ESch"/>
        <w:rPr>
          <w:noProof/>
          <w:lang w:val="fr-FR"/>
        </w:rPr>
      </w:pPr>
    </w:p>
    <w:p w:rsidR="00F06174" w:rsidRPr="00F125EF" w:rsidRDefault="00F06174" w:rsidP="00725D4A">
      <w:pPr>
        <w:pStyle w:val="ESch"/>
        <w:rPr>
          <w:lang w:val="fr-FR"/>
        </w:rPr>
      </w:pPr>
      <w:r w:rsidRPr="00F125EF">
        <w:rPr>
          <w:lang w:val="fr-FR"/>
        </w:rPr>
        <w:t>5.</w:t>
      </w:r>
      <w:r w:rsidRPr="00F125EF">
        <w:rPr>
          <w:lang w:val="fr-FR"/>
        </w:rPr>
        <w:tab/>
        <w:t>Biztosítani kell, hogy a gépi üzemű daruk védve legyenek az illetéktelen használat ellen. Biztosítani kell, hogy ezeket a darukat csak a daruvezetői állásból lehessen elindítani. A működtető elemeknek magukra hagyva vissza kell állniuk alaphelyzetbe (arretálás nélküli kapcsolók); a működési irányoknak pedig teljesen egyértelműeknek kell lenniük.</w:t>
      </w:r>
    </w:p>
    <w:p w:rsidR="00756D4B" w:rsidRPr="00F125EF" w:rsidRDefault="00756D4B" w:rsidP="00725D4A">
      <w:pPr>
        <w:pStyle w:val="ESch"/>
        <w:rPr>
          <w:noProof/>
          <w:lang w:val="fr-FR"/>
        </w:rPr>
      </w:pPr>
    </w:p>
    <w:p w:rsidR="00F06174" w:rsidRPr="00F125EF" w:rsidRDefault="00F06174" w:rsidP="00725D4A">
      <w:pPr>
        <w:pStyle w:val="ESchpar"/>
        <w:rPr>
          <w:lang w:val="fr-FR"/>
        </w:rPr>
      </w:pPr>
      <w:r w:rsidRPr="00F125EF">
        <w:rPr>
          <w:lang w:val="fr-FR"/>
        </w:rPr>
        <w:t>Biztosítani kell, hogy a gépi üzem leállásakor a teher ne eshessen le ellenőrizetlenül. A daru szándékolatlan mozgását meg kell akadályozni.</w:t>
      </w:r>
    </w:p>
    <w:p w:rsidR="00756D4B" w:rsidRPr="00F125EF" w:rsidRDefault="00756D4B" w:rsidP="00725D4A">
      <w:pPr>
        <w:pStyle w:val="ESchpar"/>
        <w:rPr>
          <w:noProof/>
          <w:lang w:val="fr-FR"/>
        </w:rPr>
      </w:pPr>
    </w:p>
    <w:p w:rsidR="00F06174" w:rsidRPr="00F125EF" w:rsidRDefault="00F06174" w:rsidP="00725D4A">
      <w:pPr>
        <w:pStyle w:val="ESchpar"/>
        <w:rPr>
          <w:lang w:val="fr-FR"/>
        </w:rPr>
      </w:pPr>
      <w:r w:rsidRPr="00F125EF">
        <w:rPr>
          <w:lang w:val="fr-FR"/>
        </w:rPr>
        <w:t>Az emelőmű felfelé irányuló mozgását és a legnagyobb hasznos teherbírás túllépését megfelelő eszközzel kell korlátozni. Ha előre látható, hogy a daru üzemeltetése során a kötéldobon lévő kötélhossz két menetnyinél kevesebb a kampó illesztésének pillanatában, az emelőmű lefelé tartó mozgását korlátozni kell. Biztosítani kell, hogy a megfelelő ellentétes irányú mozgást az automatikus korlátozó eszközök működésbe lépése ne gátolhassa meg.</w:t>
      </w:r>
    </w:p>
    <w:p w:rsidR="00756D4B" w:rsidRPr="00F125EF" w:rsidRDefault="00756D4B" w:rsidP="00725D4A">
      <w:pPr>
        <w:pStyle w:val="ESchpar"/>
        <w:rPr>
          <w:noProof/>
          <w:lang w:val="fr-FR"/>
        </w:rPr>
      </w:pPr>
    </w:p>
    <w:p w:rsidR="00725D4A" w:rsidRPr="00F125EF" w:rsidRDefault="00725D4A" w:rsidP="00725D4A">
      <w:pPr>
        <w:pStyle w:val="ESchpar"/>
        <w:rPr>
          <w:noProof/>
          <w:lang w:val="fr-FR"/>
        </w:rPr>
      </w:pPr>
      <w:r w:rsidRPr="00F125EF">
        <w:rPr>
          <w:lang w:val="fr-FR"/>
        </w:rPr>
        <w:br w:type="page"/>
      </w:r>
    </w:p>
    <w:p w:rsidR="00F06174" w:rsidRPr="00F125EF" w:rsidRDefault="00F06174" w:rsidP="00725D4A">
      <w:pPr>
        <w:pStyle w:val="ESchpar"/>
        <w:rPr>
          <w:lang w:val="fr-FR"/>
        </w:rPr>
      </w:pPr>
      <w:r w:rsidRPr="00F125EF">
        <w:rPr>
          <w:lang w:val="fr-FR"/>
        </w:rPr>
        <w:t>A mozgó kötélzet kötelei szakítószilárdságának a megengedett kötélerő ötszörösének kell lennie. A kötél szerkezetének hibátlannak, kialakításának a daruüzemre alkalmasnak kell lennie.</w:t>
      </w:r>
    </w:p>
    <w:p w:rsidR="00756D4B" w:rsidRPr="00F125EF" w:rsidRDefault="00756D4B" w:rsidP="00725D4A">
      <w:pPr>
        <w:pStyle w:val="ESch"/>
        <w:rPr>
          <w:noProof/>
          <w:lang w:val="fr-FR"/>
        </w:rPr>
      </w:pPr>
    </w:p>
    <w:p w:rsidR="00F06174" w:rsidRPr="00F125EF" w:rsidRDefault="00F06174" w:rsidP="00725D4A">
      <w:pPr>
        <w:pStyle w:val="ESch"/>
        <w:rPr>
          <w:lang w:val="fr-FR"/>
        </w:rPr>
      </w:pPr>
      <w:r w:rsidRPr="00F125EF">
        <w:rPr>
          <w:lang w:val="fr-FR"/>
        </w:rPr>
        <w:t>6.</w:t>
      </w:r>
      <w:r w:rsidRPr="00F125EF">
        <w:rPr>
          <w:lang w:val="fr-FR"/>
        </w:rPr>
        <w:tab/>
        <w:t>A darukat szakértő ellenőrzi:</w:t>
      </w:r>
    </w:p>
    <w:p w:rsidR="00F06174" w:rsidRPr="00F125EF" w:rsidRDefault="005C7859" w:rsidP="00064BFC">
      <w:pPr>
        <w:pStyle w:val="ESlet"/>
        <w:rPr>
          <w:lang w:val="fr-FR"/>
        </w:rPr>
      </w:pPr>
      <w:r w:rsidRPr="00F125EF">
        <w:rPr>
          <w:lang w:val="fr-FR"/>
        </w:rPr>
        <w:t>a)</w:t>
      </w:r>
      <w:r w:rsidRPr="00F125EF">
        <w:rPr>
          <w:lang w:val="fr-FR"/>
        </w:rPr>
        <w:tab/>
        <w:t>az első használatbavétel előtt;</w:t>
      </w:r>
    </w:p>
    <w:p w:rsidR="00F06174" w:rsidRPr="00F125EF" w:rsidRDefault="005C7859" w:rsidP="00064BFC">
      <w:pPr>
        <w:pStyle w:val="ESlet"/>
        <w:rPr>
          <w:lang w:val="fr-FR"/>
        </w:rPr>
      </w:pPr>
      <w:r w:rsidRPr="00F125EF">
        <w:rPr>
          <w:lang w:val="fr-FR"/>
        </w:rPr>
        <w:t>b)</w:t>
      </w:r>
      <w:r w:rsidRPr="00F125EF">
        <w:rPr>
          <w:lang w:val="fr-FR"/>
        </w:rPr>
        <w:tab/>
        <w:t>nagyobb módosítást vagy javítást követő újbóli üzembe helyezés előtt; valamint</w:t>
      </w:r>
    </w:p>
    <w:p w:rsidR="00F06174" w:rsidRPr="00F125EF" w:rsidRDefault="005C7859" w:rsidP="00064BFC">
      <w:pPr>
        <w:pStyle w:val="ESlet"/>
        <w:rPr>
          <w:lang w:val="fr-FR"/>
        </w:rPr>
      </w:pPr>
      <w:r w:rsidRPr="00F125EF">
        <w:rPr>
          <w:lang w:val="fr-FR"/>
        </w:rPr>
        <w:t>c)</w:t>
      </w:r>
      <w:r w:rsidRPr="00F125EF">
        <w:rPr>
          <w:lang w:val="fr-FR"/>
        </w:rPr>
        <w:tab/>
        <w:t>rendszeresen, de legalább tízévente.</w:t>
      </w:r>
    </w:p>
    <w:p w:rsidR="00756D4B" w:rsidRPr="00F125EF" w:rsidRDefault="00756D4B" w:rsidP="00F06174">
      <w:pPr>
        <w:rPr>
          <w:rFonts w:cs="Arial"/>
          <w:noProof/>
          <w:szCs w:val="20"/>
          <w:lang w:val="fr-FR"/>
        </w:rPr>
      </w:pPr>
    </w:p>
    <w:p w:rsidR="00F06174" w:rsidRPr="00F125EF" w:rsidRDefault="00F06174" w:rsidP="00064BFC">
      <w:pPr>
        <w:pStyle w:val="ESchpar"/>
        <w:rPr>
          <w:lang w:val="fr-FR"/>
        </w:rPr>
      </w:pPr>
      <w:r w:rsidRPr="00F125EF">
        <w:rPr>
          <w:lang w:val="fr-FR"/>
        </w:rPr>
        <w:t>Az ellenőrzés során számításokkal és fedélzeti terhelési próbával kell igazolni a megfelelő szilárdságot és stabilitást.</w:t>
      </w:r>
    </w:p>
    <w:p w:rsidR="00756D4B" w:rsidRPr="00F125EF" w:rsidRDefault="00756D4B" w:rsidP="00064BFC">
      <w:pPr>
        <w:pStyle w:val="ESchpar"/>
        <w:rPr>
          <w:noProof/>
          <w:lang w:val="fr-FR"/>
        </w:rPr>
      </w:pPr>
    </w:p>
    <w:p w:rsidR="00F06174" w:rsidRPr="00F125EF" w:rsidRDefault="00F06174" w:rsidP="00064BFC">
      <w:pPr>
        <w:pStyle w:val="ESchpar"/>
        <w:rPr>
          <w:lang w:val="fr-FR"/>
        </w:rPr>
      </w:pPr>
      <w:r w:rsidRPr="00F125EF">
        <w:rPr>
          <w:lang w:val="fr-FR"/>
        </w:rPr>
        <w:t>Legfeljebb 2000 kg legnagyobb hasznos teherbírású daruk esetében a szakértő dönthet úgy, hogy a számításos igazolás teljes egészében vagy részben helyettesíthető egy, a legnagyobb hasznos teherbírás 1,25-szorosával végzett, a teljes mozgási tartományra kiterjedő terhelési próbával.</w:t>
      </w:r>
    </w:p>
    <w:p w:rsidR="00756D4B" w:rsidRPr="00F125EF" w:rsidRDefault="00756D4B" w:rsidP="00064BFC">
      <w:pPr>
        <w:pStyle w:val="ESchpar"/>
        <w:rPr>
          <w:noProof/>
          <w:lang w:val="fr-FR"/>
        </w:rPr>
      </w:pPr>
    </w:p>
    <w:p w:rsidR="00F06174" w:rsidRPr="00F125EF" w:rsidRDefault="00F06174" w:rsidP="00064BFC">
      <w:pPr>
        <w:pStyle w:val="ESchpar"/>
        <w:rPr>
          <w:lang w:val="fr-FR"/>
        </w:rPr>
      </w:pPr>
      <w:r w:rsidRPr="00F125EF">
        <w:rPr>
          <w:lang w:val="fr-FR"/>
        </w:rPr>
        <w:t>Ellenőrzési igazolást kell kiadni, amely tartalmazza a szakértő aláírását és az ellenőrzés dátumát.</w:t>
      </w:r>
    </w:p>
    <w:p w:rsidR="00064BFC" w:rsidRPr="00F125EF" w:rsidRDefault="00064BFC" w:rsidP="00F06174">
      <w:pPr>
        <w:rPr>
          <w:rFonts w:cs="Arial"/>
          <w:noProof/>
          <w:szCs w:val="20"/>
          <w:lang w:val="fr-FR"/>
        </w:rPr>
      </w:pPr>
    </w:p>
    <w:p w:rsidR="00F06174" w:rsidRPr="00F125EF" w:rsidRDefault="00F06174" w:rsidP="00064BFC">
      <w:pPr>
        <w:pStyle w:val="ESch"/>
        <w:rPr>
          <w:lang w:val="fr-FR"/>
        </w:rPr>
      </w:pPr>
      <w:r w:rsidRPr="00F125EF">
        <w:rPr>
          <w:lang w:val="fr-FR"/>
        </w:rPr>
        <w:t>7.</w:t>
      </w:r>
      <w:r w:rsidRPr="00F125EF">
        <w:rPr>
          <w:lang w:val="fr-FR"/>
        </w:rPr>
        <w:tab/>
        <w:t>A darukat rendszeresen, de legalább évente hozzáértő személy ellenőrzi. Az ellenőrzés során a daru biztonságos üzemi feltételeit szemrevételezéssel és üzemi próbával kell ellenőrizni.</w:t>
      </w:r>
    </w:p>
    <w:p w:rsidR="00756D4B" w:rsidRPr="00F125EF" w:rsidRDefault="00756D4B" w:rsidP="00064BFC">
      <w:pPr>
        <w:pStyle w:val="ESch"/>
        <w:rPr>
          <w:noProof/>
          <w:lang w:val="fr-FR"/>
        </w:rPr>
      </w:pPr>
    </w:p>
    <w:p w:rsidR="00F06174" w:rsidRPr="00F125EF" w:rsidRDefault="00F06174" w:rsidP="00064BFC">
      <w:pPr>
        <w:pStyle w:val="ESchpar"/>
        <w:rPr>
          <w:lang w:val="fr-FR"/>
        </w:rPr>
      </w:pPr>
      <w:r w:rsidRPr="00F125EF">
        <w:rPr>
          <w:lang w:val="fr-FR"/>
        </w:rPr>
        <w:t>Ellenőrzési igazolást kell kiadni, amely tartalmazza a hozzáértő személy aláírását és az ellenőrzés dátumát.</w:t>
      </w:r>
    </w:p>
    <w:p w:rsidR="00F06174" w:rsidRPr="00F125EF" w:rsidRDefault="00F06174" w:rsidP="00064BFC">
      <w:pPr>
        <w:pStyle w:val="ESch"/>
        <w:rPr>
          <w:lang w:val="fr-FR"/>
        </w:rPr>
      </w:pPr>
    </w:p>
    <w:p w:rsidR="00F06174" w:rsidRPr="00F125EF" w:rsidRDefault="00F06174" w:rsidP="00064BFC">
      <w:pPr>
        <w:pStyle w:val="ESch"/>
        <w:rPr>
          <w:lang w:val="fr-FR"/>
        </w:rPr>
      </w:pPr>
      <w:r w:rsidRPr="00F125EF">
        <w:rPr>
          <w:lang w:val="fr-FR"/>
        </w:rPr>
        <w:t>8.</w:t>
      </w:r>
      <w:r w:rsidRPr="00F125EF">
        <w:rPr>
          <w:lang w:val="fr-FR"/>
        </w:rPr>
        <w:tab/>
        <w:t>Azoknak a daruknak, amelyek legnagyobb hasznos teherbírása meghaladja a 2000 kg-ot, vagy amelyeket rakomány átrakodására használnak, vagy amelyeket orsós emelőbakok, pontonok vagy egyéb úszó munkagépek, illetve munkaterületen használt vízi járművek fedélzetén állítottak fel, meg kell felelniük az egyik tagállam követelményeinek is.</w:t>
      </w:r>
    </w:p>
    <w:p w:rsidR="00756D4B" w:rsidRPr="00F125EF" w:rsidRDefault="00756D4B" w:rsidP="00064BFC">
      <w:pPr>
        <w:pStyle w:val="ESch"/>
        <w:rPr>
          <w:noProof/>
          <w:lang w:val="fr-FR"/>
        </w:rPr>
      </w:pPr>
    </w:p>
    <w:p w:rsidR="00F06174" w:rsidRPr="00F125EF" w:rsidRDefault="00F06174" w:rsidP="00064BFC">
      <w:pPr>
        <w:pStyle w:val="ESch"/>
        <w:rPr>
          <w:lang w:val="fr-FR"/>
        </w:rPr>
      </w:pPr>
      <w:r w:rsidRPr="00F125EF">
        <w:rPr>
          <w:lang w:val="fr-FR"/>
        </w:rPr>
        <w:t>9.</w:t>
      </w:r>
      <w:r w:rsidRPr="00F125EF">
        <w:rPr>
          <w:lang w:val="fr-FR"/>
        </w:rPr>
        <w:tab/>
        <w:t>A daru gyártójának kezelési utasításait a fedélzeten kell tartani. E kezelési utasításoknak legalább a következő adatokat kell tartalmazniuk:</w:t>
      </w:r>
    </w:p>
    <w:p w:rsidR="00F06174" w:rsidRPr="00F125EF" w:rsidRDefault="005C7859" w:rsidP="00064BFC">
      <w:pPr>
        <w:pStyle w:val="ESlet"/>
        <w:rPr>
          <w:lang w:val="fr-FR"/>
        </w:rPr>
      </w:pPr>
      <w:r w:rsidRPr="00F125EF">
        <w:rPr>
          <w:lang w:val="fr-FR"/>
        </w:rPr>
        <w:t>a)</w:t>
      </w:r>
      <w:r w:rsidRPr="00F125EF">
        <w:rPr>
          <w:lang w:val="fr-FR"/>
        </w:rPr>
        <w:tab/>
        <w:t>működési tartomány és a vezérlés funkciói;</w:t>
      </w:r>
    </w:p>
    <w:p w:rsidR="00F06174" w:rsidRPr="00F125EF" w:rsidRDefault="005C7859" w:rsidP="00064BFC">
      <w:pPr>
        <w:pStyle w:val="ESlet"/>
        <w:rPr>
          <w:lang w:val="fr-FR"/>
        </w:rPr>
      </w:pPr>
      <w:r w:rsidRPr="00F125EF">
        <w:rPr>
          <w:lang w:val="fr-FR"/>
        </w:rPr>
        <w:t>b)</w:t>
      </w:r>
      <w:r w:rsidRPr="00F125EF">
        <w:rPr>
          <w:lang w:val="fr-FR"/>
        </w:rPr>
        <w:tab/>
        <w:t>a megengedett legnagyobb hasznos teherbírás a kinyúlás függvényében;</w:t>
      </w:r>
    </w:p>
    <w:p w:rsidR="00F06174" w:rsidRPr="00F125EF" w:rsidRDefault="005C7859" w:rsidP="00064BFC">
      <w:pPr>
        <w:pStyle w:val="ESlet"/>
        <w:rPr>
          <w:lang w:val="fr-FR"/>
        </w:rPr>
      </w:pPr>
      <w:r w:rsidRPr="00F125EF">
        <w:rPr>
          <w:lang w:val="fr-FR"/>
        </w:rPr>
        <w:t>c)</w:t>
      </w:r>
      <w:r w:rsidRPr="00F125EF">
        <w:rPr>
          <w:lang w:val="fr-FR"/>
        </w:rPr>
        <w:tab/>
        <w:t>a daru legnagyobb megengedhető dőlése;</w:t>
      </w:r>
    </w:p>
    <w:p w:rsidR="00F06174" w:rsidRPr="00F125EF" w:rsidRDefault="005C7859" w:rsidP="00064BFC">
      <w:pPr>
        <w:pStyle w:val="ESlet"/>
        <w:rPr>
          <w:lang w:val="fr-FR"/>
        </w:rPr>
      </w:pPr>
      <w:r w:rsidRPr="00F125EF">
        <w:rPr>
          <w:lang w:val="fr-FR"/>
        </w:rPr>
        <w:t>d)</w:t>
      </w:r>
      <w:r w:rsidRPr="00F125EF">
        <w:rPr>
          <w:lang w:val="fr-FR"/>
        </w:rPr>
        <w:tab/>
        <w:t>szerelési és karbantartási utasítások;</w:t>
      </w:r>
    </w:p>
    <w:p w:rsidR="00F06174" w:rsidRPr="00F125EF" w:rsidRDefault="0029453D" w:rsidP="00064BFC">
      <w:pPr>
        <w:pStyle w:val="ESlet"/>
        <w:rPr>
          <w:lang w:val="fr-FR"/>
        </w:rPr>
      </w:pPr>
      <w:r w:rsidRPr="00F125EF">
        <w:rPr>
          <w:lang w:val="fr-FR"/>
        </w:rPr>
        <w:t>e)</w:t>
      </w:r>
      <w:r w:rsidRPr="00F125EF">
        <w:rPr>
          <w:lang w:val="fr-FR"/>
        </w:rPr>
        <w:tab/>
        <w:t>általános műszaki adatok.</w:t>
      </w:r>
    </w:p>
    <w:p w:rsidR="00F06174" w:rsidRPr="00F125EF" w:rsidRDefault="00F06174" w:rsidP="00B239F2">
      <w:pPr>
        <w:pStyle w:val="ESlet"/>
        <w:ind w:left="0"/>
        <w:rPr>
          <w:rFonts w:cs="Arial"/>
          <w:noProof/>
          <w:szCs w:val="20"/>
          <w:lang w:val="fr-FR"/>
        </w:rPr>
      </w:pPr>
    </w:p>
    <w:p w:rsidR="00756D4B" w:rsidRPr="00F125EF" w:rsidRDefault="00756D4B" w:rsidP="00B239F2">
      <w:pPr>
        <w:rPr>
          <w:rFonts w:cs="Arial"/>
          <w:noProof/>
          <w:szCs w:val="20"/>
          <w:lang w:val="fr-FR"/>
        </w:rPr>
      </w:pPr>
    </w:p>
    <w:p w:rsidR="00F06174" w:rsidRPr="00F125EF" w:rsidRDefault="00F06174" w:rsidP="00756D4B">
      <w:pPr>
        <w:pStyle w:val="ES-Titre3"/>
        <w:rPr>
          <w:lang w:val="fr-FR"/>
        </w:rPr>
      </w:pPr>
      <w:bookmarkStart w:id="252" w:name="_Toc491854123"/>
      <w:bookmarkStart w:id="253" w:name="_Toc535853902"/>
      <w:r w:rsidRPr="00F125EF">
        <w:rPr>
          <w:lang w:val="fr-FR"/>
        </w:rPr>
        <w:t>14.13. cikk</w:t>
      </w:r>
      <w:r w:rsidRPr="00F125EF">
        <w:rPr>
          <w:lang w:val="fr-FR"/>
        </w:rPr>
        <w:br/>
      </w:r>
      <w:r w:rsidRPr="00F125EF">
        <w:rPr>
          <w:i/>
          <w:lang w:val="fr-FR"/>
        </w:rPr>
        <w:t>Gyúlékony folyadékok tárolása</w:t>
      </w:r>
      <w:bookmarkEnd w:id="252"/>
      <w:bookmarkEnd w:id="253"/>
    </w:p>
    <w:p w:rsidR="00756D4B" w:rsidRPr="00F125EF" w:rsidRDefault="00756D4B" w:rsidP="00756D4B">
      <w:pPr>
        <w:rPr>
          <w:rFonts w:cs="Arial"/>
          <w:noProof/>
          <w:szCs w:val="20"/>
          <w:lang w:val="fr-FR"/>
        </w:rPr>
      </w:pPr>
    </w:p>
    <w:p w:rsidR="00F06174" w:rsidRPr="00F125EF" w:rsidRDefault="00F06174" w:rsidP="00064BFC">
      <w:pPr>
        <w:pStyle w:val="ESgauche"/>
        <w:rPr>
          <w:lang w:val="fr-FR"/>
        </w:rPr>
      </w:pPr>
      <w:r w:rsidRPr="00F125EF">
        <w:rPr>
          <w:lang w:val="fr-FR"/>
        </w:rPr>
        <w:t>Az 55 °C-nál alacsonyabb lobbanáspontú gyúlékony folyadékok tárolására egy éghetetlen anyagból készült, megfelelően szellőző szekrényt kell biztosítani a fedélzeten. Ennek külsején el kell helyezni a 4. melléklet 2. ábrája szerinti „Tűz, nyílt láng használata és dohányzás tilos” szimbólumot, amelynek átmérője legalább 10 cm.</w:t>
      </w:r>
    </w:p>
    <w:p w:rsidR="00F6371D" w:rsidRPr="00F125EF" w:rsidRDefault="00F6371D" w:rsidP="00A9660C">
      <w:pPr>
        <w:rPr>
          <w:lang w:val="fr-FR"/>
        </w:rPr>
      </w:pPr>
    </w:p>
    <w:p w:rsidR="006161E9" w:rsidRPr="00166EA9" w:rsidRDefault="006161E9" w:rsidP="006161E9">
      <w:pPr>
        <w:pStyle w:val="ES-Titre2"/>
        <w:rPr>
          <w:lang w:val="fr-FR"/>
        </w:rPr>
      </w:pPr>
      <w:bookmarkStart w:id="254" w:name="_Toc491854124"/>
      <w:bookmarkStart w:id="255" w:name="_Toc535853903"/>
      <w:r w:rsidRPr="00166EA9">
        <w:rPr>
          <w:lang w:val="fr-FR"/>
        </w:rPr>
        <w:t>15. fejezet</w:t>
      </w:r>
      <w:r w:rsidRPr="00166EA9">
        <w:rPr>
          <w:lang w:val="fr-FR"/>
        </w:rPr>
        <w:br/>
        <w:t>Lakótér</w:t>
      </w:r>
      <w:bookmarkEnd w:id="254"/>
      <w:bookmarkEnd w:id="255"/>
    </w:p>
    <w:p w:rsidR="006161E9" w:rsidRPr="00F125EF" w:rsidRDefault="006161E9" w:rsidP="006161E9">
      <w:pPr>
        <w:rPr>
          <w:lang w:val="fr-FR"/>
        </w:rPr>
      </w:pPr>
    </w:p>
    <w:p w:rsidR="006161E9" w:rsidRPr="00F125EF" w:rsidRDefault="006161E9" w:rsidP="006161E9">
      <w:pPr>
        <w:pStyle w:val="ES-Titre3"/>
        <w:rPr>
          <w:lang w:val="fr-FR"/>
        </w:rPr>
      </w:pPr>
      <w:bookmarkStart w:id="256" w:name="_Toc491854125"/>
      <w:bookmarkStart w:id="257" w:name="_Toc535853904"/>
      <w:r w:rsidRPr="00F125EF">
        <w:rPr>
          <w:lang w:val="fr-FR"/>
        </w:rPr>
        <w:t>15.01. cikk</w:t>
      </w:r>
      <w:r w:rsidRPr="00F125EF">
        <w:rPr>
          <w:lang w:val="fr-FR"/>
        </w:rPr>
        <w:br/>
      </w:r>
      <w:r w:rsidRPr="00F125EF">
        <w:rPr>
          <w:i/>
          <w:noProof/>
          <w:lang w:val="fr-FR"/>
        </w:rPr>
        <w:t>Általános rendelkezések</w:t>
      </w:r>
      <w:bookmarkEnd w:id="256"/>
      <w:bookmarkEnd w:id="257"/>
    </w:p>
    <w:p w:rsidR="006161E9" w:rsidRPr="00F125EF" w:rsidRDefault="006161E9" w:rsidP="00811428">
      <w:pPr>
        <w:pStyle w:val="ESch"/>
        <w:rPr>
          <w:szCs w:val="20"/>
          <w:lang w:val="fr-FR"/>
        </w:rPr>
      </w:pPr>
    </w:p>
    <w:p w:rsidR="006161E9" w:rsidRPr="00F125EF" w:rsidRDefault="006161E9" w:rsidP="00811428">
      <w:pPr>
        <w:pStyle w:val="ESch"/>
        <w:rPr>
          <w:rFonts w:cs="Arial"/>
          <w:szCs w:val="20"/>
          <w:lang w:val="fr-FR"/>
        </w:rPr>
      </w:pPr>
      <w:r w:rsidRPr="00F125EF">
        <w:rPr>
          <w:lang w:val="fr-FR"/>
        </w:rPr>
        <w:t>1.</w:t>
      </w:r>
      <w:r w:rsidRPr="00F125EF">
        <w:rPr>
          <w:lang w:val="fr-FR"/>
        </w:rPr>
        <w:tab/>
        <w:t xml:space="preserve">A hajókon lakóteret kell kialakítani a fedélzeten szokásosan megszálló személyek, de legalább a minimális létszámú legénység számára. </w:t>
      </w:r>
    </w:p>
    <w:p w:rsidR="00811428" w:rsidRPr="00F125EF" w:rsidRDefault="00811428" w:rsidP="00811428">
      <w:pPr>
        <w:pStyle w:val="ESch"/>
        <w:rPr>
          <w:szCs w:val="20"/>
          <w:lang w:val="fr-FR"/>
        </w:rPr>
      </w:pPr>
    </w:p>
    <w:p w:rsidR="006161E9" w:rsidRPr="00F125EF" w:rsidRDefault="006161E9" w:rsidP="00811428">
      <w:pPr>
        <w:pStyle w:val="ESch"/>
        <w:rPr>
          <w:rFonts w:cs="Arial"/>
          <w:i/>
          <w:szCs w:val="20"/>
          <w:lang w:val="fr-FR"/>
        </w:rPr>
      </w:pPr>
      <w:r w:rsidRPr="00F125EF">
        <w:rPr>
          <w:lang w:val="fr-FR"/>
        </w:rPr>
        <w:t>2.</w:t>
      </w:r>
      <w:r w:rsidRPr="00F125EF">
        <w:rPr>
          <w:lang w:val="fr-FR"/>
        </w:rPr>
        <w:tab/>
        <w:t>A lakóteret úgy kell megtervezni, kialakítani és berendezni, hogy megfeleljen a hajón tartózkodók egészségvédelmi, biztonsági és kényelmi igényeinek. Megközelítésének biztonságosnak és könnyűnek kell lennie, a meleg és a hideg ellen megfelelő szigeteléssel kell rendelkeznie.</w:t>
      </w:r>
    </w:p>
    <w:p w:rsidR="00811428" w:rsidRPr="00F125EF" w:rsidRDefault="00811428" w:rsidP="00811428">
      <w:pPr>
        <w:pStyle w:val="ESch"/>
        <w:rPr>
          <w:szCs w:val="20"/>
          <w:lang w:val="fr-FR"/>
        </w:rPr>
      </w:pPr>
    </w:p>
    <w:p w:rsidR="006161E9" w:rsidRPr="00F125EF" w:rsidRDefault="006161E9" w:rsidP="00811428">
      <w:pPr>
        <w:pStyle w:val="ESch"/>
        <w:rPr>
          <w:rFonts w:cs="Arial"/>
          <w:szCs w:val="20"/>
          <w:lang w:val="fr-FR"/>
        </w:rPr>
      </w:pPr>
      <w:r w:rsidRPr="00F125EF">
        <w:rPr>
          <w:lang w:val="fr-FR"/>
        </w:rPr>
        <w:t>3.</w:t>
      </w:r>
      <w:r w:rsidRPr="00F125EF">
        <w:rPr>
          <w:lang w:val="fr-FR"/>
        </w:rPr>
        <w:tab/>
        <w:t>Amennyiben a fedélzeten tartózkodók egészségvédelmét és biztonságát más módon biztosítják, az ellenőrző szerv eltérést engedélyezhet e fejezet rendelkezéseitől.</w:t>
      </w:r>
    </w:p>
    <w:p w:rsidR="00811428" w:rsidRPr="00F125EF" w:rsidRDefault="00811428" w:rsidP="00811428">
      <w:pPr>
        <w:pStyle w:val="ESch"/>
        <w:rPr>
          <w:szCs w:val="20"/>
          <w:lang w:val="fr-FR"/>
        </w:rPr>
      </w:pPr>
    </w:p>
    <w:p w:rsidR="006161E9" w:rsidRPr="00F125EF" w:rsidRDefault="006161E9" w:rsidP="00811428">
      <w:pPr>
        <w:pStyle w:val="ESch"/>
        <w:rPr>
          <w:rFonts w:cs="Arial"/>
          <w:szCs w:val="20"/>
          <w:lang w:val="fr-FR"/>
        </w:rPr>
      </w:pPr>
      <w:r w:rsidRPr="00F125EF">
        <w:rPr>
          <w:lang w:val="fr-FR"/>
        </w:rPr>
        <w:t>4.</w:t>
      </w:r>
      <w:r w:rsidRPr="00F125EF">
        <w:rPr>
          <w:lang w:val="fr-FR"/>
        </w:rPr>
        <w:tab/>
        <w:t>Az ellenőrző szerv a belvízi hajóbizonyítványba bejegyez minden olyan korlátozást, amely a 3. bekezdéstől való eltérésből adódóan a hajó napi üzemelési idejére és üzemmódjára vonatkozik.</w:t>
      </w:r>
    </w:p>
    <w:p w:rsidR="006161E9" w:rsidRPr="00F125EF" w:rsidRDefault="006161E9" w:rsidP="00811428">
      <w:pPr>
        <w:pStyle w:val="ESch"/>
        <w:rPr>
          <w:rFonts w:cs="Arial"/>
          <w:szCs w:val="20"/>
          <w:lang w:val="fr-FR"/>
        </w:rPr>
      </w:pPr>
    </w:p>
    <w:p w:rsidR="00A60E37" w:rsidRPr="00F125EF" w:rsidRDefault="00A60E37" w:rsidP="00811428">
      <w:pPr>
        <w:pStyle w:val="ESch"/>
        <w:rPr>
          <w:rFonts w:cs="Arial"/>
          <w:szCs w:val="20"/>
          <w:lang w:val="fr-FR"/>
        </w:rPr>
      </w:pPr>
    </w:p>
    <w:p w:rsidR="006161E9" w:rsidRPr="00F125EF" w:rsidRDefault="006161E9" w:rsidP="00811428">
      <w:pPr>
        <w:pStyle w:val="ES-Titre3"/>
        <w:rPr>
          <w:i/>
          <w:lang w:val="fr-FR"/>
        </w:rPr>
      </w:pPr>
      <w:bookmarkStart w:id="258" w:name="_Toc491854126"/>
      <w:bookmarkStart w:id="259" w:name="_Toc535853905"/>
      <w:r w:rsidRPr="00F125EF">
        <w:rPr>
          <w:lang w:val="fr-FR"/>
        </w:rPr>
        <w:t>15.02. cikk</w:t>
      </w:r>
      <w:r w:rsidRPr="00F125EF">
        <w:rPr>
          <w:lang w:val="fr-FR"/>
        </w:rPr>
        <w:br/>
      </w:r>
      <w:r w:rsidRPr="00F125EF">
        <w:rPr>
          <w:i/>
          <w:lang w:val="fr-FR"/>
        </w:rPr>
        <w:t>A lakótérre vonatkozó különleges kialakítási követelmények</w:t>
      </w:r>
      <w:bookmarkEnd w:id="258"/>
      <w:bookmarkEnd w:id="259"/>
    </w:p>
    <w:p w:rsidR="00811428" w:rsidRPr="00F125EF" w:rsidRDefault="00811428" w:rsidP="00811428">
      <w:pPr>
        <w:pStyle w:val="ESch"/>
        <w:rPr>
          <w:szCs w:val="20"/>
          <w:lang w:val="fr-FR"/>
        </w:rPr>
      </w:pPr>
    </w:p>
    <w:p w:rsidR="006161E9" w:rsidRPr="00F125EF" w:rsidRDefault="006161E9" w:rsidP="00811428">
      <w:pPr>
        <w:pStyle w:val="ESch"/>
        <w:rPr>
          <w:rFonts w:cs="Arial"/>
          <w:szCs w:val="20"/>
          <w:lang w:val="fr-FR"/>
        </w:rPr>
      </w:pPr>
      <w:r w:rsidRPr="00F125EF">
        <w:rPr>
          <w:lang w:val="fr-FR"/>
        </w:rPr>
        <w:t>1.</w:t>
      </w:r>
      <w:r w:rsidRPr="00F125EF">
        <w:rPr>
          <w:lang w:val="fr-FR"/>
        </w:rPr>
        <w:tab/>
        <w:t>Biztosítani kell a lakótér megfelelő szellőzését, olyankor is, ha az ajtók zárva vannak; továbbá a közösségi nappali helyiségeket megfelelő természetes megvilágítással kell ellátni, és lehetőség szerint kilátást kell biztosítani.</w:t>
      </w:r>
    </w:p>
    <w:p w:rsidR="00811428" w:rsidRPr="00F125EF" w:rsidRDefault="00811428" w:rsidP="00811428">
      <w:pPr>
        <w:pStyle w:val="ESch"/>
        <w:rPr>
          <w:szCs w:val="20"/>
          <w:lang w:val="fr-FR"/>
        </w:rPr>
      </w:pPr>
    </w:p>
    <w:p w:rsidR="006161E9" w:rsidRPr="00F125EF" w:rsidRDefault="006161E9" w:rsidP="00811428">
      <w:pPr>
        <w:pStyle w:val="ESch"/>
        <w:rPr>
          <w:rFonts w:cs="Arial"/>
          <w:szCs w:val="20"/>
          <w:lang w:val="fr-FR"/>
        </w:rPr>
      </w:pPr>
      <w:r w:rsidRPr="00F125EF">
        <w:rPr>
          <w:lang w:val="fr-FR"/>
        </w:rPr>
        <w:t>2.</w:t>
      </w:r>
      <w:r w:rsidRPr="00F125EF">
        <w:rPr>
          <w:lang w:val="fr-FR"/>
        </w:rPr>
        <w:tab/>
        <w:t>Ha a lakótéri bejáratok nem a fedélzet szintjén vannak, és a magasságkülönbség 0,30 m vagy több, biztosítani kell a lakótér lépcsőn át történő megközelíthetőségét.</w:t>
      </w:r>
    </w:p>
    <w:p w:rsidR="00811428" w:rsidRPr="00F125EF" w:rsidRDefault="00811428" w:rsidP="00811428">
      <w:pPr>
        <w:pStyle w:val="ESch"/>
        <w:rPr>
          <w:szCs w:val="20"/>
          <w:lang w:val="fr-FR"/>
        </w:rPr>
      </w:pPr>
    </w:p>
    <w:p w:rsidR="006161E9" w:rsidRPr="00F125EF" w:rsidRDefault="006161E9" w:rsidP="00811428">
      <w:pPr>
        <w:pStyle w:val="ESch"/>
        <w:rPr>
          <w:rFonts w:cs="Arial"/>
          <w:szCs w:val="20"/>
          <w:lang w:val="fr-FR"/>
        </w:rPr>
      </w:pPr>
      <w:r w:rsidRPr="00F125EF">
        <w:rPr>
          <w:lang w:val="fr-FR"/>
        </w:rPr>
        <w:t>3.</w:t>
      </w:r>
      <w:r w:rsidRPr="00F125EF">
        <w:rPr>
          <w:lang w:val="fr-FR"/>
        </w:rPr>
        <w:tab/>
        <w:t>A hajó elülső részén kialakított lakótér padlószintje nem lehet 1,20 m-nél mélyebben a legnagyobb merülés síkjánál.</w:t>
      </w:r>
    </w:p>
    <w:p w:rsidR="00811428" w:rsidRPr="00F125EF" w:rsidRDefault="00811428" w:rsidP="00811428">
      <w:pPr>
        <w:pStyle w:val="ESch"/>
        <w:rPr>
          <w:spacing w:val="-2"/>
          <w:szCs w:val="20"/>
          <w:lang w:val="fr-FR"/>
        </w:rPr>
      </w:pPr>
    </w:p>
    <w:p w:rsidR="006161E9" w:rsidRPr="00F125EF" w:rsidRDefault="006161E9" w:rsidP="00811428">
      <w:pPr>
        <w:pStyle w:val="ESch"/>
        <w:rPr>
          <w:rFonts w:cs="Arial"/>
          <w:szCs w:val="20"/>
          <w:lang w:val="fr-FR"/>
        </w:rPr>
      </w:pPr>
      <w:r w:rsidRPr="00F125EF">
        <w:rPr>
          <w:lang w:val="fr-FR"/>
        </w:rPr>
        <w:t>4.</w:t>
      </w:r>
      <w:r w:rsidRPr="00F125EF">
        <w:rPr>
          <w:lang w:val="fr-FR"/>
        </w:rPr>
        <w:tab/>
        <w:t>A közösségi nappali helyiségeknek és a hálókabinoknak legalább két kijárattal kell rendelkezniük, amelyek egymástól a lehető legtávolabb helyezkednek el, és amelyek menekülési útvonalként szolgálnak. Az egyik kijárat vészkijárattá alakítható. Ez nem vonatkozik azokra a helyiségekre, amelyek kijárata közvetlenül a fedélzetre vagy egy menekülési útvonalként szolgáló folyosóra nyílik, feltéve, hogy a folyosón két egymástól független, a hajó jobb és bal oldalára vezető kijárat van. A vészkijáratoknak, beleértve adott esetben az ablakokat és tetőablakokat is, legalább 0,36 m</w:t>
      </w:r>
      <w:r w:rsidRPr="00F125EF">
        <w:rPr>
          <w:spacing w:val="-2"/>
          <w:vertAlign w:val="superscript"/>
          <w:lang w:val="fr-FR"/>
        </w:rPr>
        <w:t>2</w:t>
      </w:r>
      <w:r w:rsidRPr="00F125EF">
        <w:rPr>
          <w:lang w:val="fr-FR"/>
        </w:rPr>
        <w:t>-es szabad nyílással kell rendelkezniük, melynek rövidebb oldala legalább 0,50 m, és vészhelyzet esetén gyors evakuálást kell lehetővé tenniük. A menekülési útvonalak szigetelésének és burkolatának égésgátló anyagból kell készülnie, továbbá a menekülési útvonalak használhatóságát mindenkor biztosítani kell megfelelő eszközökkel, például létrákkal vagy külön felszerelt létrafokokkal.</w:t>
      </w:r>
    </w:p>
    <w:p w:rsidR="00811428" w:rsidRPr="00F125EF" w:rsidRDefault="00811428" w:rsidP="00811428">
      <w:pPr>
        <w:pStyle w:val="ESch"/>
        <w:rPr>
          <w:szCs w:val="20"/>
          <w:lang w:val="fr-FR"/>
        </w:rPr>
      </w:pPr>
    </w:p>
    <w:p w:rsidR="006161E9" w:rsidRPr="00F125EF" w:rsidRDefault="006161E9" w:rsidP="00811428">
      <w:pPr>
        <w:pStyle w:val="ESch"/>
        <w:rPr>
          <w:rFonts w:cs="Arial"/>
          <w:szCs w:val="20"/>
          <w:lang w:val="fr-FR"/>
        </w:rPr>
      </w:pPr>
      <w:r w:rsidRPr="00F125EF">
        <w:rPr>
          <w:lang w:val="fr-FR"/>
        </w:rPr>
        <w:t>5.</w:t>
      </w:r>
      <w:r w:rsidRPr="00F125EF">
        <w:rPr>
          <w:lang w:val="fr-FR"/>
        </w:rPr>
        <w:tab/>
        <w:t>A lakótereket védeni kell a nem megengedhető szintű zajjal és rezgésekkel szemben. A hangnyomás nem lépheti túl a következő szinteket:</w:t>
      </w:r>
    </w:p>
    <w:p w:rsidR="006161E9" w:rsidRPr="00F125EF" w:rsidRDefault="005C7859" w:rsidP="00811428">
      <w:pPr>
        <w:pStyle w:val="ESlet"/>
        <w:rPr>
          <w:rFonts w:cs="Arial"/>
          <w:lang w:val="fr-FR"/>
        </w:rPr>
      </w:pPr>
      <w:r w:rsidRPr="00F125EF">
        <w:rPr>
          <w:lang w:val="fr-FR"/>
        </w:rPr>
        <w:t>a)</w:t>
      </w:r>
      <w:r w:rsidRPr="00F125EF">
        <w:rPr>
          <w:lang w:val="fr-FR"/>
        </w:rPr>
        <w:tab/>
        <w:t>70 dB(A) a közösségi nappali helyiségekben;</w:t>
      </w:r>
    </w:p>
    <w:p w:rsidR="006161E9" w:rsidRPr="00F125EF" w:rsidRDefault="005C7859" w:rsidP="00811428">
      <w:pPr>
        <w:pStyle w:val="ESlet"/>
        <w:rPr>
          <w:rFonts w:cs="Arial"/>
          <w:lang w:val="pt-PT"/>
        </w:rPr>
      </w:pPr>
      <w:r w:rsidRPr="00F125EF">
        <w:rPr>
          <w:lang w:val="pt-PT"/>
        </w:rPr>
        <w:t>b)</w:t>
      </w:r>
      <w:r w:rsidRPr="00F125EF">
        <w:rPr>
          <w:lang w:val="pt-PT"/>
        </w:rPr>
        <w:tab/>
        <w:t>60 dB(A) a hálókabinokban. Ez a rendelkezés nem érinti azokat a hajókat, amelyek kizárólag a legénységnek a tagállami nemzeti szabályzatokban meghatározott pihenőidején kívül üzemelnek.</w:t>
      </w:r>
    </w:p>
    <w:p w:rsidR="00811428" w:rsidRPr="00F125EF" w:rsidRDefault="00811428" w:rsidP="00811428">
      <w:pPr>
        <w:pStyle w:val="ESch"/>
        <w:rPr>
          <w:szCs w:val="20"/>
          <w:lang w:val="pt-PT"/>
        </w:rPr>
      </w:pPr>
    </w:p>
    <w:p w:rsidR="006161E9" w:rsidRPr="00F125EF" w:rsidRDefault="008C3FE7" w:rsidP="00A60E37">
      <w:pPr>
        <w:pStyle w:val="ESchpar"/>
        <w:rPr>
          <w:rFonts w:cs="Arial"/>
          <w:lang w:val="pt-PT"/>
        </w:rPr>
      </w:pPr>
      <w:r w:rsidRPr="00F125EF">
        <w:rPr>
          <w:lang w:val="pt-PT"/>
        </w:rPr>
        <w:t>A napi üzemelési időre vonatkozó, b) pontban említett korlátozást be kell jegyezni a belvízi hajóbizonyítványba.</w:t>
      </w:r>
    </w:p>
    <w:p w:rsidR="00811428" w:rsidRPr="00F125EF" w:rsidRDefault="00811428" w:rsidP="00811428">
      <w:pPr>
        <w:pStyle w:val="ESch"/>
        <w:rPr>
          <w:szCs w:val="20"/>
          <w:lang w:val="pt-PT"/>
        </w:rPr>
      </w:pPr>
    </w:p>
    <w:p w:rsidR="00A60E37" w:rsidRPr="00F125EF" w:rsidRDefault="00A60E37" w:rsidP="00811428">
      <w:pPr>
        <w:pStyle w:val="ESch"/>
        <w:rPr>
          <w:szCs w:val="20"/>
          <w:lang w:val="pt-PT"/>
        </w:rPr>
      </w:pPr>
      <w:r w:rsidRPr="00F125EF">
        <w:rPr>
          <w:lang w:val="pt-PT"/>
        </w:rPr>
        <w:br w:type="page"/>
      </w:r>
    </w:p>
    <w:p w:rsidR="006161E9" w:rsidRPr="00F125EF" w:rsidRDefault="006161E9" w:rsidP="00811428">
      <w:pPr>
        <w:pStyle w:val="ESch"/>
        <w:rPr>
          <w:rFonts w:cs="Arial"/>
          <w:szCs w:val="20"/>
          <w:lang w:val="pt-PT"/>
        </w:rPr>
      </w:pPr>
      <w:r w:rsidRPr="00F125EF">
        <w:rPr>
          <w:lang w:val="pt-PT"/>
        </w:rPr>
        <w:t>6.</w:t>
      </w:r>
      <w:r w:rsidRPr="00F125EF">
        <w:rPr>
          <w:lang w:val="pt-PT"/>
        </w:rPr>
        <w:tab/>
        <w:t>A lakótér belmagassága nem lehet kevesebb 2,00 m-nél.</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7.</w:t>
      </w:r>
      <w:r w:rsidRPr="00F125EF">
        <w:rPr>
          <w:lang w:val="pt-PT"/>
        </w:rPr>
        <w:tab/>
        <w:t>Általános szabály, hogy a hajón lennie kell legalább egy, a hálókabinoktól elválasztott közösségi nappali helyiségnek.</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8.</w:t>
      </w:r>
      <w:r w:rsidRPr="00F125EF">
        <w:rPr>
          <w:lang w:val="pt-PT"/>
        </w:rPr>
        <w:tab/>
        <w:t>A közösségi nappali helyiségek szabad padlófelülete nem lehet kevesebb 2 m</w:t>
      </w:r>
      <w:r w:rsidRPr="00F125EF">
        <w:rPr>
          <w:vertAlign w:val="superscript"/>
          <w:lang w:val="pt-PT"/>
        </w:rPr>
        <w:t>2</w:t>
      </w:r>
      <w:r w:rsidRPr="00F125EF">
        <w:rPr>
          <w:lang w:val="pt-PT"/>
        </w:rPr>
        <w:t>-nél személyenként, és semmilyen esetben sem lehet kevesebb 8 m</w:t>
      </w:r>
      <w:r w:rsidRPr="00F125EF">
        <w:rPr>
          <w:vertAlign w:val="superscript"/>
          <w:lang w:val="pt-PT"/>
        </w:rPr>
        <w:t>2</w:t>
      </w:r>
      <w:r w:rsidRPr="00F125EF">
        <w:rPr>
          <w:lang w:val="pt-PT"/>
        </w:rPr>
        <w:t>-nél összesen (nem számítva a bútorokat, kivéve az asztalokat és a székeket).</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9.</w:t>
      </w:r>
      <w:r w:rsidRPr="00F125EF">
        <w:rPr>
          <w:lang w:val="pt-PT"/>
        </w:rPr>
        <w:tab/>
        <w:t>Az egyéni nappali lakóterek és hálókabinok térfogata nem lehet kevesebb egyenként 7 m</w:t>
      </w:r>
      <w:r w:rsidRPr="00F125EF">
        <w:rPr>
          <w:vertAlign w:val="superscript"/>
          <w:lang w:val="pt-PT"/>
        </w:rPr>
        <w:t>3</w:t>
      </w:r>
      <w:r w:rsidRPr="00F125EF">
        <w:rPr>
          <w:lang w:val="pt-PT"/>
        </w:rPr>
        <w:t>-nél.</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10.</w:t>
      </w:r>
      <w:r w:rsidRPr="00F125EF">
        <w:rPr>
          <w:lang w:val="pt-PT"/>
        </w:rPr>
        <w:tab/>
        <w:t>Az egyéni nappali lakóterek légtérfogata nem lehet kevesebb 3,5 m</w:t>
      </w:r>
      <w:r w:rsidRPr="00F125EF">
        <w:rPr>
          <w:vertAlign w:val="superscript"/>
          <w:lang w:val="pt-PT"/>
        </w:rPr>
        <w:t>3</w:t>
      </w:r>
      <w:r w:rsidRPr="00F125EF">
        <w:rPr>
          <w:lang w:val="pt-PT"/>
        </w:rPr>
        <w:t>-nél személyenként. A hálókabinok légtérfogata legalább 5 m</w:t>
      </w:r>
      <w:r w:rsidRPr="00F125EF">
        <w:rPr>
          <w:vertAlign w:val="superscript"/>
          <w:lang w:val="pt-PT"/>
        </w:rPr>
        <w:t>3</w:t>
      </w:r>
      <w:r w:rsidRPr="00F125EF">
        <w:rPr>
          <w:lang w:val="pt-PT"/>
        </w:rPr>
        <w:t xml:space="preserve"> az első személy számára, és legalább 3 m</w:t>
      </w:r>
      <w:r w:rsidRPr="00F125EF">
        <w:rPr>
          <w:vertAlign w:val="superscript"/>
          <w:lang w:val="pt-PT"/>
        </w:rPr>
        <w:t>3</w:t>
      </w:r>
      <w:r w:rsidRPr="00F125EF">
        <w:rPr>
          <w:lang w:val="pt-PT"/>
        </w:rPr>
        <w:t xml:space="preserve"> minden egyes további személy részére (nem számítva a bútorokat). A hálókabinoknak lehetőség szerint legfeljebb két személyeseknek kell lenniük. A fekhelynek a padlószinttől legalább 0,30 m magasan kell lennie. Ha a fekhelyek egymás felett vannak elhelyezve, az egyes fekhelyek felett legalább 0,60 m szabad térnek kell lennie.</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11.</w:t>
      </w:r>
      <w:r w:rsidRPr="00F125EF">
        <w:rPr>
          <w:lang w:val="pt-PT"/>
        </w:rPr>
        <w:tab/>
        <w:t>Az ajtónyílások felső éle legalább 1,90 m-rel van a fedélzet vagy a padló szintje felett, szabad szélessége pedig legalább 0,60 m. Megengedett, hogy az előírt magasság tolótető vagy zsanéros fedél alkalmazásával valósuljon meg. Az ajtók kifelé kell nyílniuk, és mindkét oldalról nyithatóknak kell lenniük. A küszöb legfeljebb 0,40 m magas lehet, mindazonáltal összhangban kell lennie más biztonsági szabályzatok rendelkezéseivel.</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12</w:t>
      </w:r>
      <w:r w:rsidRPr="00F125EF">
        <w:rPr>
          <w:lang w:val="pt-PT"/>
        </w:rPr>
        <w:tab/>
        <w:t>A lépcsőknek tartósan rögzítetteknek és biztonságosan használhatóknak kell lenniük. Akkor tekinthetők ilyennek, ha:</w:t>
      </w:r>
    </w:p>
    <w:p w:rsidR="006161E9" w:rsidRPr="00F125EF" w:rsidRDefault="005C7859" w:rsidP="00811428">
      <w:pPr>
        <w:pStyle w:val="ESlet"/>
        <w:rPr>
          <w:rFonts w:cs="Arial"/>
          <w:lang w:val="pt-PT"/>
        </w:rPr>
      </w:pPr>
      <w:r w:rsidRPr="00F125EF">
        <w:rPr>
          <w:lang w:val="pt-PT"/>
        </w:rPr>
        <w:t>a)</w:t>
      </w:r>
      <w:r w:rsidRPr="00F125EF">
        <w:rPr>
          <w:lang w:val="pt-PT"/>
        </w:rPr>
        <w:tab/>
        <w:t>szélességük legalább 0,60 m;</w:t>
      </w:r>
    </w:p>
    <w:p w:rsidR="006161E9" w:rsidRPr="00F125EF" w:rsidRDefault="005C7859" w:rsidP="00811428">
      <w:pPr>
        <w:pStyle w:val="ESlet"/>
        <w:rPr>
          <w:rFonts w:cs="Arial"/>
          <w:lang w:val="pt-PT"/>
        </w:rPr>
      </w:pPr>
      <w:r w:rsidRPr="00F125EF">
        <w:rPr>
          <w:lang w:val="pt-PT"/>
        </w:rPr>
        <w:t>b)</w:t>
      </w:r>
      <w:r w:rsidRPr="00F125EF">
        <w:rPr>
          <w:lang w:val="pt-PT"/>
        </w:rPr>
        <w:tab/>
        <w:t>a lépcsőfokok mélysége legalább 0,15 m;</w:t>
      </w:r>
    </w:p>
    <w:p w:rsidR="006161E9" w:rsidRPr="00F125EF" w:rsidRDefault="005C7859" w:rsidP="00811428">
      <w:pPr>
        <w:pStyle w:val="ESlet"/>
        <w:rPr>
          <w:rFonts w:cs="Arial"/>
          <w:lang w:val="pt-PT"/>
        </w:rPr>
      </w:pPr>
      <w:r w:rsidRPr="00F125EF">
        <w:rPr>
          <w:lang w:val="pt-PT"/>
        </w:rPr>
        <w:t>c)</w:t>
      </w:r>
      <w:r w:rsidRPr="00F125EF">
        <w:rPr>
          <w:lang w:val="pt-PT"/>
        </w:rPr>
        <w:tab/>
        <w:t>a lépcsőfokok csúszásmentesek; és</w:t>
      </w:r>
    </w:p>
    <w:p w:rsidR="006161E9" w:rsidRPr="00F125EF" w:rsidRDefault="005C7859" w:rsidP="00811428">
      <w:pPr>
        <w:pStyle w:val="ESlet"/>
        <w:rPr>
          <w:rFonts w:cs="Arial"/>
          <w:lang w:val="pt-PT"/>
        </w:rPr>
      </w:pPr>
      <w:r w:rsidRPr="00F125EF">
        <w:rPr>
          <w:lang w:val="pt-PT"/>
        </w:rPr>
        <w:t>d)</w:t>
      </w:r>
      <w:r w:rsidRPr="00F125EF">
        <w:rPr>
          <w:lang w:val="pt-PT"/>
        </w:rPr>
        <w:tab/>
        <w:t>legalább egy korláttal vagy kapaszkodóval vannak ellátva, amennyiben a lépcsőfokok száma háromnál több.</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13.</w:t>
      </w:r>
      <w:r w:rsidRPr="00F125EF">
        <w:rPr>
          <w:lang w:val="pt-PT"/>
        </w:rPr>
        <w:tab/>
        <w:t>Veszélyes gázokat vagy folyadékokat szállító csövek és különösen olyan nagy nyomás alatt lévő csövek, amelyek szivárgása veszélyeztetheti a személyi biztonságot, nem helyezhetők a lakótérbe és a lakótérhez vezető folyosóra. Ez nem vonatkozik a cseppfolyósított gázzal üzemelő háztartási berendezések csöveire, valamint a gőzcsövekre és a hidraulikus rendszer csöveire, feltéve, hogy azok fémburkolattal vannak ellátva.</w:t>
      </w:r>
    </w:p>
    <w:p w:rsidR="006161E9" w:rsidRPr="00F125EF" w:rsidRDefault="006161E9" w:rsidP="00811428">
      <w:pPr>
        <w:pStyle w:val="ESch"/>
        <w:rPr>
          <w:rFonts w:cs="Arial"/>
          <w:szCs w:val="20"/>
          <w:lang w:val="pt-PT"/>
        </w:rPr>
      </w:pPr>
    </w:p>
    <w:p w:rsidR="00A60E37" w:rsidRPr="00F125EF" w:rsidRDefault="00A60E37" w:rsidP="00811428">
      <w:pPr>
        <w:pStyle w:val="ESch"/>
        <w:rPr>
          <w:rFonts w:cs="Arial"/>
          <w:szCs w:val="20"/>
          <w:lang w:val="pt-PT"/>
        </w:rPr>
      </w:pPr>
    </w:p>
    <w:p w:rsidR="006161E9" w:rsidRPr="00F125EF" w:rsidRDefault="006161E9" w:rsidP="00811428">
      <w:pPr>
        <w:pStyle w:val="ES-Titre3"/>
        <w:rPr>
          <w:i/>
          <w:lang w:val="pt-PT"/>
        </w:rPr>
      </w:pPr>
      <w:bookmarkStart w:id="260" w:name="_Toc491854127"/>
      <w:bookmarkStart w:id="261" w:name="_Toc535853906"/>
      <w:r w:rsidRPr="00F125EF">
        <w:rPr>
          <w:lang w:val="pt-PT"/>
        </w:rPr>
        <w:t>15.03. cikk</w:t>
      </w:r>
      <w:r w:rsidRPr="00F125EF">
        <w:rPr>
          <w:lang w:val="pt-PT"/>
        </w:rPr>
        <w:br/>
      </w:r>
      <w:r w:rsidRPr="00F125EF">
        <w:rPr>
          <w:i/>
          <w:lang w:val="pt-PT"/>
        </w:rPr>
        <w:t>Szaniterberendezések</w:t>
      </w:r>
      <w:bookmarkEnd w:id="260"/>
      <w:bookmarkEnd w:id="261"/>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1.</w:t>
      </w:r>
      <w:r w:rsidRPr="00F125EF">
        <w:rPr>
          <w:lang w:val="pt-PT"/>
        </w:rPr>
        <w:tab/>
        <w:t>A lakótérrel rendelkező hajókat legalább a következő szaniterberendezésekkel kell ellátni:</w:t>
      </w:r>
    </w:p>
    <w:p w:rsidR="006161E9" w:rsidRPr="00F125EF" w:rsidRDefault="005C7859" w:rsidP="00811428">
      <w:pPr>
        <w:pStyle w:val="ESlet"/>
        <w:rPr>
          <w:rFonts w:cs="Arial"/>
          <w:lang w:val="pt-PT"/>
        </w:rPr>
      </w:pPr>
      <w:r w:rsidRPr="00F125EF">
        <w:rPr>
          <w:lang w:val="pt-PT"/>
        </w:rPr>
        <w:t>a)</w:t>
      </w:r>
      <w:r w:rsidRPr="00F125EF">
        <w:rPr>
          <w:lang w:val="pt-PT"/>
        </w:rPr>
        <w:tab/>
        <w:t>egy WC, minden lakótéri egységben vagy a legénység minden hat tagjára. Biztosítani kell, hogy a WC friss levegővel szellőztethető legyen;</w:t>
      </w:r>
    </w:p>
    <w:p w:rsidR="006161E9" w:rsidRPr="00F125EF" w:rsidRDefault="005C7859" w:rsidP="00811428">
      <w:pPr>
        <w:pStyle w:val="ESlet"/>
        <w:rPr>
          <w:rFonts w:cs="Arial"/>
          <w:lang w:val="pt-PT"/>
        </w:rPr>
      </w:pPr>
      <w:r w:rsidRPr="00F125EF">
        <w:rPr>
          <w:lang w:val="pt-PT"/>
        </w:rPr>
        <w:t>b)</w:t>
      </w:r>
      <w:r w:rsidRPr="00F125EF">
        <w:rPr>
          <w:lang w:val="pt-PT"/>
        </w:rPr>
        <w:tab/>
        <w:t>ivóvízrendszerre kötött, hideg- és melegvíz-csatlakozással és szennyvízcsővel ellátott mosdókagyló lakótéri egységenként vagy a legénység minden négy tagjára;</w:t>
      </w:r>
    </w:p>
    <w:p w:rsidR="006161E9" w:rsidRPr="00F125EF" w:rsidRDefault="005C7859" w:rsidP="00811428">
      <w:pPr>
        <w:pStyle w:val="ESlet"/>
        <w:rPr>
          <w:rFonts w:cs="Arial"/>
          <w:lang w:val="pt-PT"/>
        </w:rPr>
      </w:pPr>
      <w:r w:rsidRPr="00F125EF">
        <w:rPr>
          <w:lang w:val="pt-PT"/>
        </w:rPr>
        <w:t>c)</w:t>
      </w:r>
      <w:r w:rsidRPr="00F125EF">
        <w:rPr>
          <w:lang w:val="pt-PT"/>
        </w:rPr>
        <w:tab/>
        <w:t>ivóvízrendszerre kötött, hideg- és melegvíz-csatlakozással ellátott zuhanyzó vagy fürdőkád lakótéri egységenként vagy a legénység minden hat tagjára.</w:t>
      </w:r>
    </w:p>
    <w:p w:rsidR="00811428" w:rsidRPr="00F125EF" w:rsidRDefault="00811428" w:rsidP="00811428">
      <w:pPr>
        <w:pStyle w:val="ESlet"/>
        <w:rPr>
          <w:szCs w:val="20"/>
          <w:lang w:val="pt-PT"/>
        </w:rPr>
      </w:pPr>
    </w:p>
    <w:p w:rsidR="00A60E37" w:rsidRPr="00F125EF" w:rsidRDefault="00A60E37" w:rsidP="00811428">
      <w:pPr>
        <w:pStyle w:val="ESlet"/>
        <w:rPr>
          <w:szCs w:val="20"/>
          <w:lang w:val="pt-PT"/>
        </w:rPr>
      </w:pPr>
      <w:r w:rsidRPr="00F125EF">
        <w:rPr>
          <w:lang w:val="pt-PT"/>
        </w:rPr>
        <w:br w:type="page"/>
      </w:r>
    </w:p>
    <w:p w:rsidR="006161E9" w:rsidRPr="00F125EF" w:rsidRDefault="006161E9" w:rsidP="00811428">
      <w:pPr>
        <w:pStyle w:val="ESch"/>
        <w:rPr>
          <w:rFonts w:cs="Arial"/>
          <w:szCs w:val="20"/>
          <w:lang w:val="pt-PT"/>
        </w:rPr>
      </w:pPr>
      <w:r w:rsidRPr="00F125EF">
        <w:rPr>
          <w:lang w:val="pt-PT"/>
        </w:rPr>
        <w:t>2.</w:t>
      </w:r>
      <w:r w:rsidRPr="00F125EF">
        <w:rPr>
          <w:lang w:val="pt-PT"/>
        </w:rPr>
        <w:tab/>
        <w:t>A szaniterberendezéseknek a lakótér közvetlen közelében kell lenniük. A WC-k nem rendelkezhetnek közvetlen bejárattal a konyhákba, az étkezőkbe vagy a kombinált közösségi nappali helyiségekbe/konyhákba.</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3.</w:t>
      </w:r>
      <w:r w:rsidRPr="00F125EF">
        <w:rPr>
          <w:lang w:val="pt-PT"/>
        </w:rPr>
        <w:tab/>
        <w:t>A WC-fülkék padlófelülete legalább 1 m</w:t>
      </w:r>
      <w:r w:rsidRPr="00F125EF">
        <w:rPr>
          <w:vertAlign w:val="superscript"/>
          <w:lang w:val="pt-PT"/>
        </w:rPr>
        <w:t>2</w:t>
      </w:r>
      <w:r w:rsidRPr="00F125EF">
        <w:rPr>
          <w:lang w:val="pt-PT"/>
        </w:rPr>
        <w:t>, szélességük legalább 0,75 m, hosszúságuk legalább 1,10 m. A legfeljebb két személyt kiszolgáló hálókabinokban lévő WC-fülkék lehetnek ennél kisebbek. Ha a WC-fülkében van mosdókagyló és/vagy zuhanyzó, a padlófelületet meg kell növelni legalább a mosdó és/vagy zuhanyzó (vagy fürdőkád) által elfoglalt padlófelülettel.</w:t>
      </w:r>
    </w:p>
    <w:p w:rsidR="006161E9" w:rsidRPr="00F125EF" w:rsidRDefault="006161E9" w:rsidP="00811428">
      <w:pPr>
        <w:pStyle w:val="ESch"/>
        <w:rPr>
          <w:rFonts w:cs="Arial"/>
          <w:szCs w:val="20"/>
          <w:lang w:val="pt-PT"/>
        </w:rPr>
      </w:pPr>
    </w:p>
    <w:p w:rsidR="00A60E37" w:rsidRPr="00F125EF" w:rsidRDefault="00A60E37" w:rsidP="00811428">
      <w:pPr>
        <w:pStyle w:val="ESch"/>
        <w:rPr>
          <w:rFonts w:cs="Arial"/>
          <w:szCs w:val="20"/>
          <w:lang w:val="pt-PT"/>
        </w:rPr>
      </w:pPr>
    </w:p>
    <w:p w:rsidR="006161E9" w:rsidRPr="00F125EF" w:rsidRDefault="006161E9" w:rsidP="00811428">
      <w:pPr>
        <w:pStyle w:val="ES-Titre3"/>
        <w:rPr>
          <w:i/>
          <w:lang w:val="pt-PT"/>
        </w:rPr>
      </w:pPr>
      <w:bookmarkStart w:id="262" w:name="_Toc491854128"/>
      <w:bookmarkStart w:id="263" w:name="_Toc535853907"/>
      <w:r w:rsidRPr="00F125EF">
        <w:rPr>
          <w:lang w:val="pt-PT"/>
        </w:rPr>
        <w:t>15.04. cikk</w:t>
      </w:r>
      <w:r w:rsidRPr="00F125EF">
        <w:rPr>
          <w:lang w:val="pt-PT"/>
        </w:rPr>
        <w:br/>
      </w:r>
      <w:r w:rsidRPr="00F125EF">
        <w:rPr>
          <w:i/>
          <w:lang w:val="pt-PT"/>
        </w:rPr>
        <w:t>Konyhák</w:t>
      </w:r>
      <w:bookmarkEnd w:id="262"/>
      <w:bookmarkEnd w:id="263"/>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1.</w:t>
      </w:r>
      <w:r w:rsidRPr="00F125EF">
        <w:rPr>
          <w:lang w:val="pt-PT"/>
        </w:rPr>
        <w:tab/>
        <w:t>A konyhák a közösségi nappali helyiségekkel kombinálva is kialakíthatók.</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2.</w:t>
      </w:r>
      <w:r w:rsidRPr="00F125EF">
        <w:rPr>
          <w:lang w:val="pt-PT"/>
        </w:rPr>
        <w:tab/>
        <w:t>A konyhákat a következőkkel kell felszerelni:</w:t>
      </w:r>
    </w:p>
    <w:p w:rsidR="006161E9" w:rsidRPr="00F125EF" w:rsidRDefault="005C7859" w:rsidP="00811428">
      <w:pPr>
        <w:pStyle w:val="ESlet"/>
        <w:rPr>
          <w:rFonts w:cs="Arial"/>
          <w:lang w:val="pt-PT"/>
        </w:rPr>
      </w:pPr>
      <w:r w:rsidRPr="00F125EF">
        <w:rPr>
          <w:lang w:val="pt-PT"/>
        </w:rPr>
        <w:t>a)</w:t>
      </w:r>
      <w:r w:rsidRPr="00F125EF">
        <w:rPr>
          <w:lang w:val="pt-PT"/>
        </w:rPr>
        <w:tab/>
        <w:t>tűzhely;</w:t>
      </w:r>
    </w:p>
    <w:p w:rsidR="006161E9" w:rsidRPr="00F125EF" w:rsidRDefault="005C7859" w:rsidP="00811428">
      <w:pPr>
        <w:pStyle w:val="ESlet"/>
        <w:rPr>
          <w:rFonts w:cs="Arial"/>
          <w:lang w:val="pt-PT"/>
        </w:rPr>
      </w:pPr>
      <w:r w:rsidRPr="00F125EF">
        <w:rPr>
          <w:lang w:val="pt-PT"/>
        </w:rPr>
        <w:t>b)</w:t>
      </w:r>
      <w:r w:rsidRPr="00F125EF">
        <w:rPr>
          <w:lang w:val="pt-PT"/>
        </w:rPr>
        <w:tab/>
        <w:t>mosogató lefolyóval;</w:t>
      </w:r>
    </w:p>
    <w:p w:rsidR="006161E9" w:rsidRPr="00F125EF" w:rsidRDefault="005C7859" w:rsidP="00811428">
      <w:pPr>
        <w:pStyle w:val="ESlet"/>
        <w:rPr>
          <w:rFonts w:cs="Arial"/>
          <w:lang w:val="pt-PT"/>
        </w:rPr>
      </w:pPr>
      <w:r w:rsidRPr="00F125EF">
        <w:rPr>
          <w:lang w:val="pt-PT"/>
        </w:rPr>
        <w:t>c)</w:t>
      </w:r>
      <w:r w:rsidRPr="00F125EF">
        <w:rPr>
          <w:lang w:val="pt-PT"/>
        </w:rPr>
        <w:tab/>
        <w:t>ivóvízcsap;</w:t>
      </w:r>
    </w:p>
    <w:p w:rsidR="006161E9" w:rsidRPr="00F125EF" w:rsidRDefault="005C7859" w:rsidP="00811428">
      <w:pPr>
        <w:pStyle w:val="ESlet"/>
        <w:rPr>
          <w:rFonts w:cs="Arial"/>
          <w:lang w:val="pt-PT"/>
        </w:rPr>
      </w:pPr>
      <w:r w:rsidRPr="00F125EF">
        <w:rPr>
          <w:lang w:val="pt-PT"/>
        </w:rPr>
        <w:t>d)</w:t>
      </w:r>
      <w:r w:rsidRPr="00F125EF">
        <w:rPr>
          <w:lang w:val="pt-PT"/>
        </w:rPr>
        <w:tab/>
        <w:t>hűtőgép;</w:t>
      </w:r>
    </w:p>
    <w:p w:rsidR="006161E9" w:rsidRPr="00F125EF" w:rsidRDefault="0029453D" w:rsidP="00811428">
      <w:pPr>
        <w:pStyle w:val="ESlet"/>
        <w:rPr>
          <w:rFonts w:cs="Arial"/>
          <w:lang w:val="pt-PT"/>
        </w:rPr>
      </w:pPr>
      <w:r w:rsidRPr="00F125EF">
        <w:rPr>
          <w:lang w:val="pt-PT"/>
        </w:rPr>
        <w:t>e)</w:t>
      </w:r>
      <w:r w:rsidRPr="00F125EF">
        <w:rPr>
          <w:lang w:val="pt-PT"/>
        </w:rPr>
        <w:tab/>
        <w:t>elegendő tároló- és munkahely.</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3.</w:t>
      </w:r>
      <w:r w:rsidRPr="00F125EF">
        <w:rPr>
          <w:lang w:val="pt-PT"/>
        </w:rPr>
        <w:tab/>
        <w:t>A kombinált közösségi nappali helyiségek/konyhák étkezésre szolgáló területének elegendőnek kell lennie annyi legénységi tag részére, ahányan azt általában egy időben igénybe veszik. Az ülőhelyek szélessége legalább 0,60 m.</w:t>
      </w:r>
    </w:p>
    <w:p w:rsidR="006161E9" w:rsidRPr="00F125EF" w:rsidRDefault="006161E9" w:rsidP="00811428">
      <w:pPr>
        <w:pStyle w:val="ESch"/>
        <w:rPr>
          <w:rFonts w:cs="Arial"/>
          <w:szCs w:val="20"/>
          <w:lang w:val="pt-PT"/>
        </w:rPr>
      </w:pPr>
    </w:p>
    <w:p w:rsidR="00A60E37" w:rsidRPr="00F125EF" w:rsidRDefault="00A60E37" w:rsidP="00811428">
      <w:pPr>
        <w:pStyle w:val="ESch"/>
        <w:rPr>
          <w:rFonts w:cs="Arial"/>
          <w:szCs w:val="20"/>
          <w:lang w:val="pt-PT"/>
        </w:rPr>
      </w:pPr>
    </w:p>
    <w:p w:rsidR="006161E9" w:rsidRPr="00F125EF" w:rsidRDefault="006161E9" w:rsidP="00811428">
      <w:pPr>
        <w:pStyle w:val="ES-Titre3"/>
        <w:rPr>
          <w:i/>
          <w:lang w:val="pt-PT"/>
        </w:rPr>
      </w:pPr>
      <w:bookmarkStart w:id="264" w:name="_Toc491854129"/>
      <w:bookmarkStart w:id="265" w:name="_Toc535853908"/>
      <w:r w:rsidRPr="00F125EF">
        <w:rPr>
          <w:lang w:val="pt-PT"/>
        </w:rPr>
        <w:t>15.05. cikk</w:t>
      </w:r>
      <w:r w:rsidRPr="00F125EF">
        <w:rPr>
          <w:lang w:val="pt-PT"/>
        </w:rPr>
        <w:br/>
      </w:r>
      <w:r w:rsidRPr="00F125EF">
        <w:rPr>
          <w:i/>
          <w:lang w:val="pt-PT"/>
        </w:rPr>
        <w:t>Ivóvízellátásra szolgáló berendezések</w:t>
      </w:r>
      <w:bookmarkEnd w:id="264"/>
      <w:bookmarkEnd w:id="265"/>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1.</w:t>
      </w:r>
      <w:r w:rsidRPr="00F125EF">
        <w:rPr>
          <w:lang w:val="pt-PT"/>
        </w:rPr>
        <w:tab/>
        <w:t>A lakótérrel rendelkező hajókat fel kell szerelni ivóvízellátásra szolgáló berendezéssel. Az ivóvíztartályok töltőnyílásain és az ivóvízvezetékeken jelölni kell, hogy azok kizárólag ivóvízellátásra szolgálnak. Az ivóvízbetöltő nyílásokat a fedélzet szintje felett kell elhelyezni.</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2.</w:t>
      </w:r>
      <w:r w:rsidRPr="00F125EF">
        <w:rPr>
          <w:lang w:val="pt-PT"/>
        </w:rPr>
        <w:tab/>
        <w:t>Az ivóvízellátásra szolgáló berendezéseknek meg kell felelniük a következőknek:</w:t>
      </w:r>
    </w:p>
    <w:p w:rsidR="006161E9" w:rsidRPr="00F125EF" w:rsidRDefault="005C7859" w:rsidP="00811428">
      <w:pPr>
        <w:pStyle w:val="ESlet"/>
        <w:rPr>
          <w:rFonts w:cs="Arial"/>
          <w:lang w:val="pt-PT"/>
        </w:rPr>
      </w:pPr>
      <w:r w:rsidRPr="00F125EF">
        <w:rPr>
          <w:lang w:val="pt-PT"/>
        </w:rPr>
        <w:t>a)</w:t>
      </w:r>
      <w:r w:rsidRPr="00F125EF">
        <w:rPr>
          <w:lang w:val="pt-PT"/>
        </w:rPr>
        <w:tab/>
        <w:t>belső felületük korrózióálló anyagból készült, amely nem hordoz magában fiziológiai kockázatokat;</w:t>
      </w:r>
    </w:p>
    <w:p w:rsidR="006161E9" w:rsidRPr="00F125EF" w:rsidRDefault="005C7859" w:rsidP="00811428">
      <w:pPr>
        <w:pStyle w:val="ESlet"/>
        <w:rPr>
          <w:rFonts w:cs="Arial"/>
          <w:lang w:val="pt-PT"/>
        </w:rPr>
      </w:pPr>
      <w:r w:rsidRPr="00F125EF">
        <w:rPr>
          <w:lang w:val="pt-PT"/>
        </w:rPr>
        <w:t>b)</w:t>
      </w:r>
      <w:r w:rsidRPr="00F125EF">
        <w:rPr>
          <w:lang w:val="pt-PT"/>
        </w:rPr>
        <w:tab/>
        <w:t>nem rendelkeznek olyan csőszakasszal, amely nem biztosítja a víz folyamatos átfolyását; valamint</w:t>
      </w:r>
    </w:p>
    <w:p w:rsidR="006161E9" w:rsidRPr="00F125EF" w:rsidRDefault="005C7859" w:rsidP="00811428">
      <w:pPr>
        <w:pStyle w:val="ESlet"/>
        <w:rPr>
          <w:rFonts w:cs="Arial"/>
          <w:lang w:val="pt-PT"/>
        </w:rPr>
      </w:pPr>
      <w:r w:rsidRPr="00F125EF">
        <w:rPr>
          <w:lang w:val="pt-PT"/>
        </w:rPr>
        <w:t>c)</w:t>
      </w:r>
      <w:r w:rsidRPr="00F125EF">
        <w:rPr>
          <w:lang w:val="pt-PT"/>
        </w:rPr>
        <w:tab/>
        <w:t>biztosított a túlzott hőhatás elleni védelmük.</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3.</w:t>
      </w:r>
      <w:r w:rsidRPr="00F125EF">
        <w:rPr>
          <w:lang w:val="pt-PT"/>
        </w:rPr>
        <w:tab/>
        <w:t>A 2. bekezdésen túlmenően az ivóvíztartályoknak meg kell felelniük a következőknek:</w:t>
      </w:r>
    </w:p>
    <w:p w:rsidR="006161E9" w:rsidRPr="00F125EF" w:rsidRDefault="005C7859" w:rsidP="00811428">
      <w:pPr>
        <w:pStyle w:val="ESlet"/>
        <w:rPr>
          <w:rFonts w:cs="Arial"/>
          <w:lang w:val="pt-PT"/>
        </w:rPr>
      </w:pPr>
      <w:r w:rsidRPr="00F125EF">
        <w:rPr>
          <w:lang w:val="pt-PT"/>
        </w:rPr>
        <w:t>a)</w:t>
      </w:r>
      <w:r w:rsidRPr="00F125EF">
        <w:rPr>
          <w:lang w:val="pt-PT"/>
        </w:rPr>
        <w:tab/>
        <w:t>legalább 150 literes űrtartalommal rendelkeznek szokásosan a hajón élő személyenként, de legalább legénységi tagonként;</w:t>
      </w:r>
    </w:p>
    <w:p w:rsidR="006161E9" w:rsidRPr="00F125EF" w:rsidRDefault="005C7859" w:rsidP="00811428">
      <w:pPr>
        <w:pStyle w:val="ESlet"/>
        <w:rPr>
          <w:rFonts w:cs="Arial"/>
          <w:lang w:val="pt-PT"/>
        </w:rPr>
      </w:pPr>
      <w:r w:rsidRPr="00F125EF">
        <w:rPr>
          <w:lang w:val="pt-PT"/>
        </w:rPr>
        <w:t>b)</w:t>
      </w:r>
      <w:r w:rsidRPr="00F125EF">
        <w:rPr>
          <w:lang w:val="pt-PT"/>
        </w:rPr>
        <w:tab/>
        <w:t>megfelelő zárható nyílással rendelkeznek, amely lehetővé teszi belsejük tisztítását;</w:t>
      </w:r>
    </w:p>
    <w:p w:rsidR="006161E9" w:rsidRPr="00F125EF" w:rsidRDefault="005C7859" w:rsidP="00811428">
      <w:pPr>
        <w:pStyle w:val="ESlet"/>
        <w:rPr>
          <w:rFonts w:cs="Arial"/>
          <w:lang w:val="pt-PT"/>
        </w:rPr>
      </w:pPr>
      <w:r w:rsidRPr="00F125EF">
        <w:rPr>
          <w:lang w:val="pt-PT"/>
        </w:rPr>
        <w:t>c)</w:t>
      </w:r>
      <w:r w:rsidRPr="00F125EF">
        <w:rPr>
          <w:lang w:val="pt-PT"/>
        </w:rPr>
        <w:tab/>
        <w:t>fel vannak szerelve vízszintjelzővel;</w:t>
      </w:r>
    </w:p>
    <w:p w:rsidR="006161E9" w:rsidRPr="00F125EF" w:rsidRDefault="005C7859" w:rsidP="00811428">
      <w:pPr>
        <w:pStyle w:val="ESlet"/>
        <w:rPr>
          <w:rFonts w:cs="Arial"/>
          <w:lang w:val="pt-PT"/>
        </w:rPr>
      </w:pPr>
      <w:r w:rsidRPr="00F125EF">
        <w:rPr>
          <w:lang w:val="pt-PT"/>
        </w:rPr>
        <w:t>d)</w:t>
      </w:r>
      <w:r w:rsidRPr="00F125EF">
        <w:rPr>
          <w:lang w:val="pt-PT"/>
        </w:rPr>
        <w:tab/>
        <w:t>fel vannak szerelve a szabad levegőre vezető szellőzőcsővel vagy megfelelő szűrőkkel.</w:t>
      </w:r>
    </w:p>
    <w:p w:rsidR="00811428" w:rsidRPr="00F125EF" w:rsidRDefault="00811428" w:rsidP="00811428">
      <w:pPr>
        <w:pStyle w:val="ESch"/>
        <w:rPr>
          <w:szCs w:val="20"/>
          <w:lang w:val="pt-PT"/>
        </w:rPr>
      </w:pPr>
    </w:p>
    <w:p w:rsidR="00A60E37" w:rsidRPr="00F125EF" w:rsidRDefault="00A60E37" w:rsidP="00811428">
      <w:pPr>
        <w:pStyle w:val="ESch"/>
        <w:rPr>
          <w:szCs w:val="20"/>
          <w:lang w:val="pt-PT"/>
        </w:rPr>
      </w:pPr>
      <w:r w:rsidRPr="00F125EF">
        <w:rPr>
          <w:lang w:val="pt-PT"/>
        </w:rPr>
        <w:br w:type="page"/>
      </w:r>
    </w:p>
    <w:p w:rsidR="006161E9" w:rsidRPr="00F125EF" w:rsidRDefault="006161E9" w:rsidP="00811428">
      <w:pPr>
        <w:pStyle w:val="ESch"/>
        <w:rPr>
          <w:rFonts w:cs="Arial"/>
          <w:szCs w:val="20"/>
          <w:lang w:val="pt-PT"/>
        </w:rPr>
      </w:pPr>
      <w:r w:rsidRPr="00F125EF">
        <w:rPr>
          <w:lang w:val="pt-PT"/>
        </w:rPr>
        <w:t>4.</w:t>
      </w:r>
      <w:r w:rsidRPr="00F125EF">
        <w:rPr>
          <w:lang w:val="pt-PT"/>
        </w:rPr>
        <w:tab/>
        <w:t>Az ivóvíztartályoknak más célra szolgáló tartályokkal közös falai nem lehetnek. Ivóvízvezetékek más folyadékok tárolására szolgáló tartályokon nem vezethetők keresztül. Az ivóvízellátásra szolgáló rendszert más csőrendszerekkel összekötni tilos. Gázok vagy ivóvíztől eltérő folyadékok szállítására szolgáló csövek ivóvíztartályokon nem vezethetők keresztül.</w:t>
      </w:r>
    </w:p>
    <w:p w:rsidR="00811428" w:rsidRPr="00F125EF" w:rsidRDefault="00811428" w:rsidP="00811428">
      <w:pPr>
        <w:pStyle w:val="ESch"/>
        <w:rPr>
          <w:szCs w:val="20"/>
          <w:lang w:val="pt-PT"/>
        </w:rPr>
      </w:pPr>
    </w:p>
    <w:p w:rsidR="006161E9" w:rsidRPr="00F125EF" w:rsidRDefault="006161E9" w:rsidP="00811428">
      <w:pPr>
        <w:pStyle w:val="ESch"/>
        <w:rPr>
          <w:szCs w:val="20"/>
          <w:lang w:val="pt-PT"/>
        </w:rPr>
      </w:pPr>
      <w:r w:rsidRPr="00F125EF">
        <w:rPr>
          <w:lang w:val="pt-PT"/>
        </w:rPr>
        <w:t>5.</w:t>
      </w:r>
      <w:r w:rsidRPr="00F125EF">
        <w:rPr>
          <w:lang w:val="pt-PT"/>
        </w:rPr>
        <w:tab/>
        <w:t>Nyomás alatti ivóvízedények csak szennyeződésmentes sűrített levegővel üzemeltethetők. Ha a sűrített levegőt kompresszorral állítják elő, akkor közvetlenül a nyomás alatt lévő edény elé megfelelő levegőszűrőt és olajleválasztót kell beépíteni, kivéve azt az esetet, ha a vizet és a sűrített levegőt membrán választja el egymástól.</w:t>
      </w:r>
    </w:p>
    <w:p w:rsidR="00811428" w:rsidRPr="00F125EF" w:rsidRDefault="00811428" w:rsidP="00811428">
      <w:pPr>
        <w:pStyle w:val="ESch"/>
        <w:rPr>
          <w:szCs w:val="20"/>
          <w:lang w:val="pt-PT"/>
        </w:rPr>
      </w:pPr>
    </w:p>
    <w:p w:rsidR="00811428" w:rsidRPr="00F125EF" w:rsidRDefault="00811428" w:rsidP="00811428">
      <w:pPr>
        <w:pStyle w:val="ESch"/>
        <w:rPr>
          <w:rFonts w:cs="Arial"/>
          <w:szCs w:val="20"/>
          <w:lang w:val="pt-PT"/>
        </w:rPr>
      </w:pPr>
    </w:p>
    <w:p w:rsidR="006161E9" w:rsidRPr="00F125EF" w:rsidRDefault="006161E9" w:rsidP="00811428">
      <w:pPr>
        <w:pStyle w:val="ES-Titre3"/>
        <w:rPr>
          <w:i/>
          <w:lang w:val="pt-PT"/>
        </w:rPr>
      </w:pPr>
      <w:bookmarkStart w:id="266" w:name="_Toc491854130"/>
      <w:bookmarkStart w:id="267" w:name="_Toc535853909"/>
      <w:r w:rsidRPr="00F125EF">
        <w:rPr>
          <w:lang w:val="pt-PT"/>
        </w:rPr>
        <w:t>15.06. cikk</w:t>
      </w:r>
      <w:r w:rsidRPr="00F125EF">
        <w:rPr>
          <w:lang w:val="pt-PT"/>
        </w:rPr>
        <w:br/>
      </w:r>
      <w:r w:rsidRPr="00F125EF">
        <w:rPr>
          <w:i/>
          <w:lang w:val="pt-PT"/>
        </w:rPr>
        <w:t>Fűtés és szellőzés</w:t>
      </w:r>
      <w:bookmarkEnd w:id="266"/>
      <w:bookmarkEnd w:id="267"/>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1.</w:t>
      </w:r>
      <w:r w:rsidRPr="00F125EF">
        <w:rPr>
          <w:lang w:val="pt-PT"/>
        </w:rPr>
        <w:tab/>
        <w:t>Biztosítani kell a lakótér rendeltetési célnak megfelelő fűtését. A fűtési rendszernek meg kell felelnie azoknak az időjárási viszonyoknak, amelyeknek a hajó ki lehet téve.</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2.</w:t>
      </w:r>
      <w:r w:rsidRPr="00F125EF">
        <w:rPr>
          <w:lang w:val="pt-PT"/>
        </w:rPr>
        <w:tab/>
        <w:t>Biztosítani kell a közösségi nappali helyiségek és a hálókabinok megfelelő szellőzését, zárt ajtó mellett is. A szellőzésnek biztosítania kell a megfelelő légcserét bármilyen klímaviszonyok mellett.</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3.</w:t>
      </w:r>
      <w:r w:rsidRPr="00F125EF">
        <w:rPr>
          <w:lang w:val="pt-PT"/>
        </w:rPr>
        <w:tab/>
        <w:t>A lakóteret úgy kell kialakítani, hogy abba a hajó más részeiből, például a géptérből vagy a rakománytérből származó szennyezett levegő lehetőleg ne juthasson be; mesterséges szellőztetés esetén a légbeszívókat úgy kell elhelyezni, hogy a fenti követelmények teljesüljenek.</w:t>
      </w:r>
    </w:p>
    <w:p w:rsidR="006161E9" w:rsidRPr="00F125EF" w:rsidRDefault="006161E9" w:rsidP="00811428">
      <w:pPr>
        <w:pStyle w:val="ESch"/>
        <w:rPr>
          <w:rFonts w:cs="Arial"/>
          <w:i/>
          <w:szCs w:val="20"/>
          <w:lang w:val="pt-PT"/>
        </w:rPr>
      </w:pPr>
    </w:p>
    <w:p w:rsidR="00811428" w:rsidRPr="00F125EF" w:rsidRDefault="00811428" w:rsidP="00811428">
      <w:pPr>
        <w:pStyle w:val="ESch"/>
        <w:rPr>
          <w:rFonts w:cs="Arial"/>
          <w:i/>
          <w:szCs w:val="20"/>
          <w:lang w:val="pt-PT"/>
        </w:rPr>
      </w:pPr>
    </w:p>
    <w:p w:rsidR="006161E9" w:rsidRPr="00F125EF" w:rsidRDefault="006161E9" w:rsidP="00811428">
      <w:pPr>
        <w:pStyle w:val="ES-Titre3"/>
        <w:rPr>
          <w:i/>
          <w:lang w:val="pt-PT"/>
        </w:rPr>
      </w:pPr>
      <w:bookmarkStart w:id="268" w:name="_Toc491854131"/>
      <w:bookmarkStart w:id="269" w:name="_Toc535853910"/>
      <w:r w:rsidRPr="00F125EF">
        <w:rPr>
          <w:lang w:val="pt-PT"/>
        </w:rPr>
        <w:t>15.07. cikk</w:t>
      </w:r>
      <w:r w:rsidRPr="00F125EF">
        <w:rPr>
          <w:lang w:val="pt-PT"/>
        </w:rPr>
        <w:br/>
      </w:r>
      <w:r w:rsidRPr="00F125EF">
        <w:rPr>
          <w:i/>
          <w:lang w:val="pt-PT"/>
        </w:rPr>
        <w:t>Egyéb lakótéri berendezések</w:t>
      </w:r>
      <w:bookmarkEnd w:id="268"/>
      <w:bookmarkEnd w:id="269"/>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1.</w:t>
      </w:r>
      <w:r w:rsidRPr="00F125EF">
        <w:rPr>
          <w:lang w:val="pt-PT"/>
        </w:rPr>
        <w:tab/>
        <w:t>A legénység valamennyi, hajón élő tagja számára biztosítani kell saját fekhelyet és saját zárható ruhásszekrényt. A fekhely belméreteinek legalább 2,00 × 0,90 m-nek kell lenniük.</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2.</w:t>
      </w:r>
      <w:r w:rsidRPr="00F125EF">
        <w:rPr>
          <w:lang w:val="pt-PT"/>
        </w:rPr>
        <w:tab/>
        <w:t>A munkaruhák tárolására és szárítására megfelelő helyet kell biztosítani, amely nem lehet a hálóhelyiségekben.</w:t>
      </w:r>
    </w:p>
    <w:p w:rsidR="00811428" w:rsidRPr="00F125EF" w:rsidRDefault="00811428" w:rsidP="00811428">
      <w:pPr>
        <w:pStyle w:val="ESch"/>
        <w:rPr>
          <w:szCs w:val="20"/>
          <w:lang w:val="pt-PT"/>
        </w:rPr>
      </w:pPr>
    </w:p>
    <w:p w:rsidR="006161E9" w:rsidRPr="00F125EF" w:rsidRDefault="006161E9" w:rsidP="00811428">
      <w:pPr>
        <w:pStyle w:val="ESch"/>
        <w:rPr>
          <w:rFonts w:cs="Arial"/>
          <w:szCs w:val="20"/>
          <w:lang w:val="pt-PT"/>
        </w:rPr>
      </w:pPr>
      <w:r w:rsidRPr="00F125EF">
        <w:rPr>
          <w:lang w:val="pt-PT"/>
        </w:rPr>
        <w:t>3.</w:t>
      </w:r>
      <w:r w:rsidRPr="00F125EF">
        <w:rPr>
          <w:lang w:val="pt-PT"/>
        </w:rPr>
        <w:tab/>
        <w:t>A lakótér teljes területét fel kell szerelni elektromos világítással. Gázt vagy folyékony tüzelőanyagot használó további lámpákat csak a közösségi nappali helyiségekben szabad használni. A folyékony tüzelőanyagot használó világítótesteknek fémből kell készülniük, és csak 55 °C-nál magasabb lobbanáspontú anyaggal vagy kereskedelmi paraffinolajjal működhetnek. Ezeket a berendezéseket olyan helyre kell tenni vagy rögzíteni, ahol nem okozhatnak tűzveszélyt.</w:t>
      </w:r>
    </w:p>
    <w:p w:rsidR="00AE4E9D" w:rsidRPr="00F125EF" w:rsidRDefault="00AE4E9D" w:rsidP="00811428">
      <w:pPr>
        <w:pStyle w:val="ESch"/>
        <w:rPr>
          <w:szCs w:val="20"/>
          <w:lang w:val="pt-PT"/>
        </w:rPr>
      </w:pPr>
    </w:p>
    <w:p w:rsidR="00260F40" w:rsidRPr="00F125EF" w:rsidRDefault="00260F40" w:rsidP="00811428">
      <w:pPr>
        <w:pStyle w:val="ESch"/>
        <w:rPr>
          <w:szCs w:val="20"/>
          <w:lang w:val="pt-PT"/>
        </w:rPr>
      </w:pPr>
    </w:p>
    <w:p w:rsidR="00260F40" w:rsidRPr="00166EA9" w:rsidRDefault="00260F40" w:rsidP="00260F40">
      <w:pPr>
        <w:pStyle w:val="ES-Titre2"/>
        <w:rPr>
          <w:lang w:val="pt-PT"/>
        </w:rPr>
      </w:pPr>
      <w:bookmarkStart w:id="270" w:name="_Toc491854132"/>
      <w:bookmarkStart w:id="271" w:name="_Toc535853911"/>
      <w:r w:rsidRPr="00166EA9">
        <w:rPr>
          <w:lang w:val="pt-PT"/>
        </w:rPr>
        <w:t>16. fejezet</w:t>
      </w:r>
      <w:r w:rsidRPr="00166EA9">
        <w:rPr>
          <w:lang w:val="pt-PT"/>
        </w:rPr>
        <w:br/>
        <w:t>Tüzelőanyaggal működő fűtő-, főző- és hűtőberendezések</w:t>
      </w:r>
      <w:bookmarkEnd w:id="270"/>
      <w:bookmarkEnd w:id="271"/>
    </w:p>
    <w:p w:rsidR="00260F40" w:rsidRPr="00F125EF" w:rsidRDefault="00260F40" w:rsidP="00260F40">
      <w:pPr>
        <w:rPr>
          <w:lang w:val="pt-PT"/>
        </w:rPr>
      </w:pPr>
    </w:p>
    <w:p w:rsidR="00260F40" w:rsidRPr="00F125EF" w:rsidRDefault="00260F40" w:rsidP="00260F40">
      <w:pPr>
        <w:pStyle w:val="ES-Titre3"/>
        <w:rPr>
          <w:lang w:val="pt-PT"/>
        </w:rPr>
      </w:pPr>
      <w:bookmarkStart w:id="272" w:name="_Toc491854133"/>
      <w:bookmarkStart w:id="273" w:name="_Toc535853912"/>
      <w:r w:rsidRPr="00F125EF">
        <w:rPr>
          <w:lang w:val="pt-PT"/>
        </w:rPr>
        <w:t>16.01. cikk</w:t>
      </w:r>
      <w:r w:rsidRPr="00F125EF">
        <w:rPr>
          <w:lang w:val="pt-PT"/>
        </w:rPr>
        <w:br/>
      </w:r>
      <w:r w:rsidRPr="00F125EF">
        <w:rPr>
          <w:i/>
          <w:noProof/>
          <w:lang w:val="pt-PT"/>
        </w:rPr>
        <w:t>Általános rendelkezések</w:t>
      </w:r>
      <w:bookmarkEnd w:id="272"/>
      <w:bookmarkEnd w:id="273"/>
    </w:p>
    <w:p w:rsidR="00260F40" w:rsidRPr="00F125EF" w:rsidRDefault="00260F40" w:rsidP="00811428">
      <w:pPr>
        <w:pStyle w:val="ESch"/>
        <w:rPr>
          <w:szCs w:val="20"/>
          <w:lang w:val="pt-PT"/>
        </w:rPr>
      </w:pPr>
    </w:p>
    <w:p w:rsidR="00260F40" w:rsidRPr="00F125EF" w:rsidRDefault="00260F40" w:rsidP="00260F40">
      <w:pPr>
        <w:pStyle w:val="ESch"/>
        <w:rPr>
          <w:rFonts w:cs="Arial"/>
          <w:lang w:val="pt-PT"/>
        </w:rPr>
      </w:pPr>
      <w:r w:rsidRPr="00F125EF">
        <w:rPr>
          <w:lang w:val="pt-PT"/>
        </w:rPr>
        <w:t>1.</w:t>
      </w:r>
      <w:r w:rsidRPr="00F125EF">
        <w:rPr>
          <w:lang w:val="pt-PT"/>
        </w:rPr>
        <w:tab/>
        <w:t>A cseppfolyósított gázzal működő fűtő-, főző- és hűtőberendezéseknek meg kell felelniük az e melléklet 17. fejezetében foglalt követelményeknek.</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2.</w:t>
      </w:r>
      <w:r w:rsidRPr="00F125EF">
        <w:rPr>
          <w:lang w:val="pt-PT"/>
        </w:rPr>
        <w:tab/>
        <w:t>A fűtő-, főző- és hűtőberendezéseket, ideértve tartozékaikat is, úgy kell megtervezni és telepíteni, hogy ne jelentsenek veszélyt, még túlmelegedés esetén sem. Telepítésüket úgy kell végezni, hogy véletlenül se borulhassanak fel vagy mozdulhassanak el helyükről.</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3.</w:t>
      </w:r>
      <w:r w:rsidRPr="00F125EF">
        <w:rPr>
          <w:lang w:val="pt-PT"/>
        </w:rPr>
        <w:tab/>
        <w:t>A 2. bekezdésben említett berendezéseket nem szabad telepíteni olyan területeken, ahol 55 °C alatti lobbanáspontú anyagokat használnak vagy tárolnak. Ilyen területeken nem vezethet keresztül égéstermék-vezeték ezekből a berendezésekből.</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4.</w:t>
      </w:r>
      <w:r w:rsidRPr="00F125EF">
        <w:rPr>
          <w:lang w:val="pt-PT"/>
        </w:rPr>
        <w:tab/>
        <w:t>Az égéshez szükséges levegőellátást biztosítani kell.</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5.</w:t>
      </w:r>
      <w:r w:rsidRPr="00F125EF">
        <w:rPr>
          <w:lang w:val="pt-PT"/>
        </w:rPr>
        <w:tab/>
        <w:t>A fűtőberendezéseket biztonságosan kell rögzíteni az égéstermék-vezetékekhez, amelyeket fel kell szerelni megfelelő szellőzőkürtővel vagy a szél ellen védelmet nyújtó eszközzel. Ezeket úgy kell elhelyezni, hogy ne akadályozzák a tisztítást.</w:t>
      </w:r>
    </w:p>
    <w:p w:rsidR="00260F40" w:rsidRPr="00F125EF" w:rsidRDefault="00260F40" w:rsidP="00260F40">
      <w:pPr>
        <w:pStyle w:val="ESch"/>
        <w:rPr>
          <w:rFonts w:cs="Arial"/>
          <w:lang w:val="pt-PT"/>
        </w:rPr>
      </w:pPr>
    </w:p>
    <w:p w:rsidR="00260F40" w:rsidRPr="00F125EF" w:rsidRDefault="00260F40" w:rsidP="00260F40">
      <w:pPr>
        <w:pStyle w:val="ESch"/>
        <w:rPr>
          <w:rFonts w:cs="Arial"/>
          <w:lang w:val="pt-PT"/>
        </w:rPr>
      </w:pPr>
    </w:p>
    <w:p w:rsidR="00260F40" w:rsidRPr="00F125EF" w:rsidRDefault="00260F40" w:rsidP="00260F40">
      <w:pPr>
        <w:pStyle w:val="ES-Titre3"/>
        <w:rPr>
          <w:rFonts w:cs="Arial"/>
          <w:i/>
          <w:lang w:val="pt-PT"/>
        </w:rPr>
      </w:pPr>
      <w:bookmarkStart w:id="274" w:name="_Toc491854134"/>
      <w:bookmarkStart w:id="275" w:name="_Toc535853913"/>
      <w:r w:rsidRPr="00F125EF">
        <w:rPr>
          <w:lang w:val="pt-PT"/>
        </w:rPr>
        <w:t>16.02. cikk</w:t>
      </w:r>
      <w:r w:rsidRPr="00F125EF">
        <w:rPr>
          <w:lang w:val="pt-PT"/>
        </w:rPr>
        <w:br/>
      </w:r>
      <w:r w:rsidRPr="00F125EF">
        <w:rPr>
          <w:i/>
          <w:noProof/>
          <w:lang w:val="pt-PT"/>
        </w:rPr>
        <w:t>Folyékony tüzelőanyagok, olajtüzelésű berendezések használata</w:t>
      </w:r>
      <w:bookmarkEnd w:id="274"/>
      <w:bookmarkEnd w:id="275"/>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1.</w:t>
      </w:r>
      <w:r w:rsidRPr="00F125EF">
        <w:rPr>
          <w:lang w:val="pt-PT"/>
        </w:rPr>
        <w:tab/>
        <w:t>A folyékony tüzelőanyaggal működő fűtő-, főző- és hűtőberendezések csak olyan tüzelőanyaggal működhetnek, amelyek lobbanáspontja 55 °C felett van.</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2.</w:t>
      </w:r>
      <w:r w:rsidRPr="00F125EF">
        <w:rPr>
          <w:lang w:val="pt-PT"/>
        </w:rPr>
        <w:tab/>
        <w:t>Az 1. bekezdéstől eltérve a kanócos égőfejjel ellátott és kereskedelmi paraffinolajjal üzemelő fűtő-, főző- és hűtőberendezések megengedhetők a lakótérben és a kormányállásban, feltéve, hogy a tüzelőanyag-tartály kapacitása nem nagyobb 12 liternél.</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3.</w:t>
      </w:r>
      <w:r w:rsidRPr="00F125EF">
        <w:rPr>
          <w:lang w:val="pt-PT"/>
        </w:rPr>
        <w:tab/>
        <w:t>A kanócos égőfejjel ellátott berendezéseknek meg kell felelniük a következőknek:</w:t>
      </w:r>
    </w:p>
    <w:p w:rsidR="00260F40" w:rsidRPr="00F125EF" w:rsidRDefault="005C7859" w:rsidP="00260F40">
      <w:pPr>
        <w:pStyle w:val="ESlet"/>
        <w:rPr>
          <w:rFonts w:cs="Arial"/>
          <w:lang w:val="pt-PT"/>
        </w:rPr>
      </w:pPr>
      <w:r w:rsidRPr="00F125EF">
        <w:rPr>
          <w:lang w:val="pt-PT"/>
        </w:rPr>
        <w:t>a)</w:t>
      </w:r>
      <w:r w:rsidRPr="00F125EF">
        <w:rPr>
          <w:lang w:val="pt-PT"/>
        </w:rPr>
        <w:tab/>
        <w:t>fémből készült tüzelőanyag-tartállyal rendelkeznek, amelynek töltőnyílása zárható, és amelynek nincs lágyforrasztásos illesztéke a maximális töltési szint alatt, és úgy vannak kialakítva és telepítve, hogy a tüzelőanyag-tartályt ne lehessen véletlenül kinyitni vagy kiüríteni;</w:t>
      </w:r>
    </w:p>
    <w:p w:rsidR="00260F40" w:rsidRPr="00F125EF" w:rsidRDefault="005C7859" w:rsidP="00260F40">
      <w:pPr>
        <w:pStyle w:val="ESlet"/>
        <w:rPr>
          <w:rFonts w:cs="Arial"/>
          <w:lang w:val="pt-PT"/>
        </w:rPr>
      </w:pPr>
      <w:r w:rsidRPr="00F125EF">
        <w:rPr>
          <w:lang w:val="pt-PT"/>
        </w:rPr>
        <w:t>b)</w:t>
      </w:r>
      <w:r w:rsidRPr="00F125EF">
        <w:rPr>
          <w:lang w:val="pt-PT"/>
        </w:rPr>
        <w:tab/>
        <w:t>begyújtásuk másik folyékony tüzelőanyag segítsége nélkül történik; és</w:t>
      </w:r>
    </w:p>
    <w:p w:rsidR="00260F40" w:rsidRPr="00F125EF" w:rsidRDefault="005C7859" w:rsidP="00260F40">
      <w:pPr>
        <w:pStyle w:val="ESlet"/>
        <w:rPr>
          <w:rFonts w:cs="Arial"/>
          <w:lang w:val="pt-PT"/>
        </w:rPr>
      </w:pPr>
      <w:r w:rsidRPr="00F125EF">
        <w:rPr>
          <w:lang w:val="pt-PT"/>
        </w:rPr>
        <w:t>c)</w:t>
      </w:r>
      <w:r w:rsidRPr="00F125EF">
        <w:rPr>
          <w:lang w:val="pt-PT"/>
        </w:rPr>
        <w:tab/>
        <w:t>úgy vannak telepítve, hogy az égetésből keletkező gázok biztonságos kivezetése biztosítva legyen.</w:t>
      </w:r>
    </w:p>
    <w:p w:rsidR="00260F40" w:rsidRPr="00F125EF" w:rsidRDefault="00260F40" w:rsidP="00260F40">
      <w:pPr>
        <w:pStyle w:val="ESch"/>
        <w:rPr>
          <w:rFonts w:cs="Arial"/>
          <w:lang w:val="pt-PT"/>
        </w:rPr>
      </w:pPr>
    </w:p>
    <w:p w:rsidR="00260F40" w:rsidRPr="00F125EF" w:rsidRDefault="00260F40" w:rsidP="00260F40">
      <w:pPr>
        <w:pStyle w:val="ESch"/>
        <w:rPr>
          <w:rFonts w:cs="Arial"/>
          <w:lang w:val="pt-PT"/>
        </w:rPr>
      </w:pPr>
    </w:p>
    <w:p w:rsidR="00260F40" w:rsidRPr="00F125EF" w:rsidRDefault="00260F40" w:rsidP="00260F40">
      <w:pPr>
        <w:pStyle w:val="ES-Titre3"/>
        <w:rPr>
          <w:rFonts w:cs="Arial"/>
          <w:i/>
          <w:lang w:val="pt-PT"/>
        </w:rPr>
      </w:pPr>
      <w:bookmarkStart w:id="276" w:name="_Toc491854135"/>
      <w:bookmarkStart w:id="277" w:name="_Toc535853914"/>
      <w:r w:rsidRPr="00F125EF">
        <w:rPr>
          <w:lang w:val="pt-PT"/>
        </w:rPr>
        <w:t>16.03. cikk</w:t>
      </w:r>
      <w:r w:rsidRPr="00F125EF">
        <w:rPr>
          <w:lang w:val="pt-PT"/>
        </w:rPr>
        <w:br/>
      </w:r>
      <w:r w:rsidRPr="00F125EF">
        <w:rPr>
          <w:i/>
          <w:noProof/>
          <w:lang w:val="pt-PT"/>
        </w:rPr>
        <w:t>Olajkályhák és porlasztós olajtüzelő berendezések</w:t>
      </w:r>
      <w:bookmarkEnd w:id="276"/>
      <w:bookmarkEnd w:id="277"/>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1.</w:t>
      </w:r>
      <w:r w:rsidRPr="00F125EF">
        <w:rPr>
          <w:lang w:val="pt-PT"/>
        </w:rPr>
        <w:tab/>
        <w:t>Az olajkályhákat és porlasztós olajtüzelő berendezéseket a bevált gyakorlat szerint kell kialakítani.</w:t>
      </w:r>
    </w:p>
    <w:p w:rsidR="00260F40" w:rsidRPr="00F125EF" w:rsidRDefault="00260F40" w:rsidP="00260F40">
      <w:pPr>
        <w:pStyle w:val="ESch"/>
        <w:rPr>
          <w:noProof/>
          <w:lang w:val="pt-PT"/>
        </w:rPr>
      </w:pPr>
    </w:p>
    <w:p w:rsidR="00260F40" w:rsidRPr="00F125EF" w:rsidRDefault="00260F40" w:rsidP="00260F40">
      <w:pPr>
        <w:pStyle w:val="ESch"/>
        <w:rPr>
          <w:noProof/>
          <w:lang w:val="pt-PT"/>
        </w:rPr>
      </w:pPr>
      <w:r w:rsidRPr="00F125EF">
        <w:rPr>
          <w:lang w:val="pt-PT"/>
        </w:rPr>
        <w:br w:type="page"/>
      </w:r>
    </w:p>
    <w:p w:rsidR="00260F40" w:rsidRPr="00F125EF" w:rsidRDefault="00260F40" w:rsidP="00260F40">
      <w:pPr>
        <w:pStyle w:val="ESch"/>
        <w:rPr>
          <w:rFonts w:cs="Arial"/>
          <w:lang w:val="pt-PT"/>
        </w:rPr>
      </w:pPr>
      <w:r w:rsidRPr="00F125EF">
        <w:rPr>
          <w:lang w:val="pt-PT"/>
        </w:rPr>
        <w:t>2.</w:t>
      </w:r>
      <w:r w:rsidRPr="00F125EF">
        <w:rPr>
          <w:lang w:val="pt-PT"/>
        </w:rPr>
        <w:tab/>
        <w:t>Ha az olajkályhát vagy a  porlasztós olajtüzelő berendezést a géptérben szerelik fel, a fűtőberendezés és a motorok levegőellátását úgy kell megtervezni, hogy a fűtőberendezések és a motorok megfelelően, biztonságosan és egymástól függetlenül üzemelhessenek. Szükség esetén biztosítani kell a külön levegőellátást. A berendezést úgy kell telepíteni, hogy az égőfej lángja ne érhesse el a géptér egyéb berendezéseinek részeit.</w:t>
      </w:r>
    </w:p>
    <w:p w:rsidR="00260F40" w:rsidRPr="00F125EF" w:rsidRDefault="00260F40" w:rsidP="00260F40">
      <w:pPr>
        <w:pStyle w:val="ESch"/>
        <w:rPr>
          <w:rFonts w:cs="Arial"/>
          <w:lang w:val="pt-PT"/>
        </w:rPr>
      </w:pPr>
    </w:p>
    <w:p w:rsidR="00260F40" w:rsidRPr="00F125EF" w:rsidRDefault="00260F40" w:rsidP="00260F40">
      <w:pPr>
        <w:pStyle w:val="ESch"/>
        <w:rPr>
          <w:rFonts w:cs="Arial"/>
          <w:lang w:val="pt-PT"/>
        </w:rPr>
      </w:pPr>
    </w:p>
    <w:p w:rsidR="00260F40" w:rsidRPr="00F125EF" w:rsidRDefault="00260F40" w:rsidP="00260F40">
      <w:pPr>
        <w:pStyle w:val="ES-Titre3"/>
        <w:rPr>
          <w:rFonts w:cs="Arial"/>
          <w:i/>
          <w:lang w:val="pt-PT"/>
        </w:rPr>
      </w:pPr>
      <w:bookmarkStart w:id="278" w:name="_Toc491854136"/>
      <w:bookmarkStart w:id="279" w:name="_Toc535853915"/>
      <w:r w:rsidRPr="00F125EF">
        <w:rPr>
          <w:lang w:val="pt-PT"/>
        </w:rPr>
        <w:t>16.04. cikk</w:t>
      </w:r>
      <w:r w:rsidRPr="00F125EF">
        <w:rPr>
          <w:lang w:val="pt-PT"/>
        </w:rPr>
        <w:br/>
      </w:r>
      <w:r w:rsidRPr="00F125EF">
        <w:rPr>
          <w:i/>
          <w:noProof/>
          <w:lang w:val="pt-PT"/>
        </w:rPr>
        <w:t>Olajkályhák</w:t>
      </w:r>
      <w:bookmarkEnd w:id="278"/>
      <w:bookmarkEnd w:id="279"/>
    </w:p>
    <w:p w:rsidR="00260F40" w:rsidRPr="00F125EF" w:rsidRDefault="00260F40" w:rsidP="00260F40">
      <w:pPr>
        <w:pStyle w:val="ESch"/>
        <w:rPr>
          <w:i/>
          <w:noProof/>
          <w:lang w:val="pt-PT"/>
        </w:rPr>
      </w:pPr>
    </w:p>
    <w:p w:rsidR="00260F40" w:rsidRPr="00F125EF" w:rsidRDefault="00260F40" w:rsidP="00260F40">
      <w:pPr>
        <w:pStyle w:val="ESch"/>
        <w:rPr>
          <w:rFonts w:cs="Arial"/>
          <w:lang w:val="pt-PT"/>
        </w:rPr>
      </w:pPr>
      <w:r w:rsidRPr="00F125EF">
        <w:rPr>
          <w:lang w:val="pt-PT"/>
        </w:rPr>
        <w:t>1.</w:t>
      </w:r>
      <w:r w:rsidRPr="00F125EF">
        <w:rPr>
          <w:lang w:val="pt-PT"/>
        </w:rPr>
        <w:tab/>
        <w:t>Az olajkályhák begyújtásának másik éghető folyadék használata nélkül lehetségesnek kell lennie. Az olajkályhákat egy legalább 2 liter térfogatú fém csepegtetőtálca fölé kell rögzíteni, amely túlnyúlik az olajellátással összeköttetésben lévő részegységeken és legalább 20 mm magas peremmel rendelkezik.</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2.</w:t>
      </w:r>
      <w:r w:rsidRPr="00F125EF">
        <w:rPr>
          <w:lang w:val="pt-PT"/>
        </w:rPr>
        <w:tab/>
        <w:t>A géptérben elhelyezett olajkályhák esetében az 1. bekezdésben előírt fém csepegtetőtálca peremének legalább 200 mm magasnak kell lennie. Az olajkályha alsó szélének a csepegtetőtálca széle felett kell elhelyezkednie. A csepegtetőtálca felső peremének pedig legalább 100 mm-re kell kinyúlnia a padló fölé.</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3.</w:t>
      </w:r>
      <w:r w:rsidRPr="00F125EF">
        <w:rPr>
          <w:lang w:val="pt-PT"/>
        </w:rPr>
        <w:tab/>
        <w:t>Az olajkályhákat fel kell szerelni olyan megfelelő szabályozóval, amely minden beállításnál biztosítja a tüzelőanyag állandó áramlását az égőfejhez, és amely a láng kialvása esetén megakadályozza a tüzelőanyag szivárgását. Azok a szabályozók tekintendők alkalmasnak, amelyek megfelelően működnek rázkódások és 12°-ig terjedő dőlés esetén is, továbbá amelyek az olajszintet szabályozó úszón kívül az alábbiakkal is rendelkeznek:</w:t>
      </w:r>
    </w:p>
    <w:p w:rsidR="00260F40" w:rsidRPr="00F125EF" w:rsidRDefault="005C7859" w:rsidP="00260F40">
      <w:pPr>
        <w:pStyle w:val="ESlet"/>
        <w:rPr>
          <w:rFonts w:cs="Arial"/>
          <w:lang w:val="pt-PT"/>
        </w:rPr>
      </w:pPr>
      <w:r w:rsidRPr="00F125EF">
        <w:rPr>
          <w:lang w:val="pt-PT"/>
        </w:rPr>
        <w:t>a)</w:t>
      </w:r>
      <w:r w:rsidRPr="00F125EF">
        <w:rPr>
          <w:lang w:val="pt-PT"/>
        </w:rPr>
        <w:tab/>
        <w:t>egy második úszó, amely a tüzelőanyag-áramlást biztonságosan és megbízhatóan elzárja a megengedett szint túllépése esetén; vagy</w:t>
      </w:r>
    </w:p>
    <w:p w:rsidR="00260F40" w:rsidRPr="00F125EF" w:rsidRDefault="005C7859" w:rsidP="00260F40">
      <w:pPr>
        <w:pStyle w:val="ESlet"/>
        <w:rPr>
          <w:rFonts w:cs="Arial"/>
          <w:lang w:val="pt-PT"/>
        </w:rPr>
      </w:pPr>
      <w:r w:rsidRPr="00F125EF">
        <w:rPr>
          <w:lang w:val="pt-PT"/>
        </w:rPr>
        <w:t>b)</w:t>
      </w:r>
      <w:r w:rsidRPr="00F125EF">
        <w:rPr>
          <w:lang w:val="pt-PT"/>
        </w:rPr>
        <w:tab/>
        <w:t>egy túlfolyócső, ha a csepegtetőtálca térfogata legalább akkora, mint a tüzelőanyag-tartály térfogata.</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4.</w:t>
      </w:r>
      <w:r w:rsidRPr="00F125EF">
        <w:rPr>
          <w:lang w:val="pt-PT"/>
        </w:rPr>
        <w:tab/>
        <w:t>Ha az olajkályha tüzelőanyag-tartályát elkülönítetten telepítették:</w:t>
      </w:r>
    </w:p>
    <w:p w:rsidR="00260F40" w:rsidRPr="00F125EF" w:rsidRDefault="005C7859" w:rsidP="00260F40">
      <w:pPr>
        <w:pStyle w:val="ESlet"/>
        <w:rPr>
          <w:rFonts w:cs="Arial"/>
          <w:lang w:val="pt-PT"/>
        </w:rPr>
      </w:pPr>
      <w:r w:rsidRPr="00F125EF">
        <w:rPr>
          <w:lang w:val="pt-PT"/>
        </w:rPr>
        <w:t>a)</w:t>
      </w:r>
      <w:r w:rsidRPr="00F125EF">
        <w:rPr>
          <w:lang w:val="pt-PT"/>
        </w:rPr>
        <w:tab/>
        <w:t>a tartály és az égőfej táplálása közötti szintkülönbség nem haladhatja meg a gyártó által a kezelési utasításokban meghatározott értéket;</w:t>
      </w:r>
    </w:p>
    <w:p w:rsidR="00260F40" w:rsidRPr="00F125EF" w:rsidRDefault="005C7859" w:rsidP="00260F40">
      <w:pPr>
        <w:pStyle w:val="ESlet"/>
        <w:rPr>
          <w:rFonts w:cs="Arial"/>
          <w:lang w:val="pt-PT"/>
        </w:rPr>
      </w:pPr>
      <w:r w:rsidRPr="00F125EF">
        <w:rPr>
          <w:lang w:val="pt-PT"/>
        </w:rPr>
        <w:t>b)</w:t>
      </w:r>
      <w:r w:rsidRPr="00F125EF">
        <w:rPr>
          <w:lang w:val="pt-PT"/>
        </w:rPr>
        <w:tab/>
        <w:t>ügyelni kell arra, hogy védve legyen az elfogadhatatlan mértékű felmelegedéstől;</w:t>
      </w:r>
    </w:p>
    <w:p w:rsidR="00260F40" w:rsidRPr="00F125EF" w:rsidRDefault="005C7859" w:rsidP="00260F40">
      <w:pPr>
        <w:pStyle w:val="ESlet"/>
        <w:rPr>
          <w:rFonts w:cs="Arial"/>
          <w:lang w:val="pt-PT"/>
        </w:rPr>
      </w:pPr>
      <w:r w:rsidRPr="00F125EF">
        <w:rPr>
          <w:lang w:val="pt-PT"/>
        </w:rPr>
        <w:t>c)</w:t>
      </w:r>
      <w:r w:rsidRPr="00F125EF">
        <w:rPr>
          <w:lang w:val="pt-PT"/>
        </w:rPr>
        <w:tab/>
        <w:t>biztosítani kell, hogy a tüzelőanyag-ellátás a fedélzetről elzárható legyen.</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5.</w:t>
      </w:r>
      <w:r w:rsidRPr="00F125EF">
        <w:rPr>
          <w:lang w:val="pt-PT"/>
        </w:rPr>
        <w:tab/>
        <w:t>Az olajkályhák égéstermék-vezetékeit el kell látni a huzat átfordulását megakadályozó eszközzel.</w:t>
      </w:r>
    </w:p>
    <w:p w:rsidR="00260F40" w:rsidRPr="00F125EF" w:rsidRDefault="00260F40" w:rsidP="00260F40">
      <w:pPr>
        <w:pStyle w:val="ESch"/>
        <w:rPr>
          <w:rFonts w:cs="Arial"/>
          <w:lang w:val="pt-PT"/>
        </w:rPr>
      </w:pPr>
    </w:p>
    <w:p w:rsidR="00260F40" w:rsidRPr="00F125EF" w:rsidRDefault="00260F40" w:rsidP="00260F40">
      <w:pPr>
        <w:pStyle w:val="ESch"/>
        <w:rPr>
          <w:rFonts w:cs="Arial"/>
          <w:lang w:val="pt-PT"/>
        </w:rPr>
      </w:pPr>
    </w:p>
    <w:p w:rsidR="00260F40" w:rsidRPr="00F125EF" w:rsidRDefault="00260F40" w:rsidP="00260F40">
      <w:pPr>
        <w:pStyle w:val="ES-Titre3"/>
        <w:rPr>
          <w:rFonts w:cs="Arial"/>
          <w:i/>
          <w:lang w:val="pt-PT"/>
        </w:rPr>
      </w:pPr>
      <w:bookmarkStart w:id="280" w:name="_Toc491854137"/>
      <w:bookmarkStart w:id="281" w:name="_Toc535853916"/>
      <w:r w:rsidRPr="00F125EF">
        <w:rPr>
          <w:lang w:val="pt-PT"/>
        </w:rPr>
        <w:t>16.05. cikk</w:t>
      </w:r>
      <w:r w:rsidRPr="00F125EF">
        <w:rPr>
          <w:lang w:val="pt-PT"/>
        </w:rPr>
        <w:br/>
      </w:r>
      <w:r w:rsidRPr="00F125EF">
        <w:rPr>
          <w:i/>
          <w:noProof/>
          <w:lang w:val="pt-PT"/>
        </w:rPr>
        <w:t>Porlasztós olajtüzelő berendezések</w:t>
      </w:r>
      <w:bookmarkEnd w:id="280"/>
      <w:bookmarkEnd w:id="281"/>
    </w:p>
    <w:p w:rsidR="00260F40" w:rsidRPr="00F125EF" w:rsidRDefault="00260F40" w:rsidP="00260F40">
      <w:pPr>
        <w:pStyle w:val="ESch"/>
        <w:rPr>
          <w:noProof/>
          <w:lang w:val="pt-PT"/>
        </w:rPr>
      </w:pPr>
    </w:p>
    <w:p w:rsidR="00260F40" w:rsidRPr="00F125EF" w:rsidRDefault="00260F40" w:rsidP="00260F40">
      <w:pPr>
        <w:pStyle w:val="ESgauche"/>
        <w:rPr>
          <w:rFonts w:cs="Arial"/>
          <w:lang w:val="pt-PT"/>
        </w:rPr>
      </w:pPr>
      <w:r w:rsidRPr="00F125EF">
        <w:rPr>
          <w:lang w:val="pt-PT"/>
        </w:rPr>
        <w:t>A porlasztós olajtüzelő berendezéseknek különösen az alábbi követelményeknek kell megfelelniük:</w:t>
      </w:r>
    </w:p>
    <w:p w:rsidR="00260F40" w:rsidRPr="00F125EF" w:rsidRDefault="005C7859" w:rsidP="00260F40">
      <w:pPr>
        <w:pStyle w:val="ESletgauche"/>
        <w:rPr>
          <w:rFonts w:cs="Arial"/>
          <w:lang w:val="pt-PT"/>
        </w:rPr>
      </w:pPr>
      <w:r w:rsidRPr="00F125EF">
        <w:rPr>
          <w:lang w:val="pt-PT"/>
        </w:rPr>
        <w:t>a)</w:t>
      </w:r>
      <w:r w:rsidRPr="00F125EF">
        <w:rPr>
          <w:lang w:val="pt-PT"/>
        </w:rPr>
        <w:tab/>
        <w:t>biztosított az égőfej megfelelő szellőzése a tüzelőanyag betáplálása előtt;</w:t>
      </w:r>
    </w:p>
    <w:p w:rsidR="00260F40" w:rsidRPr="00F125EF" w:rsidRDefault="005C7859" w:rsidP="00260F40">
      <w:pPr>
        <w:pStyle w:val="ESletgauche"/>
        <w:rPr>
          <w:rFonts w:cs="Arial"/>
          <w:lang w:val="pt-PT"/>
        </w:rPr>
      </w:pPr>
      <w:r w:rsidRPr="00F125EF">
        <w:rPr>
          <w:lang w:val="pt-PT"/>
        </w:rPr>
        <w:t>b)</w:t>
      </w:r>
      <w:r w:rsidRPr="00F125EF">
        <w:rPr>
          <w:lang w:val="pt-PT"/>
        </w:rPr>
        <w:tab/>
        <w:t>a tüzelőanyag-ellátást termosztát szabályozza;</w:t>
      </w:r>
    </w:p>
    <w:p w:rsidR="00260F40" w:rsidRPr="00F125EF" w:rsidRDefault="005C7859" w:rsidP="00260F40">
      <w:pPr>
        <w:pStyle w:val="ESletgauche"/>
        <w:rPr>
          <w:rFonts w:cs="Arial"/>
          <w:lang w:val="pt-PT"/>
        </w:rPr>
      </w:pPr>
      <w:r w:rsidRPr="00F125EF">
        <w:rPr>
          <w:lang w:val="pt-PT"/>
        </w:rPr>
        <w:t>c)</w:t>
      </w:r>
      <w:r w:rsidRPr="00F125EF">
        <w:rPr>
          <w:lang w:val="pt-PT"/>
        </w:rPr>
        <w:tab/>
        <w:t>a tüzelőanyagot elektromos eszköz vagy gyújtóláng gyújtja be;</w:t>
      </w:r>
    </w:p>
    <w:p w:rsidR="00260F40" w:rsidRPr="00F125EF" w:rsidRDefault="00260F40" w:rsidP="00260F40">
      <w:pPr>
        <w:pStyle w:val="ESletgauche"/>
        <w:rPr>
          <w:noProof/>
          <w:lang w:val="pt-PT"/>
        </w:rPr>
      </w:pPr>
    </w:p>
    <w:p w:rsidR="00260F40" w:rsidRPr="00F125EF" w:rsidRDefault="00260F40" w:rsidP="00260F40">
      <w:pPr>
        <w:pStyle w:val="ESletgauche"/>
        <w:rPr>
          <w:noProof/>
          <w:lang w:val="pt-PT"/>
        </w:rPr>
      </w:pPr>
      <w:r w:rsidRPr="00F125EF">
        <w:rPr>
          <w:lang w:val="pt-PT"/>
        </w:rPr>
        <w:br w:type="page"/>
      </w:r>
    </w:p>
    <w:p w:rsidR="00260F40" w:rsidRPr="00F125EF" w:rsidRDefault="005C7859" w:rsidP="00260F40">
      <w:pPr>
        <w:pStyle w:val="ESletgauche"/>
        <w:rPr>
          <w:rFonts w:cs="Arial"/>
          <w:lang w:val="pt-PT"/>
        </w:rPr>
      </w:pPr>
      <w:r w:rsidRPr="00F125EF">
        <w:rPr>
          <w:lang w:val="pt-PT"/>
        </w:rPr>
        <w:t>d)</w:t>
      </w:r>
      <w:r w:rsidRPr="00F125EF">
        <w:rPr>
          <w:lang w:val="pt-PT"/>
        </w:rPr>
        <w:tab/>
        <w:t>égésbiztosító berendezés leállítja a tüzelőanyag-áramlást, ha a láng kialszik;</w:t>
      </w:r>
    </w:p>
    <w:p w:rsidR="00260F40" w:rsidRPr="00F125EF" w:rsidRDefault="0029453D" w:rsidP="00260F40">
      <w:pPr>
        <w:pStyle w:val="ESletgauche"/>
        <w:rPr>
          <w:noProof/>
          <w:lang w:val="pt-PT"/>
        </w:rPr>
      </w:pPr>
      <w:r w:rsidRPr="00F125EF">
        <w:rPr>
          <w:lang w:val="pt-PT"/>
        </w:rPr>
        <w:t>e)</w:t>
      </w:r>
      <w:r w:rsidRPr="00F125EF">
        <w:rPr>
          <w:lang w:val="pt-PT"/>
        </w:rPr>
        <w:tab/>
        <w:t>a főkapcsoló könnyen megközelíthető, a telepítés helyétől eltérő ponton található.</w:t>
      </w:r>
    </w:p>
    <w:p w:rsidR="00260F40" w:rsidRPr="00F125EF" w:rsidRDefault="00260F40" w:rsidP="00260F40">
      <w:pPr>
        <w:pStyle w:val="ESletgauche"/>
        <w:rPr>
          <w:noProof/>
          <w:lang w:val="pt-PT"/>
        </w:rPr>
      </w:pPr>
    </w:p>
    <w:p w:rsidR="00260F40" w:rsidRPr="00F125EF" w:rsidRDefault="00260F40" w:rsidP="00260F40">
      <w:pPr>
        <w:pStyle w:val="ESch"/>
        <w:rPr>
          <w:rFonts w:cs="Arial"/>
          <w:lang w:val="pt-PT"/>
        </w:rPr>
      </w:pPr>
    </w:p>
    <w:p w:rsidR="00260F40" w:rsidRPr="00F125EF" w:rsidRDefault="00260F40" w:rsidP="00260F40">
      <w:pPr>
        <w:pStyle w:val="ES-Titre3"/>
        <w:rPr>
          <w:rFonts w:cs="Arial"/>
          <w:i/>
          <w:lang w:val="pt-PT"/>
        </w:rPr>
      </w:pPr>
      <w:bookmarkStart w:id="282" w:name="_Toc491854138"/>
      <w:bookmarkStart w:id="283" w:name="_Toc535853917"/>
      <w:r w:rsidRPr="00F125EF">
        <w:rPr>
          <w:lang w:val="pt-PT"/>
        </w:rPr>
        <w:t>16.06. cikk</w:t>
      </w:r>
      <w:r w:rsidRPr="00F125EF">
        <w:rPr>
          <w:lang w:val="pt-PT"/>
        </w:rPr>
        <w:br/>
      </w:r>
      <w:r w:rsidRPr="00F125EF">
        <w:rPr>
          <w:i/>
          <w:noProof/>
          <w:lang w:val="pt-PT"/>
        </w:rPr>
        <w:t>Légfűtő berendezések</w:t>
      </w:r>
      <w:bookmarkEnd w:id="282"/>
      <w:bookmarkEnd w:id="283"/>
    </w:p>
    <w:p w:rsidR="00260F40" w:rsidRPr="00F125EF" w:rsidRDefault="00260F40" w:rsidP="00260F40">
      <w:pPr>
        <w:pStyle w:val="ESch"/>
        <w:rPr>
          <w:noProof/>
          <w:lang w:val="pt-PT"/>
        </w:rPr>
      </w:pPr>
    </w:p>
    <w:p w:rsidR="00260F40" w:rsidRPr="00F125EF" w:rsidRDefault="00260F40" w:rsidP="00260F40">
      <w:pPr>
        <w:pStyle w:val="ESgauche"/>
        <w:rPr>
          <w:rFonts w:cs="Arial"/>
          <w:lang w:val="pt-PT"/>
        </w:rPr>
      </w:pPr>
      <w:r w:rsidRPr="00F125EF">
        <w:rPr>
          <w:lang w:val="pt-PT"/>
        </w:rPr>
        <w:t>Az olyan légfűtő berendezéseknek, amelyek esetében az égetőkamra körüli fűtőlevegőt nyomás alatt egy elosztórendszerhez vagy egy helyiségbe vezetik, az alábbi követelményeknek kell megfelelniük:</w:t>
      </w:r>
    </w:p>
    <w:p w:rsidR="00260F40" w:rsidRPr="00F125EF" w:rsidRDefault="005C7859" w:rsidP="00260F40">
      <w:pPr>
        <w:pStyle w:val="ESletgauche"/>
        <w:rPr>
          <w:rFonts w:cs="Arial"/>
          <w:lang w:val="pt-PT"/>
        </w:rPr>
      </w:pPr>
      <w:r w:rsidRPr="00F125EF">
        <w:rPr>
          <w:lang w:val="pt-PT"/>
        </w:rPr>
        <w:t>a)</w:t>
      </w:r>
      <w:r w:rsidRPr="00F125EF">
        <w:rPr>
          <w:lang w:val="pt-PT"/>
        </w:rPr>
        <w:tab/>
        <w:t>ha a tüzelőanyagot nyomás alatt porlasztják, az égési levegőt egy befúvó biztosítja;</w:t>
      </w:r>
    </w:p>
    <w:p w:rsidR="00260F40" w:rsidRPr="00F125EF" w:rsidRDefault="005C7859" w:rsidP="00260F40">
      <w:pPr>
        <w:pStyle w:val="ESletgauche"/>
        <w:rPr>
          <w:rFonts w:cs="Arial"/>
          <w:lang w:val="pt-PT"/>
        </w:rPr>
      </w:pPr>
      <w:r w:rsidRPr="00F125EF">
        <w:rPr>
          <w:lang w:val="pt-PT"/>
        </w:rPr>
        <w:t>b)</w:t>
      </w:r>
      <w:r w:rsidRPr="00F125EF">
        <w:rPr>
          <w:lang w:val="pt-PT"/>
        </w:rPr>
        <w:tab/>
        <w:t>az égetőkamrát az égőfej begyújtása előtt ki kell szellőztetni. A szellőztetés akkor tekinthető teljesnek, ha az égési levegő befúvója tovább működik az után is, hogy a láng kialudt;</w:t>
      </w:r>
    </w:p>
    <w:p w:rsidR="00260F40" w:rsidRPr="00F125EF" w:rsidRDefault="005C7859" w:rsidP="00260F40">
      <w:pPr>
        <w:pStyle w:val="ESletgauche"/>
        <w:rPr>
          <w:rFonts w:cs="Arial"/>
          <w:lang w:val="pt-PT"/>
        </w:rPr>
      </w:pPr>
      <w:r w:rsidRPr="00F125EF">
        <w:rPr>
          <w:lang w:val="pt-PT"/>
        </w:rPr>
        <w:t>c)</w:t>
      </w:r>
      <w:r w:rsidRPr="00F125EF">
        <w:rPr>
          <w:lang w:val="pt-PT"/>
        </w:rPr>
        <w:tab/>
        <w:t>a tüzelőanyag-ellátásnak automatikusan le kell állnia az alábbi esetekben:</w:t>
      </w:r>
    </w:p>
    <w:p w:rsidR="00260F40" w:rsidRPr="00F125EF" w:rsidRDefault="00260F40" w:rsidP="00260F40">
      <w:pPr>
        <w:pStyle w:val="ESletgauche"/>
        <w:ind w:firstLine="0"/>
        <w:rPr>
          <w:rFonts w:cs="Arial"/>
          <w:lang w:val="pt-PT"/>
        </w:rPr>
      </w:pPr>
      <w:r w:rsidRPr="00F125EF">
        <w:rPr>
          <w:lang w:val="pt-PT"/>
        </w:rPr>
        <w:t>a tűz elalszik;</w:t>
      </w:r>
    </w:p>
    <w:p w:rsidR="00260F40" w:rsidRPr="00F125EF" w:rsidRDefault="00260F40" w:rsidP="00260F40">
      <w:pPr>
        <w:pStyle w:val="ESletgauche"/>
        <w:ind w:firstLine="0"/>
        <w:rPr>
          <w:rFonts w:cs="Arial"/>
          <w:lang w:val="pt-PT"/>
        </w:rPr>
      </w:pPr>
      <w:r w:rsidRPr="00F125EF">
        <w:rPr>
          <w:lang w:val="pt-PT"/>
        </w:rPr>
        <w:t>az égésilevegő-ellátás nem kielégítő;</w:t>
      </w:r>
    </w:p>
    <w:p w:rsidR="00260F40" w:rsidRPr="00F125EF" w:rsidRDefault="00260F40" w:rsidP="00260F40">
      <w:pPr>
        <w:pStyle w:val="ESletgauche"/>
        <w:ind w:firstLine="0"/>
        <w:rPr>
          <w:rFonts w:cs="Arial"/>
          <w:lang w:val="pt-PT"/>
        </w:rPr>
      </w:pPr>
      <w:r w:rsidRPr="00F125EF">
        <w:rPr>
          <w:lang w:val="pt-PT"/>
        </w:rPr>
        <w:t>a felfűtött levegő hőmérséklete túllépi az előre beállított értéket; vagy</w:t>
      </w:r>
    </w:p>
    <w:p w:rsidR="00260F40" w:rsidRPr="00F125EF" w:rsidRDefault="00260F40" w:rsidP="00260F40">
      <w:pPr>
        <w:pStyle w:val="ESletgauche"/>
        <w:ind w:firstLine="0"/>
        <w:rPr>
          <w:rFonts w:cs="Arial"/>
          <w:lang w:val="pt-PT"/>
        </w:rPr>
      </w:pPr>
      <w:r w:rsidRPr="00F125EF">
        <w:rPr>
          <w:lang w:val="pt-PT"/>
        </w:rPr>
        <w:t>a biztonsági berendezések energiaellátása leáll.</w:t>
      </w:r>
    </w:p>
    <w:p w:rsidR="00260F40" w:rsidRPr="00F125EF" w:rsidRDefault="00260F40" w:rsidP="00260F40">
      <w:pPr>
        <w:pStyle w:val="ESletgauche"/>
        <w:ind w:firstLine="0"/>
        <w:rPr>
          <w:rFonts w:cs="Arial"/>
          <w:lang w:val="pt-PT"/>
        </w:rPr>
      </w:pPr>
      <w:r w:rsidRPr="00F125EF">
        <w:rPr>
          <w:lang w:val="pt-PT"/>
        </w:rPr>
        <w:t>A fenti esetekben a tüzelőanyag-ellátás a leállítás után nem indulhat újra automatikusan;</w:t>
      </w:r>
    </w:p>
    <w:p w:rsidR="00260F40" w:rsidRPr="00F125EF" w:rsidRDefault="005C7859" w:rsidP="00260F40">
      <w:pPr>
        <w:pStyle w:val="ESletgauche"/>
        <w:rPr>
          <w:rFonts w:cs="Arial"/>
          <w:lang w:val="pt-PT"/>
        </w:rPr>
      </w:pPr>
      <w:r w:rsidRPr="00F125EF">
        <w:rPr>
          <w:lang w:val="pt-PT"/>
        </w:rPr>
        <w:t>d)</w:t>
      </w:r>
      <w:r w:rsidRPr="00F125EF">
        <w:rPr>
          <w:lang w:val="pt-PT"/>
        </w:rPr>
        <w:tab/>
        <w:t>biztosítani kell, hogy az égési levegő és a fűtőlevegő befúvói lekapcsolhatók legyenek a fűtőberendezés telepítési helyén kívülről;</w:t>
      </w:r>
    </w:p>
    <w:p w:rsidR="00260F40" w:rsidRPr="00F125EF" w:rsidRDefault="0029453D" w:rsidP="00260F40">
      <w:pPr>
        <w:pStyle w:val="ESletgauche"/>
        <w:rPr>
          <w:rFonts w:cs="Arial"/>
          <w:lang w:val="pt-PT"/>
        </w:rPr>
      </w:pPr>
      <w:r w:rsidRPr="00F125EF">
        <w:rPr>
          <w:lang w:val="pt-PT"/>
        </w:rPr>
        <w:t>e)</w:t>
      </w:r>
      <w:r w:rsidRPr="00F125EF">
        <w:rPr>
          <w:lang w:val="pt-PT"/>
        </w:rPr>
        <w:tab/>
        <w:t>ha a fűtőlevegőt kívülről nyerik, a légbeszívókat lehetőleg a fedélzet felett kell elhelyezni. A légbeszívókat úgy kell felszerelni, hogy azokba eső vagy fröccsenő víz ne kerülhessen;</w:t>
      </w:r>
    </w:p>
    <w:p w:rsidR="00260F40" w:rsidRPr="00F125EF" w:rsidRDefault="0029453D" w:rsidP="00260F40">
      <w:pPr>
        <w:pStyle w:val="ESletgauche"/>
        <w:rPr>
          <w:rFonts w:cs="Arial"/>
          <w:lang w:val="pt-PT"/>
        </w:rPr>
      </w:pPr>
      <w:r w:rsidRPr="00F125EF">
        <w:rPr>
          <w:lang w:val="pt-PT"/>
        </w:rPr>
        <w:t>f)</w:t>
      </w:r>
      <w:r w:rsidRPr="00F125EF">
        <w:rPr>
          <w:lang w:val="pt-PT"/>
        </w:rPr>
        <w:tab/>
        <w:t>a fűtőlevegő-csöveknek fémből kell készülniük;</w:t>
      </w:r>
    </w:p>
    <w:p w:rsidR="00260F40" w:rsidRPr="00F125EF" w:rsidRDefault="0029453D" w:rsidP="00260F40">
      <w:pPr>
        <w:pStyle w:val="ESletgauche"/>
        <w:rPr>
          <w:rFonts w:cs="Arial"/>
          <w:lang w:val="pt-PT"/>
        </w:rPr>
      </w:pPr>
      <w:r w:rsidRPr="00F125EF">
        <w:rPr>
          <w:lang w:val="pt-PT"/>
        </w:rPr>
        <w:t>g)</w:t>
      </w:r>
      <w:r w:rsidRPr="00F125EF">
        <w:rPr>
          <w:lang w:val="pt-PT"/>
        </w:rPr>
        <w:tab/>
        <w:t>a fűtőlevegő kimeneti nyílásainak nem szabad teljesen zárhatóknak lenniük;</w:t>
      </w:r>
    </w:p>
    <w:p w:rsidR="00260F40" w:rsidRPr="00F125EF" w:rsidRDefault="0029453D" w:rsidP="00260F40">
      <w:pPr>
        <w:pStyle w:val="ESletgauche"/>
        <w:rPr>
          <w:rFonts w:cs="Arial"/>
          <w:lang w:val="pt-PT"/>
        </w:rPr>
      </w:pPr>
      <w:r w:rsidRPr="00F125EF">
        <w:rPr>
          <w:lang w:val="pt-PT"/>
        </w:rPr>
        <w:t>h)</w:t>
      </w:r>
      <w:r w:rsidRPr="00F125EF">
        <w:rPr>
          <w:lang w:val="pt-PT"/>
        </w:rPr>
        <w:tab/>
        <w:t>szivárgó tüzelőanyag nem érheti el a fűtőlevegő-csöveket;</w:t>
      </w:r>
    </w:p>
    <w:p w:rsidR="00260F40" w:rsidRPr="00F125EF" w:rsidRDefault="0029453D" w:rsidP="00260F40">
      <w:pPr>
        <w:pStyle w:val="ESletgauche"/>
        <w:rPr>
          <w:rFonts w:cs="Arial"/>
          <w:lang w:val="pt-PT"/>
        </w:rPr>
      </w:pPr>
      <w:r w:rsidRPr="00F125EF">
        <w:rPr>
          <w:lang w:val="pt-PT"/>
        </w:rPr>
        <w:t>i)</w:t>
      </w:r>
      <w:r w:rsidRPr="00F125EF">
        <w:rPr>
          <w:lang w:val="pt-PT"/>
        </w:rPr>
        <w:tab/>
        <w:t>a légfűtő berendezések nem nyerhetik fűtőlevegőjüket a géptérből.</w:t>
      </w:r>
    </w:p>
    <w:p w:rsidR="00260F40" w:rsidRPr="00F125EF" w:rsidRDefault="00260F40" w:rsidP="00260F40">
      <w:pPr>
        <w:pStyle w:val="ESch"/>
        <w:rPr>
          <w:rFonts w:cs="Arial"/>
          <w:lang w:val="pt-PT"/>
        </w:rPr>
      </w:pPr>
    </w:p>
    <w:p w:rsidR="00260F40" w:rsidRPr="00F125EF" w:rsidRDefault="00260F40" w:rsidP="00260F40">
      <w:pPr>
        <w:pStyle w:val="ESch"/>
        <w:rPr>
          <w:rFonts w:cs="Arial"/>
          <w:lang w:val="pt-PT"/>
        </w:rPr>
      </w:pPr>
    </w:p>
    <w:p w:rsidR="00260F40" w:rsidRPr="00F125EF" w:rsidRDefault="00260F40" w:rsidP="00260F40">
      <w:pPr>
        <w:pStyle w:val="ES-Titre3"/>
        <w:rPr>
          <w:rFonts w:cs="Arial"/>
          <w:i/>
          <w:lang w:val="pt-PT"/>
        </w:rPr>
      </w:pPr>
      <w:bookmarkStart w:id="284" w:name="_Toc491854139"/>
      <w:bookmarkStart w:id="285" w:name="_Toc535853918"/>
      <w:r w:rsidRPr="00F125EF">
        <w:rPr>
          <w:lang w:val="pt-PT"/>
        </w:rPr>
        <w:t>16.07. cikk</w:t>
      </w:r>
      <w:r w:rsidRPr="00F125EF">
        <w:rPr>
          <w:lang w:val="pt-PT"/>
        </w:rPr>
        <w:br/>
      </w:r>
      <w:r w:rsidRPr="00F125EF">
        <w:rPr>
          <w:i/>
          <w:noProof/>
          <w:lang w:val="pt-PT"/>
        </w:rPr>
        <w:t>Szilárd tüzelőanyaggal történő fűtés</w:t>
      </w:r>
      <w:bookmarkEnd w:id="284"/>
      <w:bookmarkEnd w:id="285"/>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1.</w:t>
      </w:r>
      <w:r w:rsidRPr="00F125EF">
        <w:rPr>
          <w:lang w:val="pt-PT"/>
        </w:rPr>
        <w:tab/>
        <w:t>A szilárd tüzelőanyaggal működő fűtőberendezéseket olyan megemelt szélű fémtálcára kell helyezni, amely megakadályozza, hogy az égő tüzelőanyag vagy a forró salak a tálcán kívülre essen.</w:t>
      </w:r>
    </w:p>
    <w:p w:rsidR="00260F40" w:rsidRPr="00F125EF" w:rsidRDefault="00260F40" w:rsidP="00260F40">
      <w:pPr>
        <w:pStyle w:val="ESch"/>
        <w:rPr>
          <w:noProof/>
          <w:lang w:val="pt-PT"/>
        </w:rPr>
      </w:pPr>
    </w:p>
    <w:p w:rsidR="00260F40" w:rsidRPr="00F125EF" w:rsidRDefault="00260F40" w:rsidP="00260F40">
      <w:pPr>
        <w:pStyle w:val="ESchpar"/>
        <w:rPr>
          <w:rFonts w:cs="Arial"/>
          <w:lang w:val="pt-PT"/>
        </w:rPr>
      </w:pPr>
      <w:r w:rsidRPr="00F125EF">
        <w:rPr>
          <w:lang w:val="pt-PT"/>
        </w:rPr>
        <w:t>Ez a követelmény nem vonatkozik azokra a berendezésekre, amelyeket éghetetlen anyagból készült és kizárólag kazánok elhelyezésére szolgáló terekben telepítettek.</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2.</w:t>
      </w:r>
      <w:r w:rsidRPr="00F125EF">
        <w:rPr>
          <w:lang w:val="pt-PT"/>
        </w:rPr>
        <w:tab/>
        <w:t>A szilárd tüzelőanyaggal működő kazánokat fel kell szerelni termosztatikus szabályozóval, amely az égési levegő áramlását szabályozza.</w:t>
      </w:r>
    </w:p>
    <w:p w:rsidR="00260F40" w:rsidRPr="00F125EF" w:rsidRDefault="00260F40" w:rsidP="00260F40">
      <w:pPr>
        <w:pStyle w:val="ESch"/>
        <w:rPr>
          <w:noProof/>
          <w:lang w:val="pt-PT"/>
        </w:rPr>
      </w:pPr>
    </w:p>
    <w:p w:rsidR="00260F40" w:rsidRPr="00F125EF" w:rsidRDefault="00260F40" w:rsidP="00260F40">
      <w:pPr>
        <w:pStyle w:val="ESch"/>
        <w:rPr>
          <w:rFonts w:cs="Arial"/>
          <w:lang w:val="pt-PT"/>
        </w:rPr>
      </w:pPr>
      <w:r w:rsidRPr="00F125EF">
        <w:rPr>
          <w:lang w:val="pt-PT"/>
        </w:rPr>
        <w:t>3.</w:t>
      </w:r>
      <w:r w:rsidRPr="00F125EF">
        <w:rPr>
          <w:lang w:val="pt-PT"/>
        </w:rPr>
        <w:tab/>
        <w:t>Minden fűtőberendezés közelében a salak gyors eloltására szolgáló eszközt kell elhelyezni.</w:t>
      </w:r>
    </w:p>
    <w:p w:rsidR="00260F40" w:rsidRPr="00F125EF" w:rsidRDefault="00260F40" w:rsidP="00811428">
      <w:pPr>
        <w:pStyle w:val="ESch"/>
        <w:rPr>
          <w:szCs w:val="20"/>
          <w:lang w:val="pt-PT"/>
        </w:rPr>
      </w:pPr>
    </w:p>
    <w:p w:rsidR="00B51D33" w:rsidRPr="00F125EF" w:rsidRDefault="00B51D33" w:rsidP="00811428">
      <w:pPr>
        <w:pStyle w:val="ESch"/>
        <w:rPr>
          <w:szCs w:val="20"/>
          <w:lang w:val="pt-PT"/>
        </w:rPr>
      </w:pPr>
      <w:r w:rsidRPr="00F125EF">
        <w:rPr>
          <w:lang w:val="pt-PT"/>
        </w:rPr>
        <w:br w:type="page"/>
      </w:r>
    </w:p>
    <w:p w:rsidR="00B51D33" w:rsidRPr="00F125EF" w:rsidRDefault="00B51D33" w:rsidP="00811428">
      <w:pPr>
        <w:pStyle w:val="ESch"/>
        <w:rPr>
          <w:szCs w:val="20"/>
          <w:lang w:val="pt-PT"/>
        </w:rPr>
      </w:pPr>
    </w:p>
    <w:p w:rsidR="00D96486" w:rsidRPr="00F125EF" w:rsidRDefault="00D96486" w:rsidP="00811428">
      <w:pPr>
        <w:pStyle w:val="ESch"/>
        <w:rPr>
          <w:szCs w:val="20"/>
          <w:lang w:val="pt-PT"/>
        </w:rPr>
      </w:pPr>
    </w:p>
    <w:p w:rsidR="00AE4E9D" w:rsidRPr="00166EA9" w:rsidRDefault="00AE4E9D" w:rsidP="00AE4E9D">
      <w:pPr>
        <w:pStyle w:val="ES-Titre2"/>
        <w:rPr>
          <w:lang w:val="pt-PT"/>
        </w:rPr>
      </w:pPr>
      <w:bookmarkStart w:id="286" w:name="_Toc491854140"/>
      <w:bookmarkStart w:id="287" w:name="_Toc535853919"/>
      <w:r w:rsidRPr="00166EA9">
        <w:rPr>
          <w:lang w:val="pt-PT"/>
        </w:rPr>
        <w:t>17. fejezet</w:t>
      </w:r>
      <w:r w:rsidRPr="00166EA9">
        <w:rPr>
          <w:lang w:val="pt-PT"/>
        </w:rPr>
        <w:br/>
        <w:t>Cseppfolyósított gázzal üzemelő háztartási berendezések</w:t>
      </w:r>
      <w:bookmarkEnd w:id="286"/>
      <w:bookmarkEnd w:id="287"/>
    </w:p>
    <w:p w:rsidR="00AE4E9D" w:rsidRPr="00F125EF" w:rsidRDefault="00AE4E9D" w:rsidP="00AE4E9D">
      <w:pPr>
        <w:rPr>
          <w:lang w:val="pt-PT"/>
        </w:rPr>
      </w:pPr>
    </w:p>
    <w:p w:rsidR="00AE4E9D" w:rsidRPr="00F125EF" w:rsidRDefault="00AE4E9D" w:rsidP="00AE4E9D">
      <w:pPr>
        <w:pStyle w:val="ES-Titre3"/>
        <w:rPr>
          <w:lang w:val="pt-PT"/>
        </w:rPr>
      </w:pPr>
      <w:bookmarkStart w:id="288" w:name="_Toc491854141"/>
      <w:bookmarkStart w:id="289" w:name="_Toc535853920"/>
      <w:r w:rsidRPr="00F125EF">
        <w:rPr>
          <w:lang w:val="pt-PT"/>
        </w:rPr>
        <w:t>17.01. cikk</w:t>
      </w:r>
      <w:r w:rsidRPr="00F125EF">
        <w:rPr>
          <w:lang w:val="pt-PT"/>
        </w:rPr>
        <w:br/>
      </w:r>
      <w:r w:rsidRPr="00F125EF">
        <w:rPr>
          <w:i/>
          <w:noProof/>
          <w:lang w:val="pt-PT"/>
        </w:rPr>
        <w:t>Általános rendelkezések</w:t>
      </w:r>
      <w:bookmarkEnd w:id="288"/>
      <w:bookmarkEnd w:id="289"/>
    </w:p>
    <w:p w:rsidR="00AE4E9D" w:rsidRPr="00F125EF" w:rsidRDefault="00AE4E9D" w:rsidP="00AE4E9D">
      <w:pPr>
        <w:pStyle w:val="ESch"/>
        <w:rPr>
          <w:noProof/>
          <w:lang w:val="pt-PT"/>
        </w:rPr>
      </w:pPr>
    </w:p>
    <w:p w:rsidR="00AE4E9D" w:rsidRPr="00F125EF" w:rsidRDefault="00AE4E9D" w:rsidP="00AE4E9D">
      <w:pPr>
        <w:pStyle w:val="ESch"/>
        <w:rPr>
          <w:szCs w:val="20"/>
          <w:lang w:val="pt-PT"/>
        </w:rPr>
      </w:pPr>
      <w:r w:rsidRPr="00F125EF">
        <w:rPr>
          <w:lang w:val="pt-PT"/>
        </w:rPr>
        <w:t>1.</w:t>
      </w:r>
      <w:r w:rsidRPr="00F125EF">
        <w:rPr>
          <w:lang w:val="pt-PT"/>
        </w:rPr>
        <w:tab/>
        <w:t>Minden cseppfolyósított gázzal üzemelő berendezés lényegében egy egy vagy több gázpalackot tartalmazó ellátóegység, mely egy vagy több nyomásszabályozó szelepből, egy elosztórendszerből és adott számú gázfogyasztó készülékből áll.</w:t>
      </w:r>
    </w:p>
    <w:p w:rsidR="00AE4E9D" w:rsidRPr="00F125EF" w:rsidRDefault="00AE4E9D" w:rsidP="00AE4E9D">
      <w:pPr>
        <w:pStyle w:val="ESch"/>
        <w:rPr>
          <w:szCs w:val="20"/>
          <w:lang w:val="pt-PT"/>
        </w:rPr>
      </w:pPr>
    </w:p>
    <w:p w:rsidR="00AE4E9D" w:rsidRPr="00F125EF" w:rsidRDefault="00AE4E9D" w:rsidP="00AE4E9D">
      <w:pPr>
        <w:pStyle w:val="ESchpar"/>
        <w:rPr>
          <w:lang w:val="pt-PT"/>
        </w:rPr>
      </w:pPr>
      <w:r w:rsidRPr="00F125EF">
        <w:rPr>
          <w:lang w:val="pt-PT"/>
        </w:rPr>
        <w:t>A nem az ellátóegységben található tartalék- és üres palackok nem tekintendők a berendezés részeinek. Ezekre a 17.05. cikk értelemszerűen vonatkozik.</w:t>
      </w:r>
    </w:p>
    <w:p w:rsidR="00AE4E9D" w:rsidRPr="00F125EF" w:rsidRDefault="00AE4E9D" w:rsidP="00AE4E9D">
      <w:pPr>
        <w:pStyle w:val="ESch"/>
        <w:rPr>
          <w:szCs w:val="20"/>
          <w:lang w:val="pt-PT"/>
        </w:rPr>
      </w:pPr>
    </w:p>
    <w:p w:rsidR="00AE4E9D" w:rsidRPr="00F125EF" w:rsidRDefault="00AE4E9D" w:rsidP="00AE4E9D">
      <w:pPr>
        <w:pStyle w:val="ESch"/>
        <w:rPr>
          <w:szCs w:val="20"/>
          <w:lang w:val="pt-PT"/>
        </w:rPr>
      </w:pPr>
      <w:r w:rsidRPr="00F125EF">
        <w:rPr>
          <w:lang w:val="pt-PT"/>
        </w:rPr>
        <w:t>2.</w:t>
      </w:r>
      <w:r w:rsidRPr="00F125EF">
        <w:rPr>
          <w:lang w:val="pt-PT"/>
        </w:rPr>
        <w:tab/>
        <w:t>A berendezéseket csak kereskedelmi propánnal szabad üzemeltetni.</w:t>
      </w:r>
    </w:p>
    <w:p w:rsidR="00AE4E9D" w:rsidRPr="00F125EF" w:rsidRDefault="00AE4E9D" w:rsidP="00AE4E9D">
      <w:pPr>
        <w:pStyle w:val="ESch"/>
        <w:rPr>
          <w:szCs w:val="20"/>
          <w:lang w:val="pt-PT"/>
        </w:rPr>
      </w:pPr>
    </w:p>
    <w:p w:rsidR="001D67AA" w:rsidRPr="00F125EF" w:rsidRDefault="001D67AA" w:rsidP="00AE4E9D">
      <w:pPr>
        <w:pStyle w:val="ESch"/>
        <w:rPr>
          <w:szCs w:val="20"/>
          <w:lang w:val="pt-PT"/>
        </w:rPr>
      </w:pPr>
    </w:p>
    <w:p w:rsidR="00AE4E9D" w:rsidRPr="00F125EF" w:rsidRDefault="00AE4E9D" w:rsidP="00AE4E9D">
      <w:pPr>
        <w:pStyle w:val="ES-Titre3"/>
        <w:rPr>
          <w:lang w:val="pt-PT"/>
        </w:rPr>
      </w:pPr>
      <w:bookmarkStart w:id="290" w:name="_Toc491854142"/>
      <w:bookmarkStart w:id="291" w:name="_Toc535853921"/>
      <w:r w:rsidRPr="00F125EF">
        <w:rPr>
          <w:lang w:val="pt-PT"/>
        </w:rPr>
        <w:t>17.02. cikk</w:t>
      </w:r>
      <w:r w:rsidRPr="00F125EF">
        <w:rPr>
          <w:lang w:val="pt-PT"/>
        </w:rPr>
        <w:br/>
      </w:r>
      <w:r w:rsidRPr="00F125EF">
        <w:rPr>
          <w:i/>
          <w:lang w:val="pt-PT"/>
        </w:rPr>
        <w:t>Berendezések</w:t>
      </w:r>
      <w:bookmarkEnd w:id="290"/>
      <w:bookmarkEnd w:id="291"/>
    </w:p>
    <w:p w:rsidR="001D67AA" w:rsidRPr="00F125EF" w:rsidRDefault="001D67AA" w:rsidP="00AE4E9D">
      <w:pPr>
        <w:pStyle w:val="ESch"/>
        <w:rPr>
          <w:szCs w:val="20"/>
          <w:lang w:val="pt-PT"/>
        </w:rPr>
      </w:pPr>
    </w:p>
    <w:p w:rsidR="00AE4E9D" w:rsidRPr="00F125EF" w:rsidRDefault="00AE4E9D" w:rsidP="00AE4E9D">
      <w:pPr>
        <w:pStyle w:val="ESch"/>
        <w:rPr>
          <w:rFonts w:cs="Arial"/>
          <w:szCs w:val="20"/>
          <w:lang w:val="pt-PT"/>
        </w:rPr>
      </w:pPr>
      <w:r w:rsidRPr="00F125EF">
        <w:rPr>
          <w:lang w:val="pt-PT"/>
        </w:rPr>
        <w:t>1.</w:t>
      </w:r>
      <w:r w:rsidRPr="00F125EF">
        <w:rPr>
          <w:lang w:val="pt-PT"/>
        </w:rPr>
        <w:tab/>
        <w:t>A cseppfolyósított gázzal üzemelő berendezésnek alkalmasnak kell lennie a propánnal való üzemeltetésre, és azt a helyes gyakorlattal összhangban kell megtervezni és telepíteni.</w:t>
      </w:r>
    </w:p>
    <w:p w:rsidR="001D67AA" w:rsidRPr="00F125EF" w:rsidRDefault="001D67AA" w:rsidP="00AE4E9D">
      <w:pPr>
        <w:pStyle w:val="ESch"/>
        <w:rPr>
          <w:szCs w:val="20"/>
          <w:lang w:val="pt-PT"/>
        </w:rPr>
      </w:pPr>
    </w:p>
    <w:p w:rsidR="00AE4E9D" w:rsidRPr="00F125EF" w:rsidRDefault="00AE4E9D" w:rsidP="00AE4E9D">
      <w:pPr>
        <w:pStyle w:val="ESch"/>
        <w:rPr>
          <w:rFonts w:cs="Arial"/>
          <w:szCs w:val="20"/>
          <w:lang w:val="pt-PT"/>
        </w:rPr>
      </w:pPr>
      <w:r w:rsidRPr="00F125EF">
        <w:rPr>
          <w:lang w:val="pt-PT"/>
        </w:rPr>
        <w:t>2.</w:t>
      </w:r>
      <w:r w:rsidRPr="00F125EF">
        <w:rPr>
          <w:lang w:val="pt-PT"/>
        </w:rPr>
        <w:tab/>
        <w:t>A cseppfolyósított gázzal üzemelő berendezés csak háztartási célokat szolgálhat a lakóterekben és a kormányállásban, továbbá ennek megfelelő célokat személyhajókon.</w:t>
      </w:r>
    </w:p>
    <w:p w:rsidR="001D67AA" w:rsidRPr="00F125EF" w:rsidRDefault="001D67AA" w:rsidP="00AE4E9D">
      <w:pPr>
        <w:pStyle w:val="ESch"/>
        <w:rPr>
          <w:szCs w:val="20"/>
          <w:lang w:val="pt-PT"/>
        </w:rPr>
      </w:pPr>
    </w:p>
    <w:p w:rsidR="00AE4E9D" w:rsidRPr="00F125EF" w:rsidRDefault="00AE4E9D" w:rsidP="00AE4E9D">
      <w:pPr>
        <w:pStyle w:val="ESch"/>
        <w:rPr>
          <w:rFonts w:cs="Arial"/>
          <w:szCs w:val="20"/>
          <w:lang w:val="pt-PT"/>
        </w:rPr>
      </w:pPr>
      <w:r w:rsidRPr="00F125EF">
        <w:rPr>
          <w:lang w:val="pt-PT"/>
        </w:rPr>
        <w:t>3.</w:t>
      </w:r>
      <w:r w:rsidRPr="00F125EF">
        <w:rPr>
          <w:lang w:val="pt-PT"/>
        </w:rPr>
        <w:tab/>
        <w:t>A hajón több, egymástól elkülönített berendezés is üzemeltethető. A rakománytérrel vagy beépített tartállyal elválasztott lakótereket ugyanarról a berendezésről kiszolgálni tilos.</w:t>
      </w:r>
    </w:p>
    <w:p w:rsidR="001D67AA" w:rsidRPr="00F125EF" w:rsidRDefault="001D67AA" w:rsidP="00AE4E9D">
      <w:pPr>
        <w:pStyle w:val="ESch"/>
        <w:rPr>
          <w:szCs w:val="20"/>
          <w:lang w:val="pt-PT"/>
        </w:rPr>
      </w:pPr>
    </w:p>
    <w:p w:rsidR="00AE4E9D" w:rsidRPr="00F125EF" w:rsidRDefault="00AE4E9D" w:rsidP="00AE4E9D">
      <w:pPr>
        <w:pStyle w:val="ESch"/>
        <w:rPr>
          <w:szCs w:val="20"/>
          <w:lang w:val="pt-PT"/>
        </w:rPr>
      </w:pPr>
      <w:r w:rsidRPr="00F125EF">
        <w:rPr>
          <w:lang w:val="pt-PT"/>
        </w:rPr>
        <w:t>4.</w:t>
      </w:r>
      <w:r w:rsidRPr="00F125EF">
        <w:rPr>
          <w:lang w:val="pt-PT"/>
        </w:rPr>
        <w:tab/>
        <w:t>Cseppfolyósított gázzal működő berendezés semmilyen részét nem szabad a géptérben elhelyezni.</w:t>
      </w:r>
    </w:p>
    <w:p w:rsidR="001D67AA" w:rsidRPr="00F125EF" w:rsidRDefault="001D67AA" w:rsidP="00AE4E9D">
      <w:pPr>
        <w:pStyle w:val="ESch"/>
        <w:rPr>
          <w:szCs w:val="20"/>
          <w:lang w:val="pt-PT"/>
        </w:rPr>
      </w:pPr>
    </w:p>
    <w:p w:rsidR="001D67AA" w:rsidRPr="00F125EF" w:rsidRDefault="001D67AA" w:rsidP="00AE4E9D">
      <w:pPr>
        <w:pStyle w:val="ESch"/>
        <w:rPr>
          <w:rFonts w:cs="Arial"/>
          <w:szCs w:val="20"/>
          <w:lang w:val="pt-PT"/>
        </w:rPr>
      </w:pPr>
    </w:p>
    <w:p w:rsidR="00AE4E9D" w:rsidRPr="00F125EF" w:rsidRDefault="00AE4E9D" w:rsidP="00AE4E9D">
      <w:pPr>
        <w:pStyle w:val="ES-Titre3"/>
        <w:rPr>
          <w:lang w:val="pt-PT"/>
        </w:rPr>
      </w:pPr>
      <w:bookmarkStart w:id="292" w:name="_Toc491854143"/>
      <w:bookmarkStart w:id="293" w:name="_Toc535853922"/>
      <w:r w:rsidRPr="00F125EF">
        <w:rPr>
          <w:lang w:val="pt-PT"/>
        </w:rPr>
        <w:t>17.03. cikk</w:t>
      </w:r>
      <w:r w:rsidRPr="00F125EF">
        <w:rPr>
          <w:lang w:val="pt-PT"/>
        </w:rPr>
        <w:br/>
      </w:r>
      <w:r w:rsidRPr="00F125EF">
        <w:rPr>
          <w:i/>
          <w:lang w:val="pt-PT"/>
        </w:rPr>
        <w:t>Gázpalackok</w:t>
      </w:r>
      <w:bookmarkEnd w:id="292"/>
      <w:bookmarkEnd w:id="293"/>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1.</w:t>
      </w:r>
      <w:r w:rsidRPr="00F125EF">
        <w:rPr>
          <w:lang w:val="pt-PT"/>
        </w:rPr>
        <w:tab/>
        <w:t>Csak jóváhagyott, 5–35 kg töltőtömegű gázpalackok használata megengedett. Személyhajók esetében az ellenőrző szerv jóváhagyhatja nagyobb töltőtömegű gázpalackok használatát is.</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2.</w:t>
      </w:r>
      <w:r w:rsidRPr="00F125EF">
        <w:rPr>
          <w:lang w:val="pt-PT"/>
        </w:rPr>
        <w:tab/>
        <w:t>A gázpalackoknak meg kell felelniük az egyik tagállam mindenkori követelményeinek.</w:t>
      </w:r>
    </w:p>
    <w:p w:rsidR="001D67AA" w:rsidRPr="00F125EF" w:rsidRDefault="001D67AA" w:rsidP="001D67AA">
      <w:pPr>
        <w:pStyle w:val="ESch"/>
        <w:rPr>
          <w:lang w:val="pt-PT"/>
        </w:rPr>
      </w:pPr>
    </w:p>
    <w:p w:rsidR="00AE4E9D" w:rsidRPr="00F125EF" w:rsidRDefault="00AE4E9D" w:rsidP="001D67AA">
      <w:pPr>
        <w:pStyle w:val="ESchpar"/>
        <w:rPr>
          <w:lang w:val="pt-PT"/>
        </w:rPr>
      </w:pPr>
      <w:r w:rsidRPr="00F125EF">
        <w:rPr>
          <w:lang w:val="pt-PT"/>
        </w:rPr>
        <w:t>E gázpalackokat hivatalos pecséttel kell ellátni, amely tanúsítja, hogy az előírt vizsgálatokon megfeleltek.</w:t>
      </w:r>
    </w:p>
    <w:p w:rsidR="00AE4E9D" w:rsidRPr="00F125EF" w:rsidRDefault="00AE4E9D" w:rsidP="001D67AA">
      <w:pPr>
        <w:pStyle w:val="ESch"/>
        <w:rPr>
          <w:lang w:val="pt-PT"/>
        </w:rPr>
      </w:pPr>
    </w:p>
    <w:p w:rsidR="001D67AA" w:rsidRPr="00F125EF" w:rsidRDefault="001D67AA" w:rsidP="001D67AA">
      <w:pPr>
        <w:pStyle w:val="ESch"/>
        <w:rPr>
          <w:lang w:val="pt-PT"/>
        </w:rPr>
      </w:pPr>
    </w:p>
    <w:p w:rsidR="00AE4E9D" w:rsidRPr="00F125EF" w:rsidRDefault="00AE4E9D" w:rsidP="00AE4E9D">
      <w:pPr>
        <w:pStyle w:val="ES-Titre3"/>
        <w:rPr>
          <w:i/>
          <w:lang w:val="pt-PT"/>
        </w:rPr>
      </w:pPr>
      <w:bookmarkStart w:id="294" w:name="_Toc491854144"/>
      <w:bookmarkStart w:id="295" w:name="_Toc535853923"/>
      <w:r w:rsidRPr="00F125EF">
        <w:rPr>
          <w:lang w:val="pt-PT"/>
        </w:rPr>
        <w:t>17.04. cikk</w:t>
      </w:r>
      <w:r w:rsidRPr="00F125EF">
        <w:rPr>
          <w:lang w:val="pt-PT"/>
        </w:rPr>
        <w:br/>
      </w:r>
      <w:r w:rsidRPr="00F125EF">
        <w:rPr>
          <w:i/>
          <w:lang w:val="pt-PT"/>
        </w:rPr>
        <w:t>A gázellátó egységek elhelyezése és elrendezése</w:t>
      </w:r>
      <w:bookmarkEnd w:id="294"/>
      <w:bookmarkEnd w:id="295"/>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1.</w:t>
      </w:r>
      <w:r w:rsidRPr="00F125EF">
        <w:rPr>
          <w:lang w:val="pt-PT"/>
        </w:rPr>
        <w:tab/>
        <w:t>A gázellátó egységeket a fedélzeten, a lakótéren kívül kell elhelyezni különálló vagy falba süllyesztett szekrényben, olyan helyzetben, hogy az a fedélzeten a közlekedést ne akadályozza. Nem építhetők azonban az elülső vagy hátulsó mellvéd mellé. A szekrény a felépítmény falába süllyesztve is kialakítható, feltéve, hogy gázzáró és csak a felépítmény külső oldala felől nyitható. A szekrényt úgy kell elhelyezni, hogy a gázfogyasztó pontokhoz vezető csővezetékek hossza a lehető legrövidebb legyen.</w:t>
      </w:r>
    </w:p>
    <w:p w:rsidR="001D67AA" w:rsidRPr="00F125EF" w:rsidRDefault="001D67AA" w:rsidP="001D67AA">
      <w:pPr>
        <w:pStyle w:val="ESch"/>
        <w:rPr>
          <w:lang w:val="pt-PT"/>
        </w:rPr>
      </w:pPr>
    </w:p>
    <w:p w:rsidR="001D67AA" w:rsidRPr="00F125EF" w:rsidRDefault="001D67AA" w:rsidP="001D67AA">
      <w:pPr>
        <w:pStyle w:val="ESch"/>
        <w:rPr>
          <w:lang w:val="pt-PT"/>
        </w:rPr>
      </w:pPr>
      <w:r w:rsidRPr="00F125EF">
        <w:rPr>
          <w:lang w:val="pt-PT"/>
        </w:rPr>
        <w:br w:type="page"/>
      </w:r>
    </w:p>
    <w:p w:rsidR="00AE4E9D" w:rsidRPr="00F125EF" w:rsidRDefault="00AE4E9D" w:rsidP="001D67AA">
      <w:pPr>
        <w:pStyle w:val="ESchpar"/>
        <w:rPr>
          <w:lang w:val="pt-PT"/>
        </w:rPr>
      </w:pPr>
      <w:r w:rsidRPr="00F125EF">
        <w:rPr>
          <w:lang w:val="pt-PT"/>
        </w:rPr>
        <w:t>Egy időben nem üzemeltethető több palack, mint amennyi a berendezés működéséhez szükséges. Több palack csak akkor köthető be, ha fordítókapcsolót használnak. Egy ellátóegységhez legfeljebb négy palack köthető be. A tartalékpalackokkal együtt berendezésenként legfeljebb hat palack lehet a hajón.</w:t>
      </w:r>
    </w:p>
    <w:p w:rsidR="00397B6A" w:rsidRPr="00F125EF" w:rsidRDefault="00397B6A" w:rsidP="001D67AA">
      <w:pPr>
        <w:pStyle w:val="ESchpar"/>
        <w:rPr>
          <w:lang w:val="pt-PT"/>
        </w:rPr>
      </w:pPr>
    </w:p>
    <w:p w:rsidR="00AE4E9D" w:rsidRPr="00F125EF" w:rsidRDefault="00AE4E9D" w:rsidP="001D67AA">
      <w:pPr>
        <w:pStyle w:val="ESchpar"/>
        <w:rPr>
          <w:lang w:val="pt-PT"/>
        </w:rPr>
      </w:pPr>
      <w:r w:rsidRPr="00F125EF">
        <w:rPr>
          <w:lang w:val="pt-PT"/>
        </w:rPr>
        <w:t>Konyhával vagy utasétkezővel rendelkező személyhajókon legfeljebb hat palack köthető be. A tartalékpalackokkal együtt berendezésenként legfeljebb kilenc palack lehet a hajón.</w:t>
      </w:r>
    </w:p>
    <w:p w:rsidR="001D67AA" w:rsidRPr="00F125EF" w:rsidRDefault="001D67AA" w:rsidP="001D67AA">
      <w:pPr>
        <w:pStyle w:val="ESchpar"/>
        <w:rPr>
          <w:lang w:val="pt-PT"/>
        </w:rPr>
      </w:pPr>
    </w:p>
    <w:p w:rsidR="00AE4E9D" w:rsidRPr="00F125EF" w:rsidRDefault="00AE4E9D" w:rsidP="001D67AA">
      <w:pPr>
        <w:pStyle w:val="ESchpar"/>
        <w:rPr>
          <w:lang w:val="pt-PT"/>
        </w:rPr>
      </w:pPr>
      <w:r w:rsidRPr="00F125EF">
        <w:rPr>
          <w:lang w:val="pt-PT"/>
        </w:rPr>
        <w:t>A nyomásszabályozót, vagy kétfokozatú szabályozás esetén a nyomásszabályozó első fokozatát a hozzá tartozó palackok szekrényének a falához kell rögzíteni.</w:t>
      </w:r>
    </w:p>
    <w:p w:rsidR="001D67AA" w:rsidRPr="00F125EF" w:rsidRDefault="001D67AA" w:rsidP="001D67AA">
      <w:pPr>
        <w:pStyle w:val="ESchpar"/>
        <w:rPr>
          <w:lang w:val="pt-PT"/>
        </w:rPr>
      </w:pPr>
    </w:p>
    <w:p w:rsidR="00AE4E9D" w:rsidRPr="00F125EF" w:rsidRDefault="00AE4E9D" w:rsidP="001D67AA">
      <w:pPr>
        <w:pStyle w:val="ESch"/>
        <w:rPr>
          <w:lang w:val="pt-PT"/>
        </w:rPr>
      </w:pPr>
      <w:r w:rsidRPr="00F125EF">
        <w:rPr>
          <w:lang w:val="pt-PT"/>
        </w:rPr>
        <w:t>2.</w:t>
      </w:r>
      <w:r w:rsidRPr="00F125EF">
        <w:rPr>
          <w:lang w:val="pt-PT"/>
        </w:rPr>
        <w:tab/>
        <w:t>Az ellátóegységeket úgy kell telepíteni, hogy a szivárgó gáz a szekrényből annak kockázata nélkül eltávozhasson, hogy a hajó belső részeibe hatolna vagy érintkezésbe kerülne olyasmivel, ami lángra tudja lobbantani.</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3.</w:t>
      </w:r>
      <w:r w:rsidRPr="00F125EF">
        <w:rPr>
          <w:lang w:val="pt-PT"/>
        </w:rPr>
        <w:tab/>
        <w:t>A szekrényt égésgátló anyagból kell készíteni, és a megfelelő szellőzés érdekében alul és felül szellőzőnyílásokkal kell ellátni. A palackokat álló helyzetben kell a szekrényben elhelyezni oly módon, hogy ne tudjanak felborulni.</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4.</w:t>
      </w:r>
      <w:r w:rsidRPr="00F125EF">
        <w:rPr>
          <w:lang w:val="pt-PT"/>
        </w:rPr>
        <w:tab/>
        <w:t>A szekrényt úgy kell megtervezni és elhelyezni, hogy a palackok hőmérséklete ne léphesse túl az 50 °C-ot.</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5.</w:t>
      </w:r>
      <w:r w:rsidRPr="00F125EF">
        <w:rPr>
          <w:lang w:val="pt-PT"/>
        </w:rPr>
        <w:tab/>
        <w:t>A szekrény külső oldalán el kell helyezni a 4. melléklet 2. ábrája szerinti „Cseppfolyósított gázzal üzemelő berendezés”, valamint „Tűz, nyílt láng használata és dohányzás tilos” szimbólumot, amelynek átmérője legalább 10 cm.</w:t>
      </w:r>
    </w:p>
    <w:p w:rsidR="001D67AA" w:rsidRPr="00F125EF" w:rsidRDefault="001D67AA" w:rsidP="001D67AA">
      <w:pPr>
        <w:pStyle w:val="ESch"/>
        <w:rPr>
          <w:lang w:val="pt-PT"/>
        </w:rPr>
      </w:pPr>
    </w:p>
    <w:p w:rsidR="00AE4E9D" w:rsidRPr="00F125EF" w:rsidRDefault="00AE4E9D" w:rsidP="001D67AA">
      <w:pPr>
        <w:pStyle w:val="ESch"/>
        <w:rPr>
          <w:lang w:val="pt-PT"/>
        </w:rPr>
      </w:pPr>
    </w:p>
    <w:p w:rsidR="00AE4E9D" w:rsidRPr="00F125EF" w:rsidRDefault="00AE4E9D" w:rsidP="00AE4E9D">
      <w:pPr>
        <w:pStyle w:val="ES-Titre3"/>
        <w:rPr>
          <w:i/>
          <w:lang w:val="pt-PT"/>
        </w:rPr>
      </w:pPr>
      <w:bookmarkStart w:id="296" w:name="_Toc491854145"/>
      <w:bookmarkStart w:id="297" w:name="_Toc535853924"/>
      <w:r w:rsidRPr="00F125EF">
        <w:rPr>
          <w:lang w:val="pt-PT"/>
        </w:rPr>
        <w:t>17.05. cikk</w:t>
      </w:r>
      <w:r w:rsidRPr="00F125EF">
        <w:rPr>
          <w:lang w:val="pt-PT"/>
        </w:rPr>
        <w:br/>
      </w:r>
      <w:r w:rsidRPr="00F125EF">
        <w:rPr>
          <w:i/>
          <w:lang w:val="pt-PT"/>
        </w:rPr>
        <w:t>Tartalék- és üres gázpalackok</w:t>
      </w:r>
      <w:bookmarkEnd w:id="296"/>
      <w:bookmarkEnd w:id="297"/>
    </w:p>
    <w:p w:rsidR="001D67AA" w:rsidRPr="00F125EF" w:rsidRDefault="001D67AA" w:rsidP="001D67AA">
      <w:pPr>
        <w:pStyle w:val="ESch"/>
        <w:rPr>
          <w:lang w:val="pt-PT"/>
        </w:rPr>
      </w:pPr>
    </w:p>
    <w:p w:rsidR="00AE4E9D" w:rsidRPr="00F125EF" w:rsidRDefault="00AE4E9D" w:rsidP="001D67AA">
      <w:pPr>
        <w:pStyle w:val="ESgauche"/>
        <w:rPr>
          <w:lang w:val="pt-PT"/>
        </w:rPr>
      </w:pPr>
      <w:r w:rsidRPr="00F125EF">
        <w:rPr>
          <w:lang w:val="pt-PT"/>
        </w:rPr>
        <w:t>A tartalék- és az üres palackokat, amelyek nem a gázellátó egységben találhatók, a lakótéren és a kormányálláson kívül, a 17.04. cikk követelményeinek megfelelően kialakított szekrényben kell tárolni.</w:t>
      </w:r>
    </w:p>
    <w:p w:rsidR="00AE4E9D" w:rsidRPr="00F125EF" w:rsidRDefault="00AE4E9D" w:rsidP="001D67AA">
      <w:pPr>
        <w:pStyle w:val="ESch"/>
        <w:rPr>
          <w:lang w:val="pt-PT"/>
        </w:rPr>
      </w:pPr>
    </w:p>
    <w:p w:rsidR="001D67AA" w:rsidRPr="00F125EF" w:rsidRDefault="001D67AA" w:rsidP="001D67AA">
      <w:pPr>
        <w:pStyle w:val="ESch"/>
        <w:rPr>
          <w:lang w:val="pt-PT"/>
        </w:rPr>
      </w:pPr>
    </w:p>
    <w:p w:rsidR="00AE4E9D" w:rsidRPr="00F125EF" w:rsidRDefault="00AE4E9D" w:rsidP="00AE4E9D">
      <w:pPr>
        <w:pStyle w:val="ES-Titre3"/>
        <w:rPr>
          <w:i/>
          <w:lang w:val="pt-PT"/>
        </w:rPr>
      </w:pPr>
      <w:bookmarkStart w:id="298" w:name="_Toc491854146"/>
      <w:bookmarkStart w:id="299" w:name="_Toc535853925"/>
      <w:r w:rsidRPr="00F125EF">
        <w:rPr>
          <w:lang w:val="pt-PT"/>
        </w:rPr>
        <w:t>17.06. cikk</w:t>
      </w:r>
      <w:r w:rsidRPr="00F125EF">
        <w:rPr>
          <w:lang w:val="pt-PT"/>
        </w:rPr>
        <w:br/>
      </w:r>
      <w:r w:rsidRPr="00F125EF">
        <w:rPr>
          <w:i/>
          <w:lang w:val="pt-PT"/>
        </w:rPr>
        <w:t>Nyomásszabályozók</w:t>
      </w:r>
      <w:bookmarkEnd w:id="298"/>
      <w:bookmarkEnd w:id="299"/>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1.</w:t>
      </w:r>
      <w:r w:rsidRPr="00F125EF">
        <w:rPr>
          <w:lang w:val="pt-PT"/>
        </w:rPr>
        <w:tab/>
        <w:t>A gázfogyasztó készülékeket a palackokkal csak egy olyan elosztórendszeren keresztül szabad összekötni, amely egy vagy több nyomásszabályozóval van ellátva, amelyek a gáznyomást a fogyasztási nyomásra csökkentik le. A nyomáscsökkentés egy vagy két fokozatban lehetséges. Valamennyi nyomásszabályozót a 17.07. cikk szerint meghatározott állandó nyomásra kell beállítani.</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2.</w:t>
      </w:r>
      <w:r w:rsidRPr="00F125EF">
        <w:rPr>
          <w:lang w:val="pt-PT"/>
        </w:rPr>
        <w:tab/>
        <w:t>Az utolsó nyomásszabályozókat el kell látni olyan készülékkel, vagy közvetlenül utánuk be kell építeni egy olyan készüléket, amely a nyomásszabályozó meghibásodása esetén a vezetéket a túlnyomástól automatikusan megvédi. Amennyiben e védőkészülékből gáz szivárog, biztosítani kell a gáz szabadba történő kivezetését annak kockázata nélkül, hogy a hajó belső részeibe hatolna vagy érintkezésbe kerülne olyasmivel, ami lángra tudja lobbantani; ha szükséges, erre a célra külön csővezetéket kell beépíteni.</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3.</w:t>
      </w:r>
      <w:r w:rsidRPr="00F125EF">
        <w:rPr>
          <w:lang w:val="pt-PT"/>
        </w:rPr>
        <w:tab/>
        <w:t>A védőkészüléket, valamint a szellőzőket védeni kell a víz behatolása ellen.</w:t>
      </w:r>
    </w:p>
    <w:p w:rsidR="00AE4E9D" w:rsidRPr="00F125EF" w:rsidRDefault="00AE4E9D" w:rsidP="001D67AA">
      <w:pPr>
        <w:pStyle w:val="ESch"/>
        <w:rPr>
          <w:lang w:val="pt-PT"/>
        </w:rPr>
      </w:pPr>
    </w:p>
    <w:p w:rsidR="001D67AA" w:rsidRPr="00F125EF" w:rsidRDefault="001D67AA" w:rsidP="001D67AA">
      <w:pPr>
        <w:pStyle w:val="ESch"/>
        <w:rPr>
          <w:lang w:val="pt-PT"/>
        </w:rPr>
      </w:pPr>
      <w:r w:rsidRPr="00F125EF">
        <w:rPr>
          <w:lang w:val="pt-PT"/>
        </w:rPr>
        <w:br w:type="page"/>
      </w:r>
    </w:p>
    <w:p w:rsidR="00AE4E9D" w:rsidRPr="00F125EF" w:rsidRDefault="00AE4E9D" w:rsidP="00AE4E9D">
      <w:pPr>
        <w:pStyle w:val="ES-Titre3"/>
        <w:rPr>
          <w:i/>
          <w:lang w:val="pt-PT"/>
        </w:rPr>
      </w:pPr>
      <w:bookmarkStart w:id="300" w:name="_Toc491854147"/>
      <w:bookmarkStart w:id="301" w:name="_Toc535853926"/>
      <w:r w:rsidRPr="00F125EF">
        <w:rPr>
          <w:lang w:val="pt-PT"/>
        </w:rPr>
        <w:t>17.07. cikk</w:t>
      </w:r>
      <w:r w:rsidRPr="00F125EF">
        <w:rPr>
          <w:lang w:val="pt-PT"/>
        </w:rPr>
        <w:br/>
      </w:r>
      <w:r w:rsidRPr="00F125EF">
        <w:rPr>
          <w:i/>
          <w:lang w:val="pt-PT"/>
        </w:rPr>
        <w:t>Nyomás</w:t>
      </w:r>
      <w:bookmarkEnd w:id="300"/>
      <w:bookmarkEnd w:id="301"/>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1.</w:t>
      </w:r>
      <w:r w:rsidRPr="00F125EF">
        <w:rPr>
          <w:lang w:val="pt-PT"/>
        </w:rPr>
        <w:tab/>
        <w:t>Kétfokozatú nyomásszabályozás esetén az átlagnyomás legfeljebb 2,5 bar lehet a légköri nyomás felett.</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2.</w:t>
      </w:r>
      <w:r w:rsidRPr="00F125EF">
        <w:rPr>
          <w:lang w:val="pt-PT"/>
        </w:rPr>
        <w:tab/>
        <w:t>A gáznyomás az utolsó nyomásszabályozó kivezető nyílásánál legfeljebb 0,05 bar lehet a légköri nyomás felett, 10 %-os tűréssel.</w:t>
      </w:r>
    </w:p>
    <w:p w:rsidR="00AE4E9D" w:rsidRPr="00F125EF" w:rsidRDefault="00AE4E9D" w:rsidP="001D67AA">
      <w:pPr>
        <w:pStyle w:val="ESch"/>
        <w:rPr>
          <w:lang w:val="pt-PT"/>
        </w:rPr>
      </w:pPr>
    </w:p>
    <w:p w:rsidR="001D67AA" w:rsidRPr="00F125EF" w:rsidRDefault="001D67AA" w:rsidP="001D67AA">
      <w:pPr>
        <w:pStyle w:val="ESch"/>
        <w:rPr>
          <w:lang w:val="pt-PT"/>
        </w:rPr>
      </w:pPr>
    </w:p>
    <w:p w:rsidR="00AE4E9D" w:rsidRPr="00F125EF" w:rsidRDefault="00AE4E9D" w:rsidP="00AE4E9D">
      <w:pPr>
        <w:pStyle w:val="ES-Titre3"/>
        <w:rPr>
          <w:i/>
          <w:lang w:val="pt-PT"/>
        </w:rPr>
      </w:pPr>
      <w:bookmarkStart w:id="302" w:name="_Toc491854148"/>
      <w:bookmarkStart w:id="303" w:name="_Toc535853927"/>
      <w:r w:rsidRPr="00F125EF">
        <w:rPr>
          <w:lang w:val="pt-PT"/>
        </w:rPr>
        <w:t>17.08. cikk</w:t>
      </w:r>
      <w:r w:rsidRPr="00F125EF">
        <w:rPr>
          <w:lang w:val="pt-PT"/>
        </w:rPr>
        <w:br/>
      </w:r>
      <w:r w:rsidRPr="00F125EF">
        <w:rPr>
          <w:i/>
          <w:lang w:val="pt-PT"/>
        </w:rPr>
        <w:t>Csövek és rugalmas tömlők</w:t>
      </w:r>
      <w:bookmarkEnd w:id="302"/>
      <w:bookmarkEnd w:id="303"/>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1.</w:t>
      </w:r>
      <w:r w:rsidRPr="00F125EF">
        <w:rPr>
          <w:lang w:val="pt-PT"/>
        </w:rPr>
        <w:tab/>
        <w:t>A csövezetnek tartósan rögzített acél vagy réz csövekből kell állnia.</w:t>
      </w:r>
    </w:p>
    <w:p w:rsidR="001D67AA" w:rsidRPr="00F125EF" w:rsidRDefault="001D67AA" w:rsidP="001D67AA">
      <w:pPr>
        <w:pStyle w:val="ESchpar"/>
        <w:rPr>
          <w:lang w:val="pt-PT"/>
        </w:rPr>
      </w:pPr>
    </w:p>
    <w:p w:rsidR="00AE4E9D" w:rsidRPr="00F125EF" w:rsidRDefault="00AE4E9D" w:rsidP="001D67AA">
      <w:pPr>
        <w:pStyle w:val="ESchpar"/>
        <w:rPr>
          <w:lang w:val="pt-PT"/>
        </w:rPr>
      </w:pPr>
      <w:r w:rsidRPr="00F125EF">
        <w:rPr>
          <w:lang w:val="pt-PT"/>
        </w:rPr>
        <w:t>A palackok csatlakozóvezetékeiként azonban a propán szállítására alkalmas nagynyomású rugalmas tömlőket vagy spirálcsöveket kell használni. A nem tartósan rögzített gázfogyasztó készülékek legfeljebb 1 m hosszúságú, megfelelő rugalmas tömlőkkel is csatlakoztathatók.</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2.</w:t>
      </w:r>
      <w:r w:rsidRPr="00F125EF">
        <w:rPr>
          <w:lang w:val="pt-PT"/>
        </w:rPr>
        <w:tab/>
        <w:t>A csöveknek képeseknek kell lenniük minden olyan igénybevétel, különösen korróziós hatás és a szilárdságot próbára tevő hatás elviselésére, amely a hajón normál üzemi körülmények között előfordulhat, és jellemzőik és kialakításuk révén biztosítaniuk kell a gázfogyasztó készülékek részére a megfelelő nyomású gáz áramlását.</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3.</w:t>
      </w:r>
      <w:r w:rsidRPr="00F125EF">
        <w:rPr>
          <w:lang w:val="pt-PT"/>
        </w:rPr>
        <w:tab/>
        <w:t>A csövezetben a lehető legkevesebb csőkötésnek kell lennie. A csöveknek és a kötéseknek gázzáróknak kell lenniük minden esetleges rezgés és nyúlás ellenére is.</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4.</w:t>
      </w:r>
      <w:r w:rsidRPr="00F125EF">
        <w:rPr>
          <w:lang w:val="pt-PT"/>
        </w:rPr>
        <w:tab/>
        <w:t>A csöveknek jól hozzáférhetőeknek kell lenniük, azokat megfelelően rögzíteni és minden olyan ponton védeni kell, ahol ütésnek vagy súrlódásnak lehetnek kitéve, különösen ott, ahol acél válaszfalakon vagy fém falakon vezetik át őket. Az acél csövek teljes külső felületét korrózióvédelemmel kell ellátni.</w:t>
      </w:r>
    </w:p>
    <w:p w:rsidR="001D67AA" w:rsidRPr="00F125EF" w:rsidRDefault="001D67AA" w:rsidP="001D67AA">
      <w:pPr>
        <w:pStyle w:val="ESch"/>
        <w:rPr>
          <w:lang w:val="pt-PT"/>
        </w:rPr>
      </w:pPr>
    </w:p>
    <w:p w:rsidR="00AE4E9D" w:rsidRPr="00F125EF" w:rsidRDefault="00AE4E9D" w:rsidP="001D67AA">
      <w:pPr>
        <w:pStyle w:val="ESch"/>
        <w:rPr>
          <w:rStyle w:val="HeaderChar"/>
          <w:rFonts w:ascii="Arial" w:hAnsi="Arial"/>
          <w:sz w:val="20"/>
          <w:lang w:val="pt-PT"/>
        </w:rPr>
      </w:pPr>
      <w:r w:rsidRPr="00F125EF">
        <w:rPr>
          <w:lang w:val="pt-PT"/>
        </w:rPr>
        <w:t>5.</w:t>
      </w:r>
      <w:r w:rsidRPr="00F125EF">
        <w:rPr>
          <w:lang w:val="pt-PT"/>
        </w:rPr>
        <w:tab/>
        <w:t>A rugalmas tömlőknek és azok kötéseinek képeseknek kell lenniük minden olyan igénybevétel elviselésére, amely a hajón a normál üzemi körülmények között előfordulhat. A tömlőket úgy kell telepíteni, hogy feszültségmentesek legyenek, ne legyenek túlhevíthetők és teljes hosszúságukban ellenőrizhetők legyenek.</w:t>
      </w:r>
    </w:p>
    <w:p w:rsidR="00AE4E9D" w:rsidRPr="00F125EF" w:rsidRDefault="00AE4E9D" w:rsidP="001D67AA">
      <w:pPr>
        <w:pStyle w:val="ESch"/>
        <w:rPr>
          <w:lang w:val="pt-PT"/>
        </w:rPr>
      </w:pPr>
    </w:p>
    <w:p w:rsidR="001D67AA" w:rsidRPr="00F125EF" w:rsidRDefault="001D67AA" w:rsidP="001D67AA">
      <w:pPr>
        <w:pStyle w:val="ESch"/>
        <w:rPr>
          <w:lang w:val="pt-PT"/>
        </w:rPr>
      </w:pPr>
    </w:p>
    <w:p w:rsidR="00AE4E9D" w:rsidRPr="00F125EF" w:rsidRDefault="00AE4E9D" w:rsidP="00AE4E9D">
      <w:pPr>
        <w:pStyle w:val="ES-Titre3"/>
        <w:rPr>
          <w:i/>
          <w:lang w:val="pt-PT"/>
        </w:rPr>
      </w:pPr>
      <w:bookmarkStart w:id="304" w:name="_Toc491854149"/>
      <w:bookmarkStart w:id="305" w:name="_Toc535853928"/>
      <w:r w:rsidRPr="00F125EF">
        <w:rPr>
          <w:lang w:val="pt-PT"/>
        </w:rPr>
        <w:t>17.09. cikk</w:t>
      </w:r>
      <w:r w:rsidRPr="00F125EF">
        <w:rPr>
          <w:lang w:val="pt-PT"/>
        </w:rPr>
        <w:br/>
      </w:r>
      <w:r w:rsidRPr="00F125EF">
        <w:rPr>
          <w:i/>
          <w:lang w:val="pt-PT"/>
        </w:rPr>
        <w:t>Elosztórendszer</w:t>
      </w:r>
      <w:bookmarkEnd w:id="304"/>
      <w:bookmarkEnd w:id="305"/>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1.</w:t>
      </w:r>
      <w:r w:rsidRPr="00F125EF">
        <w:rPr>
          <w:lang w:val="pt-PT"/>
        </w:rPr>
        <w:tab/>
        <w:t>Biztosítani kell a teljes elosztórendszer elzárhatóságát egy olyan főszelep révén, amely bármikor könnyen és gyorsan hozzáférhető.</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2.</w:t>
      </w:r>
      <w:r w:rsidRPr="00F125EF">
        <w:rPr>
          <w:lang w:val="pt-PT"/>
        </w:rPr>
        <w:tab/>
        <w:t>Minden egyes gázfogyasztó készüléket az elosztórendszer külön ágvezetékéről kell táplálni, és minden ágvezetéknek külön elzárókészülékkel kell rendelkeznie.</w:t>
      </w:r>
    </w:p>
    <w:p w:rsidR="001D67AA" w:rsidRPr="00F125EF" w:rsidRDefault="001D67AA" w:rsidP="001D67AA">
      <w:pPr>
        <w:pStyle w:val="ESch"/>
        <w:rPr>
          <w:lang w:val="pt-PT"/>
        </w:rPr>
      </w:pPr>
    </w:p>
    <w:p w:rsidR="005662C0" w:rsidRPr="00F125EF" w:rsidRDefault="005662C0" w:rsidP="001D67AA">
      <w:pPr>
        <w:pStyle w:val="ESch"/>
        <w:rPr>
          <w:lang w:val="pt-PT"/>
        </w:rPr>
      </w:pPr>
      <w:r w:rsidRPr="00F125EF">
        <w:rPr>
          <w:lang w:val="pt-PT"/>
        </w:rPr>
        <w:br w:type="page"/>
      </w:r>
    </w:p>
    <w:p w:rsidR="00AE4E9D" w:rsidRPr="00F125EF" w:rsidRDefault="00AE4E9D" w:rsidP="001D67AA">
      <w:pPr>
        <w:pStyle w:val="ESch"/>
        <w:rPr>
          <w:lang w:val="pt-PT"/>
        </w:rPr>
      </w:pPr>
      <w:r w:rsidRPr="00F125EF">
        <w:rPr>
          <w:lang w:val="pt-PT"/>
        </w:rPr>
        <w:t>3.</w:t>
      </w:r>
      <w:r w:rsidRPr="00F125EF">
        <w:rPr>
          <w:lang w:val="pt-PT"/>
        </w:rPr>
        <w:tab/>
        <w:t>A szelepeket lehetőség szerint olyan pontokra kell rögzíteni, ahol védve vannak az időjárási és más behatásoktól.</w:t>
      </w:r>
    </w:p>
    <w:p w:rsidR="001D67AA" w:rsidRPr="00F125EF" w:rsidRDefault="001D67AA" w:rsidP="001D67AA">
      <w:pPr>
        <w:pStyle w:val="ESch"/>
        <w:rPr>
          <w:lang w:val="pt-PT"/>
        </w:rPr>
      </w:pPr>
    </w:p>
    <w:p w:rsidR="00AE4E9D" w:rsidRPr="00F125EF" w:rsidRDefault="00AE4E9D" w:rsidP="001D67AA">
      <w:pPr>
        <w:pStyle w:val="ESch"/>
        <w:rPr>
          <w:lang w:val="pt-PT"/>
        </w:rPr>
      </w:pPr>
      <w:r w:rsidRPr="00F125EF">
        <w:rPr>
          <w:lang w:val="pt-PT"/>
        </w:rPr>
        <w:t>4.</w:t>
      </w:r>
      <w:r w:rsidRPr="00F125EF">
        <w:rPr>
          <w:lang w:val="pt-PT"/>
        </w:rPr>
        <w:tab/>
        <w:t>Minden nyomásszabályozó után próbacsatlakozást kell kialakítani. Elzáró szerelvény beépítésével biztosítani kell, hogy a nyomáspróba során a próbanyomásnak a nyomásszabályozó ne legyen kitéve.</w:t>
      </w:r>
    </w:p>
    <w:p w:rsidR="00AE4E9D" w:rsidRPr="00F125EF" w:rsidRDefault="00AE4E9D" w:rsidP="001D67AA">
      <w:pPr>
        <w:pStyle w:val="ESch"/>
        <w:rPr>
          <w:lang w:val="pt-PT"/>
        </w:rPr>
      </w:pPr>
    </w:p>
    <w:p w:rsidR="001D67AA" w:rsidRPr="00F125EF" w:rsidRDefault="001D67AA" w:rsidP="001D67AA">
      <w:pPr>
        <w:pStyle w:val="ESch"/>
        <w:rPr>
          <w:lang w:val="pt-PT"/>
        </w:rPr>
      </w:pPr>
    </w:p>
    <w:p w:rsidR="00AE4E9D" w:rsidRPr="00F125EF" w:rsidRDefault="00AE4E9D" w:rsidP="00AE4E9D">
      <w:pPr>
        <w:pStyle w:val="ES-Titre3"/>
        <w:rPr>
          <w:i/>
          <w:lang w:val="pt-PT"/>
        </w:rPr>
      </w:pPr>
      <w:bookmarkStart w:id="306" w:name="_Toc491854150"/>
      <w:bookmarkStart w:id="307" w:name="_Toc535853929"/>
      <w:r w:rsidRPr="00F125EF">
        <w:rPr>
          <w:lang w:val="pt-PT"/>
        </w:rPr>
        <w:t>17.10. cikk</w:t>
      </w:r>
      <w:r w:rsidRPr="00F125EF">
        <w:rPr>
          <w:lang w:val="pt-PT"/>
        </w:rPr>
        <w:br/>
      </w:r>
      <w:r w:rsidRPr="00F125EF">
        <w:rPr>
          <w:i/>
          <w:lang w:val="pt-PT"/>
        </w:rPr>
        <w:t>Gázfogyasztó készülékek és azok telepítése</w:t>
      </w:r>
      <w:bookmarkEnd w:id="306"/>
      <w:bookmarkEnd w:id="307"/>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1.</w:t>
      </w:r>
      <w:r w:rsidRPr="00F125EF">
        <w:rPr>
          <w:lang w:val="pt-PT"/>
        </w:rPr>
        <w:tab/>
        <w:t>Csak olyan propánüzemű fogyasztókészülékek telepíthetők, amelyeket egy tagállam jóváhagyott, és amelyek olyan eszközökkel vannak ellátva, amelyek ténylegesen megakadályozzák a gázszivárgást az üzemi vagy a gyújtóláng kialvása esetén.</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2.</w:t>
      </w:r>
      <w:r w:rsidRPr="00F125EF">
        <w:rPr>
          <w:lang w:val="pt-PT"/>
        </w:rPr>
        <w:tab/>
        <w:t>A fogyasztókészülékeket úgy kell elhelyezni és bekötni, hogy ne borulhassanak fel vagy mozdulhassanak el, és ne álljon fenn az összekötő csövek véletlenszerű meggörbülésének veszélye.</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3.</w:t>
      </w:r>
      <w:r w:rsidRPr="00F125EF">
        <w:rPr>
          <w:lang w:val="pt-PT"/>
        </w:rPr>
        <w:tab/>
        <w:t>A fűtő- és vízmelegítő készülékeket, valamint a hűtőgépeket az égési gázok szabadba történő elvezetésére szolgáló égéstermék-vezetékbe kell bekötni.</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4.</w:t>
      </w:r>
      <w:r w:rsidRPr="00F125EF">
        <w:rPr>
          <w:lang w:val="pt-PT"/>
        </w:rPr>
        <w:tab/>
        <w:t>Gázfogyasztó készülékek elhelyezése a kormányállásban csak akkor megengedett, ha a kormányállás úgy van kialakítva, hogy a szivárgó gáz nem hatolhat be a vízi jármű mélyebben fekvő tereibe, elsősorban a vezérlővezetékek válaszfal-átvezetésein keresztül a géptérbe.</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5.</w:t>
      </w:r>
      <w:r w:rsidRPr="00F125EF">
        <w:rPr>
          <w:lang w:val="pt-PT"/>
        </w:rPr>
        <w:tab/>
        <w:t>Gázfogyasztó készülék hálóhelyiségben csak akkor helyezhető el, ha az égés a helyiség levegőjének felhasználása nélkül megy végbe.</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6.</w:t>
      </w:r>
      <w:r w:rsidRPr="00F125EF">
        <w:rPr>
          <w:lang w:val="pt-PT"/>
        </w:rPr>
        <w:tab/>
        <w:t>Azok a gázfogyasztó készülékek, amelyeknél az égés a helyiség levegőjének felhasználásával megy végbe, csak megfelelő méretű helyiségben telepíthetők.</w:t>
      </w:r>
    </w:p>
    <w:p w:rsidR="00AE4E9D" w:rsidRPr="00F125EF" w:rsidRDefault="00AE4E9D" w:rsidP="005662C0">
      <w:pPr>
        <w:pStyle w:val="ESch"/>
        <w:rPr>
          <w:lang w:val="pt-PT"/>
        </w:rPr>
      </w:pPr>
    </w:p>
    <w:p w:rsidR="005662C0" w:rsidRPr="00F125EF" w:rsidRDefault="005662C0" w:rsidP="005662C0">
      <w:pPr>
        <w:pStyle w:val="ESch"/>
        <w:rPr>
          <w:lang w:val="pt-PT"/>
        </w:rPr>
      </w:pPr>
    </w:p>
    <w:p w:rsidR="00AE4E9D" w:rsidRPr="00F125EF" w:rsidRDefault="00AE4E9D" w:rsidP="00AE4E9D">
      <w:pPr>
        <w:pStyle w:val="ES-Titre3"/>
        <w:rPr>
          <w:i/>
          <w:lang w:val="pt-PT"/>
        </w:rPr>
      </w:pPr>
      <w:bookmarkStart w:id="308" w:name="_Toc491854151"/>
      <w:bookmarkStart w:id="309" w:name="_Toc535853930"/>
      <w:r w:rsidRPr="00F125EF">
        <w:rPr>
          <w:lang w:val="pt-PT"/>
        </w:rPr>
        <w:t>17.11. cikk</w:t>
      </w:r>
      <w:r w:rsidRPr="00F125EF">
        <w:rPr>
          <w:lang w:val="pt-PT"/>
        </w:rPr>
        <w:br/>
      </w:r>
      <w:r w:rsidRPr="00F125EF">
        <w:rPr>
          <w:i/>
          <w:lang w:val="pt-PT"/>
        </w:rPr>
        <w:t>Szellőzés és az égési gázok elvezetése</w:t>
      </w:r>
      <w:bookmarkEnd w:id="308"/>
      <w:bookmarkEnd w:id="309"/>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1.</w:t>
      </w:r>
      <w:r w:rsidRPr="00F125EF">
        <w:rPr>
          <w:lang w:val="pt-PT"/>
        </w:rPr>
        <w:tab/>
        <w:t>Azokban a helyiségekben, ahol olyan gázfogyasztó készülékek vannak, amelyeknél az égés a helyiség levegőjének felhasználásával megy végbe, a friss levegő bevezetését és az égésigázok elvezetését megfelelő méretű szellőzőnyílásokon keresztül kell biztosítani, amelyek szabad nyílástere nyílásonként legalább 150 cm</w:t>
      </w:r>
      <w:r w:rsidRPr="00F125EF">
        <w:rPr>
          <w:vertAlign w:val="superscript"/>
          <w:lang w:val="pt-PT"/>
        </w:rPr>
        <w:t>2</w:t>
      </w:r>
      <w:r w:rsidRPr="00F125EF">
        <w:rPr>
          <w:lang w:val="pt-PT"/>
        </w:rPr>
        <w:t>.</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2.</w:t>
      </w:r>
      <w:r w:rsidRPr="00F125EF">
        <w:rPr>
          <w:lang w:val="pt-PT"/>
        </w:rPr>
        <w:tab/>
        <w:t>A szellőzőnyílások nem rendelkezhetnek zárószerkezettel és nem nyílhatnak a hálóhelyiségekbe.</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3.</w:t>
      </w:r>
      <w:r w:rsidRPr="00F125EF">
        <w:rPr>
          <w:lang w:val="pt-PT"/>
        </w:rPr>
        <w:tab/>
        <w:t>Az égésigáz-elvezető eszközöket úgy kell kialakítani, hogy az égési gázok elvezetése biztonságos legyen. Üzembiztosnak kell lenniük, és éghetetlen anyagból kell készülniük. Működésüket a mesterséges szellőztetés nem befolyásolhatja.</w:t>
      </w:r>
    </w:p>
    <w:p w:rsidR="00AE4E9D" w:rsidRPr="00F125EF" w:rsidRDefault="00AE4E9D" w:rsidP="005662C0">
      <w:pPr>
        <w:pStyle w:val="ESch"/>
        <w:rPr>
          <w:lang w:val="pt-PT"/>
        </w:rPr>
      </w:pPr>
    </w:p>
    <w:p w:rsidR="005662C0" w:rsidRPr="00F125EF" w:rsidRDefault="005662C0" w:rsidP="005662C0">
      <w:pPr>
        <w:pStyle w:val="ESch"/>
        <w:rPr>
          <w:lang w:val="pt-PT"/>
        </w:rPr>
      </w:pPr>
      <w:r w:rsidRPr="00F125EF">
        <w:rPr>
          <w:lang w:val="pt-PT"/>
        </w:rPr>
        <w:br w:type="page"/>
      </w:r>
    </w:p>
    <w:p w:rsidR="00AE4E9D" w:rsidRPr="00F125EF" w:rsidRDefault="00AE4E9D" w:rsidP="00AE4E9D">
      <w:pPr>
        <w:pStyle w:val="ES-Titre3"/>
        <w:rPr>
          <w:i/>
          <w:lang w:val="pt-PT"/>
        </w:rPr>
      </w:pPr>
      <w:bookmarkStart w:id="310" w:name="_Toc491854152"/>
      <w:bookmarkStart w:id="311" w:name="_Toc535853931"/>
      <w:r w:rsidRPr="00F125EF">
        <w:rPr>
          <w:lang w:val="pt-PT"/>
        </w:rPr>
        <w:t>17.12. cikk</w:t>
      </w:r>
      <w:r w:rsidRPr="00F125EF">
        <w:rPr>
          <w:lang w:val="pt-PT"/>
        </w:rPr>
        <w:br/>
      </w:r>
      <w:r w:rsidRPr="00F125EF">
        <w:rPr>
          <w:i/>
          <w:lang w:val="pt-PT"/>
        </w:rPr>
        <w:t>Kezelési utasítások</w:t>
      </w:r>
      <w:bookmarkEnd w:id="310"/>
      <w:bookmarkEnd w:id="311"/>
    </w:p>
    <w:p w:rsidR="005662C0" w:rsidRPr="00F125EF" w:rsidRDefault="005662C0" w:rsidP="005662C0">
      <w:pPr>
        <w:pStyle w:val="ESgauche"/>
        <w:rPr>
          <w:lang w:val="pt-PT"/>
        </w:rPr>
      </w:pPr>
    </w:p>
    <w:p w:rsidR="00AE4E9D" w:rsidRPr="00F125EF" w:rsidRDefault="00AE4E9D" w:rsidP="005662C0">
      <w:pPr>
        <w:pStyle w:val="ESgauche"/>
        <w:rPr>
          <w:lang w:val="pt-PT"/>
        </w:rPr>
      </w:pPr>
      <w:r w:rsidRPr="00F125EF">
        <w:rPr>
          <w:lang w:val="pt-PT"/>
        </w:rPr>
        <w:t>A hajón egy arra alkalmas helyen ki kell függeszteni a berendezések használati utasítását. Ennek magában kell foglalnia legalább a következő utasításokat:</w:t>
      </w:r>
    </w:p>
    <w:p w:rsidR="005662C0" w:rsidRPr="00F125EF" w:rsidRDefault="005662C0" w:rsidP="005662C0">
      <w:pPr>
        <w:pStyle w:val="ESgauche"/>
        <w:rPr>
          <w:lang w:val="pt-PT"/>
        </w:rPr>
      </w:pPr>
    </w:p>
    <w:p w:rsidR="00AE4E9D" w:rsidRPr="00F125EF" w:rsidRDefault="0064343D" w:rsidP="005D13EF">
      <w:pPr>
        <w:pStyle w:val="ESgauche"/>
        <w:jc w:val="center"/>
        <w:rPr>
          <w:lang w:val="pt-PT"/>
        </w:rPr>
      </w:pPr>
      <w:r w:rsidRPr="00F125EF">
        <w:rPr>
          <w:lang w:val="pt-PT"/>
        </w:rPr>
        <w:t>„Az elosztórendszerre nem csatlakoztatott palackok csapjait még akkor is zárt állapotban kell tartani, ha a palackok feltételezhetően üresek.”;</w:t>
      </w:r>
    </w:p>
    <w:p w:rsidR="005662C0" w:rsidRPr="00F125EF" w:rsidRDefault="005662C0" w:rsidP="005D13EF">
      <w:pPr>
        <w:pStyle w:val="ESgauche"/>
        <w:jc w:val="center"/>
        <w:rPr>
          <w:lang w:val="pt-PT"/>
        </w:rPr>
      </w:pPr>
    </w:p>
    <w:p w:rsidR="00AE4E9D" w:rsidRPr="00F125EF" w:rsidRDefault="0064343D" w:rsidP="005D13EF">
      <w:pPr>
        <w:pStyle w:val="ESgauche"/>
        <w:jc w:val="center"/>
        <w:rPr>
          <w:lang w:val="pt-PT"/>
        </w:rPr>
      </w:pPr>
      <w:r w:rsidRPr="00F125EF">
        <w:rPr>
          <w:lang w:val="pt-PT"/>
        </w:rPr>
        <w:t>„A tömlőket ki kell cserélni, amint azt az állapotuk szükségessé teszi.”;</w:t>
      </w:r>
    </w:p>
    <w:p w:rsidR="005662C0" w:rsidRPr="00F125EF" w:rsidRDefault="005662C0" w:rsidP="005D13EF">
      <w:pPr>
        <w:pStyle w:val="ESgauche"/>
        <w:jc w:val="center"/>
        <w:rPr>
          <w:lang w:val="pt-PT"/>
        </w:rPr>
      </w:pPr>
    </w:p>
    <w:p w:rsidR="00AE4E9D" w:rsidRPr="00F125EF" w:rsidRDefault="0064343D" w:rsidP="005D13EF">
      <w:pPr>
        <w:pStyle w:val="ESgauche"/>
        <w:jc w:val="center"/>
        <w:rPr>
          <w:lang w:val="pt-PT"/>
        </w:rPr>
      </w:pPr>
      <w:r w:rsidRPr="00F125EF">
        <w:rPr>
          <w:lang w:val="pt-PT"/>
        </w:rPr>
        <w:t>„Valamennyi gázfogyasztó berendezést be kell kötni, vagy a hozzájuk tartozó csatlakozócsöveket el kell tömíteni.”</w:t>
      </w:r>
    </w:p>
    <w:p w:rsidR="00AE4E9D" w:rsidRPr="00F125EF" w:rsidRDefault="00AE4E9D" w:rsidP="005662C0">
      <w:pPr>
        <w:pStyle w:val="ESch"/>
        <w:rPr>
          <w:lang w:val="pt-PT"/>
        </w:rPr>
      </w:pPr>
    </w:p>
    <w:p w:rsidR="005662C0" w:rsidRPr="00F125EF" w:rsidRDefault="005662C0" w:rsidP="005662C0">
      <w:pPr>
        <w:pStyle w:val="ESch"/>
        <w:rPr>
          <w:lang w:val="pt-PT"/>
        </w:rPr>
      </w:pPr>
    </w:p>
    <w:p w:rsidR="00AE4E9D" w:rsidRPr="00F125EF" w:rsidRDefault="00AE4E9D" w:rsidP="00AE4E9D">
      <w:pPr>
        <w:pStyle w:val="ES-Titre3"/>
        <w:rPr>
          <w:i/>
          <w:lang w:val="pt-PT"/>
        </w:rPr>
      </w:pPr>
      <w:bookmarkStart w:id="312" w:name="_Toc491854153"/>
      <w:bookmarkStart w:id="313" w:name="_Toc535853932"/>
      <w:r w:rsidRPr="00F125EF">
        <w:rPr>
          <w:lang w:val="pt-PT"/>
        </w:rPr>
        <w:t>17.13. cikk</w:t>
      </w:r>
      <w:r w:rsidRPr="00F125EF">
        <w:rPr>
          <w:lang w:val="pt-PT"/>
        </w:rPr>
        <w:br/>
      </w:r>
      <w:r w:rsidRPr="00F125EF">
        <w:rPr>
          <w:i/>
          <w:lang w:val="pt-PT"/>
        </w:rPr>
        <w:t>Átvételi vizsgálat</w:t>
      </w:r>
      <w:bookmarkEnd w:id="312"/>
      <w:bookmarkEnd w:id="313"/>
    </w:p>
    <w:p w:rsidR="005662C0" w:rsidRPr="00F125EF" w:rsidRDefault="005662C0" w:rsidP="005662C0">
      <w:pPr>
        <w:pStyle w:val="ESch"/>
        <w:rPr>
          <w:lang w:val="pt-PT"/>
        </w:rPr>
      </w:pPr>
    </w:p>
    <w:p w:rsidR="00AE4E9D" w:rsidRPr="00F125EF" w:rsidRDefault="00AE4E9D" w:rsidP="005662C0">
      <w:pPr>
        <w:pStyle w:val="ESgauche"/>
        <w:rPr>
          <w:lang w:val="pt-PT"/>
        </w:rPr>
      </w:pPr>
      <w:r w:rsidRPr="00F125EF">
        <w:rPr>
          <w:lang w:val="pt-PT"/>
        </w:rPr>
        <w:t>A cseppfolyósított gázzal üzemelő berendezések vizsgálata során egy szakértő ellenőrzi, hogy a berendezés megfelel-e e fejezet követelményeinek:</w:t>
      </w:r>
    </w:p>
    <w:p w:rsidR="00AE4E9D" w:rsidRPr="00F125EF" w:rsidRDefault="005C7859" w:rsidP="005662C0">
      <w:pPr>
        <w:pStyle w:val="ESletgauche"/>
        <w:rPr>
          <w:lang w:val="pt-PT"/>
        </w:rPr>
      </w:pPr>
      <w:r w:rsidRPr="00F125EF">
        <w:rPr>
          <w:lang w:val="pt-PT"/>
        </w:rPr>
        <w:t>a)</w:t>
      </w:r>
      <w:r w:rsidRPr="00F125EF">
        <w:rPr>
          <w:lang w:val="pt-PT"/>
        </w:rPr>
        <w:tab/>
        <w:t>az első használatbavétel előtt;</w:t>
      </w:r>
    </w:p>
    <w:p w:rsidR="00AE4E9D" w:rsidRPr="00F125EF" w:rsidRDefault="005C7859" w:rsidP="005662C0">
      <w:pPr>
        <w:pStyle w:val="ESletgauche"/>
        <w:rPr>
          <w:lang w:val="pt-PT"/>
        </w:rPr>
      </w:pPr>
      <w:r w:rsidRPr="00F125EF">
        <w:rPr>
          <w:lang w:val="pt-PT"/>
        </w:rPr>
        <w:t>b)</w:t>
      </w:r>
      <w:r w:rsidRPr="00F125EF">
        <w:rPr>
          <w:lang w:val="pt-PT"/>
        </w:rPr>
        <w:tab/>
        <w:t>nagyobb módosítást vagy javítást követő újbóli üzembe helyezés előtt; és</w:t>
      </w:r>
    </w:p>
    <w:p w:rsidR="00AE4E9D" w:rsidRPr="00F125EF" w:rsidRDefault="005C7859" w:rsidP="005662C0">
      <w:pPr>
        <w:pStyle w:val="ESletgauche"/>
        <w:rPr>
          <w:lang w:val="pt-PT"/>
        </w:rPr>
      </w:pPr>
      <w:r w:rsidRPr="00F125EF">
        <w:rPr>
          <w:lang w:val="pt-PT"/>
        </w:rPr>
        <w:t>c)</w:t>
      </w:r>
      <w:r w:rsidRPr="00F125EF">
        <w:rPr>
          <w:lang w:val="pt-PT"/>
        </w:rPr>
        <w:tab/>
        <w:t>a 17.15. cikk szerinti igazolás megújításakor minden alkalommal.</w:t>
      </w:r>
    </w:p>
    <w:p w:rsidR="00AE4E9D" w:rsidRPr="00F125EF" w:rsidRDefault="00AE4E9D" w:rsidP="005662C0">
      <w:pPr>
        <w:pStyle w:val="ESgauche"/>
        <w:rPr>
          <w:lang w:val="pt-PT"/>
        </w:rPr>
      </w:pPr>
    </w:p>
    <w:p w:rsidR="00AE4E9D" w:rsidRPr="00F125EF" w:rsidRDefault="00AE4E9D" w:rsidP="005662C0">
      <w:pPr>
        <w:pStyle w:val="ESgauche"/>
        <w:rPr>
          <w:lang w:val="pt-PT"/>
        </w:rPr>
      </w:pPr>
      <w:r w:rsidRPr="00F125EF">
        <w:rPr>
          <w:lang w:val="pt-PT"/>
        </w:rPr>
        <w:t>Ellenőrzési igazolást kell kiadni, amely tartalmazza a szakértő aláírását és az ellenőrzés dátumát. Az ellenőrzési igazolás egy példányát be kell nyújtani az ellenőrző szervhez.</w:t>
      </w:r>
    </w:p>
    <w:p w:rsidR="00AE4E9D" w:rsidRPr="00F125EF" w:rsidRDefault="00AE4E9D" w:rsidP="005662C0">
      <w:pPr>
        <w:pStyle w:val="ESgauche"/>
        <w:rPr>
          <w:lang w:val="pt-PT"/>
        </w:rPr>
      </w:pPr>
    </w:p>
    <w:p w:rsidR="005662C0" w:rsidRPr="00F125EF" w:rsidRDefault="005662C0" w:rsidP="005662C0">
      <w:pPr>
        <w:pStyle w:val="ESgauche"/>
        <w:rPr>
          <w:lang w:val="pt-PT"/>
        </w:rPr>
      </w:pPr>
    </w:p>
    <w:p w:rsidR="00AE4E9D" w:rsidRPr="00F125EF" w:rsidRDefault="00AE4E9D" w:rsidP="00AE4E9D">
      <w:pPr>
        <w:pStyle w:val="ES-Titre3"/>
        <w:rPr>
          <w:i/>
          <w:lang w:val="pt-PT"/>
        </w:rPr>
      </w:pPr>
      <w:bookmarkStart w:id="314" w:name="_Toc491854154"/>
      <w:bookmarkStart w:id="315" w:name="_Toc535853933"/>
      <w:r w:rsidRPr="00F125EF">
        <w:rPr>
          <w:lang w:val="pt-PT"/>
        </w:rPr>
        <w:t>17.14. cikk</w:t>
      </w:r>
      <w:r w:rsidRPr="00F125EF">
        <w:rPr>
          <w:lang w:val="pt-PT"/>
        </w:rPr>
        <w:br/>
      </w:r>
      <w:r w:rsidRPr="00F125EF">
        <w:rPr>
          <w:i/>
          <w:lang w:val="pt-PT"/>
        </w:rPr>
        <w:t>Vizsgálati feltételek</w:t>
      </w:r>
      <w:bookmarkEnd w:id="314"/>
      <w:bookmarkEnd w:id="315"/>
    </w:p>
    <w:p w:rsidR="005662C0" w:rsidRPr="00F125EF" w:rsidRDefault="005662C0" w:rsidP="005662C0">
      <w:pPr>
        <w:pStyle w:val="ESgauche"/>
        <w:rPr>
          <w:lang w:val="pt-PT"/>
        </w:rPr>
      </w:pPr>
    </w:p>
    <w:p w:rsidR="00AE4E9D" w:rsidRPr="00F125EF" w:rsidRDefault="00AE4E9D" w:rsidP="005662C0">
      <w:pPr>
        <w:pStyle w:val="ESgauche"/>
        <w:rPr>
          <w:lang w:val="pt-PT"/>
        </w:rPr>
      </w:pPr>
      <w:r w:rsidRPr="00F125EF">
        <w:rPr>
          <w:lang w:val="pt-PT"/>
        </w:rPr>
        <w:t>A berendezés vizsgálatát a következő feltételek mellett kell elvégezni:</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1.</w:t>
      </w:r>
      <w:r w:rsidRPr="00F125EF">
        <w:rPr>
          <w:lang w:val="pt-PT"/>
        </w:rPr>
        <w:tab/>
        <w:t>Közepes nyomású csövek az első nyomásszabályozó 17.09. cikk 4. bekezdésében említett elzárókészüléke és az utolsó nyomásszabályozó előtt felszerelt szelepek között:</w:t>
      </w:r>
    </w:p>
    <w:p w:rsidR="00AE4E9D" w:rsidRPr="00F125EF" w:rsidRDefault="005C7859" w:rsidP="005662C0">
      <w:pPr>
        <w:pStyle w:val="ESlet"/>
        <w:rPr>
          <w:lang w:val="pt-PT"/>
        </w:rPr>
      </w:pPr>
      <w:r w:rsidRPr="00F125EF">
        <w:rPr>
          <w:lang w:val="pt-PT"/>
        </w:rPr>
        <w:t>a)</w:t>
      </w:r>
      <w:r w:rsidRPr="00F125EF">
        <w:rPr>
          <w:lang w:val="pt-PT"/>
        </w:rPr>
        <w:tab/>
        <w:t>levegővel, inert gázzal vagy folyadékkal végzett nyomáspróba a légköri nyomás feletti 20 bar nyomáson;</w:t>
      </w:r>
    </w:p>
    <w:p w:rsidR="00AE4E9D" w:rsidRPr="00F125EF" w:rsidRDefault="005C7859" w:rsidP="005662C0">
      <w:pPr>
        <w:pStyle w:val="ESlet"/>
        <w:rPr>
          <w:lang w:val="pt-PT"/>
        </w:rPr>
      </w:pPr>
      <w:r w:rsidRPr="00F125EF">
        <w:rPr>
          <w:lang w:val="pt-PT"/>
        </w:rPr>
        <w:t>b)</w:t>
      </w:r>
      <w:r w:rsidRPr="00F125EF">
        <w:rPr>
          <w:lang w:val="pt-PT"/>
        </w:rPr>
        <w:tab/>
        <w:t>levegővel vagy inert gázzal végzett tömítettségi próba a légköri nyomás feletti 3,5 bar nyomáson.</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2.</w:t>
      </w:r>
      <w:r w:rsidRPr="00F125EF">
        <w:rPr>
          <w:lang w:val="pt-PT"/>
        </w:rPr>
        <w:tab/>
        <w:t>Üzemi nyomású csövek az egyetlen vagy az utolsó nyomásszabályozó 17.09. cikk 4. bekezdésében említett elzárókészüléke és a gázfogyasztó készülékek előtt felszerelt szelepek között:</w:t>
      </w:r>
    </w:p>
    <w:p w:rsidR="00AE4E9D" w:rsidRPr="00F125EF" w:rsidRDefault="00AE4E9D" w:rsidP="00572BD3">
      <w:pPr>
        <w:pStyle w:val="ESletpar"/>
        <w:rPr>
          <w:lang w:val="pt-PT"/>
        </w:rPr>
      </w:pPr>
      <w:r w:rsidRPr="00F125EF">
        <w:rPr>
          <w:lang w:val="pt-PT"/>
        </w:rPr>
        <w:t>levegővel vagy inert gázzal végzett tömítettségi próba a légköri nyomás feletti 1 bar nyomáson.</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3.</w:t>
      </w:r>
      <w:r w:rsidRPr="00F125EF">
        <w:rPr>
          <w:lang w:val="pt-PT"/>
        </w:rPr>
        <w:tab/>
        <w:t>Csövek az egyetlen vagy az utolsó nyomásszabályozó 17.09. cikk 4. bekezdésében említett elzárókészüléke és a gázfogyasztó készülékek kezelőszervei között:</w:t>
      </w:r>
    </w:p>
    <w:p w:rsidR="00AE4E9D" w:rsidRPr="00F125EF" w:rsidRDefault="00AE4E9D" w:rsidP="00572BD3">
      <w:pPr>
        <w:pStyle w:val="ESletpar"/>
        <w:rPr>
          <w:lang w:val="pt-PT"/>
        </w:rPr>
      </w:pPr>
      <w:r w:rsidRPr="00F125EF">
        <w:rPr>
          <w:lang w:val="pt-PT"/>
        </w:rPr>
        <w:t>tömítettségi próba a légköri nyomás feletti 0,15 bar nyomáson.</w:t>
      </w:r>
    </w:p>
    <w:p w:rsidR="005662C0" w:rsidRPr="00F125EF" w:rsidRDefault="005662C0" w:rsidP="005662C0">
      <w:pPr>
        <w:pStyle w:val="ESch"/>
        <w:rPr>
          <w:lang w:val="pt-PT"/>
        </w:rPr>
      </w:pPr>
    </w:p>
    <w:p w:rsidR="005662C0" w:rsidRPr="00F125EF" w:rsidRDefault="005662C0" w:rsidP="005662C0">
      <w:pPr>
        <w:pStyle w:val="ESch"/>
        <w:rPr>
          <w:lang w:val="pt-PT"/>
        </w:rPr>
      </w:pPr>
      <w:r w:rsidRPr="00F125EF">
        <w:rPr>
          <w:lang w:val="pt-PT"/>
        </w:rPr>
        <w:br w:type="page"/>
      </w:r>
    </w:p>
    <w:p w:rsidR="00AE4E9D" w:rsidRPr="00F125EF" w:rsidRDefault="00AE4E9D" w:rsidP="005662C0">
      <w:pPr>
        <w:pStyle w:val="ESch"/>
        <w:rPr>
          <w:lang w:val="pt-PT"/>
        </w:rPr>
      </w:pPr>
      <w:r w:rsidRPr="00F125EF">
        <w:rPr>
          <w:lang w:val="pt-PT"/>
        </w:rPr>
        <w:t>4.</w:t>
      </w:r>
      <w:r w:rsidRPr="00F125EF">
        <w:rPr>
          <w:lang w:val="pt-PT"/>
        </w:rPr>
        <w:tab/>
        <w:t>Az 1. bekezdés b) pontjában, valamint a 2. és 3. bekezdésben említett vizsgálatoknál a csövek akkor tekinthetők gázzárónak, ha a környezeti hőmérséklettel való kiegyenlítődést követő 10 percben a próbanyomás nem csökken.</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5.</w:t>
      </w:r>
      <w:r w:rsidRPr="00F125EF">
        <w:rPr>
          <w:lang w:val="pt-PT"/>
        </w:rPr>
        <w:tab/>
        <w:t>A palackok csatlakozói, a csövek kötései és egyéb, a palackban uralkodó nyomásnak kitett szerelvények, valamint a nyomásszabályozók és az elosztóvezeték közötti csatlakozások:</w:t>
      </w:r>
    </w:p>
    <w:p w:rsidR="00AE4E9D" w:rsidRPr="00F125EF" w:rsidRDefault="00AE4E9D" w:rsidP="00572BD3">
      <w:pPr>
        <w:pStyle w:val="ESletpar"/>
        <w:rPr>
          <w:lang w:val="pt-PT"/>
        </w:rPr>
      </w:pPr>
      <w:r w:rsidRPr="00F125EF">
        <w:rPr>
          <w:lang w:val="pt-PT"/>
        </w:rPr>
        <w:t>habképző anyag felhasználásával végzett tömítettségi próba üzemi nyomáson.</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6.</w:t>
      </w:r>
      <w:r w:rsidRPr="00F125EF">
        <w:rPr>
          <w:lang w:val="pt-PT"/>
        </w:rPr>
        <w:tab/>
        <w:t>Valamennyi gázfogyasztó készüléket a névleges teljesítménnyel kell üzembe helyezni, és meg kell vizsgálni, hogy az égés a különböző teljesítménybeállításoknál megfelelő és zavartalan-e.</w:t>
      </w:r>
    </w:p>
    <w:p w:rsidR="006058B1" w:rsidRPr="00F125EF" w:rsidRDefault="006058B1" w:rsidP="005662C0">
      <w:pPr>
        <w:pStyle w:val="ESchpar"/>
        <w:rPr>
          <w:lang w:val="pt-PT"/>
        </w:rPr>
      </w:pPr>
    </w:p>
    <w:p w:rsidR="00AE4E9D" w:rsidRPr="00F125EF" w:rsidRDefault="00AE4E9D" w:rsidP="005662C0">
      <w:pPr>
        <w:pStyle w:val="ESchpar"/>
        <w:rPr>
          <w:lang w:val="pt-PT"/>
        </w:rPr>
      </w:pPr>
      <w:r w:rsidRPr="00F125EF">
        <w:rPr>
          <w:lang w:val="pt-PT"/>
        </w:rPr>
        <w:t>Ellenőrizni kell, hogy a lángőrrel ellátott készülékek kielégítően működnek-e.</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7.</w:t>
      </w:r>
      <w:r w:rsidRPr="00F125EF">
        <w:rPr>
          <w:lang w:val="pt-PT"/>
        </w:rPr>
        <w:tab/>
        <w:t>A 6. bekezdés szerinti vizsgálatok után valamennyi, égéstermék-vezetékbe bekötött gázfogyasztó készülék esetében ellenőrizni kell, hogy névleges teljesítménynél, öt percig tartó üzemeltetést követően, csukott ablakok és ajtók mellett és a szellőzőberendezések működése közben a légnyílásokon nem lépnek-e ki égési gázok a helyiségbe.</w:t>
      </w:r>
    </w:p>
    <w:p w:rsidR="005662C0" w:rsidRPr="00F125EF" w:rsidRDefault="005662C0" w:rsidP="005662C0">
      <w:pPr>
        <w:pStyle w:val="ESch"/>
        <w:rPr>
          <w:lang w:val="pt-PT"/>
        </w:rPr>
      </w:pPr>
    </w:p>
    <w:p w:rsidR="00AE4E9D" w:rsidRPr="00F125EF" w:rsidRDefault="00AE4E9D" w:rsidP="005662C0">
      <w:pPr>
        <w:pStyle w:val="ESchpar"/>
        <w:rPr>
          <w:lang w:val="pt-PT"/>
        </w:rPr>
      </w:pPr>
      <w:r w:rsidRPr="00F125EF">
        <w:rPr>
          <w:lang w:val="pt-PT"/>
        </w:rPr>
        <w:t>Ha nem csak pillanatnyi gázkilépésről van szó, akkor annak okát azonnal ki kell deríteni, és a hibát el kell hárítani. A készülékek használata addig nem hagyható jóvá, amíg minden hibát el nem hárítottak.</w:t>
      </w:r>
    </w:p>
    <w:p w:rsidR="00AE4E9D" w:rsidRPr="00F125EF" w:rsidRDefault="00AE4E9D" w:rsidP="005662C0">
      <w:pPr>
        <w:pStyle w:val="ESch"/>
        <w:rPr>
          <w:lang w:val="pt-PT"/>
        </w:rPr>
      </w:pPr>
    </w:p>
    <w:p w:rsidR="005662C0" w:rsidRPr="00F125EF" w:rsidRDefault="005662C0" w:rsidP="005662C0">
      <w:pPr>
        <w:pStyle w:val="ESch"/>
        <w:rPr>
          <w:lang w:val="pt-PT"/>
        </w:rPr>
      </w:pPr>
    </w:p>
    <w:p w:rsidR="00AE4E9D" w:rsidRPr="00F125EF" w:rsidRDefault="00AE4E9D" w:rsidP="00AE4E9D">
      <w:pPr>
        <w:pStyle w:val="ES-Titre3"/>
        <w:rPr>
          <w:lang w:val="pt-PT"/>
        </w:rPr>
      </w:pPr>
      <w:bookmarkStart w:id="316" w:name="_Toc491854155"/>
      <w:bookmarkStart w:id="317" w:name="_Toc535853934"/>
      <w:r w:rsidRPr="00F125EF">
        <w:rPr>
          <w:lang w:val="pt-PT"/>
        </w:rPr>
        <w:t>17.15. cikk</w:t>
      </w:r>
      <w:r w:rsidRPr="00F125EF">
        <w:rPr>
          <w:lang w:val="pt-PT"/>
        </w:rPr>
        <w:br/>
      </w:r>
      <w:r w:rsidRPr="00F125EF">
        <w:rPr>
          <w:i/>
          <w:lang w:val="pt-PT"/>
        </w:rPr>
        <w:t>Igazolás</w:t>
      </w:r>
      <w:bookmarkEnd w:id="316"/>
      <w:bookmarkEnd w:id="317"/>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1.</w:t>
      </w:r>
      <w:r w:rsidRPr="00F125EF">
        <w:rPr>
          <w:lang w:val="pt-PT"/>
        </w:rPr>
        <w:tab/>
        <w:t>A belvízi hajóbizonyítványnak magában kell foglalnia egy arra vonatkozó igazolást, hogy valamennyi cseppfolyósított gázzal üzemelő berendezés megfelel e fejezet követelményeinek.</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2.</w:t>
      </w:r>
      <w:r w:rsidRPr="00F125EF">
        <w:rPr>
          <w:lang w:val="pt-PT"/>
        </w:rPr>
        <w:tab/>
        <w:t>Az igazolást az ellenőrző szerv adja ki a 17.13. cikkben említett átvételi vizsgálatot követően.</w:t>
      </w:r>
    </w:p>
    <w:p w:rsidR="005662C0" w:rsidRPr="00F125EF" w:rsidRDefault="005662C0" w:rsidP="005662C0">
      <w:pPr>
        <w:pStyle w:val="ESch"/>
        <w:rPr>
          <w:lang w:val="pt-PT"/>
        </w:rPr>
      </w:pPr>
    </w:p>
    <w:p w:rsidR="00AE4E9D" w:rsidRPr="00F125EF" w:rsidRDefault="00AE4E9D" w:rsidP="005662C0">
      <w:pPr>
        <w:pStyle w:val="ESch"/>
        <w:rPr>
          <w:lang w:val="pt-PT"/>
        </w:rPr>
      </w:pPr>
      <w:r w:rsidRPr="00F125EF">
        <w:rPr>
          <w:lang w:val="pt-PT"/>
        </w:rPr>
        <w:t>3.</w:t>
      </w:r>
      <w:r w:rsidRPr="00F125EF">
        <w:rPr>
          <w:lang w:val="pt-PT"/>
        </w:rPr>
        <w:tab/>
        <w:t>Az igazolás érvényességének időtartama nem haladhatja meg a három évet. Megújítására csak a 17.13. cikk szerint elvégzett ismételt átvételi vizsgálat után van lehetőség.</w:t>
      </w:r>
    </w:p>
    <w:p w:rsidR="005662C0" w:rsidRPr="00F125EF" w:rsidRDefault="005662C0" w:rsidP="005662C0">
      <w:pPr>
        <w:pStyle w:val="ESch"/>
        <w:rPr>
          <w:lang w:val="pt-PT"/>
        </w:rPr>
      </w:pPr>
    </w:p>
    <w:p w:rsidR="00AE4E9D" w:rsidRPr="00F125EF" w:rsidRDefault="00AE4E9D" w:rsidP="005662C0">
      <w:pPr>
        <w:pStyle w:val="ESchpar"/>
        <w:rPr>
          <w:lang w:val="pt-PT"/>
        </w:rPr>
      </w:pPr>
      <w:r w:rsidRPr="00F125EF">
        <w:rPr>
          <w:lang w:val="pt-PT"/>
        </w:rPr>
        <w:t>Kivételes esetben, ha a hajótulajdonos vagy annak képviselője indokolással ellátott kérelmet nyújt be, az ellenőrző szerv az igazolás érvényességét a 17.13. cikkben említett átvételi vizsgálat elvégzése nélkül legfeljebb három hónappal meghosszabbíthatja. A meghosszabbítást be kell jegyezni a belvízi hajóbizonyítványba is.</w:t>
      </w:r>
    </w:p>
    <w:p w:rsidR="00AE4E9D" w:rsidRPr="00F125EF" w:rsidRDefault="00AE4E9D" w:rsidP="005662C0">
      <w:pPr>
        <w:pStyle w:val="ESch"/>
        <w:rPr>
          <w:lang w:val="pt-PT"/>
        </w:rPr>
      </w:pPr>
    </w:p>
    <w:p w:rsidR="00973DAA" w:rsidRPr="00F125EF" w:rsidRDefault="00973DAA" w:rsidP="005662C0">
      <w:pPr>
        <w:pStyle w:val="ESch"/>
        <w:rPr>
          <w:lang w:val="pt-PT"/>
        </w:rPr>
      </w:pPr>
    </w:p>
    <w:p w:rsidR="00AC39F0" w:rsidRPr="00F125EF" w:rsidRDefault="00AC39F0" w:rsidP="005662C0">
      <w:pPr>
        <w:pStyle w:val="ESch"/>
        <w:rPr>
          <w:lang w:val="pt-PT"/>
        </w:rPr>
      </w:pPr>
    </w:p>
    <w:p w:rsidR="00AC39F0" w:rsidRPr="00F125EF" w:rsidRDefault="00AC39F0" w:rsidP="005662C0">
      <w:pPr>
        <w:pStyle w:val="ESch"/>
        <w:rPr>
          <w:lang w:val="pt-PT"/>
        </w:rPr>
      </w:pPr>
    </w:p>
    <w:p w:rsidR="00AC39F0" w:rsidRPr="00166EA9" w:rsidRDefault="00AC39F0" w:rsidP="00AC39F0">
      <w:pPr>
        <w:pStyle w:val="ES-Titre2"/>
        <w:rPr>
          <w:lang w:val="pt-PT"/>
        </w:rPr>
      </w:pPr>
      <w:bookmarkStart w:id="318" w:name="_Toc491854156"/>
      <w:bookmarkStart w:id="319" w:name="_Toc535853935"/>
      <w:r w:rsidRPr="00166EA9">
        <w:rPr>
          <w:lang w:val="pt-PT"/>
        </w:rPr>
        <w:t>18. fejezet</w:t>
      </w:r>
      <w:r w:rsidRPr="00166EA9">
        <w:rPr>
          <w:lang w:val="pt-PT"/>
        </w:rPr>
        <w:br/>
      </w:r>
      <w:r w:rsidRPr="00166EA9">
        <w:rPr>
          <w:noProof/>
          <w:lang w:val="pt-PT"/>
        </w:rPr>
        <w:t>Fedélzeti szennyvízkezelő művek</w:t>
      </w:r>
      <w:bookmarkEnd w:id="318"/>
      <w:bookmarkEnd w:id="319"/>
    </w:p>
    <w:p w:rsidR="00AC39F0" w:rsidRPr="00F125EF" w:rsidRDefault="00AC39F0" w:rsidP="00917628">
      <w:pPr>
        <w:pStyle w:val="ESch"/>
        <w:rPr>
          <w:lang w:val="pt-PT"/>
        </w:rPr>
      </w:pPr>
    </w:p>
    <w:p w:rsidR="00F935C7" w:rsidRPr="00F125EF" w:rsidRDefault="00F935C7" w:rsidP="00F935C7">
      <w:pPr>
        <w:pStyle w:val="ES-Titre3"/>
        <w:rPr>
          <w:lang w:val="pt-PT"/>
        </w:rPr>
      </w:pPr>
      <w:bookmarkStart w:id="320" w:name="_Toc491854157"/>
      <w:bookmarkStart w:id="321" w:name="_Toc535853936"/>
      <w:r w:rsidRPr="00F125EF">
        <w:rPr>
          <w:lang w:val="pt-PT"/>
        </w:rPr>
        <w:t>18.00. cikk</w:t>
      </w:r>
      <w:r w:rsidRPr="00F125EF">
        <w:rPr>
          <w:lang w:val="pt-PT"/>
        </w:rPr>
        <w:br/>
      </w:r>
      <w:r w:rsidRPr="00F125EF">
        <w:rPr>
          <w:i/>
          <w:noProof/>
          <w:lang w:val="pt-PT"/>
        </w:rPr>
        <w:t>Fogalommeghatározások</w:t>
      </w:r>
      <w:bookmarkEnd w:id="320"/>
      <w:bookmarkEnd w:id="321"/>
    </w:p>
    <w:p w:rsidR="002A434E" w:rsidRPr="00F125EF" w:rsidRDefault="002A434E" w:rsidP="002A434E">
      <w:pPr>
        <w:rPr>
          <w:rFonts w:cs="Arial"/>
          <w:noProof/>
          <w:szCs w:val="20"/>
          <w:lang w:val="pt-PT"/>
        </w:rPr>
      </w:pPr>
    </w:p>
    <w:p w:rsidR="002A434E" w:rsidRPr="00F125EF" w:rsidRDefault="002A434E" w:rsidP="002A434E">
      <w:pPr>
        <w:rPr>
          <w:rFonts w:cs="Arial"/>
          <w:noProof/>
          <w:szCs w:val="20"/>
          <w:lang w:val="pt-PT"/>
        </w:rPr>
      </w:pPr>
      <w:r w:rsidRPr="00F125EF">
        <w:rPr>
          <w:lang w:val="pt-PT"/>
        </w:rPr>
        <w:t>E fejezet alkalmazásában:</w:t>
      </w:r>
    </w:p>
    <w:p w:rsidR="00F935C7" w:rsidRPr="00F125EF" w:rsidRDefault="00F935C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1.</w:t>
      </w:r>
      <w:r w:rsidRPr="00F125EF">
        <w:rPr>
          <w:lang w:val="pt-PT"/>
        </w:rPr>
        <w:tab/>
        <w:t>„fedélzeti szennyvízkezelő mű”: olyan kompakt kialakítású szennyvízkezelő mű, amely alkalmas a hajókon keletkező mennyiségű háztartási szennyvíz kezelésére;</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2.</w:t>
      </w:r>
      <w:r w:rsidRPr="00F125EF">
        <w:rPr>
          <w:lang w:val="pt-PT"/>
        </w:rPr>
        <w:tab/>
        <w:t>„típusjóváhagyás”: az illetékes hatóság azt tanúsító határozata, hogy a fedélzeti szennyvízkezelő mű megfelel a 18. fejezetben foglalt műszaki követelményeknek;</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3.</w:t>
      </w:r>
      <w:r w:rsidRPr="00F125EF">
        <w:rPr>
          <w:lang w:val="pt-PT"/>
        </w:rPr>
        <w:tab/>
        <w:t>„rendkívüli vizsgálat”: a 18.09. cikknek megfelelően végrehajtott eljárás, amelynek keretében az illetékes hatóság meggyőződik arról, hogy az adott vízi járművön üzemeltetett fedélzeti szennyvízkezelő mű kielégíti-e a 18. fejezet követelményeit;</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4.</w:t>
      </w:r>
      <w:r w:rsidRPr="00F125EF">
        <w:rPr>
          <w:lang w:val="pt-PT"/>
        </w:rPr>
        <w:tab/>
        <w:t>„gyártó”: az a személy vagy szervezet, aki/amely az illetékes hatóság előtt felel a típusjóváhagyási eljárás valamennyi szempontjának teljesüléséért és a gyártás megfelelőségének biztosításáért. E személynek vagy szervezetnek nem kell részt vennie a fedélzeti szennyvízkezelő mű gyártásának valamennyi szakaszában. Ha a fedélzeti szennyvízkezelő művet az eredeti gyártást követően módosítás vagy felújítás útján átalakítják annak érdekében, hogy a 18. fejezet alkalmazásában vízi járművön kerüljön alkalmazásra, a módosítást vagy felújítást végző személyt vagy szervezetet kell gyártónak tekinteni;</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5.</w:t>
      </w:r>
      <w:r w:rsidRPr="00F125EF">
        <w:rPr>
          <w:lang w:val="pt-PT"/>
        </w:rPr>
        <w:tab/>
        <w:t>„adatközlő lap”: a 7. melléklet II. szakaszában meghatározott, az igénylő által megadandó információkat tartalmazó dokumentum;</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6.</w:t>
      </w:r>
      <w:r w:rsidRPr="00F125EF">
        <w:rPr>
          <w:lang w:val="pt-PT"/>
        </w:rPr>
        <w:tab/>
        <w:t>„adatközlő mappa”: azon adatok, rajzok és fényképek vagy egyéb dokumentumok hiánytalan együttese, amelyeket az igénylő az adatközlő lapnak megfelelően a műszaki szolgálatnak vagy az illetékes hatóságnak benyújt;</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7.</w:t>
      </w:r>
      <w:r w:rsidRPr="00F125EF">
        <w:rPr>
          <w:lang w:val="pt-PT"/>
        </w:rPr>
        <w:tab/>
        <w:t>„információs csomag”: az adatközlő mappa és minden olyan vizsgálati jegyzőkönyv vagy más dokumentum együttese, amelyet a műszaki szolgálat vagy az illetékes hatóság feladatainak ellátása keretében az adatközlő mappához csatolt;</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8.</w:t>
      </w:r>
      <w:r w:rsidRPr="00F125EF">
        <w:rPr>
          <w:lang w:val="pt-PT"/>
        </w:rPr>
        <w:tab/>
        <w:t>„típusbizonyítvány”: a 7. melléklet III. szakaszának megfelelően kiállított okmány, amellyel az illetékes hatóság a típusjóváhagyást tanúsítja;</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9.</w:t>
      </w:r>
      <w:r w:rsidRPr="00F125EF">
        <w:rPr>
          <w:lang w:val="pt-PT"/>
        </w:rPr>
        <w:tab/>
        <w:t>„fedélzeti szennyvízkezelő mű paraméterjegyzéke”: a 7. melléklet VIII. szakaszának megfelelően kiállított okmány és annak módosításai, amely tartalmazza mindazokat a paramétereket, beleértve a fedélzeti szennyvízkezelő mű komponenseire és a rajta elvégzett átalakításokra vonatkozókat is, amelyek befolyásolják a szennyvízkezelés szintjét;</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10.</w:t>
      </w:r>
      <w:r w:rsidRPr="00F125EF">
        <w:rPr>
          <w:lang w:val="pt-PT"/>
        </w:rPr>
        <w:tab/>
        <w:t>„gyártói útmutató a szennyvízkezelés szempontjából lényeges komponensek és paraméterek ellenőrzéséhez”: a 18.09. cikk 4. bekezdésével összhangban a rendkívüli vizsgálat elvégzéséhez összeállított dokumentum;</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11.</w:t>
      </w:r>
      <w:r w:rsidRPr="00F125EF">
        <w:rPr>
          <w:lang w:val="pt-PT"/>
        </w:rPr>
        <w:tab/>
        <w:t>„háztartási szennyvíz”: a konyhákban, az étkezőkben, a mosdókban és a mosóhelyiségekben keletkező, valamint a fekáliát tartalmazó szennyvíz;</w:t>
      </w:r>
    </w:p>
    <w:p w:rsidR="00E61447" w:rsidRPr="00F125EF" w:rsidRDefault="00E61447" w:rsidP="00E61447">
      <w:pPr>
        <w:pStyle w:val="ESch"/>
        <w:rPr>
          <w:noProof/>
          <w:lang w:val="pt-PT"/>
        </w:rPr>
      </w:pPr>
    </w:p>
    <w:p w:rsidR="00E61447" w:rsidRPr="00F125EF" w:rsidRDefault="00E61447" w:rsidP="00E61447">
      <w:pPr>
        <w:pStyle w:val="ESch"/>
        <w:rPr>
          <w:rFonts w:cs="Arial"/>
          <w:szCs w:val="18"/>
          <w:lang w:val="pt-PT"/>
        </w:rPr>
      </w:pPr>
      <w:r w:rsidRPr="00F125EF">
        <w:rPr>
          <w:lang w:val="pt-PT"/>
        </w:rPr>
        <w:t>12.</w:t>
      </w:r>
      <w:r w:rsidRPr="00F125EF">
        <w:rPr>
          <w:lang w:val="pt-PT"/>
        </w:rPr>
        <w:tab/>
        <w:t>„szennyvíziszap”: a szennyvízkezelő mű vízi jármű fedélzetén való üzeme során visszamaradó anyag.</w:t>
      </w:r>
    </w:p>
    <w:p w:rsidR="00E61447" w:rsidRPr="00F125EF" w:rsidRDefault="00E61447" w:rsidP="00E61447">
      <w:pPr>
        <w:pStyle w:val="ESch"/>
        <w:rPr>
          <w:lang w:val="pt-PT"/>
        </w:rPr>
      </w:pPr>
    </w:p>
    <w:p w:rsidR="00E61447" w:rsidRPr="00F125EF" w:rsidRDefault="00917628" w:rsidP="00917628">
      <w:pPr>
        <w:pStyle w:val="ESch"/>
        <w:rPr>
          <w:noProof/>
          <w:lang w:val="pt-PT"/>
        </w:rPr>
      </w:pPr>
      <w:r w:rsidRPr="00F125EF">
        <w:rPr>
          <w:lang w:val="pt-PT"/>
        </w:rPr>
        <w:br w:type="page"/>
      </w:r>
    </w:p>
    <w:p w:rsidR="00AC39F0" w:rsidRPr="00F125EF" w:rsidRDefault="00AC39F0" w:rsidP="00AC39F0">
      <w:pPr>
        <w:pStyle w:val="ES-Titre3"/>
        <w:rPr>
          <w:lang w:val="pt-PT"/>
        </w:rPr>
      </w:pPr>
      <w:bookmarkStart w:id="322" w:name="_Toc491854158"/>
      <w:bookmarkStart w:id="323" w:name="_Toc535853937"/>
      <w:r w:rsidRPr="00F125EF">
        <w:rPr>
          <w:lang w:val="pt-PT"/>
        </w:rPr>
        <w:t>18.01. cikk</w:t>
      </w:r>
      <w:r w:rsidRPr="00F125EF">
        <w:rPr>
          <w:lang w:val="pt-PT"/>
        </w:rPr>
        <w:br/>
      </w:r>
      <w:r w:rsidRPr="00F125EF">
        <w:rPr>
          <w:i/>
          <w:noProof/>
          <w:lang w:val="pt-PT"/>
        </w:rPr>
        <w:t>Általános rendelkezések</w:t>
      </w:r>
      <w:bookmarkEnd w:id="322"/>
      <w:bookmarkEnd w:id="323"/>
    </w:p>
    <w:p w:rsidR="00AC39F0" w:rsidRPr="00F125EF" w:rsidRDefault="00AC39F0" w:rsidP="005662C0">
      <w:pPr>
        <w:pStyle w:val="ESch"/>
        <w:rPr>
          <w:lang w:val="pt-PT"/>
        </w:rPr>
      </w:pPr>
    </w:p>
    <w:p w:rsidR="00AC39F0" w:rsidRPr="00F125EF" w:rsidRDefault="00AC39F0" w:rsidP="00AC39F0">
      <w:pPr>
        <w:pStyle w:val="ESch"/>
        <w:rPr>
          <w:rFonts w:cs="Arial"/>
          <w:szCs w:val="20"/>
          <w:lang w:val="pt-PT"/>
        </w:rPr>
      </w:pPr>
      <w:r w:rsidRPr="00F125EF">
        <w:rPr>
          <w:lang w:val="pt-PT"/>
        </w:rPr>
        <w:t>1.</w:t>
      </w:r>
      <w:r w:rsidRPr="00F125EF">
        <w:rPr>
          <w:lang w:val="pt-PT"/>
        </w:rPr>
        <w:tab/>
        <w:t>Ez a fejezet a vízi járműveken telepített valamennyi fedélzeti szennyvízkezelő műre vonatkozik.</w:t>
      </w:r>
    </w:p>
    <w:p w:rsidR="00AC39F0" w:rsidRPr="00F125EF" w:rsidRDefault="00AC39F0" w:rsidP="00AC39F0">
      <w:pPr>
        <w:pStyle w:val="ESch"/>
        <w:rPr>
          <w:noProof/>
          <w:szCs w:val="20"/>
          <w:lang w:val="pt-PT"/>
        </w:rPr>
      </w:pPr>
    </w:p>
    <w:p w:rsidR="00AC39F0" w:rsidRPr="00F125EF" w:rsidRDefault="00AC39F0" w:rsidP="00AC39F0">
      <w:pPr>
        <w:pStyle w:val="ESch"/>
        <w:tabs>
          <w:tab w:val="left" w:pos="567"/>
        </w:tabs>
        <w:ind w:left="993" w:hanging="993"/>
        <w:rPr>
          <w:rFonts w:cs="Arial"/>
          <w:szCs w:val="20"/>
          <w:lang w:val="pt-PT"/>
        </w:rPr>
      </w:pPr>
      <w:r w:rsidRPr="00F125EF">
        <w:rPr>
          <w:lang w:val="pt-PT"/>
        </w:rPr>
        <w:t>2.</w:t>
      </w:r>
      <w:r w:rsidRPr="00F125EF">
        <w:rPr>
          <w:lang w:val="pt-PT"/>
        </w:rPr>
        <w:tab/>
        <w:t>a)</w:t>
      </w:r>
      <w:r w:rsidRPr="00F125EF">
        <w:rPr>
          <w:lang w:val="pt-PT"/>
        </w:rPr>
        <w:tab/>
        <w:t>A fedélzeti szennyvízkezelő műnek a típusvizsgálat során meg kell felelnie a következő határértékeknek:</w:t>
      </w:r>
    </w:p>
    <w:p w:rsidR="00AC39F0" w:rsidRPr="00F125EF" w:rsidRDefault="00AC39F0" w:rsidP="00AC39F0">
      <w:pPr>
        <w:pStyle w:val="ESch"/>
        <w:rPr>
          <w:noProof/>
          <w:szCs w:val="20"/>
          <w:lang w:val="pt-PT"/>
        </w:rPr>
      </w:pPr>
    </w:p>
    <w:p w:rsidR="00AC39F0" w:rsidRPr="00F125EF" w:rsidRDefault="00AC39F0" w:rsidP="00AC39F0">
      <w:pPr>
        <w:pStyle w:val="ESletpar"/>
        <w:rPr>
          <w:rFonts w:cs="Arial"/>
          <w:lang w:val="pt-PT"/>
        </w:rPr>
      </w:pPr>
      <w:r>
        <w:rPr>
          <w:noProof/>
        </w:rPr>
        <w:fldChar w:fldCharType="begin"/>
      </w:r>
      <w:r w:rsidRPr="00F125EF">
        <w:rPr>
          <w:noProof/>
          <w:lang w:val="pt-PT"/>
        </w:rPr>
        <w:instrText xml:space="preserve"> SEQ Tabelle \* ARABIC </w:instrText>
      </w:r>
      <w:r>
        <w:rPr>
          <w:noProof/>
        </w:rPr>
        <w:fldChar w:fldCharType="separate"/>
      </w:r>
      <w:r w:rsidRPr="00F125EF">
        <w:rPr>
          <w:noProof/>
          <w:lang w:val="pt-PT"/>
        </w:rPr>
        <w:t>1</w:t>
      </w:r>
      <w:r>
        <w:rPr>
          <w:noProof/>
        </w:rPr>
        <w:fldChar w:fldCharType="end"/>
      </w:r>
      <w:r w:rsidRPr="00F125EF">
        <w:rPr>
          <w:lang w:val="pt-PT"/>
        </w:rPr>
        <w:t>. táblázat: A fedélzeti szennyvízkezelő mű (vizsgált berendezés) által a típusvizsgálat során a kifolyási oldalon üzem közben teljesítendő határértékek</w:t>
      </w:r>
    </w:p>
    <w:p w:rsidR="00AC39F0" w:rsidRPr="00F125EF" w:rsidRDefault="00AC39F0" w:rsidP="00AC39F0">
      <w:pPr>
        <w:pStyle w:val="ESch"/>
        <w:rPr>
          <w:szCs w:val="20"/>
          <w:lang w:val="pt-P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C903F8" w:rsidTr="00EB78D3">
        <w:trPr>
          <w:trHeight w:val="836"/>
          <w:jc w:val="center"/>
        </w:trPr>
        <w:tc>
          <w:tcPr>
            <w:tcW w:w="3629" w:type="dxa"/>
            <w:vAlign w:val="center"/>
          </w:tcPr>
          <w:p w:rsidR="000E1B99" w:rsidRPr="00C903F8" w:rsidRDefault="000E1B99" w:rsidP="00274EE8">
            <w:pPr>
              <w:spacing w:before="60" w:after="60" w:line="240" w:lineRule="atLeast"/>
              <w:jc w:val="center"/>
              <w:rPr>
                <w:noProof/>
                <w:sz w:val="18"/>
                <w:szCs w:val="18"/>
              </w:rPr>
            </w:pPr>
            <w:r>
              <w:rPr>
                <w:noProof/>
                <w:sz w:val="18"/>
              </w:rPr>
              <w:t>Paraméter</w:t>
            </w:r>
          </w:p>
        </w:tc>
        <w:tc>
          <w:tcPr>
            <w:tcW w:w="1588" w:type="dxa"/>
            <w:vAlign w:val="center"/>
          </w:tcPr>
          <w:p w:rsidR="000E1B99" w:rsidRPr="00C903F8" w:rsidRDefault="000E1B99" w:rsidP="00274EE8">
            <w:pPr>
              <w:spacing w:before="60" w:after="60" w:line="240" w:lineRule="atLeast"/>
              <w:jc w:val="center"/>
              <w:rPr>
                <w:noProof/>
                <w:sz w:val="18"/>
                <w:szCs w:val="18"/>
              </w:rPr>
            </w:pPr>
            <w:r>
              <w:rPr>
                <w:noProof/>
                <w:sz w:val="18"/>
              </w:rPr>
              <w:t>Koncentráció (II. fázis)</w:t>
            </w:r>
          </w:p>
        </w:tc>
        <w:tc>
          <w:tcPr>
            <w:tcW w:w="2608" w:type="dxa"/>
            <w:vAlign w:val="center"/>
          </w:tcPr>
          <w:p w:rsidR="000E1B99" w:rsidRPr="00C903F8" w:rsidRDefault="000E1B99" w:rsidP="00274EE8">
            <w:pPr>
              <w:spacing w:before="60" w:after="60" w:line="240" w:lineRule="atLeast"/>
              <w:jc w:val="center"/>
              <w:rPr>
                <w:noProof/>
                <w:sz w:val="18"/>
                <w:szCs w:val="18"/>
              </w:rPr>
            </w:pPr>
            <w:r>
              <w:rPr>
                <w:noProof/>
                <w:sz w:val="18"/>
              </w:rPr>
              <w:t>Minta</w:t>
            </w:r>
          </w:p>
        </w:tc>
      </w:tr>
      <w:tr w:rsidR="000E1B99" w:rsidRPr="00C903F8" w:rsidTr="00EB78D3">
        <w:trPr>
          <w:jc w:val="center"/>
        </w:trPr>
        <w:tc>
          <w:tcPr>
            <w:tcW w:w="3629" w:type="dxa"/>
            <w:vMerge w:val="restart"/>
            <w:vAlign w:val="center"/>
          </w:tcPr>
          <w:p w:rsidR="000E1B99" w:rsidRPr="00C903F8" w:rsidRDefault="000E1B99" w:rsidP="0085414C">
            <w:pPr>
              <w:spacing w:before="60" w:after="60" w:line="240" w:lineRule="atLeast"/>
              <w:rPr>
                <w:noProof/>
                <w:sz w:val="18"/>
                <w:szCs w:val="18"/>
                <w:vertAlign w:val="superscript"/>
              </w:rPr>
            </w:pPr>
            <w:r>
              <w:rPr>
                <w:noProof/>
                <w:sz w:val="18"/>
              </w:rPr>
              <w:t>Biokémiai oxigénigény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r>
              <w:rPr>
                <w:noProof/>
                <w:sz w:val="18"/>
              </w:rPr>
              <w:t>)</w:t>
            </w:r>
            <w:r>
              <w:rPr>
                <w:noProof/>
                <w:sz w:val="18"/>
                <w:szCs w:val="18"/>
              </w:rPr>
              <w:br/>
            </w:r>
            <w:r>
              <w:rPr>
                <w:noProof/>
                <w:sz w:val="18"/>
              </w:rPr>
              <w:t>ISO 5815-1 és 5815-2: 2003</w:t>
            </w:r>
            <w:r>
              <w:rPr>
                <w:noProof/>
                <w:sz w:val="18"/>
                <w:vertAlign w:val="superscript"/>
              </w:rPr>
              <w:t>1</w:t>
            </w:r>
          </w:p>
        </w:tc>
        <w:tc>
          <w:tcPr>
            <w:tcW w:w="1588" w:type="dxa"/>
            <w:vAlign w:val="center"/>
          </w:tcPr>
          <w:p w:rsidR="000E1B99" w:rsidRPr="00C903F8" w:rsidRDefault="000E1B99" w:rsidP="00274EE8">
            <w:pPr>
              <w:spacing w:before="60" w:after="60" w:line="240" w:lineRule="atLeast"/>
              <w:jc w:val="center"/>
              <w:rPr>
                <w:noProof/>
                <w:sz w:val="18"/>
                <w:szCs w:val="18"/>
              </w:rPr>
            </w:pPr>
            <w:r>
              <w:rPr>
                <w:noProof/>
                <w:sz w:val="18"/>
              </w:rPr>
              <w:t>20 mg/l</w:t>
            </w:r>
          </w:p>
        </w:tc>
        <w:tc>
          <w:tcPr>
            <w:tcW w:w="2608" w:type="dxa"/>
            <w:vAlign w:val="center"/>
          </w:tcPr>
          <w:p w:rsidR="000E1B99" w:rsidRPr="00C903F8" w:rsidRDefault="000E1B99" w:rsidP="00274EE8">
            <w:pPr>
              <w:spacing w:before="60" w:after="60" w:line="240" w:lineRule="atLeast"/>
              <w:rPr>
                <w:noProof/>
                <w:sz w:val="18"/>
                <w:szCs w:val="18"/>
              </w:rPr>
            </w:pPr>
            <w:r>
              <w:rPr>
                <w:noProof/>
                <w:sz w:val="18"/>
              </w:rPr>
              <w:t>24 órás egyesített minta, homogenizált</w:t>
            </w:r>
          </w:p>
        </w:tc>
      </w:tr>
      <w:tr w:rsidR="000E1B99" w:rsidRPr="00C903F8" w:rsidTr="00EB78D3">
        <w:trPr>
          <w:jc w:val="center"/>
        </w:trPr>
        <w:tc>
          <w:tcPr>
            <w:tcW w:w="3629" w:type="dxa"/>
            <w:vMerge/>
            <w:vAlign w:val="center"/>
          </w:tcPr>
          <w:p w:rsidR="000E1B99" w:rsidRPr="00C903F8" w:rsidRDefault="000E1B99" w:rsidP="00274EE8">
            <w:pPr>
              <w:spacing w:before="60" w:after="60" w:line="240" w:lineRule="atLeast"/>
              <w:rPr>
                <w:noProof/>
                <w:sz w:val="18"/>
                <w:szCs w:val="18"/>
              </w:rPr>
            </w:pPr>
          </w:p>
        </w:tc>
        <w:tc>
          <w:tcPr>
            <w:tcW w:w="1588" w:type="dxa"/>
            <w:vAlign w:val="center"/>
          </w:tcPr>
          <w:p w:rsidR="000E1B99" w:rsidRPr="00C903F8" w:rsidRDefault="000E1B99" w:rsidP="00274EE8">
            <w:pPr>
              <w:spacing w:before="60" w:after="60" w:line="240" w:lineRule="atLeast"/>
              <w:jc w:val="center"/>
              <w:rPr>
                <w:noProof/>
                <w:sz w:val="18"/>
                <w:szCs w:val="18"/>
              </w:rPr>
            </w:pPr>
            <w:r>
              <w:rPr>
                <w:noProof/>
                <w:sz w:val="18"/>
              </w:rPr>
              <w:t>25 mg/l</w:t>
            </w:r>
          </w:p>
        </w:tc>
        <w:tc>
          <w:tcPr>
            <w:tcW w:w="2608" w:type="dxa"/>
            <w:vAlign w:val="center"/>
          </w:tcPr>
          <w:p w:rsidR="000E1B99" w:rsidRPr="00C903F8" w:rsidRDefault="000E1B99" w:rsidP="00274EE8">
            <w:pPr>
              <w:spacing w:before="60" w:after="60" w:line="240" w:lineRule="atLeast"/>
              <w:rPr>
                <w:noProof/>
                <w:sz w:val="18"/>
                <w:szCs w:val="18"/>
              </w:rPr>
            </w:pPr>
            <w:r>
              <w:rPr>
                <w:noProof/>
                <w:sz w:val="18"/>
              </w:rPr>
              <w:t>Szúrópróbaszerű mintavétel, homogenizált</w:t>
            </w:r>
          </w:p>
        </w:tc>
      </w:tr>
      <w:tr w:rsidR="000E1B99" w:rsidRPr="00C903F8" w:rsidTr="00EB78D3">
        <w:trPr>
          <w:jc w:val="center"/>
        </w:trPr>
        <w:tc>
          <w:tcPr>
            <w:tcW w:w="3629" w:type="dxa"/>
            <w:vMerge w:val="restart"/>
            <w:vAlign w:val="center"/>
          </w:tcPr>
          <w:p w:rsidR="000E1B99" w:rsidRPr="00C903F8" w:rsidRDefault="000E1B99" w:rsidP="0085414C">
            <w:pPr>
              <w:spacing w:before="60" w:after="60" w:line="240" w:lineRule="atLeast"/>
              <w:rPr>
                <w:noProof/>
                <w:sz w:val="18"/>
                <w:szCs w:val="18"/>
              </w:rPr>
            </w:pPr>
            <w:r>
              <w:rPr>
                <w:noProof/>
                <w:sz w:val="18"/>
              </w:rPr>
              <w:t>Kémiai oxigénigény (COD)</w:t>
            </w:r>
            <w:r>
              <w:rPr>
                <w:noProof/>
                <w:sz w:val="18"/>
                <w:vertAlign w:val="superscript"/>
              </w:rPr>
              <w:t>2</w:t>
            </w:r>
            <w:r>
              <w:rPr>
                <w:noProof/>
                <w:sz w:val="18"/>
              </w:rPr>
              <w:t xml:space="preserve"> </w:t>
            </w:r>
            <w:r>
              <w:rPr>
                <w:noProof/>
                <w:sz w:val="18"/>
                <w:szCs w:val="18"/>
              </w:rPr>
              <w:br/>
            </w:r>
            <w:r>
              <w:rPr>
                <w:noProof/>
                <w:sz w:val="18"/>
              </w:rPr>
              <w:t>ISO 6060: 1989</w:t>
            </w:r>
            <w:r>
              <w:rPr>
                <w:noProof/>
                <w:sz w:val="18"/>
                <w:vertAlign w:val="superscript"/>
              </w:rPr>
              <w:t>1</w:t>
            </w:r>
          </w:p>
        </w:tc>
        <w:tc>
          <w:tcPr>
            <w:tcW w:w="1588" w:type="dxa"/>
            <w:vAlign w:val="center"/>
          </w:tcPr>
          <w:p w:rsidR="000E1B99" w:rsidRPr="00C903F8" w:rsidRDefault="000E1B99" w:rsidP="00274EE8">
            <w:pPr>
              <w:spacing w:before="60" w:after="60" w:line="240" w:lineRule="atLeast"/>
              <w:jc w:val="center"/>
              <w:rPr>
                <w:noProof/>
                <w:sz w:val="18"/>
                <w:szCs w:val="18"/>
              </w:rPr>
            </w:pPr>
            <w:r>
              <w:rPr>
                <w:noProof/>
                <w:sz w:val="18"/>
              </w:rPr>
              <w:t>100 mg/l</w:t>
            </w:r>
          </w:p>
        </w:tc>
        <w:tc>
          <w:tcPr>
            <w:tcW w:w="2608" w:type="dxa"/>
            <w:vAlign w:val="center"/>
          </w:tcPr>
          <w:p w:rsidR="000E1B99" w:rsidRPr="00C903F8" w:rsidRDefault="000E1B99" w:rsidP="00274EE8">
            <w:pPr>
              <w:spacing w:before="60" w:after="60" w:line="240" w:lineRule="atLeast"/>
              <w:rPr>
                <w:noProof/>
                <w:sz w:val="18"/>
                <w:szCs w:val="18"/>
              </w:rPr>
            </w:pPr>
            <w:r>
              <w:rPr>
                <w:noProof/>
                <w:sz w:val="18"/>
              </w:rPr>
              <w:t>24 órás egyesített minta, homogenizált</w:t>
            </w:r>
          </w:p>
        </w:tc>
      </w:tr>
      <w:tr w:rsidR="000E1B99" w:rsidRPr="00C903F8" w:rsidTr="00EB78D3">
        <w:trPr>
          <w:jc w:val="center"/>
        </w:trPr>
        <w:tc>
          <w:tcPr>
            <w:tcW w:w="3629" w:type="dxa"/>
            <w:vMerge/>
            <w:vAlign w:val="center"/>
          </w:tcPr>
          <w:p w:rsidR="000E1B99" w:rsidRPr="00C903F8" w:rsidRDefault="000E1B99" w:rsidP="00274EE8">
            <w:pPr>
              <w:spacing w:before="60" w:after="60" w:line="240" w:lineRule="atLeast"/>
              <w:rPr>
                <w:noProof/>
                <w:sz w:val="18"/>
                <w:szCs w:val="18"/>
              </w:rPr>
            </w:pPr>
          </w:p>
        </w:tc>
        <w:tc>
          <w:tcPr>
            <w:tcW w:w="1588" w:type="dxa"/>
            <w:vAlign w:val="center"/>
          </w:tcPr>
          <w:p w:rsidR="000E1B99" w:rsidRPr="00C903F8" w:rsidRDefault="000E1B99" w:rsidP="00274EE8">
            <w:pPr>
              <w:spacing w:before="60" w:after="60" w:line="240" w:lineRule="atLeast"/>
              <w:jc w:val="center"/>
              <w:rPr>
                <w:noProof/>
                <w:sz w:val="18"/>
                <w:szCs w:val="18"/>
              </w:rPr>
            </w:pPr>
            <w:r>
              <w:rPr>
                <w:noProof/>
                <w:sz w:val="18"/>
              </w:rPr>
              <w:t>125 mg/l</w:t>
            </w:r>
          </w:p>
        </w:tc>
        <w:tc>
          <w:tcPr>
            <w:tcW w:w="2608" w:type="dxa"/>
            <w:vAlign w:val="center"/>
          </w:tcPr>
          <w:p w:rsidR="000E1B99" w:rsidRPr="00C903F8" w:rsidRDefault="000E1B99" w:rsidP="00274EE8">
            <w:pPr>
              <w:spacing w:before="60" w:after="60" w:line="240" w:lineRule="atLeast"/>
              <w:rPr>
                <w:noProof/>
                <w:sz w:val="18"/>
                <w:szCs w:val="18"/>
              </w:rPr>
            </w:pPr>
            <w:r>
              <w:rPr>
                <w:noProof/>
                <w:sz w:val="18"/>
              </w:rPr>
              <w:t>Szúrópróbaszerű mintavétel, homogenizált</w:t>
            </w:r>
          </w:p>
        </w:tc>
      </w:tr>
      <w:tr w:rsidR="000E1B99" w:rsidRPr="00C903F8" w:rsidTr="00EB78D3">
        <w:trPr>
          <w:jc w:val="center"/>
        </w:trPr>
        <w:tc>
          <w:tcPr>
            <w:tcW w:w="3629" w:type="dxa"/>
            <w:vMerge w:val="restart"/>
            <w:vAlign w:val="center"/>
          </w:tcPr>
          <w:p w:rsidR="000E1B99" w:rsidRPr="00C903F8" w:rsidRDefault="000E1B99" w:rsidP="0085414C">
            <w:pPr>
              <w:spacing w:before="60" w:after="60" w:line="240" w:lineRule="atLeast"/>
              <w:rPr>
                <w:noProof/>
                <w:sz w:val="18"/>
                <w:szCs w:val="18"/>
                <w:vertAlign w:val="superscript"/>
              </w:rPr>
            </w:pPr>
            <w:r>
              <w:rPr>
                <w:noProof/>
                <w:sz w:val="18"/>
              </w:rPr>
              <w:t>Teljes szervesszéntartalom (TOC)</w:t>
            </w:r>
            <w:r>
              <w:rPr>
                <w:noProof/>
                <w:sz w:val="18"/>
                <w:szCs w:val="18"/>
              </w:rPr>
              <w:br/>
            </w:r>
            <w:r>
              <w:rPr>
                <w:noProof/>
                <w:sz w:val="18"/>
              </w:rPr>
              <w:t>EN 1484: 1997</w:t>
            </w:r>
            <w:r>
              <w:rPr>
                <w:noProof/>
                <w:sz w:val="18"/>
                <w:vertAlign w:val="superscript"/>
              </w:rPr>
              <w:t>1</w:t>
            </w:r>
          </w:p>
        </w:tc>
        <w:tc>
          <w:tcPr>
            <w:tcW w:w="1588" w:type="dxa"/>
            <w:vAlign w:val="center"/>
          </w:tcPr>
          <w:p w:rsidR="000E1B99" w:rsidRPr="00C903F8" w:rsidRDefault="000E1B99" w:rsidP="00274EE8">
            <w:pPr>
              <w:spacing w:before="60" w:after="60" w:line="240" w:lineRule="atLeast"/>
              <w:jc w:val="center"/>
              <w:rPr>
                <w:noProof/>
                <w:sz w:val="18"/>
                <w:szCs w:val="18"/>
              </w:rPr>
            </w:pPr>
            <w:r>
              <w:rPr>
                <w:noProof/>
                <w:sz w:val="18"/>
              </w:rPr>
              <w:t>35 mg/l</w:t>
            </w:r>
          </w:p>
        </w:tc>
        <w:tc>
          <w:tcPr>
            <w:tcW w:w="2608" w:type="dxa"/>
            <w:vAlign w:val="center"/>
          </w:tcPr>
          <w:p w:rsidR="000E1B99" w:rsidRPr="00C903F8" w:rsidRDefault="000E1B99" w:rsidP="00274EE8">
            <w:pPr>
              <w:spacing w:before="60" w:after="60" w:line="240" w:lineRule="atLeast"/>
              <w:rPr>
                <w:noProof/>
                <w:sz w:val="18"/>
                <w:szCs w:val="18"/>
              </w:rPr>
            </w:pPr>
            <w:r>
              <w:rPr>
                <w:noProof/>
                <w:sz w:val="18"/>
              </w:rPr>
              <w:t>24 órás egyesített minta, homogenizált</w:t>
            </w:r>
          </w:p>
        </w:tc>
      </w:tr>
      <w:tr w:rsidR="000E1B99" w:rsidRPr="00C903F8" w:rsidTr="00EB78D3">
        <w:trPr>
          <w:jc w:val="center"/>
        </w:trPr>
        <w:tc>
          <w:tcPr>
            <w:tcW w:w="3629" w:type="dxa"/>
            <w:vMerge/>
            <w:vAlign w:val="center"/>
          </w:tcPr>
          <w:p w:rsidR="000E1B99" w:rsidRPr="00C903F8" w:rsidRDefault="000E1B99" w:rsidP="00274EE8">
            <w:pPr>
              <w:spacing w:before="60" w:after="60" w:line="240" w:lineRule="atLeast"/>
              <w:rPr>
                <w:noProof/>
                <w:sz w:val="18"/>
                <w:szCs w:val="18"/>
              </w:rPr>
            </w:pPr>
          </w:p>
        </w:tc>
        <w:tc>
          <w:tcPr>
            <w:tcW w:w="1588" w:type="dxa"/>
            <w:vAlign w:val="center"/>
          </w:tcPr>
          <w:p w:rsidR="000E1B99" w:rsidRPr="00C903F8" w:rsidRDefault="000E1B99" w:rsidP="00274EE8">
            <w:pPr>
              <w:spacing w:before="60" w:after="60" w:line="240" w:lineRule="atLeast"/>
              <w:jc w:val="center"/>
              <w:rPr>
                <w:noProof/>
                <w:sz w:val="18"/>
                <w:szCs w:val="18"/>
              </w:rPr>
            </w:pPr>
            <w:r>
              <w:rPr>
                <w:noProof/>
                <w:sz w:val="18"/>
              </w:rPr>
              <w:t>45 mg/l</w:t>
            </w:r>
          </w:p>
        </w:tc>
        <w:tc>
          <w:tcPr>
            <w:tcW w:w="2608" w:type="dxa"/>
            <w:vAlign w:val="center"/>
          </w:tcPr>
          <w:p w:rsidR="000E1B99" w:rsidRPr="00C903F8" w:rsidRDefault="000E1B99" w:rsidP="00274EE8">
            <w:pPr>
              <w:spacing w:before="60" w:after="60" w:line="240" w:lineRule="atLeast"/>
              <w:rPr>
                <w:noProof/>
                <w:sz w:val="18"/>
                <w:szCs w:val="18"/>
              </w:rPr>
            </w:pPr>
            <w:r>
              <w:rPr>
                <w:noProof/>
                <w:sz w:val="18"/>
              </w:rPr>
              <w:t>Szúrópróbaszerű mintavétel, homogenizált</w:t>
            </w:r>
          </w:p>
        </w:tc>
      </w:tr>
    </w:tbl>
    <w:p w:rsidR="00AC39F0" w:rsidRPr="00C903F8" w:rsidRDefault="00AC39F0" w:rsidP="000F3425">
      <w:pPr>
        <w:spacing w:before="60"/>
        <w:ind w:left="992"/>
        <w:rPr>
          <w:noProof/>
          <w:sz w:val="16"/>
          <w:szCs w:val="16"/>
        </w:rPr>
      </w:pPr>
      <w:r>
        <w:rPr>
          <w:noProof/>
          <w:sz w:val="14"/>
        </w:rPr>
        <w:t>1.</w:t>
      </w:r>
      <w:r>
        <w:tab/>
      </w:r>
      <w:r>
        <w:rPr>
          <w:noProof/>
          <w:sz w:val="16"/>
        </w:rPr>
        <w:t>A tagállamok más, ezzel egyenértékű eljárásokat is megállapíthatnak.</w:t>
      </w:r>
    </w:p>
    <w:p w:rsidR="00AC39F0" w:rsidRPr="00C903F8" w:rsidRDefault="00AC39F0" w:rsidP="000F3425">
      <w:pPr>
        <w:ind w:left="992"/>
        <w:rPr>
          <w:noProof/>
          <w:sz w:val="16"/>
          <w:szCs w:val="16"/>
        </w:rPr>
      </w:pPr>
      <w:r>
        <w:rPr>
          <w:noProof/>
          <w:sz w:val="14"/>
        </w:rPr>
        <w:t>2.</w:t>
      </w:r>
      <w:r>
        <w:tab/>
      </w:r>
      <w:r>
        <w:rPr>
          <w:noProof/>
          <w:sz w:val="16"/>
        </w:rPr>
        <w:t>Az ellenőrzés keretében a kémiai oxigénigény (COD) helyett figyelembe vehető a teljes szervesszéntartalom (TOC) is.</w:t>
      </w:r>
    </w:p>
    <w:p w:rsidR="00AC39F0" w:rsidRPr="00C903F8" w:rsidRDefault="00AC39F0" w:rsidP="00AC39F0">
      <w:pPr>
        <w:pStyle w:val="ESch"/>
        <w:rPr>
          <w:noProof/>
          <w:szCs w:val="20"/>
        </w:rPr>
      </w:pPr>
    </w:p>
    <w:p w:rsidR="003D0171" w:rsidRPr="00C903F8" w:rsidRDefault="003D0171" w:rsidP="00AC39F0">
      <w:pPr>
        <w:pStyle w:val="ESch"/>
        <w:rPr>
          <w:noProof/>
          <w:szCs w:val="20"/>
        </w:rPr>
      </w:pPr>
      <w:r>
        <w:br w:type="page"/>
      </w:r>
    </w:p>
    <w:p w:rsidR="00AC39F0" w:rsidRPr="00C903F8" w:rsidRDefault="005C7859" w:rsidP="00AC39F0">
      <w:pPr>
        <w:pStyle w:val="ESlet"/>
        <w:rPr>
          <w:rFonts w:cs="Arial"/>
        </w:rPr>
      </w:pPr>
      <w:r>
        <w:t>b)</w:t>
      </w:r>
      <w:r>
        <w:tab/>
        <w:t>A fedélzeti szennyvízkezelő műnek üzem közben meg kell felelnie a következő ellenőrzési értékeknek:</w:t>
      </w:r>
    </w:p>
    <w:p w:rsidR="00AC39F0" w:rsidRPr="00C903F8" w:rsidRDefault="00AC39F0" w:rsidP="00AC39F0">
      <w:pPr>
        <w:pStyle w:val="ESch"/>
        <w:rPr>
          <w:noProof/>
          <w:szCs w:val="20"/>
        </w:rPr>
      </w:pPr>
    </w:p>
    <w:p w:rsidR="00AC39F0" w:rsidRPr="00C903F8" w:rsidRDefault="00AC39F0" w:rsidP="00AC39F0">
      <w:pPr>
        <w:pStyle w:val="ESletpar"/>
        <w:rPr>
          <w:rFonts w:cs="Arial"/>
        </w:rPr>
      </w:pPr>
      <w:r>
        <w:t>2. táblázat: A fedélzeti szennyvízkezelő mű által a kifolyási oldalon üzem közben teljesítendő ellenőrzési értékek</w:t>
      </w:r>
    </w:p>
    <w:p w:rsidR="00AC39F0" w:rsidRPr="00C903F8" w:rsidRDefault="00AC39F0" w:rsidP="00AC39F0">
      <w:pPr>
        <w:pStyle w:val="ESch"/>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C903F8" w:rsidTr="000E1B99">
        <w:trPr>
          <w:trHeight w:val="836"/>
          <w:jc w:val="center"/>
        </w:trPr>
        <w:tc>
          <w:tcPr>
            <w:tcW w:w="3629" w:type="dxa"/>
            <w:vAlign w:val="center"/>
          </w:tcPr>
          <w:p w:rsidR="000E1B99" w:rsidRPr="00C903F8" w:rsidRDefault="000E1B99" w:rsidP="00B33A41">
            <w:pPr>
              <w:spacing w:before="60" w:after="60" w:line="240" w:lineRule="atLeast"/>
              <w:jc w:val="center"/>
              <w:rPr>
                <w:noProof/>
                <w:sz w:val="18"/>
                <w:szCs w:val="18"/>
              </w:rPr>
            </w:pPr>
            <w:r>
              <w:rPr>
                <w:noProof/>
                <w:sz w:val="18"/>
              </w:rPr>
              <w:t>Paraméter</w:t>
            </w:r>
          </w:p>
        </w:tc>
        <w:tc>
          <w:tcPr>
            <w:tcW w:w="1588" w:type="dxa"/>
            <w:vAlign w:val="center"/>
          </w:tcPr>
          <w:p w:rsidR="000E1B99" w:rsidRPr="00C903F8" w:rsidRDefault="000E1B99" w:rsidP="00B33A41">
            <w:pPr>
              <w:spacing w:before="60" w:after="60" w:line="240" w:lineRule="atLeast"/>
              <w:jc w:val="center"/>
              <w:rPr>
                <w:noProof/>
                <w:sz w:val="18"/>
                <w:szCs w:val="18"/>
              </w:rPr>
            </w:pPr>
            <w:r>
              <w:rPr>
                <w:noProof/>
                <w:sz w:val="18"/>
              </w:rPr>
              <w:t>Koncentráció (II. fázis)</w:t>
            </w:r>
          </w:p>
        </w:tc>
        <w:tc>
          <w:tcPr>
            <w:tcW w:w="2608" w:type="dxa"/>
            <w:vAlign w:val="center"/>
          </w:tcPr>
          <w:p w:rsidR="000E1B99" w:rsidRPr="00C903F8" w:rsidRDefault="000E1B99" w:rsidP="00B33A41">
            <w:pPr>
              <w:spacing w:before="60" w:after="60" w:line="240" w:lineRule="atLeast"/>
              <w:jc w:val="center"/>
              <w:rPr>
                <w:noProof/>
                <w:sz w:val="18"/>
                <w:szCs w:val="18"/>
              </w:rPr>
            </w:pPr>
            <w:r>
              <w:rPr>
                <w:noProof/>
                <w:sz w:val="18"/>
              </w:rPr>
              <w:t>Minta</w:t>
            </w:r>
          </w:p>
        </w:tc>
      </w:tr>
      <w:tr w:rsidR="000E1B99" w:rsidRPr="00C903F8" w:rsidTr="000E1B99">
        <w:trPr>
          <w:trHeight w:val="1080"/>
          <w:jc w:val="center"/>
        </w:trPr>
        <w:tc>
          <w:tcPr>
            <w:tcW w:w="3629" w:type="dxa"/>
            <w:vAlign w:val="center"/>
          </w:tcPr>
          <w:p w:rsidR="000E1B99" w:rsidRPr="00C903F8" w:rsidRDefault="000E1B99" w:rsidP="00B33A41">
            <w:pPr>
              <w:spacing w:before="60" w:after="60" w:line="240" w:lineRule="atLeast"/>
              <w:rPr>
                <w:noProof/>
                <w:sz w:val="18"/>
                <w:szCs w:val="18"/>
                <w:vertAlign w:val="superscript"/>
              </w:rPr>
            </w:pPr>
            <w:r>
              <w:rPr>
                <w:noProof/>
                <w:sz w:val="18"/>
              </w:rPr>
              <w:t>Biokémiai oxigénigény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r>
              <w:rPr>
                <w:noProof/>
                <w:sz w:val="18"/>
              </w:rPr>
              <w:t>)</w:t>
            </w:r>
            <w:r>
              <w:rPr>
                <w:noProof/>
                <w:sz w:val="18"/>
                <w:szCs w:val="18"/>
              </w:rPr>
              <w:br/>
            </w:r>
            <w:r>
              <w:rPr>
                <w:noProof/>
                <w:sz w:val="18"/>
              </w:rPr>
              <w:t>ISO 5815-1 és 5815-2 (2003)</w:t>
            </w:r>
            <w:r>
              <w:rPr>
                <w:noProof/>
                <w:sz w:val="18"/>
                <w:vertAlign w:val="superscript"/>
              </w:rPr>
              <w:t>1</w:t>
            </w:r>
          </w:p>
        </w:tc>
        <w:tc>
          <w:tcPr>
            <w:tcW w:w="1588" w:type="dxa"/>
            <w:vAlign w:val="center"/>
          </w:tcPr>
          <w:p w:rsidR="000E1B99" w:rsidRPr="00C903F8" w:rsidRDefault="000E1B99" w:rsidP="00B33A41">
            <w:pPr>
              <w:suppressAutoHyphens/>
              <w:snapToGrid w:val="0"/>
              <w:spacing w:before="60" w:after="60" w:line="240" w:lineRule="atLeast"/>
              <w:jc w:val="center"/>
              <w:rPr>
                <w:rFonts w:cs="Arial"/>
                <w:sz w:val="18"/>
                <w:szCs w:val="18"/>
              </w:rPr>
            </w:pPr>
            <w:r>
              <w:rPr>
                <w:sz w:val="18"/>
              </w:rPr>
              <w:t>25 mg/l</w:t>
            </w:r>
          </w:p>
        </w:tc>
        <w:tc>
          <w:tcPr>
            <w:tcW w:w="2608" w:type="dxa"/>
            <w:vAlign w:val="center"/>
          </w:tcPr>
          <w:p w:rsidR="000E1B99" w:rsidRPr="00C903F8" w:rsidRDefault="000E1B99" w:rsidP="00B33A41">
            <w:pPr>
              <w:spacing w:before="60" w:after="60" w:line="240" w:lineRule="atLeast"/>
              <w:rPr>
                <w:noProof/>
                <w:sz w:val="18"/>
                <w:szCs w:val="18"/>
              </w:rPr>
            </w:pPr>
            <w:r>
              <w:rPr>
                <w:noProof/>
                <w:sz w:val="18"/>
              </w:rPr>
              <w:t>Szúrópróbaszerű mintavétel, homogenizált</w:t>
            </w:r>
          </w:p>
        </w:tc>
      </w:tr>
      <w:tr w:rsidR="000E1B99" w:rsidRPr="00C903F8" w:rsidTr="000E1B99">
        <w:trPr>
          <w:jc w:val="center"/>
        </w:trPr>
        <w:tc>
          <w:tcPr>
            <w:tcW w:w="3629" w:type="dxa"/>
            <w:vMerge w:val="restart"/>
            <w:vAlign w:val="center"/>
          </w:tcPr>
          <w:p w:rsidR="000E1B99" w:rsidRPr="00C903F8" w:rsidRDefault="000E1B99" w:rsidP="00B33A41">
            <w:pPr>
              <w:spacing w:before="60" w:after="60" w:line="240" w:lineRule="atLeast"/>
              <w:rPr>
                <w:noProof/>
                <w:sz w:val="18"/>
                <w:szCs w:val="18"/>
              </w:rPr>
            </w:pPr>
            <w:r>
              <w:rPr>
                <w:noProof/>
                <w:sz w:val="18"/>
              </w:rPr>
              <w:t>Kémiai oxigénigény (COD)</w:t>
            </w:r>
            <w:r>
              <w:rPr>
                <w:noProof/>
                <w:sz w:val="18"/>
                <w:vertAlign w:val="superscript"/>
              </w:rPr>
              <w:t xml:space="preserve">2 </w:t>
            </w:r>
            <w:r>
              <w:rPr>
                <w:noProof/>
                <w:sz w:val="18"/>
                <w:szCs w:val="18"/>
                <w:vertAlign w:val="superscript"/>
              </w:rPr>
              <w:br/>
            </w:r>
            <w:r>
              <w:rPr>
                <w:noProof/>
                <w:sz w:val="18"/>
              </w:rPr>
              <w:t>ISO 6060 (1989)</w:t>
            </w:r>
            <w:r>
              <w:rPr>
                <w:noProof/>
                <w:sz w:val="18"/>
                <w:vertAlign w:val="superscript"/>
              </w:rPr>
              <w:t>1</w:t>
            </w:r>
          </w:p>
        </w:tc>
        <w:tc>
          <w:tcPr>
            <w:tcW w:w="1588" w:type="dxa"/>
            <w:vAlign w:val="center"/>
          </w:tcPr>
          <w:p w:rsidR="000E1B99" w:rsidRPr="00C903F8" w:rsidRDefault="000E1B99" w:rsidP="00B33A41">
            <w:pPr>
              <w:suppressAutoHyphens/>
              <w:snapToGrid w:val="0"/>
              <w:spacing w:before="60" w:after="60" w:line="240" w:lineRule="atLeast"/>
              <w:jc w:val="center"/>
              <w:rPr>
                <w:rFonts w:cs="Arial"/>
                <w:sz w:val="18"/>
                <w:szCs w:val="18"/>
              </w:rPr>
            </w:pPr>
            <w:r>
              <w:rPr>
                <w:sz w:val="18"/>
              </w:rPr>
              <w:t>125 mg/l</w:t>
            </w:r>
          </w:p>
        </w:tc>
        <w:tc>
          <w:tcPr>
            <w:tcW w:w="2608" w:type="dxa"/>
            <w:vAlign w:val="center"/>
          </w:tcPr>
          <w:p w:rsidR="000E1B99" w:rsidRPr="00C903F8" w:rsidRDefault="000E1B99" w:rsidP="00B33A41">
            <w:pPr>
              <w:spacing w:before="60" w:after="60" w:line="240" w:lineRule="atLeast"/>
              <w:rPr>
                <w:noProof/>
                <w:sz w:val="18"/>
                <w:szCs w:val="18"/>
              </w:rPr>
            </w:pPr>
            <w:r>
              <w:rPr>
                <w:noProof/>
                <w:sz w:val="18"/>
              </w:rPr>
              <w:t>Szúrópróbaszerű mintavétel, homogenizált</w:t>
            </w:r>
          </w:p>
        </w:tc>
      </w:tr>
      <w:tr w:rsidR="000E1B99" w:rsidRPr="00C903F8" w:rsidTr="000E1B99">
        <w:trPr>
          <w:jc w:val="center"/>
        </w:trPr>
        <w:tc>
          <w:tcPr>
            <w:tcW w:w="3629" w:type="dxa"/>
            <w:vMerge/>
            <w:vAlign w:val="center"/>
          </w:tcPr>
          <w:p w:rsidR="000E1B99" w:rsidRPr="00C903F8" w:rsidRDefault="000E1B99" w:rsidP="00B33A41">
            <w:pPr>
              <w:spacing w:before="60" w:after="60" w:line="240" w:lineRule="atLeast"/>
              <w:rPr>
                <w:noProof/>
                <w:sz w:val="18"/>
                <w:szCs w:val="18"/>
              </w:rPr>
            </w:pPr>
          </w:p>
        </w:tc>
        <w:tc>
          <w:tcPr>
            <w:tcW w:w="1588" w:type="dxa"/>
            <w:vAlign w:val="center"/>
          </w:tcPr>
          <w:p w:rsidR="000E1B99" w:rsidRPr="00C903F8" w:rsidRDefault="000E1B99" w:rsidP="00B33A41">
            <w:pPr>
              <w:suppressAutoHyphens/>
              <w:snapToGrid w:val="0"/>
              <w:spacing w:before="60" w:after="60" w:line="240" w:lineRule="atLeast"/>
              <w:jc w:val="center"/>
              <w:rPr>
                <w:rFonts w:cs="Arial"/>
                <w:sz w:val="18"/>
                <w:szCs w:val="18"/>
              </w:rPr>
            </w:pPr>
            <w:r>
              <w:rPr>
                <w:sz w:val="18"/>
              </w:rPr>
              <w:t>150 mg/l</w:t>
            </w:r>
          </w:p>
        </w:tc>
        <w:tc>
          <w:tcPr>
            <w:tcW w:w="2608" w:type="dxa"/>
            <w:vAlign w:val="center"/>
          </w:tcPr>
          <w:p w:rsidR="000E1B99" w:rsidRPr="00C903F8" w:rsidRDefault="000E1B99" w:rsidP="00B33A41">
            <w:pPr>
              <w:spacing w:before="60" w:after="60" w:line="240" w:lineRule="atLeast"/>
              <w:rPr>
                <w:noProof/>
                <w:sz w:val="18"/>
                <w:szCs w:val="18"/>
              </w:rPr>
            </w:pPr>
            <w:r>
              <w:rPr>
                <w:noProof/>
                <w:sz w:val="18"/>
              </w:rPr>
              <w:t>Szúrópróbaszerű mintavétel</w:t>
            </w:r>
          </w:p>
        </w:tc>
      </w:tr>
      <w:tr w:rsidR="000E1B99" w:rsidRPr="00C903F8" w:rsidTr="000E1B99">
        <w:trPr>
          <w:trHeight w:val="730"/>
          <w:jc w:val="center"/>
        </w:trPr>
        <w:tc>
          <w:tcPr>
            <w:tcW w:w="3629" w:type="dxa"/>
            <w:vAlign w:val="center"/>
          </w:tcPr>
          <w:p w:rsidR="000E1B99" w:rsidRPr="00C903F8" w:rsidRDefault="000E1B99" w:rsidP="00B33A41">
            <w:pPr>
              <w:spacing w:before="60" w:after="60" w:line="240" w:lineRule="atLeast"/>
              <w:rPr>
                <w:noProof/>
                <w:sz w:val="18"/>
                <w:szCs w:val="18"/>
                <w:vertAlign w:val="superscript"/>
              </w:rPr>
            </w:pPr>
            <w:r>
              <w:rPr>
                <w:noProof/>
                <w:sz w:val="18"/>
              </w:rPr>
              <w:t xml:space="preserve">Teljes szervesszéntartalom (TOC) </w:t>
            </w:r>
            <w:r>
              <w:rPr>
                <w:noProof/>
                <w:sz w:val="18"/>
                <w:szCs w:val="18"/>
              </w:rPr>
              <w:br/>
            </w:r>
            <w:r>
              <w:rPr>
                <w:noProof/>
                <w:sz w:val="18"/>
              </w:rPr>
              <w:t>EN 1484 (1997)</w:t>
            </w:r>
            <w:r>
              <w:rPr>
                <w:noProof/>
                <w:sz w:val="18"/>
                <w:vertAlign w:val="superscript"/>
              </w:rPr>
              <w:t>1</w:t>
            </w:r>
          </w:p>
        </w:tc>
        <w:tc>
          <w:tcPr>
            <w:tcW w:w="1588" w:type="dxa"/>
            <w:vAlign w:val="center"/>
          </w:tcPr>
          <w:p w:rsidR="000E1B99" w:rsidRPr="00C903F8" w:rsidRDefault="000E1B99" w:rsidP="00B33A41">
            <w:pPr>
              <w:suppressAutoHyphens/>
              <w:snapToGrid w:val="0"/>
              <w:spacing w:before="60" w:after="60" w:line="240" w:lineRule="atLeast"/>
              <w:jc w:val="center"/>
              <w:rPr>
                <w:rFonts w:cs="Arial"/>
                <w:sz w:val="18"/>
                <w:szCs w:val="18"/>
              </w:rPr>
            </w:pPr>
            <w:r>
              <w:rPr>
                <w:sz w:val="18"/>
              </w:rPr>
              <w:t>45 mg/l</w:t>
            </w:r>
          </w:p>
        </w:tc>
        <w:tc>
          <w:tcPr>
            <w:tcW w:w="2608" w:type="dxa"/>
            <w:vAlign w:val="center"/>
          </w:tcPr>
          <w:p w:rsidR="000E1B99" w:rsidRPr="00C903F8" w:rsidRDefault="000E1B99" w:rsidP="00B33A41">
            <w:pPr>
              <w:spacing w:before="60" w:after="60" w:line="240" w:lineRule="atLeast"/>
              <w:rPr>
                <w:noProof/>
                <w:sz w:val="18"/>
                <w:szCs w:val="18"/>
              </w:rPr>
            </w:pPr>
            <w:r>
              <w:rPr>
                <w:noProof/>
                <w:sz w:val="18"/>
              </w:rPr>
              <w:t>Szúrópróbaszerű mintavétel, homogenizált</w:t>
            </w:r>
          </w:p>
        </w:tc>
      </w:tr>
    </w:tbl>
    <w:p w:rsidR="003D0171" w:rsidRPr="00C903F8" w:rsidRDefault="003D0171" w:rsidP="000E1B99">
      <w:pPr>
        <w:spacing w:before="60" w:line="240" w:lineRule="atLeast"/>
        <w:ind w:left="993" w:hanging="426"/>
        <w:rPr>
          <w:noProof/>
          <w:sz w:val="16"/>
          <w:szCs w:val="16"/>
        </w:rPr>
      </w:pPr>
      <w:r>
        <w:rPr>
          <w:noProof/>
          <w:sz w:val="16"/>
        </w:rPr>
        <w:t>1.</w:t>
      </w:r>
      <w:r>
        <w:tab/>
      </w:r>
      <w:r>
        <w:rPr>
          <w:noProof/>
          <w:sz w:val="16"/>
        </w:rPr>
        <w:t>A tagállamok más, ezzel egyenértékű eljárásokat is megállapíthatnak.</w:t>
      </w:r>
    </w:p>
    <w:p w:rsidR="003D0171" w:rsidRPr="00C903F8" w:rsidRDefault="003D0171" w:rsidP="000E1B99">
      <w:pPr>
        <w:spacing w:before="60" w:line="240" w:lineRule="atLeast"/>
        <w:ind w:left="993" w:hanging="426"/>
        <w:rPr>
          <w:noProof/>
          <w:sz w:val="16"/>
          <w:szCs w:val="16"/>
        </w:rPr>
      </w:pPr>
      <w:r>
        <w:rPr>
          <w:noProof/>
          <w:sz w:val="16"/>
        </w:rPr>
        <w:t>2.</w:t>
      </w:r>
      <w:r>
        <w:tab/>
      </w:r>
      <w:r>
        <w:rPr>
          <w:noProof/>
          <w:sz w:val="16"/>
        </w:rPr>
        <w:t>Az ellenőrzés keretében a kémiai oxigénigény (COD) helyett figyelembe vehető a teljes szervesszéntartalom (TOC) is.</w:t>
      </w:r>
    </w:p>
    <w:p w:rsidR="003D0171" w:rsidRPr="00C903F8" w:rsidRDefault="003D0171" w:rsidP="00AC39F0">
      <w:pPr>
        <w:pStyle w:val="ESch"/>
        <w:rPr>
          <w:rFonts w:cs="Arial"/>
          <w:szCs w:val="20"/>
        </w:rPr>
      </w:pPr>
    </w:p>
    <w:p w:rsidR="00AC39F0" w:rsidRPr="00C903F8" w:rsidRDefault="00AC39F0" w:rsidP="00AC39F0">
      <w:pPr>
        <w:pStyle w:val="ESch"/>
        <w:rPr>
          <w:rFonts w:cs="Arial"/>
          <w:szCs w:val="20"/>
        </w:rPr>
      </w:pPr>
      <w:r>
        <w:t>3.</w:t>
      </w:r>
      <w:r>
        <w:tab/>
        <w:t>Tilos klórtartalmú termékeket használó eljárásokat alkalmazni.</w:t>
      </w:r>
    </w:p>
    <w:p w:rsidR="00AC39F0" w:rsidRPr="00C903F8" w:rsidRDefault="00AC39F0" w:rsidP="00AC39F0">
      <w:pPr>
        <w:pStyle w:val="ESch"/>
        <w:rPr>
          <w:noProof/>
          <w:szCs w:val="20"/>
        </w:rPr>
      </w:pPr>
    </w:p>
    <w:p w:rsidR="00AC39F0" w:rsidRPr="00C903F8" w:rsidRDefault="00AC39F0" w:rsidP="00AC39F0">
      <w:pPr>
        <w:pStyle w:val="ESchpar"/>
        <w:rPr>
          <w:rFonts w:cs="Arial"/>
        </w:rPr>
      </w:pPr>
      <w:r>
        <w:t>Hasonlóképpen tilos a háztartási szennyvizet oly módon hígítani, hogy csökkenjen a fajlagos terhelés, és ezáltal a szennyvíz alkalmassá váljék az elvezetésre.</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4.</w:t>
      </w:r>
      <w:r>
        <w:tab/>
        <w:t>Megfelelő intézkedéseket kell hozni a szennyvíziszap tárolásával, tartósításával (ha szükséges), valamint környezetbe való kibocsátásával összefüggésben. Többek között készíteni kell egy szennyvíziszap-kezelési tervet.</w:t>
      </w:r>
    </w:p>
    <w:p w:rsidR="00AC39F0" w:rsidRPr="00C903F8" w:rsidRDefault="00AC39F0" w:rsidP="00AC39F0">
      <w:pPr>
        <w:pStyle w:val="ESch"/>
        <w:rPr>
          <w:noProof/>
          <w:szCs w:val="20"/>
        </w:rPr>
      </w:pPr>
    </w:p>
    <w:p w:rsidR="00AC39F0" w:rsidRPr="00C903F8" w:rsidRDefault="00AC39F0" w:rsidP="00AC39F0">
      <w:pPr>
        <w:pStyle w:val="ESch"/>
        <w:rPr>
          <w:noProof/>
          <w:szCs w:val="20"/>
        </w:rPr>
      </w:pPr>
      <w:r>
        <w:t>5.</w:t>
      </w:r>
      <w:r>
        <w:tab/>
        <w:t>A 2. bekezdés a) pontjában szereplő 1. táblázatban előírt határértékeknek való megfelelésről típusvizsgálat keretében kell meggyőződni, és a megállapításokat típusjóváhagyásba kell foglalni. A típusjóváhagyásról típusbizonyítványt kell kiállítani. A fedélzeti szennyvízkezelő mű telepítése előtt a típusbizonyítvány egy példányát meg kell küldeni az ellenőrző szervnek. A típusbizonyítvány és a fedélzeti szennyvízkezelő mű paraméterjegyzéke egy-egy példányát mindenkor a fedélzeten kell tartani.</w:t>
      </w:r>
    </w:p>
    <w:p w:rsidR="00C509E3" w:rsidRPr="00C903F8" w:rsidRDefault="00C509E3" w:rsidP="00AC39F0">
      <w:pPr>
        <w:pStyle w:val="ESch"/>
        <w:rPr>
          <w:noProof/>
          <w:szCs w:val="20"/>
        </w:rPr>
      </w:pPr>
    </w:p>
    <w:p w:rsidR="00AC39F0" w:rsidRPr="00C903F8" w:rsidRDefault="00AC39F0" w:rsidP="00AC39F0">
      <w:pPr>
        <w:pStyle w:val="ESch"/>
        <w:rPr>
          <w:rFonts w:cs="Arial"/>
          <w:szCs w:val="20"/>
        </w:rPr>
      </w:pPr>
      <w:r>
        <w:t>6.</w:t>
      </w:r>
      <w:r>
        <w:tab/>
        <w:t>A fedélzeti szennyvízkezelő mű fedélzeti telepítését követően, még a rendeltetésszerű üzem megkezdése előtt a gyártó köteles üzemképességi vizsgálatot végrehajtani. A fedélzeti szennyvízkezelő művet a belvízi hajóbizonyítvány 52. rovatába a következő adatok megadásával kell bejegyezni:</w:t>
      </w:r>
    </w:p>
    <w:p w:rsidR="00AC39F0" w:rsidRPr="00C903F8" w:rsidRDefault="005C7859" w:rsidP="00AC39F0">
      <w:pPr>
        <w:pStyle w:val="ESlet"/>
        <w:rPr>
          <w:rFonts w:cs="Arial"/>
        </w:rPr>
      </w:pPr>
      <w:r>
        <w:t>a)</w:t>
      </w:r>
      <w:r>
        <w:tab/>
        <w:t>név;</w:t>
      </w:r>
    </w:p>
    <w:p w:rsidR="00AC39F0" w:rsidRPr="00C903F8" w:rsidRDefault="005C7859" w:rsidP="00AC39F0">
      <w:pPr>
        <w:pStyle w:val="ESlet"/>
      </w:pPr>
      <w:r>
        <w:t>b)</w:t>
      </w:r>
      <w:r>
        <w:tab/>
        <w:t>típusjóváhagyási szám;</w:t>
      </w:r>
    </w:p>
    <w:p w:rsidR="00AC39F0" w:rsidRPr="00C903F8" w:rsidRDefault="005C7859" w:rsidP="00AC39F0">
      <w:pPr>
        <w:pStyle w:val="ESlet"/>
        <w:rPr>
          <w:rFonts w:cs="Arial"/>
        </w:rPr>
      </w:pPr>
      <w:r>
        <w:t>c)</w:t>
      </w:r>
      <w:r>
        <w:tab/>
        <w:t>gyártási szám;</w:t>
      </w:r>
    </w:p>
    <w:p w:rsidR="00AC39F0" w:rsidRPr="00C903F8" w:rsidRDefault="005C7859" w:rsidP="00AC39F0">
      <w:pPr>
        <w:pStyle w:val="ESlet"/>
        <w:rPr>
          <w:rFonts w:cs="Arial"/>
        </w:rPr>
      </w:pPr>
      <w:r>
        <w:t>d)</w:t>
      </w:r>
      <w:r>
        <w:tab/>
        <w:t>a gyártás éve.</w:t>
      </w:r>
    </w:p>
    <w:p w:rsidR="00AC39F0" w:rsidRPr="00C903F8" w:rsidRDefault="00AC39F0" w:rsidP="00AC39F0">
      <w:pPr>
        <w:pStyle w:val="ESch"/>
        <w:rPr>
          <w:noProof/>
          <w:szCs w:val="20"/>
        </w:rPr>
      </w:pPr>
    </w:p>
    <w:p w:rsidR="00B33A41" w:rsidRPr="00C903F8" w:rsidRDefault="00B33A41" w:rsidP="00AC39F0">
      <w:pPr>
        <w:pStyle w:val="ESch"/>
        <w:rPr>
          <w:noProof/>
          <w:szCs w:val="20"/>
        </w:rPr>
      </w:pPr>
      <w:r>
        <w:br w:type="page"/>
      </w:r>
    </w:p>
    <w:p w:rsidR="00AC39F0" w:rsidRPr="00C903F8" w:rsidRDefault="00AC39F0" w:rsidP="00AC39F0">
      <w:pPr>
        <w:pStyle w:val="ESch"/>
        <w:rPr>
          <w:rFonts w:cs="Arial"/>
          <w:szCs w:val="20"/>
        </w:rPr>
      </w:pPr>
      <w:r>
        <w:t xml:space="preserve">7. </w:t>
      </w:r>
      <w:r>
        <w:tab/>
        <w:t>A fedélzeti szennyvízkezelő mű minden olyan jelentős módosítását követően, amely befolyásolja a szennyvízkezelést, el kell végezni a 18.09. cikk 3. bekezdése szerinti rendkívüli vizsgálatot.</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8.</w:t>
      </w:r>
      <w:r>
        <w:tab/>
        <w:t>Az illetékes hatóság az e fejezetben előírt feladatait műszaki szolgálat bevonásával is elláthatja.</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 xml:space="preserve">9. </w:t>
      </w:r>
      <w:r>
        <w:tab/>
        <w:t>A fedélzeti szennyvízkezelő művet a tökéletes üzemi állapot fenntartásának biztosítása érdekében a gyártó utasításainak megfelelően rendszeresen karban kell tartani. A karbantartás elvégzését igazoló karbantartási naplót mindenkor a fedélzeten kell tartani.</w:t>
      </w:r>
    </w:p>
    <w:p w:rsidR="00AC39F0" w:rsidRPr="00C903F8" w:rsidRDefault="00AC39F0" w:rsidP="00AC39F0">
      <w:pPr>
        <w:pStyle w:val="ESch"/>
        <w:rPr>
          <w:rFonts w:cs="Arial"/>
          <w:szCs w:val="20"/>
        </w:rPr>
      </w:pPr>
    </w:p>
    <w:p w:rsidR="00B33A41" w:rsidRPr="00C903F8" w:rsidRDefault="00B33A41" w:rsidP="00AC39F0">
      <w:pPr>
        <w:pStyle w:val="ESch"/>
        <w:rPr>
          <w:rFonts w:cs="Arial"/>
          <w:szCs w:val="20"/>
        </w:rPr>
      </w:pPr>
    </w:p>
    <w:p w:rsidR="00AC39F0" w:rsidRPr="00C903F8" w:rsidRDefault="00AC39F0" w:rsidP="00AC39F0">
      <w:pPr>
        <w:pStyle w:val="ES-Titre3"/>
        <w:rPr>
          <w:rFonts w:cs="Arial"/>
          <w:i/>
        </w:rPr>
      </w:pPr>
      <w:bookmarkStart w:id="324" w:name="_Toc491854159"/>
      <w:bookmarkStart w:id="325" w:name="_Toc535853938"/>
      <w:r>
        <w:t>18.02. cikk</w:t>
      </w:r>
      <w:r>
        <w:br/>
      </w:r>
      <w:r>
        <w:rPr>
          <w:i/>
          <w:noProof/>
        </w:rPr>
        <w:t>A típusjóváhagyás kérelmezése</w:t>
      </w:r>
      <w:bookmarkEnd w:id="324"/>
      <w:bookmarkEnd w:id="325"/>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A gyártó benyújtja az illetékes hatóságnak a fedélzeti szennyvízkezelő művek meghatározott típusára vonatkozó típusjóváhagyás kérelmet. A kérelemhez csatolni kell a 18.00. cikk 6. bekezdése szerinti adatközlő mappát, a 18.00. cikk 9. bekezdése szerinti „fedélzeti szennyvízkezelő mű paraméterjegyzéke” dokumentum tervezetét, valamint a 18.00. cikk 10. bekezdése szerinti, a fedélzeti szennyvízkezelő művek adott típusára vonatkozó „gyártói útmutató a szennyvízkezelés szempontjából lényeges komponensek és paraméterek ellenőrzéséhez” dokumentum tervezetét. A típusvizsgálat elvégzéséhez a gyártó köteles bemutatni a fedélzeti szennyvízkezelő mű prototípusát.</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Ha az illetékes hatóság megállapítja, hogy a fedélzeti szennyvízkezelő művek egy adott típusának típusjóváhagyására vonatkozó kérelem céljából bemutatott prototípus nem reprezentatív a fedélzeti szennyvízkezelő művek szóban forgó típusának a 7. melléklet II. szakaszának 1. függelékében meghatározott jellemzői szempontjából, akkor másik, szükség esetén további, az illetékes hatóság által kijelölendő prototípust kell jóváhagyásra átadni az 1. bekezdésnek megfelelően.</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A fedélzeti szennyvízkezelő művek egy adott típusának típusjóváhagyását csak egyetlen illetékes hatóságnál szabad kérelmezni. A típusjóváhagyást a fedélzeti szennyvízkezelő művek minden egyes típusa esetében külön kell kérelmezni.</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AC39F0" w:rsidRPr="00C903F8" w:rsidRDefault="00AC39F0" w:rsidP="00AC39F0">
      <w:pPr>
        <w:pStyle w:val="ES-Titre3"/>
        <w:rPr>
          <w:rFonts w:cs="Arial"/>
          <w:i/>
        </w:rPr>
      </w:pPr>
      <w:bookmarkStart w:id="326" w:name="_Toc491854160"/>
      <w:bookmarkStart w:id="327" w:name="_Toc535853939"/>
      <w:r>
        <w:t>18.03. cikk</w:t>
      </w:r>
      <w:r>
        <w:br/>
      </w:r>
      <w:r>
        <w:rPr>
          <w:i/>
          <w:noProof/>
        </w:rPr>
        <w:t>A típusjóváhagyási eljárás</w:t>
      </w:r>
      <w:bookmarkEnd w:id="326"/>
      <w:bookmarkEnd w:id="327"/>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Az illetékes hatóság, amelynél a típusjóváhagyást kérelmezték, akkor bocsát ki típusjóváhagyást a fedélzeti szennyvízkezelő művek egy meghatározott típusára vonatkozóan, ha a típus megfelel az adatközlő mappában található leírásoknak, és teljesíti e fejezet követelményeit. A követelmények teljesülését a 7. melléklet IX. szakaszának megfelelően kell megvizsgálni.</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A fedélzeti szennyvízkezelő művek minden olyan típusára vonatkozóan, amelyre típusjóváhagyást bocsát ki, az illetékes hatóság a 7. melléklet III. szakaszában található mintának megfelelően kitölti a típusbizonyítvány valamennyi vonatkozó részét, és összeállítja az információs csomag tartalomjegyzékét vagy megvizsgálja annak tartalmát. A típusbizonyítvány azonosító számát a 7. melléklet IV. szakaszában előírt módszerrel kell megállapítani. Az elkészült típusbizonyítványt és mellékleteit át kell adni a kérelmezőnek.</w:t>
      </w:r>
    </w:p>
    <w:p w:rsidR="00AC39F0" w:rsidRPr="00C903F8" w:rsidRDefault="00AC39F0" w:rsidP="00AC39F0">
      <w:pPr>
        <w:pStyle w:val="ESch"/>
        <w:rPr>
          <w:noProof/>
          <w:szCs w:val="20"/>
        </w:rPr>
      </w:pPr>
    </w:p>
    <w:p w:rsidR="00B33A41" w:rsidRPr="00C903F8" w:rsidRDefault="00B33A41" w:rsidP="00AC39F0">
      <w:pPr>
        <w:pStyle w:val="ESch"/>
        <w:rPr>
          <w:noProof/>
          <w:szCs w:val="20"/>
        </w:rPr>
      </w:pPr>
      <w:r>
        <w:br w:type="page"/>
      </w:r>
    </w:p>
    <w:p w:rsidR="00AC39F0" w:rsidRPr="00C903F8" w:rsidRDefault="00AC39F0" w:rsidP="00AC39F0">
      <w:pPr>
        <w:pStyle w:val="ESch"/>
        <w:rPr>
          <w:rFonts w:cs="Arial"/>
          <w:szCs w:val="20"/>
        </w:rPr>
      </w:pPr>
      <w:r>
        <w:t>3.</w:t>
      </w:r>
      <w:r>
        <w:tab/>
        <w:t>Ha a jóváhagyandó fedélzeti szennyvízkezelő mű csak azon vízi jármű más komponenseivel együtt képes betölteni rendeltetését vagy rendelkezik bizonyos jellemzőkkel, amelyen telepíteni fogják, és ezért csak akkor ellenőrizhető egy vagy több követelménynek való megfelelés, ha a jóváhagyandó fedélzeti szennyvízkezelő mű a vízi jármű más – valóságos vagy modellezett – komponenseivel együtt üzemel, akkor az adott fedélzeti szennyvízkezelő mű típusjóváhagyásának hatályát megfelelő módon korlátozni kell. Ilyenkor a használatra vonatkozó korlátozásokat és a telepítésre vonatkozó követelményeket teljes körűen és részletesen fel kell tüntetni az adott típus típusbizonyítványán.</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p>
    <w:p w:rsidR="00AC39F0" w:rsidRPr="00C903F8" w:rsidRDefault="00AC39F0" w:rsidP="00AC39F0">
      <w:pPr>
        <w:pStyle w:val="ES-Titre3"/>
        <w:rPr>
          <w:rFonts w:cs="Arial"/>
          <w:i/>
        </w:rPr>
      </w:pPr>
      <w:bookmarkStart w:id="328" w:name="_Toc491854161"/>
      <w:bookmarkStart w:id="329" w:name="_Toc535853940"/>
      <w:r>
        <w:t>18.04. cikk</w:t>
      </w:r>
      <w:r>
        <w:br/>
      </w:r>
      <w:r>
        <w:rPr>
          <w:i/>
          <w:noProof/>
        </w:rPr>
        <w:t>A típusjóváhagyás módosítása</w:t>
      </w:r>
      <w:bookmarkEnd w:id="328"/>
      <w:bookmarkEnd w:id="329"/>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Az illetékes hatóság, amely a típusjóváhagyást kibocsátotta, megteszi a szükséges intézkedéseket annak biztosítására, hogy tájékoztatást kapjon az információs csomagban foglalt adatok mindennemű változásáról.</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A típusjóváhagyás módosítására vagy meghosszabbítására vonatkozó kérelem kizárólag ahhoz az illetékes hatósághoz nyújtható be, amely az eredeti típusjóváhagyást kibocsátotta.</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Ha a fedélzeti szennyvízkezelő műnek az információs csomagban megadott jellemzői módosultak, az illetékes hatóság:</w:t>
      </w:r>
    </w:p>
    <w:p w:rsidR="00AC39F0" w:rsidRPr="00C903F8" w:rsidRDefault="005C7859" w:rsidP="00AC39F0">
      <w:pPr>
        <w:pStyle w:val="ESlet"/>
        <w:rPr>
          <w:rFonts w:cs="Arial"/>
        </w:rPr>
      </w:pPr>
      <w:r>
        <w:t>a)</w:t>
      </w:r>
      <w:r>
        <w:tab/>
        <w:t>szükség szerint módosított formában ismételten kibocsátja az információs csomag érintett részeit, a módosított lapokon egyértelműen megjelölve a módosítás jellegét és az ismételt kibocsátás időpontját. A lapok módosított formában történő ismételt kibocsátásával egyidejűleg megfelelő módon módosítani kell a típusbizonyítványhoz csatolt információs csomag tartalomjegyzékét is;</w:t>
      </w:r>
    </w:p>
    <w:p w:rsidR="00AC39F0" w:rsidRPr="00C903F8" w:rsidRDefault="005C7859" w:rsidP="00AC39F0">
      <w:pPr>
        <w:pStyle w:val="ESlet"/>
        <w:rPr>
          <w:rFonts w:cs="Arial"/>
        </w:rPr>
      </w:pPr>
      <w:r>
        <w:t>b)</w:t>
      </w:r>
      <w:r>
        <w:tab/>
        <w:t>kiegészítő számmal azonosított módosított típusbizonyítványt bocsát ki, ha az eredeti bizonyítványon szereplő információk bármelyike (a mellékleteket nem ideértve) megváltozott, vagy ha az e fejezetben előírt minimumkövetelmények a jóváhagyás időpontja óta megváltoztak. A módosított típusbizonyítványban egyértelműen meg kell jelölni a módosítás okát és az ismételt kibocsátás időpontját.</w:t>
      </w:r>
    </w:p>
    <w:p w:rsidR="00AC39F0" w:rsidRPr="00C903F8" w:rsidRDefault="00AC39F0" w:rsidP="00AC39F0">
      <w:pPr>
        <w:pStyle w:val="ESletpar"/>
        <w:rPr>
          <w:rFonts w:cs="Arial"/>
        </w:rPr>
      </w:pPr>
      <w:r>
        <w:t>Ha az illetékes hatóság, amely a típusjóváhagyást kibocsátotta, megállapítja, hogy az információs csomag módosulása nyomán új próbákat vagy vizsgálatokat indokolt elvégezni, akkor erről értesíti a gyártót, és a fent meghatározott okmányokat csak akkor bocsátja ki, ha az új próbák vagy vizsgálatok kielégítő eredménnyel zárultak.</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B33A41" w:rsidRPr="00C903F8" w:rsidRDefault="00B33A41" w:rsidP="00AC39F0">
      <w:pPr>
        <w:pStyle w:val="ESch"/>
        <w:rPr>
          <w:rFonts w:cs="Arial"/>
          <w:szCs w:val="20"/>
        </w:rPr>
      </w:pPr>
      <w:r>
        <w:br w:type="page"/>
      </w:r>
    </w:p>
    <w:p w:rsidR="00AC39F0" w:rsidRPr="00C903F8" w:rsidRDefault="00AC39F0" w:rsidP="00AC39F0">
      <w:pPr>
        <w:pStyle w:val="ES-Titre3"/>
        <w:rPr>
          <w:rFonts w:cs="Arial"/>
        </w:rPr>
      </w:pPr>
      <w:bookmarkStart w:id="330" w:name="_Toc491854162"/>
      <w:bookmarkStart w:id="331" w:name="_Toc535853941"/>
      <w:r>
        <w:t>18.05. cikk</w:t>
      </w:r>
      <w:r>
        <w:br/>
      </w:r>
      <w:r>
        <w:rPr>
          <w:i/>
          <w:noProof/>
        </w:rPr>
        <w:t>Megfelelés a típusjóváhagyásnak</w:t>
      </w:r>
      <w:bookmarkEnd w:id="330"/>
      <w:bookmarkEnd w:id="331"/>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A gyártó minden, a típusjóváhagyásnak megfelelően gyártott fedélzeti szennyvízkezelő művön köteles elhelyezni a 7. melléklet I. szakaszában meghatározott jelöléseket, köztük a típusjóváhagyás számát.</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Ha a típusjóváhagyás a 18.03. cikk 3. bekezdése értelmében a használatra vonatkozó korlátozásokat tartalmaz, akkor a gyártó minden egyes legyártott szennyvízkezelő berendezéshez köteles részletes tájékoztatást mellékelni ezekről a korlátozásokról és a telepítésre vonatkozó követelményekről.</w:t>
      </w:r>
    </w:p>
    <w:p w:rsidR="00AC39F0" w:rsidRPr="00C903F8" w:rsidRDefault="00AC39F0" w:rsidP="00AC39F0">
      <w:pPr>
        <w:pStyle w:val="ESch"/>
        <w:rPr>
          <w:noProof/>
        </w:rPr>
      </w:pPr>
    </w:p>
    <w:p w:rsidR="00AC39F0" w:rsidRPr="00C903F8" w:rsidRDefault="00AC39F0" w:rsidP="00AC39F0">
      <w:pPr>
        <w:pStyle w:val="ESch"/>
        <w:rPr>
          <w:rFonts w:cs="Arial"/>
        </w:rPr>
      </w:pPr>
      <w:r>
        <w:t>3.</w:t>
      </w:r>
      <w:r>
        <w:tab/>
        <w:t>Ha a típusjóváhagyást kibocsátó illetékes hatóság azt kéri, a gyártó – minden naptári év vége után 45 napon belül, továbbá az illetékes hatóság által meghatározott további időpontokban – köteles átadni egy jegyzéket mindazon fedélzeti szennyvízkezelő művek gyártási számáról, amelyeket legutóbbi adatszolgáltatása vagy e rendelkezések első hatálybalépése óta e fejezet követelményeinek megfelelően gyártott. A jegyzékben meg kell adnia, hogy az egyes gyártási számok a fedélzeti szennyvízkezelő művek mely típusához és mely típusjóváhagyási számhoz tartoznak. A jegyzékben tájékoztatást kell adni arról is, ha a gyártó felhagyott egy típusjóváhagyás keretében jóváhagyott típusú fedélzeti szennyvízkezelő mű gyártásával. Ha az illetékes hatóság nem kéri ilyen jegyzék rendszeres átadását a gyártótól, a gyártó köteles a feljegyzett adatokat legalább 40 évig megőrizni.</w:t>
      </w:r>
    </w:p>
    <w:p w:rsidR="00AC39F0" w:rsidRPr="00C903F8" w:rsidRDefault="00AC39F0" w:rsidP="00AC39F0">
      <w:pPr>
        <w:pStyle w:val="ESch"/>
      </w:pPr>
    </w:p>
    <w:p w:rsidR="00AC39F0" w:rsidRPr="00C903F8" w:rsidRDefault="00AC39F0" w:rsidP="00AC39F0">
      <w:pPr>
        <w:pStyle w:val="ESch"/>
      </w:pPr>
    </w:p>
    <w:p w:rsidR="00AC39F0" w:rsidRPr="00C903F8" w:rsidRDefault="00AC39F0" w:rsidP="00AC39F0">
      <w:pPr>
        <w:pStyle w:val="ES-Titre3"/>
        <w:rPr>
          <w:rFonts w:cs="Arial"/>
          <w:i/>
        </w:rPr>
      </w:pPr>
      <w:bookmarkStart w:id="332" w:name="_Toc491854163"/>
      <w:bookmarkStart w:id="333" w:name="_Toc535853942"/>
      <w:r>
        <w:t>18.06. cikk</w:t>
      </w:r>
      <w:r>
        <w:br/>
      </w:r>
      <w:r>
        <w:rPr>
          <w:i/>
          <w:noProof/>
        </w:rPr>
        <w:t>A gyártási szám ellenőrzése</w:t>
      </w:r>
      <w:bookmarkEnd w:id="332"/>
      <w:bookmarkEnd w:id="333"/>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A típusjóváhagyást kibocsátó illetékes hatóság gondoskodik az e fejezet követelményeinek megfelelően legyártott fedélzeti szennyvízkezelő művek gyártási számainak nyilvántartásáról és ellenőrzéséről. A szóban forgó hatóság együttműködhet az e fejezetben meghatározott más hatóságokkal, valamint a tagállamok illetékes hatóságaival.</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A gyártási számok további ellenőrzése elvégezhető a gyártás 18.07. cikkben meghatározott követelményeknek való megfelelőségének ellenőrzése kapcsán is.</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A gyártási számok ellenőrzése céljából a gyártó vagy a tagállamokban működő meghatalmazott képviselői kötelesek kérésre haladéktalanul átadni az illetékes hatóságnak a közvetlen vásárlóikra és a 18.05. cikk 3. bekezdése alapján legyártottként bejelentett fedélzeti szennyvízkezelő művek gyártási számaira vonatkozó valamennyi szükséges információt.</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4.</w:t>
      </w:r>
      <w:r>
        <w:tab/>
        <w:t>Ha a gyártó az illetékes hatóság kérésére nem tud eleget tenni a 18.05. cikkben foglalt követelményeknek, a fedélzeti szennyvízkezelő művek adott típusának jóváhagyása visszavonható. Ilyen esetekben a 18.08. cikk 4. bekezdésében előírt értesítési eljárást kell alkalmazni.</w:t>
      </w:r>
    </w:p>
    <w:p w:rsidR="00AC39F0" w:rsidRPr="00C903F8" w:rsidRDefault="00AC39F0" w:rsidP="00AC39F0">
      <w:pPr>
        <w:pStyle w:val="ESch"/>
        <w:rPr>
          <w:rFonts w:cs="Arial"/>
          <w:szCs w:val="20"/>
        </w:rPr>
      </w:pPr>
    </w:p>
    <w:p w:rsidR="00CF5E0F" w:rsidRPr="00C903F8" w:rsidRDefault="00CF5E0F">
      <w:pPr>
        <w:rPr>
          <w:rFonts w:cs="Arial"/>
          <w:szCs w:val="20"/>
        </w:rPr>
      </w:pPr>
      <w:r>
        <w:br w:type="page"/>
      </w:r>
    </w:p>
    <w:p w:rsidR="003216FC" w:rsidRPr="00C903F8" w:rsidRDefault="003216FC" w:rsidP="00AC39F0">
      <w:pPr>
        <w:pStyle w:val="ESch"/>
        <w:rPr>
          <w:rFonts w:cs="Arial"/>
          <w:szCs w:val="20"/>
        </w:rPr>
      </w:pPr>
    </w:p>
    <w:p w:rsidR="00AC39F0" w:rsidRPr="00C903F8" w:rsidRDefault="00AC39F0" w:rsidP="00AC39F0">
      <w:pPr>
        <w:pStyle w:val="ES-Titre3"/>
        <w:rPr>
          <w:rFonts w:cs="Arial"/>
          <w:i/>
        </w:rPr>
      </w:pPr>
      <w:bookmarkStart w:id="334" w:name="_Toc491854164"/>
      <w:bookmarkStart w:id="335" w:name="_Toc535853943"/>
      <w:r>
        <w:t>18.07. cikk</w:t>
      </w:r>
      <w:r>
        <w:br/>
      </w:r>
      <w:r>
        <w:rPr>
          <w:i/>
          <w:noProof/>
        </w:rPr>
        <w:t>A gyártás megfelelősége</w:t>
      </w:r>
      <w:bookmarkEnd w:id="334"/>
      <w:bookmarkEnd w:id="335"/>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A típusjóváhagyást kibocsátó illetékes hatóság előzetesen meggyőződik arról, hogy megtörténtek azok a megfelelő intézkedések, amelyek biztosítják a gyártás megfelelőségének hatékony ellenőrzését a 7. melléklet I. szakaszában foglalt követelmények tekintetében. A szóban forgó hatóság együttműködhet az e fejezetben meghatározott más hatóságokkal, valamint a tagállamok illetékes hatóságaival.</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A típusjóváhagyást kibocsátó illetékes hatóság meggyőződik arról, hogy az 1. bekezdés szerinti, a 7. melléklet I. szakaszában foglalt rendelkezésekkel kapcsolatos intézkedések folyamatosan elegendőek, és az e fejezet követelményeinek megfelelően típusjóváhagyási számmal ellátott fedélzeti szennyvízkezelő művek mindegyike folyamatosan megfelel a típusjóváhagyás keretében jóváhagyott típusú fedélzeti szennyvízkezelő műre vonatkozó, a típusbizonyítványban és annak mellékleteiben található leírásnak. A szóban forgó hatóság együttműködhet az e fejezetben meghatározott más hatóságokkal, valamint a tagállamok illetékes hatóságaival.</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Az illetékes hatóság az 1. és a 2. bekezdés rendelkezéseivel egyenértékűként ismerheti el a más illetékes hatóságok által végzett hasonló jellegű vizsgálatokat.</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AC39F0" w:rsidRPr="00C903F8" w:rsidRDefault="00AC39F0" w:rsidP="00AC39F0">
      <w:pPr>
        <w:pStyle w:val="ES-Titre3"/>
        <w:rPr>
          <w:rFonts w:cs="Arial"/>
          <w:i/>
        </w:rPr>
      </w:pPr>
      <w:bookmarkStart w:id="336" w:name="_Toc491854165"/>
      <w:bookmarkStart w:id="337" w:name="_Toc535853944"/>
      <w:r>
        <w:t>18.08. cikk</w:t>
      </w:r>
      <w:r>
        <w:br/>
      </w:r>
      <w:r>
        <w:rPr>
          <w:i/>
          <w:noProof/>
        </w:rPr>
        <w:t>A típusjóváhagyás keretében jóváhagyott típusú fedélzeti szennyvízkezelő mű meg nem felelése</w:t>
      </w:r>
      <w:bookmarkEnd w:id="336"/>
      <w:bookmarkEnd w:id="337"/>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A típusjóváhagyás keretében jóváhagyott típusú fedélzeti szennyvízkezelő művet nem megfelelőnek kell tekinteni, ha eltéréseket mutat a típusbizonyítványban meghatározott jellemzőktől vagy annak az információs csomagnak a tartalmától, amelyet a típusjóváhagyást kibocsátó illetékes hatóság a 18.04. cikk 3. bekezdése alapján még nem hagyott jóvá.</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Ha az illetékes hatóság, amely a típusjóváhagyást kibocsátotta, megállapítja, hogy egyes fedélzeti szennyvízkezelő művek nem felelnek meg a fedélzeti szennyvízkezelő művek azon típusának, amelyre a jóváhagyást kibocsátotta, akkor megteszi az annak biztosításához szükséges intézkedéseket, hogy a gyártás alatt álló fedélzeti szennyvízkezelő művek újból megfeleljenek a fedélzeti szennyvízkezelő művek típusjóváhagyás keretében jóváhagyott típusának. A meg nem felelést megállapító illetékes hatóság tájékoztatja a többi illetékes hatóságot a megtett intézkedésekről, amelyek akár a típusjóváhagyás visszavonását is magukban foglalhatják.</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Ha egy illetékes hatóság bizonyítani tudja, hogy egy adott, típusjóváhagyási számmal ellátott fedélzeti szennyvízkezelő mű nem felel meg a fedélzeti szennyvízkezelő művek típusjóváhagyás keretében jóváhagyott típusának, felkérheti azt az illetékes hatóságot, amely a típusjóváhagyást kibocsátotta, hogy a fedélzeti szennyvízkezelő művek típusjóváhagyás keretében jóváhagyott típusának való megfelelés szempontjából ellenőriztesse a fedélzeti szennyvízkezelő művek gyártás alatt álló típusát. Ezt az ellenőrzést a felkérés időpontja után hat hónapon belül el kell végeztetni.</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3216FC" w:rsidRPr="00C903F8" w:rsidRDefault="003216FC" w:rsidP="00AC39F0">
      <w:pPr>
        <w:pStyle w:val="ESch"/>
        <w:rPr>
          <w:rFonts w:cs="Arial"/>
          <w:szCs w:val="20"/>
        </w:rPr>
      </w:pPr>
      <w:r>
        <w:br w:type="page"/>
      </w:r>
    </w:p>
    <w:p w:rsidR="00AC39F0" w:rsidRPr="00C903F8" w:rsidRDefault="00AC39F0" w:rsidP="00AC39F0">
      <w:pPr>
        <w:pStyle w:val="ES-Titre3"/>
        <w:rPr>
          <w:rFonts w:cs="Arial"/>
          <w:i/>
        </w:rPr>
      </w:pPr>
      <w:bookmarkStart w:id="338" w:name="_Toc491854166"/>
      <w:bookmarkStart w:id="339" w:name="_Toc535853945"/>
      <w:r>
        <w:t>18.09. cikk</w:t>
      </w:r>
      <w:r>
        <w:br/>
      </w:r>
      <w:r>
        <w:rPr>
          <w:i/>
          <w:noProof/>
        </w:rPr>
        <w:t>Szúrópróbaszerű mérések / Rendkívüli vizsgálat</w:t>
      </w:r>
      <w:bookmarkEnd w:id="338"/>
      <w:bookmarkEnd w:id="339"/>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A vízi jármű üzembe helyezése után legkésőbb három hónappal, felújított fedélzeti szennyvízkezelő mű esetében pedig a telepítés és a megfelelő üzemképességi vizsgálat elvégzése után legkésőbb három hónappal az illetékes hatóság a 18.01. cikk 2. bekezdésében szereplő 2. táblázatban meghatározott értékek ellenőrzése céljából a vízi jármű üzeme közben szúrópróbaszerű mintát vesz.</w:t>
      </w:r>
    </w:p>
    <w:p w:rsidR="00AC39F0" w:rsidRPr="00C903F8" w:rsidRDefault="00AC39F0" w:rsidP="00AC39F0">
      <w:pPr>
        <w:pStyle w:val="ESchpar"/>
        <w:rPr>
          <w:noProof/>
        </w:rPr>
      </w:pPr>
    </w:p>
    <w:p w:rsidR="00AC39F0" w:rsidRPr="00C903F8" w:rsidRDefault="00AC39F0" w:rsidP="00AC39F0">
      <w:pPr>
        <w:pStyle w:val="ESchpar"/>
        <w:rPr>
          <w:rFonts w:cs="Arial"/>
        </w:rPr>
      </w:pPr>
      <w:r>
        <w:t>Az illetékes hatóság a 18.01. cikk 2. bekezdésében szereplő 2. táblázatban meghatározott értékek ellenőrzése céljából szúrópróbaszerűen vett mintákon végrehajtott mérések útján rendszeres időközönként üzemképességi ellenőrzésnek veti alá a fedélzeti szennyvízkezelő művet.</w:t>
      </w:r>
    </w:p>
    <w:p w:rsidR="00AC39F0" w:rsidRPr="00C903F8" w:rsidRDefault="00AC39F0" w:rsidP="00AC39F0">
      <w:pPr>
        <w:pStyle w:val="ESchpar"/>
        <w:rPr>
          <w:noProof/>
        </w:rPr>
      </w:pPr>
    </w:p>
    <w:p w:rsidR="00AC39F0" w:rsidRPr="00C903F8" w:rsidRDefault="00AC39F0" w:rsidP="00AC39F0">
      <w:pPr>
        <w:pStyle w:val="ESchpar"/>
        <w:rPr>
          <w:rFonts w:cs="Arial"/>
        </w:rPr>
      </w:pPr>
      <w:r>
        <w:t>Ha az illetékes hatóság a szúrópróbaszerű mintavétel keretében végzett mérések során azt állapítja meg, hogy a mért értékek nem teljesítik a 18.01. cikk 1. bekezdésében található 2. táblázat követelményeit, akkor felszólíthat:</w:t>
      </w:r>
    </w:p>
    <w:p w:rsidR="00AC39F0" w:rsidRPr="00C903F8" w:rsidRDefault="005C7859" w:rsidP="00AC39F0">
      <w:pPr>
        <w:pStyle w:val="ESlet"/>
        <w:rPr>
          <w:rFonts w:cs="Arial"/>
        </w:rPr>
      </w:pPr>
      <w:r>
        <w:t xml:space="preserve">a) </w:t>
      </w:r>
      <w:r>
        <w:tab/>
        <w:t>a fedélzeti szennyvízkezelő mű hibáinak orvoslására és ezáltal megfelelő üzemének biztosítására;</w:t>
      </w:r>
    </w:p>
    <w:p w:rsidR="00AC39F0" w:rsidRPr="00C903F8" w:rsidRDefault="005C7859" w:rsidP="00AC39F0">
      <w:pPr>
        <w:pStyle w:val="ESlet"/>
        <w:rPr>
          <w:rFonts w:cs="Arial"/>
        </w:rPr>
      </w:pPr>
      <w:r>
        <w:t xml:space="preserve">b) </w:t>
      </w:r>
      <w:r>
        <w:tab/>
        <w:t>a fedélzeti szennyvízkezelő mű típusjóváhagyásnak való megfelelésének újbóli biztosítására; vagy</w:t>
      </w:r>
    </w:p>
    <w:p w:rsidR="00AC39F0" w:rsidRDefault="005C7859" w:rsidP="00AC39F0">
      <w:pPr>
        <w:pStyle w:val="ESlet"/>
        <w:rPr>
          <w:noProof/>
        </w:rPr>
      </w:pPr>
      <w:r>
        <w:t xml:space="preserve">c) </w:t>
      </w:r>
      <w:r>
        <w:tab/>
        <w:t>a 3. bekezdésben előírt rendkívüli vizsgálat elvégzésére.</w:t>
      </w:r>
    </w:p>
    <w:p w:rsidR="005714D9" w:rsidRPr="00C903F8" w:rsidRDefault="005714D9" w:rsidP="00AC39F0">
      <w:pPr>
        <w:pStyle w:val="ESlet"/>
        <w:rPr>
          <w:rFonts w:cs="Arial"/>
        </w:rPr>
      </w:pPr>
    </w:p>
    <w:p w:rsidR="00AC39F0" w:rsidRPr="005714D9" w:rsidRDefault="00AC39F0" w:rsidP="005714D9">
      <w:pPr>
        <w:pStyle w:val="ESchpar"/>
        <w:rPr>
          <w:noProof/>
        </w:rPr>
      </w:pPr>
      <w:r>
        <w:t>A meg nem felelés orvoslása és a fedélzeti szennyvízkezelő mű típusjóváhagyásnak való megfelelésének újbóli biztosítása után az illetékes hatóság új szúrópróbaszerű méréseket végezhet.</w:t>
      </w:r>
    </w:p>
    <w:p w:rsidR="00AC39F0" w:rsidRPr="005714D9" w:rsidRDefault="00AC39F0" w:rsidP="005714D9">
      <w:pPr>
        <w:pStyle w:val="ESchpar"/>
        <w:rPr>
          <w:noProof/>
        </w:rPr>
      </w:pPr>
      <w:r>
        <w:t>Ha a hibák orvoslása vagy a fedélzeti szennyvízkezelő mű típusjóváhagyásban meghatározottaknak való megfelelésének újbóli biztosítása nem történt meg, az illetékes hatóság lepecsételi a fedélzeti szennyvízkezelő művet, és tájékoztatja az ellenőrző szervet e ténynek a belvízi hajóbizonyítvány 52. rovatába való bejegyzése céljából.</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A szúrópróbaszerű méréseket a 18.01. cikk 2. bekezdésében található 2. táblázatnak megfelelően kell elvégezni.</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Ha az illetékes hatóság a fedélzeti szennyvízkezelő művön olyan rendellenességet észlel, amely a típusjóváhagyástól való eltérésre utal, akkor rendkívüli vizsgálatot hajt végre, amelynek során – a fedélzeti szennyvízkezelő mű paraméterjegyzékében foglalt komponensekre, valamint a fedélzeti szennyvízkezelő mű paramétereinek kalibrálására és beállítására való tekintettel – felméri a fedélzeti szennyvízkezelő mű állapotát.</w:t>
      </w:r>
    </w:p>
    <w:p w:rsidR="00AC39F0" w:rsidRPr="00C903F8" w:rsidRDefault="00AC39F0" w:rsidP="00AC39F0">
      <w:pPr>
        <w:pStyle w:val="ESch"/>
        <w:rPr>
          <w:noProof/>
          <w:szCs w:val="20"/>
        </w:rPr>
      </w:pPr>
    </w:p>
    <w:p w:rsidR="00AC39F0" w:rsidRPr="00C903F8" w:rsidRDefault="00AC39F0" w:rsidP="00AC39F0">
      <w:pPr>
        <w:pStyle w:val="ESchpar"/>
        <w:rPr>
          <w:rFonts w:cs="Arial"/>
        </w:rPr>
      </w:pPr>
      <w:r>
        <w:t>Ha az illetékes hatóság arra a következtetésre jut, hogy a fedélzeti szennyvízkezelő mű nem felel meg a fedélzeti szennyvízkezelő művek típusjóváhagyás keretében jóváhagyott típusának, akkor a következők szerint járhat el:</w:t>
      </w:r>
    </w:p>
    <w:p w:rsidR="00AC39F0" w:rsidRPr="00C903F8" w:rsidRDefault="005C7859" w:rsidP="00AC39F0">
      <w:pPr>
        <w:pStyle w:val="ESlet"/>
        <w:rPr>
          <w:rFonts w:cs="Arial"/>
        </w:rPr>
      </w:pPr>
      <w:r>
        <w:t>a)</w:t>
      </w:r>
      <w:r>
        <w:tab/>
        <w:t>felszólíthat:</w:t>
      </w:r>
    </w:p>
    <w:p w:rsidR="00AC39F0" w:rsidRPr="00C903F8" w:rsidRDefault="0029453D" w:rsidP="00AC39F0">
      <w:pPr>
        <w:pStyle w:val="EStiret"/>
        <w:rPr>
          <w:rFonts w:cs="Arial"/>
        </w:rPr>
      </w:pPr>
      <w:r>
        <w:t>aa)</w:t>
      </w:r>
      <w:r>
        <w:tab/>
        <w:t>a fedélzeti szennyvízkezelő mű megfelelő voltának helyreállítására; vagy</w:t>
      </w:r>
    </w:p>
    <w:p w:rsidR="00AC39F0" w:rsidRPr="00C903F8" w:rsidRDefault="0029453D" w:rsidP="00AC39F0">
      <w:pPr>
        <w:pStyle w:val="EStiret"/>
        <w:rPr>
          <w:rFonts w:cs="Arial"/>
        </w:rPr>
      </w:pPr>
      <w:r>
        <w:t>bb)</w:t>
      </w:r>
      <w:r>
        <w:tab/>
        <w:t>a típusjóváhagyás megfelelő, a 18.04. cikk szerint történő módosítására; vagy</w:t>
      </w:r>
    </w:p>
    <w:p w:rsidR="00AC39F0" w:rsidRDefault="005C7859" w:rsidP="00AC39F0">
      <w:pPr>
        <w:pStyle w:val="ESlet"/>
        <w:rPr>
          <w:noProof/>
        </w:rPr>
      </w:pPr>
      <w:r>
        <w:t>b)</w:t>
      </w:r>
      <w:r>
        <w:tab/>
        <w:t>a 7. melléklet IX. szakaszában meghatározott vizsgálati eljárás szerinti mérést rendelhet el.</w:t>
      </w:r>
    </w:p>
    <w:p w:rsidR="005714D9" w:rsidRPr="00C903F8" w:rsidRDefault="005714D9" w:rsidP="00AC39F0">
      <w:pPr>
        <w:pStyle w:val="ESlet"/>
        <w:rPr>
          <w:rFonts w:cs="Arial"/>
        </w:rPr>
      </w:pPr>
    </w:p>
    <w:p w:rsidR="00AC39F0" w:rsidRPr="00C903F8" w:rsidRDefault="00AC39F0" w:rsidP="005A6C74">
      <w:pPr>
        <w:pStyle w:val="ESletpar"/>
        <w:ind w:left="567"/>
        <w:rPr>
          <w:rFonts w:cs="Arial"/>
        </w:rPr>
      </w:pPr>
      <w:r>
        <w:t>Ha nem történik meg a megfelelőség helyreállítása vagy a típusjóváhagyás megfelelő módosítása, illetőleg ha a b) pont alapján végzett mérések alapján egyértelművé válik, hogy a 18.01. cikk 2. bekezdésének a) pontjában található 1. táblázatban foglalt határértékek nem teljesülnek, akkor az illetékes hatóság lepecsételi a fedélzeti szennyvízkezelő művet, és tájékoztatja az ellenőrző szervet e ténynek a belvízi hajóbizonyítvány 52. rovatába való bejegyzése céljából.</w:t>
      </w:r>
    </w:p>
    <w:p w:rsidR="00AC39F0" w:rsidRPr="00C903F8" w:rsidRDefault="00AC39F0" w:rsidP="00AC39F0">
      <w:pPr>
        <w:pStyle w:val="ESch"/>
        <w:rPr>
          <w:noProof/>
          <w:szCs w:val="20"/>
        </w:rPr>
      </w:pPr>
    </w:p>
    <w:p w:rsidR="003216FC" w:rsidRPr="00C903F8" w:rsidRDefault="003216FC" w:rsidP="00AC39F0">
      <w:pPr>
        <w:pStyle w:val="ESch"/>
        <w:rPr>
          <w:noProof/>
          <w:szCs w:val="20"/>
        </w:rPr>
      </w:pPr>
      <w:r>
        <w:br w:type="page"/>
      </w:r>
    </w:p>
    <w:p w:rsidR="00AC39F0" w:rsidRPr="00C903F8" w:rsidRDefault="00AC39F0" w:rsidP="00AC39F0">
      <w:pPr>
        <w:pStyle w:val="ESch"/>
        <w:rPr>
          <w:rFonts w:cs="Arial"/>
          <w:szCs w:val="20"/>
        </w:rPr>
      </w:pPr>
      <w:r>
        <w:t xml:space="preserve">4. </w:t>
      </w:r>
      <w:r>
        <w:tab/>
        <w:t>A 3. bekezdésben előírt vizsgálatokat az adott fedélzeti szennyvízkezelő műre vonatkozó „gyártói útmutató a szennyvízkezelés szempontjából lényeges komponensek és paraméterek ellenőrzéséhez” dokumentumban foglaltak szerint kell végrehajtani. Ebben az útmutatóban, melyet a gyártó készít el és az illetékes hatóság hagy jóvá, meg kell határozni a szennyvízkezelés szempontjából lényeges komponenseket, valamint azokat a beállításokat, méretezési kritériumokat és paramétereket, amelyeket alkalmazni kell annak biztosításához, hogy a 18.01. cikk 2. bekezdésében található 1. és 2. táblázatban foglalt értékek folyamatosan teljesüljenek. Az útmutatónak tartalmaznia kell legalább a következő információkat:</w:t>
      </w:r>
    </w:p>
    <w:p w:rsidR="00AC39F0" w:rsidRPr="00C903F8" w:rsidRDefault="005C7859" w:rsidP="00AC39F0">
      <w:pPr>
        <w:pStyle w:val="ESlet"/>
        <w:rPr>
          <w:rFonts w:cs="Arial"/>
        </w:rPr>
      </w:pPr>
      <w:r>
        <w:t>a)</w:t>
      </w:r>
      <w:r>
        <w:tab/>
        <w:t>a fedélzeti szennyvízkezelő mű típusának műszaki leírása, amelynek ki kell terjednie a műszaki folyamat leírására, valamint annak jelzésére, hogy a fedélzeti szennyvízkezelő mű befolyó oldalán kell-e felszerelni szennyvízgyűjtő tartályokat;</w:t>
      </w:r>
    </w:p>
    <w:p w:rsidR="00AC39F0" w:rsidRPr="00C903F8" w:rsidRDefault="005C7859" w:rsidP="00AC39F0">
      <w:pPr>
        <w:pStyle w:val="ESlet"/>
        <w:rPr>
          <w:rFonts w:cs="Arial"/>
        </w:rPr>
      </w:pPr>
      <w:r>
        <w:t>b)</w:t>
      </w:r>
      <w:r>
        <w:tab/>
        <w:t>a szennyvízkezelés szempontjából lényeges komponensek jegyzéke;</w:t>
      </w:r>
    </w:p>
    <w:p w:rsidR="00AC39F0" w:rsidRPr="00C903F8" w:rsidRDefault="005C7859" w:rsidP="00AC39F0">
      <w:pPr>
        <w:pStyle w:val="ESlet"/>
        <w:rPr>
          <w:rFonts w:cs="Arial"/>
        </w:rPr>
      </w:pPr>
      <w:r>
        <w:t>c)</w:t>
      </w:r>
      <w:r>
        <w:tab/>
        <w:t>az alkalmazott tervezési és méretezési kritériumok, méretezési eljárások és szabályok;</w:t>
      </w:r>
    </w:p>
    <w:p w:rsidR="00AC39F0" w:rsidRPr="00C903F8" w:rsidRDefault="005C7859" w:rsidP="00AC39F0">
      <w:pPr>
        <w:pStyle w:val="ESlet"/>
        <w:rPr>
          <w:rFonts w:cs="Arial"/>
        </w:rPr>
      </w:pPr>
      <w:r>
        <w:t>d)</w:t>
      </w:r>
      <w:r>
        <w:tab/>
        <w:t>a fedélzeti szennyvízkezelő mű vázlatos ábrája a szennyvízkezelés szempontjából lényeges jóváhagyott komponensek azonosítására szolgáló jelzésekkel (például a komponensek alkatrészszámaival).</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5.</w:t>
      </w:r>
      <w:r>
        <w:tab/>
        <w:t>A 3. bekezdés harmadik mondatának megfelelően lepecsételt fedélzeti szennyvízkezelő mű csak a 3. bekezdés első albekezdése szerinti rendkívüli vizsgálat elvégzése után helyezhető ismét üzembe.</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AC39F0" w:rsidRPr="00C903F8" w:rsidRDefault="00AC39F0" w:rsidP="00AC39F0">
      <w:pPr>
        <w:pStyle w:val="ES-Titre3"/>
        <w:rPr>
          <w:rFonts w:cs="Arial"/>
          <w:i/>
        </w:rPr>
      </w:pPr>
      <w:bookmarkStart w:id="340" w:name="_Toc491854167"/>
      <w:bookmarkStart w:id="341" w:name="_Toc535853946"/>
      <w:r>
        <w:t>18.10. cikk</w:t>
      </w:r>
      <w:r>
        <w:br/>
      </w:r>
      <w:r>
        <w:rPr>
          <w:i/>
          <w:noProof/>
        </w:rPr>
        <w:t>Illetékes hatóságok és műszaki szolgálatok</w:t>
      </w:r>
      <w:bookmarkEnd w:id="340"/>
      <w:bookmarkEnd w:id="341"/>
    </w:p>
    <w:p w:rsidR="00AC39F0" w:rsidRPr="00C903F8" w:rsidRDefault="00AC39F0" w:rsidP="00AC39F0">
      <w:pPr>
        <w:pStyle w:val="ESgauche"/>
      </w:pPr>
    </w:p>
    <w:p w:rsidR="00AC39F0" w:rsidRPr="0081036E" w:rsidRDefault="00072882" w:rsidP="00F125EF">
      <w:r w:rsidRPr="0081036E">
        <w:t>A felelős műszaki szolgálatoknak teljesíteniük kell az EN ISO/IEC 17025:2005 európai szabványt a következő feltételek figyelmebevételével:</w:t>
      </w:r>
    </w:p>
    <w:p w:rsidR="00AC39F0" w:rsidRPr="00C903F8" w:rsidRDefault="005C7859" w:rsidP="00AC39F0">
      <w:pPr>
        <w:pStyle w:val="ESletgauche"/>
        <w:rPr>
          <w:rFonts w:cs="Arial"/>
        </w:rPr>
      </w:pPr>
      <w:r>
        <w:t>a)</w:t>
      </w:r>
      <w:r>
        <w:tab/>
        <w:t>a fedélzeti szennyvízkezelő művek gyártói nem ismerhetők el műszaki szolgálatként;</w:t>
      </w:r>
    </w:p>
    <w:p w:rsidR="00AC39F0" w:rsidRPr="00C903F8" w:rsidRDefault="005C7859" w:rsidP="00AC39F0">
      <w:pPr>
        <w:pStyle w:val="ESletgauche"/>
        <w:rPr>
          <w:rFonts w:cs="Arial"/>
        </w:rPr>
      </w:pPr>
      <w:r>
        <w:t>b)</w:t>
      </w:r>
      <w:r>
        <w:tab/>
        <w:t>e fejezet alkalmazásában a műszaki szolgálat az illetékes hatóság beleegyezésével saját laboratóriumán kívüli berendezéseket is igénybe vehet.</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973DAA" w:rsidRPr="00C903F8" w:rsidRDefault="00973DAA" w:rsidP="005662C0">
      <w:pPr>
        <w:pStyle w:val="ESch"/>
      </w:pPr>
    </w:p>
    <w:p w:rsidR="00A2046F" w:rsidRPr="00C903F8" w:rsidRDefault="00A2046F" w:rsidP="005662C0">
      <w:pPr>
        <w:pStyle w:val="ESch"/>
      </w:pPr>
    </w:p>
    <w:p w:rsidR="00A2046F" w:rsidRDefault="00A2046F" w:rsidP="005662C0">
      <w:pPr>
        <w:pStyle w:val="ESch"/>
      </w:pPr>
      <w:r>
        <w:br w:type="page"/>
      </w:r>
    </w:p>
    <w:p w:rsidR="00FD5887" w:rsidRDefault="00FD5887" w:rsidP="005662C0">
      <w:pPr>
        <w:pStyle w:val="ESch"/>
      </w:pPr>
    </w:p>
    <w:p w:rsidR="00FD5887" w:rsidRDefault="00FD5887" w:rsidP="005662C0">
      <w:pPr>
        <w:pStyle w:val="ESch"/>
      </w:pPr>
    </w:p>
    <w:p w:rsidR="00FD5887" w:rsidRPr="00C903F8" w:rsidRDefault="00FD5887" w:rsidP="005662C0">
      <w:pPr>
        <w:pStyle w:val="ESch"/>
      </w:pPr>
    </w:p>
    <w:p w:rsidR="00FD5887" w:rsidRDefault="00FD5887" w:rsidP="005662C0">
      <w:pPr>
        <w:pStyle w:val="ESch"/>
        <w:sectPr w:rsidR="00FD5887" w:rsidSect="00AC5CC1">
          <w:footnotePr>
            <w:numRestart w:val="eachPage"/>
          </w:footnotePr>
          <w:pgSz w:w="11906" w:h="16838" w:code="9"/>
          <w:pgMar w:top="1418" w:right="1418" w:bottom="1418" w:left="1418" w:header="709" w:footer="709" w:gutter="0"/>
          <w:cols w:space="709"/>
          <w:titlePg/>
          <w:docGrid w:linePitch="272"/>
        </w:sectPr>
      </w:pPr>
    </w:p>
    <w:p w:rsidR="00A2046F" w:rsidRPr="00C903F8" w:rsidRDefault="00A2046F" w:rsidP="005662C0">
      <w:pPr>
        <w:pStyle w:val="ESch"/>
      </w:pPr>
    </w:p>
    <w:p w:rsidR="005624E3" w:rsidRPr="00C903F8" w:rsidRDefault="005624E3" w:rsidP="005624E3">
      <w:pPr>
        <w:pStyle w:val="ES-Titre1"/>
      </w:pPr>
      <w:bookmarkStart w:id="342" w:name="_Toc491854168"/>
      <w:bookmarkStart w:id="343" w:name="_Toc535853947"/>
      <w:r>
        <w:t>III. RÉSZ</w:t>
      </w:r>
      <w:r>
        <w:br/>
        <w:t>KÜLÖN RENDELKEZÉSEK</w:t>
      </w:r>
      <w:bookmarkEnd w:id="342"/>
      <w:bookmarkEnd w:id="343"/>
    </w:p>
    <w:p w:rsidR="005624E3" w:rsidRPr="00C903F8" w:rsidRDefault="005624E3" w:rsidP="005624E3"/>
    <w:p w:rsidR="005624E3" w:rsidRPr="00C903F8" w:rsidRDefault="005624E3" w:rsidP="005624E3">
      <w:pPr>
        <w:pStyle w:val="ES-Titre2"/>
        <w:pageBreakBefore w:val="0"/>
      </w:pPr>
      <w:bookmarkStart w:id="344" w:name="_Toc491854169"/>
      <w:bookmarkStart w:id="345" w:name="_Toc535853948"/>
      <w:r>
        <w:t>19. fejezet</w:t>
      </w:r>
      <w:r>
        <w:br/>
      </w:r>
      <w:r>
        <w:rPr>
          <w:noProof/>
        </w:rPr>
        <w:t>A személyhajókra alkalmazandó külön rendelkezések</w:t>
      </w:r>
      <w:bookmarkEnd w:id="344"/>
      <w:bookmarkEnd w:id="345"/>
    </w:p>
    <w:p w:rsidR="005624E3" w:rsidRPr="00C903F8" w:rsidRDefault="005624E3" w:rsidP="005624E3"/>
    <w:p w:rsidR="005624E3" w:rsidRPr="00C903F8" w:rsidRDefault="005624E3" w:rsidP="005624E3">
      <w:pPr>
        <w:pStyle w:val="ES-Titre3"/>
      </w:pPr>
      <w:bookmarkStart w:id="346" w:name="_Toc491854170"/>
      <w:bookmarkStart w:id="347" w:name="_Toc535853949"/>
      <w:r>
        <w:t>19.01. cikk</w:t>
      </w:r>
      <w:r>
        <w:br/>
      </w:r>
      <w:r>
        <w:rPr>
          <w:i/>
          <w:noProof/>
        </w:rPr>
        <w:t>Általános rendelkezések</w:t>
      </w:r>
      <w:bookmarkEnd w:id="346"/>
      <w:bookmarkEnd w:id="347"/>
    </w:p>
    <w:p w:rsidR="005624E3" w:rsidRPr="00C903F8" w:rsidRDefault="005624E3" w:rsidP="005624E3">
      <w:pPr>
        <w:pStyle w:val="ESch"/>
        <w:rPr>
          <w:noProof/>
        </w:rPr>
      </w:pPr>
    </w:p>
    <w:p w:rsidR="005624E3" w:rsidRPr="00C903F8" w:rsidRDefault="005624E3" w:rsidP="005624E3">
      <w:pPr>
        <w:pStyle w:val="ESch"/>
        <w:rPr>
          <w:rFonts w:eastAsia="Calibri" w:cs="Arial"/>
          <w:szCs w:val="18"/>
        </w:rPr>
      </w:pPr>
      <w:r>
        <w:t>1.</w:t>
      </w:r>
      <w:r>
        <w:tab/>
        <w:t>A következő rendelkezések nem alkalmazandók:</w:t>
      </w:r>
    </w:p>
    <w:p w:rsidR="005624E3" w:rsidRPr="00C903F8" w:rsidRDefault="005624E3" w:rsidP="005624E3">
      <w:pPr>
        <w:pStyle w:val="ESlet"/>
        <w:rPr>
          <w:rFonts w:eastAsia="Calibri" w:cs="Arial"/>
          <w:szCs w:val="18"/>
        </w:rPr>
      </w:pPr>
      <w:r>
        <w:t>a)</w:t>
      </w:r>
      <w:r>
        <w:tab/>
        <w:t>a 3.02. cikk 1. bekezdésének b) pontja;</w:t>
      </w:r>
    </w:p>
    <w:p w:rsidR="005624E3" w:rsidRPr="00C903F8" w:rsidRDefault="005624E3" w:rsidP="005624E3">
      <w:pPr>
        <w:pStyle w:val="ESlet"/>
        <w:rPr>
          <w:rFonts w:eastAsia="Calibri" w:cs="Arial"/>
          <w:szCs w:val="18"/>
        </w:rPr>
      </w:pPr>
      <w:r>
        <w:t>b)</w:t>
      </w:r>
      <w:r>
        <w:tab/>
        <w:t>a 4.01–4.03. cikk;</w:t>
      </w:r>
    </w:p>
    <w:p w:rsidR="005624E3" w:rsidRPr="00C903F8" w:rsidRDefault="005624E3" w:rsidP="005624E3">
      <w:pPr>
        <w:pStyle w:val="ESlet"/>
        <w:rPr>
          <w:rFonts w:eastAsia="Calibri" w:cs="Arial"/>
          <w:szCs w:val="18"/>
        </w:rPr>
      </w:pPr>
      <w:r>
        <w:t>c)</w:t>
      </w:r>
      <w:r>
        <w:tab/>
        <w:t>a 8.08. cikk 2. bekezdésének második mondata és 7. bekezdése;</w:t>
      </w:r>
    </w:p>
    <w:p w:rsidR="005624E3" w:rsidRPr="00C903F8" w:rsidRDefault="005624E3" w:rsidP="005624E3">
      <w:pPr>
        <w:pStyle w:val="ESlet"/>
        <w:rPr>
          <w:rFonts w:eastAsia="Calibri" w:cs="Arial"/>
          <w:szCs w:val="18"/>
        </w:rPr>
      </w:pPr>
      <w:r>
        <w:t>d)</w:t>
      </w:r>
      <w:r>
        <w:tab/>
        <w:t>a 10.14. cikk 3. bekezdésének második mondata 50 V feletti névleges feszültség esetében.</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2.</w:t>
      </w:r>
      <w:r>
        <w:tab/>
        <w:t>Az alábbi berendezések használata tilos személyhajókon:</w:t>
      </w:r>
    </w:p>
    <w:p w:rsidR="005624E3" w:rsidRPr="00C903F8" w:rsidRDefault="005624E3" w:rsidP="005624E3">
      <w:pPr>
        <w:pStyle w:val="ESlet"/>
        <w:rPr>
          <w:rFonts w:eastAsia="Calibri"/>
          <w:noProof/>
        </w:rPr>
      </w:pPr>
      <w:r>
        <w:t>a)</w:t>
      </w:r>
      <w:r>
        <w:tab/>
        <w:t>a 15.07. cikk 3. bekezdésének második mondata szerinti, cseppfolyósított gázzal vagy folyékony tüzelőanyaggal működő lámpák;</w:t>
      </w:r>
    </w:p>
    <w:p w:rsidR="005624E3" w:rsidRPr="00C903F8" w:rsidRDefault="005624E3" w:rsidP="005624E3">
      <w:pPr>
        <w:pStyle w:val="ESlet"/>
        <w:rPr>
          <w:rFonts w:eastAsia="Calibri"/>
          <w:noProof/>
        </w:rPr>
      </w:pPr>
      <w:r>
        <w:t>b)</w:t>
      </w:r>
      <w:r>
        <w:tab/>
        <w:t>a 16.02. cikk 2. és 3. bekezdése szerinti, kanócos égőfejjel ellátott berendezések;</w:t>
      </w:r>
    </w:p>
    <w:p w:rsidR="005624E3" w:rsidRPr="00C903F8" w:rsidRDefault="005624E3" w:rsidP="005624E3">
      <w:pPr>
        <w:pStyle w:val="ESlet"/>
        <w:rPr>
          <w:rFonts w:eastAsia="Calibri" w:cs="Arial"/>
          <w:szCs w:val="18"/>
        </w:rPr>
      </w:pPr>
      <w:r>
        <w:t>c)</w:t>
      </w:r>
      <w:r>
        <w:tab/>
        <w:t>a 16.04. cikk szerinti motorpetróleum-égető kályhák;</w:t>
      </w:r>
    </w:p>
    <w:p w:rsidR="005624E3" w:rsidRPr="00C903F8" w:rsidRDefault="005624E3" w:rsidP="005624E3">
      <w:pPr>
        <w:pStyle w:val="ESlet"/>
        <w:rPr>
          <w:rFonts w:eastAsia="Calibri" w:cs="Arial"/>
          <w:szCs w:val="18"/>
        </w:rPr>
      </w:pPr>
      <w:r>
        <w:t>d)</w:t>
      </w:r>
      <w:r>
        <w:tab/>
        <w:t>a 16.07. cikk szerinti, szilárd tüzelőanyaggal működő fűtőberendezések és kazánok;</w:t>
      </w:r>
    </w:p>
    <w:p w:rsidR="005624E3" w:rsidRPr="00C903F8" w:rsidRDefault="005624E3" w:rsidP="005624E3">
      <w:pPr>
        <w:pStyle w:val="ESlet"/>
        <w:rPr>
          <w:rFonts w:eastAsia="Calibri" w:cs="Arial"/>
          <w:szCs w:val="18"/>
        </w:rPr>
      </w:pPr>
      <w:r>
        <w:t>e)</w:t>
      </w:r>
      <w:r>
        <w:tab/>
        <w:t>a 17. fejezet szerinti, cseppfolyósított gázzal üzemelő berendezések.</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noProof/>
        </w:rPr>
      </w:pPr>
      <w:r>
        <w:t>3.</w:t>
      </w:r>
      <w:r>
        <w:tab/>
        <w:t>Saját gépi meghajtás nélküli hajókon nem engedélyezhető az utasszállítás.</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4.</w:t>
      </w:r>
      <w:r>
        <w:tab/>
        <w:t>A személyhajókon e fejezet előírásai szerint csökkent mozgásképességű személyek általi használatra szolgáló területeket kell biztosítani.</w:t>
      </w:r>
    </w:p>
    <w:p w:rsidR="005624E3" w:rsidRPr="00C903F8" w:rsidRDefault="005624E3" w:rsidP="005624E3">
      <w:pPr>
        <w:pStyle w:val="ESch"/>
        <w:rPr>
          <w:rFonts w:eastAsia="Calibri"/>
          <w:szCs w:val="18"/>
        </w:rPr>
      </w:pPr>
    </w:p>
    <w:p w:rsidR="005624E3" w:rsidRPr="00C903F8" w:rsidRDefault="005624E3" w:rsidP="005624E3">
      <w:pPr>
        <w:pStyle w:val="ESch"/>
        <w:rPr>
          <w:rFonts w:eastAsia="Calibri"/>
          <w:szCs w:val="18"/>
        </w:rPr>
      </w:pPr>
      <w:r>
        <w:t>5.</w:t>
      </w:r>
      <w:r>
        <w:tab/>
        <w:t xml:space="preserve">A 7.02. cikk 2. bekezdésének első mondatától eltérve, a kormányos </w:t>
      </w:r>
      <w:r w:rsidR="009156D0">
        <w:t>korlátozott látó</w:t>
      </w:r>
      <w:r>
        <w:t>tere a hajó előtt – annak üres állapotában, ellátmánya felével felszerelve, de ballaszt nélkül – nem haladhatja meg a két hajóhosszt vagy a 250 métert, attól függően, hogy melyik a rövidebb.</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szCs w:val="18"/>
        </w:rPr>
      </w:pPr>
      <w:r>
        <w:t>6.</w:t>
      </w:r>
      <w:r>
        <w:tab/>
        <w:t>A 7.02. cikk 3. bekezdésének harmadik albekezdésétől eltérve, a személyszállító hajót megfelelő segédeszközökkel kell felszerelni, ha hátrafelé nem biztosított kellőképpen a</w:t>
      </w:r>
      <w:r w:rsidR="00C323D2">
        <w:t xml:space="preserve"> szabad</w:t>
      </w:r>
      <w:r>
        <w:t xml:space="preserve"> kilátás. Amennyiben ezek a segédeszközök éjszaka nem teszik lehetővé a</w:t>
      </w:r>
      <w:r w:rsidR="00C323D2">
        <w:t xml:space="preserve"> szabad</w:t>
      </w:r>
      <w:r>
        <w:t xml:space="preserve"> kilátást, a megfelelő korlátozást be kell jegyezni a belvízi hajóbizonyítvány 52. rovatába.</w:t>
      </w:r>
    </w:p>
    <w:p w:rsidR="005624E3" w:rsidRPr="00C903F8" w:rsidRDefault="005624E3" w:rsidP="005624E3">
      <w:pPr>
        <w:pStyle w:val="ESch"/>
        <w:rPr>
          <w:rFonts w:eastAsia="Calibri"/>
          <w:szCs w:val="18"/>
        </w:rPr>
      </w:pPr>
    </w:p>
    <w:p w:rsidR="005624E3" w:rsidRPr="00C903F8" w:rsidRDefault="005624E3" w:rsidP="005624E3">
      <w:pPr>
        <w:pStyle w:val="ESch"/>
        <w:rPr>
          <w:rFonts w:eastAsia="Calibri"/>
          <w:szCs w:val="18"/>
        </w:rPr>
      </w:pPr>
    </w:p>
    <w:p w:rsidR="005624E3" w:rsidRPr="00C903F8" w:rsidRDefault="005624E3" w:rsidP="005624E3">
      <w:pPr>
        <w:pStyle w:val="ES-Titre3"/>
        <w:rPr>
          <w:rFonts w:cs="Arial"/>
          <w:i/>
          <w:szCs w:val="18"/>
        </w:rPr>
      </w:pPr>
      <w:bookmarkStart w:id="348" w:name="_Toc491854171"/>
      <w:bookmarkStart w:id="349" w:name="_Toc535853950"/>
      <w:r>
        <w:t>19.02. cikk</w:t>
      </w:r>
      <w:r>
        <w:br/>
      </w:r>
      <w:r>
        <w:rPr>
          <w:i/>
          <w:noProof/>
        </w:rPr>
        <w:t>Hajótest</w:t>
      </w:r>
      <w:bookmarkEnd w:id="348"/>
      <w:bookmarkEnd w:id="349"/>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 xml:space="preserve">1. </w:t>
      </w:r>
      <w:r>
        <w:tab/>
        <w:t xml:space="preserve">Az időszakos </w:t>
      </w:r>
      <w:r w:rsidR="0092642D">
        <w:t>vizsgálatok</w:t>
      </w:r>
      <w:r>
        <w:t xml:space="preserve"> során az acél személyhajók külső lemezelésének vastagságát a következőképpen kell meghatározni:</w:t>
      </w:r>
    </w:p>
    <w:p w:rsidR="005624E3" w:rsidRPr="00C903F8" w:rsidRDefault="005624E3" w:rsidP="005624E3">
      <w:pPr>
        <w:pStyle w:val="ESlet"/>
        <w:rPr>
          <w:rFonts w:eastAsia="Calibri"/>
          <w:noProof/>
        </w:rPr>
      </w:pPr>
      <w:r>
        <w:t>a)</w:t>
      </w:r>
      <w:r>
        <w:tab/>
        <w:t>személyhajók esetében a külső hajótest fenék-, medersor- és oldallemezelésének minimális vastagságát (</w:t>
      </w:r>
      <m:oMath>
        <m:sSub>
          <m:sSubPr>
            <m:ctrlPr>
              <w:rPr>
                <w:rFonts w:ascii="Cambria Math" w:eastAsia="Calibri" w:hAnsi="Cambria Math"/>
                <w:i/>
                <w:noProof/>
              </w:rPr>
            </m:ctrlPr>
          </m:sSubPr>
          <m:e>
            <m:r>
              <w:rPr>
                <w:rFonts w:ascii="Cambria Math" w:eastAsia="Calibri" w:hAnsi="Cambria Math"/>
                <w:noProof/>
              </w:rPr>
              <m:t>t</m:t>
            </m:r>
          </m:e>
          <m:sub>
            <m:r>
              <w:rPr>
                <w:rFonts w:ascii="Cambria Math" w:eastAsia="Calibri" w:hAnsi="Cambria Math"/>
                <w:noProof/>
              </w:rPr>
              <m:t>min</m:t>
            </m:r>
          </m:sub>
        </m:sSub>
      </m:oMath>
      <w:r>
        <w:t>) a következő képletek szerinti nagyobbik érték alapján kell meghatározni:</w:t>
      </w:r>
    </w:p>
    <w:p w:rsidR="005624E3" w:rsidRPr="00C903F8" w:rsidRDefault="003142CA" w:rsidP="005624E3">
      <w:pPr>
        <w:pStyle w:val="ESlet"/>
        <w:ind w:firstLine="1"/>
        <w:rPr>
          <w:rFonts w:eastAsia="Calibri" w:cs="Arial"/>
          <w:szCs w:val="18"/>
        </w:rPr>
      </w:pPr>
      <m:oMathPara>
        <m:oMathParaPr>
          <m:jc m:val="left"/>
        </m:oMathParaPr>
        <m:oMath>
          <m:sSub>
            <m:sSubPr>
              <m:ctrlPr>
                <w:rPr>
                  <w:rFonts w:ascii="Cambria Math" w:eastAsia="Calibri" w:hAnsi="Cambria Math" w:cs="Arial"/>
                  <w:i/>
                  <w:szCs w:val="18"/>
                </w:rPr>
              </m:ctrlPr>
            </m:sSubPr>
            <m:e>
              <m:r>
                <w:rPr>
                  <w:rFonts w:ascii="Cambria Math" w:eastAsia="Calibri" w:hAnsi="Cambria Math" w:cs="Arial"/>
                  <w:szCs w:val="18"/>
                </w:rPr>
                <m:t>t</m:t>
              </m:r>
            </m:e>
            <m:sub>
              <m:sSub>
                <m:sSubPr>
                  <m:ctrlPr>
                    <w:rPr>
                      <w:rFonts w:ascii="Cambria Math" w:eastAsia="Calibri" w:hAnsi="Cambria Math" w:cs="Arial"/>
                      <w:i/>
                      <w:szCs w:val="18"/>
                    </w:rPr>
                  </m:ctrlPr>
                </m:sSubPr>
                <m:e>
                  <m:r>
                    <w:rPr>
                      <w:rFonts w:ascii="Cambria Math" w:eastAsia="Calibri" w:hAnsi="Cambria Math" w:cs="Arial"/>
                      <w:szCs w:val="18"/>
                    </w:rPr>
                    <m:t>1</m:t>
                  </m:r>
                </m:e>
                <m:sub>
                  <m:r>
                    <w:rPr>
                      <w:rFonts w:ascii="Cambria Math" w:eastAsia="Calibri" w:hAnsi="Cambria Math" w:cs="Arial"/>
                      <w:szCs w:val="18"/>
                    </w:rPr>
                    <m:t>min</m:t>
                  </m:r>
                </m:sub>
              </m:sSub>
              <m:r>
                <w:rPr>
                  <w:rFonts w:ascii="Cambria Math" w:eastAsia="Calibri" w:hAnsi="Cambria Math" w:cs="Arial"/>
                  <w:szCs w:val="18"/>
                </w:rPr>
                <m:t xml:space="preserve"> </m:t>
              </m:r>
            </m:sub>
          </m:sSub>
          <m:r>
            <w:rPr>
              <w:rFonts w:ascii="Cambria Math" w:eastAsia="Calibri" w:hAnsi="Cambria Math" w:cs="Arial"/>
              <w:szCs w:val="18"/>
            </w:rPr>
            <m:t xml:space="preserve">=  0,006 ∙a ∙ </m:t>
          </m:r>
          <m:rad>
            <m:radPr>
              <m:degHide m:val="1"/>
              <m:ctrlPr>
                <w:rPr>
                  <w:rFonts w:ascii="Cambria Math" w:eastAsia="Calibri" w:hAnsi="Cambria Math" w:cs="Arial"/>
                  <w:i/>
                  <w:szCs w:val="18"/>
                </w:rPr>
              </m:ctrlPr>
            </m:radPr>
            <m:deg/>
            <m:e>
              <m:r>
                <w:rPr>
                  <w:rFonts w:ascii="Cambria Math" w:eastAsia="Calibri" w:hAnsi="Cambria Math" w:cs="Arial"/>
                  <w:szCs w:val="18"/>
                </w:rPr>
                <m:t>T</m:t>
              </m:r>
            </m:e>
          </m:rad>
          <m:r>
            <w:rPr>
              <w:rFonts w:ascii="Cambria Math" w:eastAsia="Calibri" w:hAnsi="Cambria Math" w:cs="Arial"/>
              <w:szCs w:val="18"/>
            </w:rPr>
            <m:t xml:space="preserve"> </m:t>
          </m:r>
          <m:d>
            <m:dPr>
              <m:begChr m:val="["/>
              <m:endChr m:val="]"/>
              <m:ctrlPr>
                <w:rPr>
                  <w:rFonts w:ascii="Cambria Math" w:eastAsia="Calibri" w:hAnsi="Cambria Math" w:cs="Arial"/>
                  <w:i/>
                  <w:szCs w:val="18"/>
                </w:rPr>
              </m:ctrlPr>
            </m:dPr>
            <m:e>
              <m:r>
                <w:rPr>
                  <w:rFonts w:ascii="Cambria Math" w:eastAsia="Calibri" w:hAnsi="Cambria Math" w:cs="Arial"/>
                  <w:szCs w:val="18"/>
                </w:rPr>
                <m:t>mm</m:t>
              </m:r>
            </m:e>
          </m:d>
          <m:r>
            <w:rPr>
              <w:rFonts w:ascii="Cambria Math" w:eastAsia="Calibri" w:hAnsi="Cambria Math" w:cs="Arial"/>
              <w:szCs w:val="18"/>
            </w:rPr>
            <m:t>;</m:t>
          </m:r>
        </m:oMath>
      </m:oMathPara>
    </w:p>
    <w:p w:rsidR="005624E3" w:rsidRPr="00C903F8" w:rsidRDefault="003142CA" w:rsidP="005624E3">
      <w:pPr>
        <w:pStyle w:val="ESlet"/>
        <w:ind w:firstLine="1"/>
        <w:rPr>
          <w:rFonts w:eastAsia="Calibri" w:cs="Arial"/>
          <w:szCs w:val="18"/>
        </w:rPr>
      </w:pPr>
      <m:oMathPara>
        <m:oMathParaPr>
          <m:jc m:val="left"/>
        </m:oMathParaPr>
        <m:oMath>
          <m:sSub>
            <m:sSubPr>
              <m:ctrlPr>
                <w:rPr>
                  <w:rFonts w:ascii="Cambria Math" w:eastAsia="Calibri" w:hAnsi="Cambria Math" w:cs="Arial"/>
                  <w:i/>
                  <w:szCs w:val="18"/>
                </w:rPr>
              </m:ctrlPr>
            </m:sSubPr>
            <m:e>
              <m:r>
                <w:rPr>
                  <w:rFonts w:ascii="Cambria Math" w:eastAsia="Calibri" w:hAnsi="Cambria Math" w:cs="Arial"/>
                  <w:szCs w:val="18"/>
                </w:rPr>
                <m:t>t</m:t>
              </m:r>
            </m:e>
            <m:sub>
              <m:sSub>
                <m:sSubPr>
                  <m:ctrlPr>
                    <w:rPr>
                      <w:rFonts w:ascii="Cambria Math" w:eastAsia="Calibri" w:hAnsi="Cambria Math" w:cs="Arial"/>
                      <w:i/>
                      <w:szCs w:val="18"/>
                    </w:rPr>
                  </m:ctrlPr>
                </m:sSubPr>
                <m:e>
                  <m:r>
                    <w:rPr>
                      <w:rFonts w:ascii="Cambria Math" w:eastAsia="Calibri" w:hAnsi="Cambria Math" w:cs="Arial"/>
                      <w:szCs w:val="18"/>
                    </w:rPr>
                    <m:t>2</m:t>
                  </m:r>
                </m:e>
                <m:sub>
                  <m:r>
                    <w:rPr>
                      <w:rFonts w:ascii="Cambria Math" w:eastAsia="Calibri" w:hAnsi="Cambria Math" w:cs="Arial"/>
                      <w:szCs w:val="18"/>
                    </w:rPr>
                    <m:t>min</m:t>
                  </m:r>
                </m:sub>
              </m:sSub>
              <m:r>
                <w:rPr>
                  <w:rFonts w:ascii="Cambria Math" w:eastAsia="Calibri" w:hAnsi="Cambria Math" w:cs="Arial"/>
                  <w:szCs w:val="18"/>
                </w:rPr>
                <m:t xml:space="preserve"> </m:t>
              </m:r>
            </m:sub>
          </m:sSub>
          <m:r>
            <w:rPr>
              <w:rFonts w:ascii="Cambria Math" w:eastAsia="Calibri" w:hAnsi="Cambria Math" w:cs="Arial"/>
              <w:szCs w:val="18"/>
            </w:rPr>
            <m:t xml:space="preserve">=  f ∙0,55 ∙ </m:t>
          </m:r>
          <m:rad>
            <m:radPr>
              <m:degHide m:val="1"/>
              <m:ctrlPr>
                <w:rPr>
                  <w:rFonts w:ascii="Cambria Math" w:eastAsia="Calibri" w:hAnsi="Cambria Math" w:cs="Arial"/>
                  <w:i/>
                  <w:szCs w:val="18"/>
                </w:rPr>
              </m:ctrlPr>
            </m:radPr>
            <m:deg/>
            <m:e>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F</m:t>
                  </m:r>
                </m:sub>
              </m:sSub>
            </m:e>
          </m:rad>
          <m:r>
            <w:rPr>
              <w:rFonts w:ascii="Cambria Math" w:eastAsia="Calibri" w:hAnsi="Cambria Math" w:cs="Arial"/>
              <w:szCs w:val="18"/>
            </w:rPr>
            <m:t xml:space="preserve"> </m:t>
          </m:r>
          <m:d>
            <m:dPr>
              <m:begChr m:val="["/>
              <m:endChr m:val="]"/>
              <m:ctrlPr>
                <w:rPr>
                  <w:rFonts w:ascii="Cambria Math" w:eastAsia="Calibri" w:hAnsi="Cambria Math" w:cs="Arial"/>
                  <w:i/>
                  <w:szCs w:val="18"/>
                </w:rPr>
              </m:ctrlPr>
            </m:dPr>
            <m:e>
              <m:r>
                <w:rPr>
                  <w:rFonts w:ascii="Cambria Math" w:eastAsia="Calibri" w:hAnsi="Cambria Math" w:cs="Arial"/>
                  <w:szCs w:val="18"/>
                </w:rPr>
                <m:t>mm</m:t>
              </m:r>
            </m:e>
          </m:d>
          <m:r>
            <w:rPr>
              <w:rFonts w:ascii="Cambria Math" w:eastAsia="Calibri" w:hAnsi="Cambria Math" w:cs="Arial"/>
              <w:szCs w:val="18"/>
            </w:rPr>
            <m:t>.</m:t>
          </m:r>
        </m:oMath>
      </m:oMathPara>
    </w:p>
    <w:p w:rsidR="005624E3" w:rsidRPr="00C903F8" w:rsidRDefault="005624E3" w:rsidP="005624E3">
      <w:pPr>
        <w:pStyle w:val="ESletpar"/>
        <w:rPr>
          <w:rFonts w:eastAsia="Calibri"/>
          <w:noProof/>
        </w:rPr>
      </w:pPr>
    </w:p>
    <w:p w:rsidR="005624E3" w:rsidRPr="00C903F8" w:rsidRDefault="005624E3" w:rsidP="005624E3">
      <w:pPr>
        <w:pStyle w:val="ESletpar"/>
        <w:rPr>
          <w:rFonts w:eastAsia="Calibri"/>
          <w:noProof/>
        </w:rPr>
      </w:pPr>
      <w:r>
        <w:br w:type="page"/>
        <w:t>Ezekben a képletekben:</w:t>
      </w:r>
    </w:p>
    <w:p w:rsidR="005624E3" w:rsidRPr="00C903F8" w:rsidRDefault="005624E3" w:rsidP="005624E3">
      <w:pPr>
        <w:pStyle w:val="ESletpar"/>
        <w:rPr>
          <w:rFonts w:eastAsia="Calibri" w:cs="Arial"/>
          <w:szCs w:val="18"/>
        </w:rPr>
      </w:pPr>
      <m:oMathPara>
        <m:oMathParaPr>
          <m:jc m:val="left"/>
        </m:oMathParaPr>
        <m:oMath>
          <m:r>
            <w:rPr>
              <w:rFonts w:ascii="Cambria Math" w:eastAsia="Calibri" w:hAnsi="Cambria Math" w:cs="Arial"/>
              <w:szCs w:val="18"/>
            </w:rPr>
            <m:t>f=1+0,0013 ∙</m:t>
          </m:r>
          <m:d>
            <m:dPr>
              <m:ctrlPr>
                <w:rPr>
                  <w:rFonts w:ascii="Cambria Math" w:eastAsia="Calibri" w:hAnsi="Cambria Math" w:cs="Arial"/>
                  <w:i/>
                  <w:szCs w:val="18"/>
                </w:rPr>
              </m:ctrlPr>
            </m:dPr>
            <m:e>
              <m:r>
                <w:rPr>
                  <w:rFonts w:ascii="Cambria Math" w:eastAsia="Calibri" w:hAnsi="Cambria Math" w:cs="Arial"/>
                  <w:szCs w:val="18"/>
                </w:rPr>
                <m:t>a-500</m:t>
              </m:r>
            </m:e>
          </m:d>
          <m:r>
            <w:rPr>
              <w:rFonts w:ascii="Cambria Math" w:eastAsia="Calibri" w:hAnsi="Cambria Math" w:cs="Arial"/>
              <w:szCs w:val="18"/>
            </w:rPr>
            <m:t>;</m:t>
          </m:r>
        </m:oMath>
      </m:oMathPara>
    </w:p>
    <w:p w:rsidR="005624E3" w:rsidRPr="00C903F8" w:rsidRDefault="005624E3" w:rsidP="005624E3">
      <w:pPr>
        <w:pStyle w:val="EStiret"/>
        <w:rPr>
          <w:rFonts w:eastAsia="Calibri"/>
        </w:rPr>
      </w:pPr>
      <m:oMath>
        <m:r>
          <w:rPr>
            <w:rFonts w:ascii="Cambria Math" w:eastAsia="Calibri" w:hAnsi="Cambria Math"/>
          </w:rPr>
          <m:t>a</m:t>
        </m:r>
      </m:oMath>
      <w:r>
        <w:t xml:space="preserve"> = a hosszanti vagy keresztirányú bordaköz (mm), és ahol a bordaköz kisebb, mint 400 mm, </w:t>
      </w:r>
      <m:oMath>
        <m:r>
          <w:rPr>
            <w:rFonts w:ascii="Cambria Math" w:eastAsia="Calibri" w:hAnsi="Cambria Math"/>
          </w:rPr>
          <m:t>a=400 mm</m:t>
        </m:r>
      </m:oMath>
      <w:r>
        <w:t>-t kell venni;</w:t>
      </w:r>
    </w:p>
    <w:p w:rsidR="005624E3" w:rsidRPr="00C903F8" w:rsidRDefault="005624E3" w:rsidP="005624E3">
      <w:pPr>
        <w:pStyle w:val="ESlet"/>
        <w:rPr>
          <w:rFonts w:eastAsia="Calibri" w:cs="Arial"/>
          <w:szCs w:val="18"/>
        </w:rPr>
      </w:pPr>
      <w:r>
        <w:t>b)</w:t>
      </w:r>
      <w:r>
        <w:tab/>
        <w:t>a lemezvastagságra a fenti a) pont szerint meghatározott minimumértéktől el lehet maradni olyan esetekben, amikor a megengedett értéket a hajótest megfelelő (hosszanti, keresztirányú és lokális) szilárdságára vonatkozó matematikai bizonyítás alapján határozták meg és igazolták;</w:t>
      </w:r>
    </w:p>
    <w:p w:rsidR="005624E3" w:rsidRPr="00C903F8" w:rsidRDefault="005624E3" w:rsidP="005624E3">
      <w:pPr>
        <w:pStyle w:val="ESlet"/>
        <w:rPr>
          <w:rFonts w:eastAsia="Calibri" w:cs="Arial"/>
          <w:szCs w:val="18"/>
        </w:rPr>
      </w:pPr>
      <w:r>
        <w:t>c)</w:t>
      </w:r>
      <w:r>
        <w:tab/>
        <w:t>a külső lemezelés egyetlen pontján sem lehet a fenti a) vagy b) pont szerint kiszámított vastagság 3 mm-nél kisebb;</w:t>
      </w:r>
    </w:p>
    <w:p w:rsidR="005624E3" w:rsidRPr="00C903F8" w:rsidRDefault="005624E3" w:rsidP="005624E3">
      <w:pPr>
        <w:pStyle w:val="ESlet"/>
        <w:rPr>
          <w:rFonts w:eastAsia="Calibri" w:cs="Arial"/>
          <w:szCs w:val="18"/>
        </w:rPr>
      </w:pPr>
      <w:r>
        <w:t>d)</w:t>
      </w:r>
      <w:r>
        <w:tab/>
        <w:t>a lemezek felújítását akkor kell elvégezni, ha a fenék-, a medersor- és az oldallemezelés vastagságai nem érik el a fenti a) vagy b) pont szerint kiszámított minimumértéket, összefüggésben a c) ponttal.</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2.</w:t>
      </w:r>
      <w:r>
        <w:tab/>
        <w:t>A válaszfalak számát és helyét úgy kell kiválasztani, hogy elárasztás esetén a hajó úszóképes maradjon a 19.03. cikk 7–13. bekezdése szerint. A belső szerkezet minden olyan szakaszának, amely hatással van az ilyen hajók rekeszeinek hatékony működésére, vízmentesnek kell lennie, kialakításának pedig olyannak, hogy megtartsa a rekeszek integritását.</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r>
        <w:t>3.</w:t>
      </w:r>
      <w:r>
        <w:tab/>
        <w:t>Az ütközési válaszfal és a farválaszfal elhelyezésének meghatározásához a 3.03. cikk 1. bekezdésének rendelkezéseit kell alkalmazni, de a használandó referenciaérték a hajó teljes hosszúsága helyett a vízvonal hosszúsága (</w:t>
      </w:r>
      <m:oMath>
        <m:sSub>
          <m:sSubPr>
            <m:ctrlPr>
              <w:rPr>
                <w:rFonts w:ascii="Cambria Math" w:eastAsia="Calibri" w:hAnsi="Cambria Math"/>
                <w:i/>
              </w:rPr>
            </m:ctrlPr>
          </m:sSubPr>
          <m:e>
            <m:r>
              <w:rPr>
                <w:rFonts w:ascii="Cambria Math" w:eastAsia="Calibri" w:hAnsi="Cambria Math"/>
              </w:rPr>
              <m:t>L</m:t>
            </m:r>
          </m:e>
          <m:sub>
            <m:r>
              <w:rPr>
                <w:rFonts w:ascii="Cambria Math" w:eastAsia="Calibri" w:hAnsi="Cambria Math"/>
              </w:rPr>
              <m:t>WL</m:t>
            </m:r>
          </m:sub>
        </m:sSub>
      </m:oMath>
      <w:r>
        <w:t>).</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4.</w:t>
      </w:r>
      <w:r>
        <w:tab/>
        <w:t>A keresztirányú válaszfalakat fel lehet szerelni válaszfalrekesszel, amennyiben a rekesz minden része a biztonság</w:t>
      </w:r>
      <w:r w:rsidR="005F0225">
        <w:t>i téren</w:t>
      </w:r>
      <w:r>
        <w:t xml:space="preserve"> belül van.</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5.</w:t>
      </w:r>
      <w:r>
        <w:tab/>
        <w:t>A válaszfalaknak, amelyeket a 19.03. cikk 7–13. bekezdése szerinti, sérült stabilitásra vonatkozó számítás figyelembe vesz, vízmentesnek kell lenniük, és a válaszfalfedélzetig fel kell érniük. Ha nincs válaszfalfedélzet, a szóban forgó válaszfalakat legalább 0,20 m-rel a biztonsági peremvonal fölé kell vinni.</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6.</w:t>
      </w:r>
      <w:r>
        <w:tab/>
        <w:t>A válaszfalakon lévő nyílások számát a lehető legalacsonyabban kell tartani úgy, hogy az még megfeleljen a szerkezeti típusnak és a hajó rendeltetésszerű üzemeltetésének. A nyílások és az átvezetések nem befolyásolhatják hátrányosan a válaszfalak vízmentes működését.</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7.</w:t>
      </w:r>
      <w:r>
        <w:tab/>
        <w:t>Az ütközési válaszfalakon nem lehetnek nyílások és ajtók.</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8.</w:t>
      </w:r>
      <w:r>
        <w:tab/>
        <w:t>A géptereket az utastértől vagy legénységi, illetve kiszolgáló személyzeti lakóterektől elválasztó válaszfalakon nem lehet ajtó.</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9.</w:t>
      </w:r>
      <w:r>
        <w:tab/>
        <w:t>Az 5. bekezdésben említett válaszfalakon lévő</w:t>
      </w:r>
      <w:r w:rsidR="00343813">
        <w:t>,</w:t>
      </w:r>
      <w:r>
        <w:t xml:space="preserve"> táv</w:t>
      </w:r>
      <w:r w:rsidR="00343813">
        <w:t>vezérlés</w:t>
      </w:r>
      <w:r>
        <w:t xml:space="preserve"> nélküli, kézzel működtetett ajtók csak az utasok számára nem hozzáférhető területeken megengedettek. Ezeknek az ajtóknak az alábbi követelményeknek kell megfelelniük:</w:t>
      </w:r>
    </w:p>
    <w:p w:rsidR="005624E3" w:rsidRPr="00C903F8" w:rsidRDefault="005624E3" w:rsidP="005624E3">
      <w:pPr>
        <w:pStyle w:val="ESlet"/>
        <w:rPr>
          <w:rFonts w:eastAsia="Calibri" w:cs="Arial"/>
          <w:szCs w:val="18"/>
        </w:rPr>
      </w:pPr>
      <w:r>
        <w:t>a)</w:t>
      </w:r>
      <w:r>
        <w:tab/>
        <w:t>mindenkor zárva kell lenniük, csak az áthaladás idejére lehetnek ideiglenesen nyitva;</w:t>
      </w:r>
    </w:p>
    <w:p w:rsidR="005624E3" w:rsidRPr="00C903F8" w:rsidRDefault="005624E3" w:rsidP="005624E3">
      <w:pPr>
        <w:pStyle w:val="ESlet"/>
        <w:rPr>
          <w:rFonts w:eastAsia="Calibri" w:cs="Arial"/>
          <w:szCs w:val="18"/>
        </w:rPr>
      </w:pPr>
      <w:r>
        <w:t>b)</w:t>
      </w:r>
      <w:r>
        <w:tab/>
        <w:t>megfelelő eszközzel felszerelteknek kell lenniük, hogy zárásuk gyors és biztonságos legyen;</w:t>
      </w:r>
    </w:p>
    <w:p w:rsidR="005624E3" w:rsidRPr="00C903F8" w:rsidRDefault="005624E3" w:rsidP="005624E3">
      <w:pPr>
        <w:pStyle w:val="ESlet"/>
        <w:rPr>
          <w:rFonts w:eastAsia="Calibri" w:cs="Arial"/>
          <w:szCs w:val="18"/>
        </w:rPr>
      </w:pPr>
      <w:r>
        <w:t>c)</w:t>
      </w:r>
      <w:r>
        <w:tab/>
        <w:t>mindkét oldalukon fel kell tüntetni a következő figyelmeztetést:</w:t>
      </w:r>
    </w:p>
    <w:p w:rsidR="005624E3" w:rsidRPr="00C903F8" w:rsidRDefault="005624E3" w:rsidP="005624E3">
      <w:pPr>
        <w:pStyle w:val="ESlet"/>
        <w:jc w:val="center"/>
        <w:rPr>
          <w:rFonts w:eastAsia="Calibri" w:cs="Arial"/>
          <w:szCs w:val="18"/>
        </w:rPr>
      </w:pPr>
      <w:r>
        <w:t>„Az ajtót áthaladás után azonnal be kell csukni!”</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10.</w:t>
      </w:r>
      <w:r>
        <w:tab/>
        <w:t>Az 5. bekezdésben említett válaszfalakon lévő ajtóknak, amelyek hosszabb ideig vannak nyitva, az alábbi követelményeknek kell megfelelniük:</w:t>
      </w:r>
    </w:p>
    <w:p w:rsidR="005624E3" w:rsidRPr="00C903F8" w:rsidRDefault="005624E3" w:rsidP="005624E3">
      <w:pPr>
        <w:pStyle w:val="ESlet"/>
        <w:rPr>
          <w:rFonts w:eastAsia="Calibri" w:cs="Arial"/>
          <w:szCs w:val="18"/>
        </w:rPr>
      </w:pPr>
      <w:r>
        <w:t>a)</w:t>
      </w:r>
      <w:r>
        <w:tab/>
        <w:t>a válaszfal mindkét oldaláról, valamint egy válaszfalfedélzet feletti, könnyen megközelíthető pontról zárhatónak kell lenniük;</w:t>
      </w:r>
    </w:p>
    <w:p w:rsidR="005624E3" w:rsidRPr="00C903F8" w:rsidRDefault="005624E3" w:rsidP="005624E3">
      <w:pPr>
        <w:pStyle w:val="ESlet"/>
        <w:rPr>
          <w:rFonts w:eastAsia="Calibri" w:cs="Arial"/>
          <w:szCs w:val="18"/>
        </w:rPr>
      </w:pPr>
      <w:r>
        <w:br w:type="page"/>
        <w:t>b)</w:t>
      </w:r>
      <w:r>
        <w:tab/>
        <w:t>táv</w:t>
      </w:r>
      <w:r w:rsidR="00343813">
        <w:t>vezérelt</w:t>
      </w:r>
      <w:r>
        <w:t xml:space="preserve"> zárás után helyileg újra nyithatónak és biztonságosan zárhatónak kell lenniük. A zárást nem akadályozhatja szőnyeg, lábvédő korlát vagy egyéb akadály;</w:t>
      </w:r>
    </w:p>
    <w:p w:rsidR="005624E3" w:rsidRPr="00C903F8" w:rsidRDefault="005624E3" w:rsidP="005624E3">
      <w:pPr>
        <w:pStyle w:val="ESlet"/>
        <w:rPr>
          <w:rFonts w:eastAsia="Calibri" w:cs="Arial"/>
          <w:szCs w:val="18"/>
        </w:rPr>
      </w:pPr>
      <w:r>
        <w:t>c)</w:t>
      </w:r>
      <w:r>
        <w:tab/>
        <w:t>a táv</w:t>
      </w:r>
      <w:r w:rsidR="000855F0">
        <w:t>vezérelt</w:t>
      </w:r>
      <w:r>
        <w:t xml:space="preserve"> zárás időtartama legalább 30 másodperc, de legfeljebb 60 másodperc;</w:t>
      </w:r>
    </w:p>
    <w:p w:rsidR="005624E3" w:rsidRPr="00C903F8" w:rsidRDefault="005624E3" w:rsidP="005624E3">
      <w:pPr>
        <w:pStyle w:val="ESlet"/>
        <w:rPr>
          <w:rFonts w:eastAsia="Calibri" w:cs="Arial"/>
          <w:szCs w:val="18"/>
        </w:rPr>
      </w:pPr>
      <w:r>
        <w:t>d)</w:t>
      </w:r>
      <w:r>
        <w:tab/>
        <w:t>a zárási folyamat során az ajtónak automatikus figyelmeztető hangjelzést kell adnia;</w:t>
      </w:r>
    </w:p>
    <w:p w:rsidR="005624E3" w:rsidRPr="00C903F8" w:rsidRDefault="005624E3" w:rsidP="005624E3">
      <w:pPr>
        <w:pStyle w:val="ESlet"/>
        <w:rPr>
          <w:rFonts w:eastAsia="Calibri" w:cs="Arial"/>
          <w:szCs w:val="18"/>
        </w:rPr>
      </w:pPr>
      <w:r>
        <w:t>e)</w:t>
      </w:r>
      <w:r>
        <w:tab/>
        <w:t>az ajtó működésének és a figyelmeztető hangjelzésnek a fedélzeti áramforrástól függetlennek kell lennie. Egy, a táv</w:t>
      </w:r>
      <w:r w:rsidR="00343813">
        <w:t>vezérlő</w:t>
      </w:r>
      <w:r>
        <w:t xml:space="preserve"> mellett elhelyezett kijelző eszköznek kell mutatnia, hogy az ajtó nyitva van-e vagy zárva.</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11.</w:t>
      </w:r>
      <w:r>
        <w:tab/>
        <w:t>Az 5. bekezdésben említett válaszfalakon lévő ajtókat és az azokat működtető berendezéseket a biztonság</w:t>
      </w:r>
      <w:r w:rsidR="005F0225">
        <w:t>i térben</w:t>
      </w:r>
      <w:r>
        <w:t xml:space="preserve"> kell elhelyezni.</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 xml:space="preserve">12. </w:t>
      </w:r>
      <w:r>
        <w:tab/>
        <w:t>A kormányállásban lennie kell egy figyelmeztető rendszernek, amely jelzi, hogy az 5. bekezdésben említett válaszfalak mely ajtajai vannak nyitva.</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 xml:space="preserve">13. </w:t>
      </w:r>
      <w:r>
        <w:tab/>
        <w:t>A nyitott végű csöveket és szellőzőcsatornákat úgy kell kiépíteni, hogy ezeken keresztül egyetlen további helyiség vagy tartály se kerüljön elárasztásra, bármilyen mértékű legyen is egyébként az elárasztás.</w:t>
      </w:r>
    </w:p>
    <w:p w:rsidR="005624E3" w:rsidRPr="00C903F8" w:rsidRDefault="005624E3" w:rsidP="005624E3">
      <w:pPr>
        <w:pStyle w:val="ESlet"/>
        <w:rPr>
          <w:rFonts w:eastAsia="Calibri" w:cs="Arial"/>
          <w:szCs w:val="18"/>
        </w:rPr>
      </w:pPr>
      <w:r>
        <w:t>a)</w:t>
      </w:r>
      <w:r>
        <w:tab/>
        <w:t>Amennyiben több rekesz csövek vagy szellőzőcsatornák révén egybenyílik, ezeket a csöveket és szellőzőcsatornákat megfelelő helyen, a lehető legnagyobb mértékű elárasztásnak megfelelő vízszintvonal felett kell vezetni.</w:t>
      </w:r>
    </w:p>
    <w:p w:rsidR="005624E3" w:rsidRPr="00C903F8" w:rsidRDefault="005624E3" w:rsidP="005624E3">
      <w:pPr>
        <w:pStyle w:val="ESlet"/>
        <w:rPr>
          <w:rFonts w:eastAsia="Calibri"/>
          <w:noProof/>
        </w:rPr>
      </w:pPr>
      <w:r>
        <w:t>b)</w:t>
      </w:r>
      <w:r>
        <w:tab/>
        <w:t>A csövezetnek nem kell megfelelnie az a) pontban foglalt követelménynek, ha a csövekre a válaszfal-átvezetéseknél elzárószerkezeteket szereltek fel, amelyek táv</w:t>
      </w:r>
      <w:r w:rsidR="000855F0">
        <w:t>vezérelhetők</w:t>
      </w:r>
      <w:r>
        <w:t xml:space="preserve"> egy, a válaszfalfedélzet feletti pontról.</w:t>
      </w:r>
    </w:p>
    <w:p w:rsidR="005624E3" w:rsidRPr="00C903F8" w:rsidRDefault="005624E3" w:rsidP="005624E3">
      <w:pPr>
        <w:pStyle w:val="ESlet"/>
        <w:rPr>
          <w:rFonts w:eastAsia="Calibri"/>
          <w:noProof/>
        </w:rPr>
      </w:pPr>
      <w:r>
        <w:t>c)</w:t>
      </w:r>
      <w:r>
        <w:tab/>
        <w:t>Ha egy csőrendszer nem rendelkezik nyílt kivezetéssel egy rekeszbe, akkor a rekesz sérülése esetén ezt a csőrendszert sértetlennek kell tekinteni, amennyiben a biztonság</w:t>
      </w:r>
      <w:r w:rsidR="005F0225">
        <w:t>i téren</w:t>
      </w:r>
      <w:r>
        <w:t xml:space="preserve"> halad át és a hajó fenekétől több mint 0,50 m-re helyezkedik el.</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noProof/>
        </w:rPr>
      </w:pPr>
      <w:r>
        <w:t>14.</w:t>
      </w:r>
      <w:r>
        <w:tab/>
        <w:t>A 10. bekezdés szerinti válaszfalajtó-táv</w:t>
      </w:r>
      <w:r w:rsidR="000855F0">
        <w:t>vezérlők</w:t>
      </w:r>
      <w:r>
        <w:t>, valamint a 13. bekezdés b) pontja szerinti, válaszfalfedélzet feletti elzárószerkezetek funkcióját egyértelműen jelölni kell.</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noProof/>
        </w:rPr>
      </w:pPr>
      <w:r>
        <w:t>15.</w:t>
      </w:r>
      <w:r>
        <w:tab/>
        <w:t>Ha a hajó duplafenékkel rendelkezik, annak magassága legalább 0,60 m, és ha oldalüreg került kialakításra, annak szélessége legalább 0,60 m.</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noProof/>
        </w:rPr>
      </w:pPr>
      <w:r>
        <w:t>16.</w:t>
      </w:r>
      <w:r>
        <w:tab/>
        <w:t>A biztonsági peremvonal alatt elhelyezhető ablak, amennyiben vízmentes és nem nyitható, megfelelő szilárdságú, és megfelel a 19.06. cikk 14. bekezdésében foglalt követelményeknek.</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p>
    <w:p w:rsidR="005624E3" w:rsidRPr="00C903F8" w:rsidRDefault="005624E3" w:rsidP="005624E3">
      <w:pPr>
        <w:pStyle w:val="ES-Titre3"/>
        <w:rPr>
          <w:rFonts w:cs="Arial"/>
        </w:rPr>
      </w:pPr>
      <w:bookmarkStart w:id="350" w:name="_Toc491854172"/>
      <w:bookmarkStart w:id="351" w:name="_Toc535853951"/>
      <w:r>
        <w:t>19.03. cikk</w:t>
      </w:r>
      <w:r>
        <w:br/>
      </w:r>
      <w:r>
        <w:rPr>
          <w:i/>
          <w:noProof/>
        </w:rPr>
        <w:t>Stabilitás</w:t>
      </w:r>
      <w:bookmarkEnd w:id="350"/>
      <w:bookmarkEnd w:id="351"/>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1.</w:t>
      </w:r>
      <w:r>
        <w:tab/>
        <w:t>A kérelmezőnek a sérülés nélküli stabilitásra vonatkozó szabvány alkalmazásának eredményein alapuló számítással kell igazolnia, hogy a hajó sérülés nélküli stabilitása megfelelő. Minden számítást a megengedhető trimmre és süllyedésre vonatkoztatva kell elvégezni. A stabilitási számításoknál figyelembe vett üres vízkiszorítási adatokat dőléspróba segítségével kell meghatározni.</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noProof/>
        </w:rPr>
      </w:pPr>
      <w:r>
        <w:br w:type="page"/>
      </w:r>
    </w:p>
    <w:p w:rsidR="005624E3" w:rsidRPr="00C903F8" w:rsidRDefault="005624E3" w:rsidP="005624E3">
      <w:pPr>
        <w:pStyle w:val="ESch"/>
        <w:rPr>
          <w:rFonts w:eastAsia="Calibri"/>
          <w:noProof/>
        </w:rPr>
      </w:pPr>
      <w:r>
        <w:t>2.</w:t>
      </w:r>
      <w:r>
        <w:tab/>
        <w:t>A sérülés nélküli stabilitást a következő standard terhelési körülményekre vonatkozóan kell igazolni:</w:t>
      </w:r>
    </w:p>
    <w:p w:rsidR="005624E3" w:rsidRPr="00C903F8" w:rsidRDefault="005624E3" w:rsidP="005624E3">
      <w:pPr>
        <w:pStyle w:val="ESlet"/>
        <w:rPr>
          <w:rFonts w:eastAsia="Calibri"/>
          <w:noProof/>
        </w:rPr>
      </w:pPr>
      <w:r>
        <w:t>a)</w:t>
      </w:r>
      <w:r>
        <w:tab/>
        <w:t>az út kezdetén:</w:t>
      </w:r>
    </w:p>
    <w:p w:rsidR="005624E3" w:rsidRPr="00C903F8" w:rsidRDefault="005624E3" w:rsidP="005624E3">
      <w:pPr>
        <w:pStyle w:val="ESletpar"/>
        <w:rPr>
          <w:rFonts w:eastAsia="Calibri"/>
          <w:noProof/>
        </w:rPr>
      </w:pPr>
      <w:r>
        <w:t>100 % utas, 98 % tüzelőanyag és édesvíz, 10 % szennyvíz;</w:t>
      </w:r>
    </w:p>
    <w:p w:rsidR="005624E3" w:rsidRPr="00C903F8" w:rsidRDefault="005624E3" w:rsidP="005624E3">
      <w:pPr>
        <w:pStyle w:val="ESlet"/>
        <w:rPr>
          <w:rFonts w:eastAsia="Calibri"/>
          <w:noProof/>
        </w:rPr>
      </w:pPr>
      <w:r>
        <w:t>b)</w:t>
      </w:r>
      <w:r>
        <w:tab/>
        <w:t>az út folyamán:</w:t>
      </w:r>
    </w:p>
    <w:p w:rsidR="005624E3" w:rsidRPr="00C903F8" w:rsidRDefault="005624E3" w:rsidP="005624E3">
      <w:pPr>
        <w:pStyle w:val="ESletpar"/>
        <w:rPr>
          <w:rFonts w:eastAsia="Calibri"/>
          <w:noProof/>
        </w:rPr>
      </w:pPr>
      <w:r>
        <w:t>100 % utas, 50 % tüzelőanyag és édesvíz, 50 % szennyvíz;</w:t>
      </w:r>
    </w:p>
    <w:p w:rsidR="005624E3" w:rsidRPr="00C903F8" w:rsidRDefault="005624E3" w:rsidP="005624E3">
      <w:pPr>
        <w:pStyle w:val="ESlet"/>
        <w:rPr>
          <w:rFonts w:eastAsia="Calibri"/>
          <w:noProof/>
        </w:rPr>
      </w:pPr>
      <w:r>
        <w:t>c)</w:t>
      </w:r>
      <w:r>
        <w:tab/>
        <w:t>az út végén:</w:t>
      </w:r>
    </w:p>
    <w:p w:rsidR="005624E3" w:rsidRPr="00C903F8" w:rsidRDefault="005624E3" w:rsidP="005624E3">
      <w:pPr>
        <w:pStyle w:val="ESletpar"/>
        <w:rPr>
          <w:rFonts w:eastAsia="Calibri"/>
          <w:noProof/>
        </w:rPr>
      </w:pPr>
      <w:r>
        <w:t>100 % utas, 10 % tüzelőanyag és édesvíz, 98 % szennyvíz;</w:t>
      </w:r>
    </w:p>
    <w:p w:rsidR="005624E3" w:rsidRPr="00C903F8" w:rsidRDefault="005624E3" w:rsidP="005624E3">
      <w:pPr>
        <w:pStyle w:val="ESlet"/>
        <w:rPr>
          <w:rFonts w:eastAsia="Calibri"/>
          <w:noProof/>
        </w:rPr>
      </w:pPr>
      <w:r>
        <w:t>d)</w:t>
      </w:r>
      <w:r>
        <w:tab/>
        <w:t>üres hajó:</w:t>
      </w:r>
    </w:p>
    <w:p w:rsidR="005624E3" w:rsidRPr="00C903F8" w:rsidRDefault="005624E3" w:rsidP="005624E3">
      <w:pPr>
        <w:pStyle w:val="ESletpar"/>
        <w:rPr>
          <w:rFonts w:eastAsia="Calibri"/>
          <w:noProof/>
        </w:rPr>
      </w:pPr>
      <w:r>
        <w:t>utasok nélkül, 10 % tüzelőanyag és édesvíz, szennyvíz nélkül.</w:t>
      </w:r>
    </w:p>
    <w:p w:rsidR="005624E3" w:rsidRPr="00C903F8" w:rsidRDefault="005624E3" w:rsidP="005624E3">
      <w:pPr>
        <w:pStyle w:val="ESchpar"/>
        <w:rPr>
          <w:rFonts w:eastAsia="Calibri"/>
          <w:noProof/>
        </w:rPr>
      </w:pPr>
    </w:p>
    <w:p w:rsidR="005624E3" w:rsidRPr="00C903F8" w:rsidRDefault="005624E3" w:rsidP="005624E3">
      <w:pPr>
        <w:pStyle w:val="ESchpar"/>
        <w:rPr>
          <w:rFonts w:eastAsia="Calibri" w:cs="Arial"/>
          <w:szCs w:val="18"/>
        </w:rPr>
      </w:pPr>
      <w:r>
        <w:t>A ballaszttartályokat minden standard terhelési körülménynél üresnek vagy telinek kell tekinteni, a rendeltetésszerű üzemi körülményeknek megfelelően.</w:t>
      </w:r>
    </w:p>
    <w:p w:rsidR="005624E3" w:rsidRPr="00C903F8" w:rsidRDefault="005624E3" w:rsidP="005624E3">
      <w:pPr>
        <w:pStyle w:val="ESchpar"/>
        <w:rPr>
          <w:rFonts w:eastAsia="Calibri"/>
          <w:noProof/>
        </w:rPr>
      </w:pPr>
    </w:p>
    <w:p w:rsidR="005624E3" w:rsidRPr="00C903F8" w:rsidRDefault="005624E3" w:rsidP="005624E3">
      <w:pPr>
        <w:pStyle w:val="ESchpar"/>
        <w:rPr>
          <w:rFonts w:eastAsia="Calibri" w:cs="Arial"/>
          <w:szCs w:val="18"/>
        </w:rPr>
      </w:pPr>
      <w:r>
        <w:t>Ezenfelül a 3. bekezdés d) pontja szerinti követelményt a következő terhelési körülményre vonatkozóan kell igazolni:</w:t>
      </w:r>
    </w:p>
    <w:p w:rsidR="005624E3" w:rsidRPr="00C903F8" w:rsidRDefault="005624E3" w:rsidP="005624E3">
      <w:pPr>
        <w:pStyle w:val="ESchpar"/>
        <w:spacing w:before="60"/>
        <w:ind w:left="992"/>
        <w:rPr>
          <w:rFonts w:eastAsia="Calibri" w:cs="Arial"/>
          <w:szCs w:val="18"/>
        </w:rPr>
      </w:pPr>
      <w:r>
        <w:t>100 % utas, 50 % tüzelőanyag és édesvíz, 50 % szennyvíz, minden egyéb folyadéktartály (beleértve a ballaszttartályt is) 50 %-ig feltöltöttnek tekintendő.</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r>
        <w:t>3.</w:t>
      </w:r>
      <w:r>
        <w:tab/>
        <w:t>A megfelelő sérülés nélküli stabilitás számítással történő igazolását a 2. bekezdés a)–d) pontjában említett következő, sérülés nélküli stabilitásra és standard terhelési körülményekre vonatkozó meghatározások alkalmazásával kell elvégezni:</w:t>
      </w:r>
    </w:p>
    <w:p w:rsidR="005624E3" w:rsidRPr="00C903F8" w:rsidRDefault="005624E3" w:rsidP="005624E3">
      <w:pPr>
        <w:pStyle w:val="ESlet"/>
        <w:rPr>
          <w:rFonts w:eastAsia="Calibri" w:cs="Arial"/>
          <w:szCs w:val="18"/>
        </w:rPr>
      </w:pPr>
      <w:r>
        <w:t>a)</w:t>
      </w:r>
      <w:r>
        <w:tab/>
        <w:t xml:space="preserve">a </w:t>
      </w:r>
      <m:oMath>
        <m:sSub>
          <m:sSubPr>
            <m:ctrlPr>
              <w:rPr>
                <w:rFonts w:ascii="Cambria Math" w:eastAsia="Calibri" w:hAnsi="Cambria Math"/>
                <w:i/>
                <w:noProof/>
              </w:rPr>
            </m:ctrlPr>
          </m:sSubPr>
          <m:e>
            <m:r>
              <w:rPr>
                <w:rFonts w:ascii="Cambria Math" w:eastAsia="Calibri" w:hAnsi="Cambria Math"/>
                <w:noProof/>
              </w:rPr>
              <m:t>h</m:t>
            </m:r>
          </m:e>
          <m:sub>
            <m:r>
              <w:rPr>
                <w:rFonts w:ascii="Cambria Math" w:eastAsia="Calibri" w:hAnsi="Cambria Math"/>
                <w:noProof/>
              </w:rPr>
              <m:t>max</m:t>
            </m:r>
          </m:sub>
        </m:sSub>
      </m:oMath>
      <w:r>
        <w:t xml:space="preserve"> maximális stabilizáló kar akkor jön létre, ha a dőlésszög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r>
          <w:rPr>
            <w:rFonts w:ascii="Cambria Math" w:eastAsia="Calibri" w:hAnsi="Cambria Math"/>
            <w:noProof/>
          </w:rPr>
          <m:t xml:space="preserve"> ≥(</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mom</m:t>
            </m:r>
          </m:sub>
        </m:sSub>
        <m:r>
          <w:rPr>
            <w:rFonts w:ascii="Cambria Math" w:eastAsia="Calibri" w:hAnsi="Cambria Math"/>
            <w:noProof/>
          </w:rPr>
          <m:t>+3°)</m:t>
        </m:r>
      </m:oMath>
      <w:r>
        <w:t xml:space="preserve">, a hossza pedig nem lehet 0,20 m-nél kevesebb. Ha azonban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r>
          <w:rPr>
            <w:rFonts w:ascii="Cambria Math" w:eastAsia="Calibri" w:hAnsi="Cambria Math"/>
            <w:noProof/>
          </w:rPr>
          <m:t>&lt;</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r>
        <w:t xml:space="preserve">, a stabilizáló kar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f</m:t>
            </m:r>
          </m:sub>
        </m:sSub>
      </m:oMath>
      <w:r>
        <w:t xml:space="preserve"> elárasztási dőlésszög mellett legalább 0,20 m;</w:t>
      </w:r>
    </w:p>
    <w:p w:rsidR="005624E3" w:rsidRPr="00C903F8" w:rsidRDefault="005624E3" w:rsidP="005624E3">
      <w:pPr>
        <w:pStyle w:val="ESlet"/>
        <w:rPr>
          <w:rFonts w:eastAsia="Calibri" w:cs="Arial"/>
          <w:szCs w:val="18"/>
        </w:rPr>
      </w:pPr>
      <w:r>
        <w:t>b)</w:t>
      </w:r>
      <w:r>
        <w:tab/>
        <w:t xml:space="preserve">a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f</m:t>
            </m:r>
          </m:sub>
        </m:sSub>
      </m:oMath>
      <w:r>
        <w:t xml:space="preserve"> elárasztási dőlésszög legalább </w:t>
      </w:r>
      <m:oMath>
        <m:r>
          <w:rPr>
            <w:rFonts w:ascii="Cambria Math" w:eastAsia="Calibri" w:hAnsi="Cambria Math"/>
            <w:noProof/>
          </w:rPr>
          <m:t>(</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mom</m:t>
            </m:r>
          </m:sub>
        </m:sSub>
        <m:r>
          <w:rPr>
            <w:rFonts w:ascii="Cambria Math" w:eastAsia="Calibri" w:hAnsi="Cambria Math"/>
            <w:noProof/>
          </w:rPr>
          <m:t>+3°)</m:t>
        </m:r>
      </m:oMath>
      <w:r>
        <w:t>;</w:t>
      </w:r>
    </w:p>
    <w:p w:rsidR="005624E3" w:rsidRPr="00C903F8" w:rsidRDefault="005624E3" w:rsidP="005624E3">
      <w:pPr>
        <w:pStyle w:val="ESlet"/>
        <w:rPr>
          <w:rFonts w:eastAsia="Calibri"/>
          <w:noProof/>
        </w:rPr>
      </w:pPr>
      <w:r>
        <w:t>c)</w:t>
      </w:r>
      <w:r>
        <w:tab/>
        <w:t xml:space="preserve">a stabilizáló karok görbéje alatti </w:t>
      </w:r>
      <m:oMath>
        <m:r>
          <w:rPr>
            <w:rFonts w:ascii="Cambria Math" w:eastAsia="Calibri" w:hAnsi="Cambria Math" w:cs="Arial"/>
            <w:szCs w:val="18"/>
          </w:rPr>
          <m:t>A</m:t>
        </m:r>
      </m:oMath>
      <w:r>
        <w:t xml:space="preserve"> területnek – a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w:r>
        <w:t xml:space="preserve"> és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r>
        <w:t xml:space="preserve"> helyétől függően – a következő értékeket kell elérnie:</w:t>
      </w:r>
    </w:p>
    <w:p w:rsidR="005624E3" w:rsidRPr="00C903F8" w:rsidRDefault="005624E3" w:rsidP="005624E3">
      <w:pPr>
        <w:pStyle w:val="ESgauche"/>
        <w:rPr>
          <w:rFonts w:eastAsia="Calibri"/>
        </w:rPr>
      </w:pPr>
    </w:p>
    <w:tbl>
      <w:tblPr>
        <w:tblW w:w="0" w:type="auto"/>
        <w:tblLayout w:type="fixed"/>
        <w:tblLook w:val="0000" w:firstRow="0" w:lastRow="0" w:firstColumn="0" w:lastColumn="0" w:noHBand="0" w:noVBand="0"/>
      </w:tblPr>
      <w:tblGrid>
        <w:gridCol w:w="680"/>
        <w:gridCol w:w="2381"/>
        <w:gridCol w:w="1393"/>
        <w:gridCol w:w="4736"/>
      </w:tblGrid>
      <w:tr w:rsidR="005624E3" w:rsidRPr="00C903F8" w:rsidTr="00101A80">
        <w:tc>
          <w:tcPr>
            <w:tcW w:w="68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r>
              <w:rPr>
                <w:noProof/>
                <w:sz w:val="18"/>
              </w:rPr>
              <w:t>Eset</w:t>
            </w:r>
          </w:p>
        </w:tc>
        <w:tc>
          <w:tcPr>
            <w:tcW w:w="2381"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p>
        </w:tc>
        <w:tc>
          <w:tcPr>
            <w:tcW w:w="473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r>
              <w:rPr>
                <w:noProof/>
                <w:sz w:val="18"/>
              </w:rPr>
              <w:t>A</w:t>
            </w:r>
          </w:p>
        </w:tc>
      </w:tr>
      <w:tr w:rsidR="005624E3" w:rsidRPr="00A0619C" w:rsidTr="00101A80">
        <w:tc>
          <w:tcPr>
            <w:tcW w:w="68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1</w:t>
            </w:r>
          </w:p>
        </w:tc>
        <w:tc>
          <w:tcPr>
            <w:tcW w:w="2381" w:type="dxa"/>
            <w:tcBorders>
              <w:top w:val="single" w:sz="2" w:space="0" w:color="auto"/>
              <w:left w:val="single" w:sz="2" w:space="0" w:color="auto"/>
              <w:bottom w:val="single" w:sz="2" w:space="0" w:color="auto"/>
              <w:right w:val="single" w:sz="2" w:space="0" w:color="auto"/>
            </w:tcBorders>
          </w:tcPr>
          <w:p w:rsidR="005624E3" w:rsidRPr="00C903F8" w:rsidRDefault="003142CA" w:rsidP="00101A80">
            <w:pPr>
              <w:spacing w:before="60" w:after="60" w:line="240" w:lineRule="atLeast"/>
              <w:rPr>
                <w:rFonts w:cs="Arial"/>
                <w:noProof/>
                <w:szCs w:val="20"/>
              </w:rPr>
            </w:pP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max</m:t>
                  </m:r>
                </m:sub>
              </m:sSub>
              <m:r>
                <w:rPr>
                  <w:rFonts w:ascii="Cambria Math" w:eastAsia="Calibri" w:hAnsi="Cambria Math"/>
                  <w:noProof/>
                  <w:szCs w:val="20"/>
                </w:rPr>
                <m:t xml:space="preserve"> ≤15°</m:t>
              </m:r>
            </m:oMath>
            <w:r w:rsidR="005624E3">
              <w:t xml:space="preserve"> vagy </w:t>
            </w: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f</m:t>
                  </m:r>
                </m:sub>
              </m:sSub>
              <m:r>
                <w:rPr>
                  <w:rFonts w:ascii="Cambria Math" w:eastAsia="Calibri" w:hAnsi="Cambria Math"/>
                  <w:noProof/>
                  <w:szCs w:val="20"/>
                </w:rPr>
                <m:t xml:space="preserve"> ≤15°</m:t>
              </m:r>
            </m:oMath>
          </w:p>
        </w:tc>
        <w:tc>
          <w:tcPr>
            <w:tcW w:w="1393"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p>
        </w:tc>
        <w:tc>
          <w:tcPr>
            <w:tcW w:w="473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m:oMath>
              <m:r>
                <w:rPr>
                  <w:rFonts w:ascii="Cambria Math" w:hAnsi="Cambria Math" w:cs="Arial"/>
                  <w:noProof/>
                  <w:szCs w:val="18"/>
                </w:rPr>
                <m:t>0,05 m ∙rad</m:t>
              </m:r>
            </m:oMath>
            <w:r>
              <w:rPr>
                <w:noProof/>
                <w:sz w:val="18"/>
              </w:rPr>
              <w:t xml:space="preserve"> a következők közül a kisebbik szögig: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r>
              <w:rPr>
                <w:noProof/>
                <w:sz w:val="18"/>
              </w:rPr>
              <w:t xml:space="preserve"> vagy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w:p>
        </w:tc>
      </w:tr>
      <w:tr w:rsidR="005624E3" w:rsidRPr="00A0619C" w:rsidTr="00101A80">
        <w:tc>
          <w:tcPr>
            <w:tcW w:w="68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2</w:t>
            </w:r>
          </w:p>
        </w:tc>
        <w:tc>
          <w:tcPr>
            <w:tcW w:w="2381" w:type="dxa"/>
            <w:tcBorders>
              <w:top w:val="single" w:sz="2" w:space="0" w:color="auto"/>
              <w:left w:val="single" w:sz="2" w:space="0" w:color="auto"/>
              <w:bottom w:val="single" w:sz="2" w:space="0" w:color="auto"/>
              <w:right w:val="single" w:sz="2" w:space="0" w:color="auto"/>
            </w:tcBorders>
          </w:tcPr>
          <w:p w:rsidR="005624E3" w:rsidRPr="00C903F8" w:rsidRDefault="003142CA" w:rsidP="00101A80">
            <w:pPr>
              <w:spacing w:before="60" w:after="60" w:line="240" w:lineRule="atLeast"/>
              <w:rPr>
                <w:rFonts w:cs="Arial"/>
                <w:noProof/>
                <w:szCs w:val="20"/>
              </w:rPr>
            </w:pPr>
            <m:oMathPara>
              <m:oMath>
                <m:sSub>
                  <m:sSubPr>
                    <m:ctrlPr>
                      <w:rPr>
                        <w:rFonts w:ascii="Cambria Math" w:eastAsia="Calibri" w:hAnsi="Cambria Math"/>
                        <w:i/>
                        <w:noProof/>
                        <w:szCs w:val="20"/>
                      </w:rPr>
                    </m:ctrlPr>
                  </m:sSubPr>
                  <m:e>
                    <m:r>
                      <w:rPr>
                        <w:rFonts w:ascii="Cambria Math" w:eastAsia="Calibri" w:hAnsi="Cambria Math"/>
                        <w:noProof/>
                        <w:szCs w:val="20"/>
                      </w:rPr>
                      <m:t>15° &lt;φ</m:t>
                    </m:r>
                  </m:e>
                  <m:sub>
                    <m:r>
                      <w:rPr>
                        <w:rFonts w:ascii="Cambria Math" w:eastAsia="Calibri" w:hAnsi="Cambria Math"/>
                        <w:noProof/>
                        <w:szCs w:val="20"/>
                      </w:rPr>
                      <m:t>max</m:t>
                    </m:r>
                  </m:sub>
                </m:sSub>
                <m:r>
                  <w:rPr>
                    <w:rFonts w:ascii="Cambria Math" w:eastAsia="Calibri" w:hAnsi="Cambria Math"/>
                    <w:noProof/>
                    <w:szCs w:val="20"/>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624E3" w:rsidRPr="00C903F8" w:rsidRDefault="003142CA" w:rsidP="00101A80">
            <w:pPr>
              <w:spacing w:before="60" w:after="60" w:line="240" w:lineRule="atLeast"/>
              <w:rPr>
                <w:rFonts w:cs="Arial"/>
                <w:noProof/>
                <w:sz w:val="18"/>
                <w:szCs w:val="18"/>
              </w:rPr>
            </w:pPr>
            <m:oMathPara>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r>
                  <w:rPr>
                    <w:rFonts w:ascii="Cambria Math" w:eastAsia="Calibri" w:hAnsi="Cambria Math"/>
                    <w:noProof/>
                  </w:rPr>
                  <m:t xml:space="preserve"> ≤</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m:oMath>
              <m:r>
                <w:rPr>
                  <w:rFonts w:ascii="Cambria Math" w:hAnsi="Cambria Math" w:cs="Arial"/>
                  <w:noProof/>
                  <w:szCs w:val="18"/>
                </w:rPr>
                <m:t xml:space="preserve">0,035+0,001 ∙(30- </m:t>
              </m:r>
              <m:sSub>
                <m:sSubPr>
                  <m:ctrlPr>
                    <w:rPr>
                      <w:rFonts w:ascii="Cambria Math" w:hAnsi="Cambria Math" w:cs="Arial"/>
                      <w:i/>
                      <w:noProof/>
                      <w:szCs w:val="18"/>
                    </w:rPr>
                  </m:ctrlPr>
                </m:sSubPr>
                <m:e>
                  <m:r>
                    <w:rPr>
                      <w:rFonts w:ascii="Cambria Math" w:hAnsi="Cambria Math" w:cs="Arial"/>
                      <w:noProof/>
                      <w:szCs w:val="18"/>
                    </w:rPr>
                    <m:t>φ</m:t>
                  </m:r>
                </m:e>
                <m:sub>
                  <m:r>
                    <w:rPr>
                      <w:rFonts w:ascii="Cambria Math" w:hAnsi="Cambria Math" w:cs="Arial"/>
                      <w:noProof/>
                      <w:szCs w:val="18"/>
                    </w:rPr>
                    <m:t>max</m:t>
                  </m:r>
                </m:sub>
              </m:sSub>
              <m:r>
                <w:rPr>
                  <w:rFonts w:ascii="Cambria Math" w:hAnsi="Cambria Math" w:cs="Arial"/>
                  <w:noProof/>
                  <w:szCs w:val="18"/>
                </w:rPr>
                <m:t>) m ∙rad</m:t>
              </m:r>
            </m:oMath>
            <w:r>
              <w:t xml:space="preserve"> </w:t>
            </w:r>
            <w:r>
              <w:rPr>
                <w:noProof/>
                <w:sz w:val="18"/>
              </w:rPr>
              <w:t xml:space="preserve">a következő szögig: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p>
        </w:tc>
      </w:tr>
      <w:tr w:rsidR="005624E3" w:rsidRPr="00A0619C" w:rsidTr="00101A80">
        <w:tc>
          <w:tcPr>
            <w:tcW w:w="68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3</w:t>
            </w:r>
          </w:p>
        </w:tc>
        <w:tc>
          <w:tcPr>
            <w:tcW w:w="2381" w:type="dxa"/>
            <w:tcBorders>
              <w:top w:val="single" w:sz="2" w:space="0" w:color="auto"/>
              <w:left w:val="single" w:sz="2" w:space="0" w:color="auto"/>
              <w:bottom w:val="single" w:sz="2" w:space="0" w:color="auto"/>
              <w:right w:val="single" w:sz="2" w:space="0" w:color="auto"/>
            </w:tcBorders>
          </w:tcPr>
          <w:p w:rsidR="005624E3" w:rsidRPr="00C903F8" w:rsidRDefault="003142CA" w:rsidP="00101A80">
            <w:pPr>
              <w:spacing w:before="60" w:after="60" w:line="240" w:lineRule="atLeast"/>
              <w:rPr>
                <w:rFonts w:cs="Arial"/>
                <w:noProof/>
                <w:szCs w:val="20"/>
              </w:rPr>
            </w:pPr>
            <m:oMathPara>
              <m:oMath>
                <m:sSub>
                  <m:sSubPr>
                    <m:ctrlPr>
                      <w:rPr>
                        <w:rFonts w:ascii="Cambria Math" w:eastAsia="Calibri" w:hAnsi="Cambria Math"/>
                        <w:i/>
                        <w:noProof/>
                        <w:szCs w:val="20"/>
                      </w:rPr>
                    </m:ctrlPr>
                  </m:sSubPr>
                  <m:e>
                    <m:r>
                      <w:rPr>
                        <w:rFonts w:ascii="Cambria Math" w:eastAsia="Calibri" w:hAnsi="Cambria Math"/>
                        <w:noProof/>
                        <w:szCs w:val="20"/>
                      </w:rPr>
                      <m:t>15° &lt;φ</m:t>
                    </m:r>
                  </m:e>
                  <m:sub>
                    <m:r>
                      <w:rPr>
                        <w:rFonts w:ascii="Cambria Math" w:eastAsia="Calibri" w:hAnsi="Cambria Math"/>
                        <w:noProof/>
                        <w:szCs w:val="20"/>
                      </w:rPr>
                      <m:t>f</m:t>
                    </m:r>
                  </m:sub>
                </m:sSub>
                <m:r>
                  <w:rPr>
                    <w:rFonts w:ascii="Cambria Math" w:eastAsia="Calibri" w:hAnsi="Cambria Math"/>
                    <w:noProof/>
                    <w:szCs w:val="20"/>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624E3" w:rsidRPr="00C903F8" w:rsidRDefault="003142CA" w:rsidP="00101A80">
            <w:pPr>
              <w:spacing w:before="60" w:after="60" w:line="240" w:lineRule="atLeast"/>
              <w:rPr>
                <w:rFonts w:cs="Arial"/>
                <w:noProof/>
                <w:sz w:val="18"/>
                <w:szCs w:val="18"/>
              </w:rPr>
            </w:pPr>
            <m:oMathPara>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r>
                  <w:rPr>
                    <w:rFonts w:ascii="Cambria Math" w:eastAsia="Calibri" w:hAnsi="Cambria Math"/>
                    <w:noProof/>
                  </w:rPr>
                  <m:t>&gt;</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m:oMath>
              <m:r>
                <w:rPr>
                  <w:rFonts w:ascii="Cambria Math" w:hAnsi="Cambria Math" w:cs="Arial"/>
                  <w:noProof/>
                  <w:szCs w:val="18"/>
                </w:rPr>
                <m:t xml:space="preserve">0,035+0,001 ∙(30- </m:t>
              </m:r>
              <m:sSub>
                <m:sSubPr>
                  <m:ctrlPr>
                    <w:rPr>
                      <w:rFonts w:ascii="Cambria Math" w:hAnsi="Cambria Math" w:cs="Arial"/>
                      <w:i/>
                      <w:noProof/>
                      <w:szCs w:val="18"/>
                    </w:rPr>
                  </m:ctrlPr>
                </m:sSubPr>
                <m:e>
                  <m:r>
                    <w:rPr>
                      <w:rFonts w:ascii="Cambria Math" w:hAnsi="Cambria Math" w:cs="Arial"/>
                      <w:noProof/>
                      <w:szCs w:val="18"/>
                    </w:rPr>
                    <m:t>φ</m:t>
                  </m:r>
                </m:e>
                <m:sub>
                  <m:r>
                    <w:rPr>
                      <w:rFonts w:ascii="Cambria Math" w:hAnsi="Cambria Math" w:cs="Arial"/>
                      <w:noProof/>
                      <w:szCs w:val="18"/>
                    </w:rPr>
                    <m:t>f</m:t>
                  </m:r>
                </m:sub>
              </m:sSub>
              <m:r>
                <w:rPr>
                  <w:rFonts w:ascii="Cambria Math" w:hAnsi="Cambria Math" w:cs="Arial"/>
                  <w:noProof/>
                  <w:szCs w:val="18"/>
                </w:rPr>
                <m:t>) m ∙rad</m:t>
              </m:r>
            </m:oMath>
            <w:r>
              <w:rPr>
                <w:noProof/>
                <w:sz w:val="18"/>
              </w:rPr>
              <w:t xml:space="preserve"> a következő szögig: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w:p>
        </w:tc>
      </w:tr>
      <w:tr w:rsidR="005624E3" w:rsidRPr="00A0619C" w:rsidTr="00101A80">
        <w:tc>
          <w:tcPr>
            <w:tcW w:w="68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4</w:t>
            </w:r>
          </w:p>
        </w:tc>
        <w:tc>
          <w:tcPr>
            <w:tcW w:w="2381" w:type="dxa"/>
            <w:tcBorders>
              <w:top w:val="single" w:sz="2" w:space="0" w:color="auto"/>
              <w:left w:val="single" w:sz="2" w:space="0" w:color="auto"/>
              <w:bottom w:val="single" w:sz="2" w:space="0" w:color="auto"/>
              <w:right w:val="single" w:sz="2" w:space="0" w:color="auto"/>
            </w:tcBorders>
          </w:tcPr>
          <w:p w:rsidR="005624E3" w:rsidRPr="00C903F8" w:rsidRDefault="003142CA" w:rsidP="00101A80">
            <w:pPr>
              <w:spacing w:before="60" w:after="60" w:line="240" w:lineRule="atLeast"/>
              <w:rPr>
                <w:rFonts w:cs="Arial"/>
                <w:noProof/>
                <w:szCs w:val="20"/>
              </w:rPr>
            </w:pP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max</m:t>
                  </m:r>
                </m:sub>
              </m:sSub>
              <m:r>
                <w:rPr>
                  <w:rFonts w:ascii="Cambria Math" w:eastAsia="Calibri" w:hAnsi="Cambria Math"/>
                  <w:noProof/>
                  <w:szCs w:val="20"/>
                </w:rPr>
                <m:t xml:space="preserve"> ≥30°</m:t>
              </m:r>
            </m:oMath>
            <w:r w:rsidR="005624E3">
              <w:t xml:space="preserve"> és </w:t>
            </w: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f</m:t>
                  </m:r>
                </m:sub>
              </m:sSub>
              <m:r>
                <w:rPr>
                  <w:rFonts w:ascii="Cambria Math" w:eastAsia="Calibri" w:hAnsi="Cambria Math"/>
                  <w:noProof/>
                  <w:szCs w:val="20"/>
                </w:rPr>
                <m:t xml:space="preserve"> ≥30°</m:t>
              </m:r>
            </m:oMath>
          </w:p>
        </w:tc>
        <w:tc>
          <w:tcPr>
            <w:tcW w:w="1393"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p>
        </w:tc>
        <w:tc>
          <w:tcPr>
            <w:tcW w:w="473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m:oMath>
              <m:r>
                <w:rPr>
                  <w:rFonts w:ascii="Cambria Math" w:hAnsi="Cambria Math" w:cs="Arial"/>
                  <w:noProof/>
                  <w:szCs w:val="18"/>
                </w:rPr>
                <m:t>0,035 m ∙rad</m:t>
              </m:r>
            </m:oMath>
            <w:r>
              <w:rPr>
                <w:noProof/>
                <w:sz w:val="18"/>
              </w:rPr>
              <w:t xml:space="preserve"> a következő szögig: </w:t>
            </w:r>
            <m:oMath>
              <m:r>
                <w:rPr>
                  <w:rFonts w:ascii="Cambria Math" w:hAnsi="Cambria Math" w:cs="Arial"/>
                  <w:noProof/>
                  <w:sz w:val="18"/>
                  <w:szCs w:val="18"/>
                </w:rPr>
                <m:t>φ</m:t>
              </m:r>
              <m:r>
                <w:rPr>
                  <w:rFonts w:ascii="Cambria Math" w:eastAsia="Calibri" w:hAnsi="Cambria Math"/>
                  <w:noProof/>
                </w:rPr>
                <m:t>=30°</m:t>
              </m:r>
            </m:oMath>
          </w:p>
        </w:tc>
      </w:tr>
    </w:tbl>
    <w:p w:rsidR="005624E3" w:rsidRPr="00C903F8" w:rsidRDefault="005624E3" w:rsidP="005624E3">
      <w:pPr>
        <w:pStyle w:val="ESgauche"/>
        <w:rPr>
          <w:rFonts w:eastAsia="Calibri"/>
        </w:rPr>
      </w:pPr>
    </w:p>
    <w:p w:rsidR="005624E3" w:rsidRPr="00C903F8" w:rsidRDefault="005624E3" w:rsidP="005624E3">
      <w:pPr>
        <w:pStyle w:val="ESletpar"/>
        <w:ind w:left="567"/>
        <w:rPr>
          <w:rFonts w:cs="Arial"/>
          <w:szCs w:val="18"/>
        </w:rPr>
      </w:pPr>
      <w:r>
        <w:t>Ahol:</w:t>
      </w:r>
    </w:p>
    <w:p w:rsidR="005624E3" w:rsidRPr="00C903F8" w:rsidRDefault="003142CA" w:rsidP="005624E3">
      <w:pPr>
        <w:pStyle w:val="EStiret"/>
        <w:ind w:left="1276" w:hanging="709"/>
        <w:rPr>
          <w:rFonts w:eastAsia="Calibri" w:cs="Arial"/>
          <w:szCs w:val="18"/>
        </w:rPr>
      </w:pPr>
      <m:oMath>
        <m:sSub>
          <m:sSubPr>
            <m:ctrlPr>
              <w:rPr>
                <w:rFonts w:ascii="Cambria Math" w:eastAsia="Calibri" w:hAnsi="Cambria Math"/>
                <w:i/>
                <w:snapToGrid/>
                <w:color w:val="auto"/>
              </w:rPr>
            </m:ctrlPr>
          </m:sSubPr>
          <m:e>
            <m:r>
              <w:rPr>
                <w:rFonts w:ascii="Cambria Math" w:eastAsia="Calibri" w:hAnsi="Cambria Math"/>
              </w:rPr>
              <m:t>h</m:t>
            </m:r>
          </m:e>
          <m:sub>
            <m:r>
              <w:rPr>
                <w:rFonts w:ascii="Cambria Math" w:eastAsia="Calibri" w:hAnsi="Cambria Math"/>
              </w:rPr>
              <m:t>max</m:t>
            </m:r>
          </m:sub>
        </m:sSub>
      </m:oMath>
      <w:r w:rsidR="005624E3">
        <w:tab/>
        <w:t>a maximális kar;</w:t>
      </w:r>
    </w:p>
    <w:p w:rsidR="005624E3" w:rsidRPr="00C903F8" w:rsidRDefault="005624E3" w:rsidP="005624E3">
      <w:pPr>
        <w:pStyle w:val="EStiret"/>
        <w:ind w:left="1276" w:hanging="709"/>
        <w:rPr>
          <w:rFonts w:eastAsia="Calibri" w:cs="Arial"/>
          <w:szCs w:val="18"/>
          <w:vertAlign w:val="superscript"/>
        </w:rPr>
      </w:pPr>
      <m:oMath>
        <m:r>
          <w:rPr>
            <w:rFonts w:ascii="Cambria Math" w:eastAsia="Calibri" w:hAnsi="Cambria Math"/>
          </w:rPr>
          <m:t>φ</m:t>
        </m:r>
      </m:oMath>
      <w:r>
        <w:tab/>
        <w:t>a dőlésszög;</w:t>
      </w:r>
    </w:p>
    <w:p w:rsidR="005624E3" w:rsidRPr="00C903F8" w:rsidRDefault="003142CA" w:rsidP="005624E3">
      <w:pPr>
        <w:pStyle w:val="EStiret"/>
        <w:ind w:left="1276" w:hanging="709"/>
        <w:rPr>
          <w:rFonts w:eastAsia="Calibri" w:cs="Arial"/>
          <w:szCs w:val="18"/>
          <w:vertAlign w:val="superscript"/>
        </w:rPr>
      </w:pPr>
      <m:oMath>
        <m:sSub>
          <m:sSubPr>
            <m:ctrlPr>
              <w:rPr>
                <w:rFonts w:ascii="Cambria Math" w:eastAsia="Calibri" w:hAnsi="Cambria Math"/>
                <w:i/>
                <w:snapToGrid/>
                <w:color w:val="auto"/>
              </w:rPr>
            </m:ctrlPr>
          </m:sSubPr>
          <m:e>
            <m:r>
              <w:rPr>
                <w:rFonts w:ascii="Cambria Math" w:eastAsia="Calibri" w:hAnsi="Cambria Math"/>
              </w:rPr>
              <m:t>φ</m:t>
            </m:r>
          </m:e>
          <m:sub>
            <m:r>
              <w:rPr>
                <w:rFonts w:ascii="Cambria Math" w:eastAsia="Calibri" w:hAnsi="Cambria Math"/>
              </w:rPr>
              <m:t>f</m:t>
            </m:r>
          </m:sub>
        </m:sSub>
      </m:oMath>
      <w:r w:rsidR="005624E3">
        <w:tab/>
        <w:t>az elárasztási dőlésszög, tehát az a dőlésszög, amelynél a hajótest, a felépítmények vagy fedélzeti építmények nyílásai, amelyek nem zárhatók vízmentesen, vízbe merülnek;</w:t>
      </w:r>
    </w:p>
    <w:p w:rsidR="005624E3" w:rsidRPr="00C903F8" w:rsidRDefault="003142CA" w:rsidP="005624E3">
      <w:pPr>
        <w:pStyle w:val="EStiret"/>
        <w:ind w:left="1276" w:hanging="709"/>
        <w:rPr>
          <w:rFonts w:eastAsia="Calibri" w:cs="Arial"/>
          <w:szCs w:val="18"/>
          <w:vertAlign w:val="superscript"/>
        </w:rPr>
      </w:pPr>
      <m:oMath>
        <m:sSub>
          <m:sSubPr>
            <m:ctrlPr>
              <w:rPr>
                <w:rFonts w:ascii="Cambria Math" w:eastAsia="Calibri" w:hAnsi="Cambria Math"/>
                <w:i/>
                <w:snapToGrid/>
                <w:color w:val="auto"/>
              </w:rPr>
            </m:ctrlPr>
          </m:sSubPr>
          <m:e>
            <m:r>
              <w:rPr>
                <w:rFonts w:ascii="Cambria Math" w:eastAsia="Calibri" w:hAnsi="Cambria Math"/>
              </w:rPr>
              <m:t>φ</m:t>
            </m:r>
          </m:e>
          <m:sub>
            <m:r>
              <w:rPr>
                <w:rFonts w:ascii="Cambria Math" w:eastAsia="Calibri" w:hAnsi="Cambria Math"/>
              </w:rPr>
              <m:t>mom</m:t>
            </m:r>
          </m:sub>
        </m:sSub>
      </m:oMath>
      <w:r w:rsidR="005624E3">
        <w:tab/>
        <w:t>az e) pont szerinti legnagyobb dőlésszög;</w:t>
      </w:r>
    </w:p>
    <w:p w:rsidR="005624E3" w:rsidRPr="00C903F8" w:rsidRDefault="003142CA" w:rsidP="005624E3">
      <w:pPr>
        <w:pStyle w:val="EStiret"/>
        <w:ind w:left="1276" w:hanging="709"/>
        <w:rPr>
          <w:rFonts w:eastAsia="Calibri" w:cs="Arial"/>
          <w:szCs w:val="18"/>
          <w:vertAlign w:val="superscript"/>
        </w:rPr>
      </w:pPr>
      <m:oMath>
        <m:sSub>
          <m:sSubPr>
            <m:ctrlPr>
              <w:rPr>
                <w:rFonts w:ascii="Cambria Math" w:eastAsia="Calibri" w:hAnsi="Cambria Math"/>
                <w:i/>
                <w:snapToGrid/>
                <w:color w:val="auto"/>
              </w:rPr>
            </m:ctrlPr>
          </m:sSubPr>
          <m:e>
            <m:r>
              <w:rPr>
                <w:rFonts w:ascii="Cambria Math" w:eastAsia="Calibri" w:hAnsi="Cambria Math"/>
              </w:rPr>
              <m:t>φ</m:t>
            </m:r>
          </m:e>
          <m:sub>
            <m:r>
              <w:rPr>
                <w:rFonts w:ascii="Cambria Math" w:eastAsia="Calibri" w:hAnsi="Cambria Math"/>
              </w:rPr>
              <m:t>max</m:t>
            </m:r>
          </m:sub>
        </m:sSub>
      </m:oMath>
      <w:r w:rsidR="005624E3">
        <w:tab/>
        <w:t>az a dőlésszög, amelynél a maximális stabilizáló kar létrejön;</w:t>
      </w:r>
    </w:p>
    <w:p w:rsidR="005624E3" w:rsidRPr="00C903F8" w:rsidRDefault="005624E3" w:rsidP="005624E3">
      <w:pPr>
        <w:pStyle w:val="EStiret"/>
        <w:ind w:left="1276" w:hanging="709"/>
        <w:rPr>
          <w:rFonts w:eastAsia="Calibri" w:cs="Arial"/>
          <w:szCs w:val="18"/>
          <w:vertAlign w:val="superscript"/>
        </w:rPr>
      </w:pPr>
      <m:oMath>
        <m:r>
          <w:rPr>
            <w:rFonts w:ascii="Cambria Math" w:eastAsia="Calibri" w:hAnsi="Cambria Math" w:cs="Arial"/>
            <w:szCs w:val="18"/>
          </w:rPr>
          <m:t>A</m:t>
        </m:r>
      </m:oMath>
      <w:r>
        <w:tab/>
        <w:t>a stabilizáló karok görbéje alatti terület;</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noProof/>
        </w:rPr>
      </w:pPr>
      <w:r>
        <w:br w:type="page"/>
      </w:r>
    </w:p>
    <w:p w:rsidR="005624E3" w:rsidRPr="00C903F8" w:rsidRDefault="005624E3" w:rsidP="005624E3">
      <w:pPr>
        <w:pStyle w:val="ESlet"/>
        <w:rPr>
          <w:rFonts w:eastAsia="Calibri" w:cs="Arial"/>
          <w:szCs w:val="18"/>
        </w:rPr>
      </w:pPr>
      <w:r>
        <w:t>d)</w:t>
      </w:r>
      <w:r>
        <w:tab/>
        <w:t xml:space="preserve">a </w:t>
      </w:r>
      <m:oMath>
        <m:sSub>
          <m:sSubPr>
            <m:ctrlPr>
              <w:rPr>
                <w:rFonts w:ascii="Cambria Math" w:eastAsia="Calibri" w:hAnsi="Cambria Math"/>
                <w:i/>
                <w:noProof/>
              </w:rPr>
            </m:ctrlPr>
          </m:sSubPr>
          <m:e>
            <m:r>
              <w:rPr>
                <w:rFonts w:ascii="Cambria Math" w:eastAsia="Calibri" w:hAnsi="Cambria Math"/>
                <w:noProof/>
              </w:rPr>
              <m:t>GM</m:t>
            </m:r>
          </m:e>
          <m:sub>
            <m:r>
              <w:rPr>
                <w:rFonts w:ascii="Cambria Math" w:eastAsia="Calibri" w:hAnsi="Cambria Math"/>
                <w:noProof/>
              </w:rPr>
              <m:t>o</m:t>
            </m:r>
          </m:sub>
        </m:sSub>
      </m:oMath>
      <w:r>
        <w:t xml:space="preserve"> eredeti metacentrikus magasság a folyadéktartályok szabad folyadékfelszíne hatásával korrigálva nem lehet kisebb 0,15 m-nél;</w:t>
      </w:r>
    </w:p>
    <w:p w:rsidR="005624E3" w:rsidRPr="00C903F8" w:rsidRDefault="005624E3" w:rsidP="005624E3">
      <w:pPr>
        <w:pStyle w:val="ESlet"/>
        <w:rPr>
          <w:rFonts w:eastAsia="Calibri" w:cs="Arial"/>
          <w:szCs w:val="18"/>
        </w:rPr>
      </w:pPr>
      <w:r>
        <w:t>e)</w:t>
      </w:r>
      <w:r>
        <w:tab/>
        <w:t xml:space="preserve">a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mom</m:t>
            </m:r>
          </m:sub>
        </m:sSub>
      </m:oMath>
      <w:r>
        <w:t xml:space="preserve"> dőlésszög az alábbi két eset egyikében sem haladhatja meg a 12°-ot:</w:t>
      </w:r>
    </w:p>
    <w:p w:rsidR="005624E3" w:rsidRPr="00C903F8" w:rsidRDefault="005624E3" w:rsidP="005624E3">
      <w:pPr>
        <w:pStyle w:val="EStiret"/>
        <w:rPr>
          <w:rFonts w:eastAsia="Calibri" w:cs="Arial"/>
          <w:szCs w:val="18"/>
        </w:rPr>
      </w:pPr>
      <w:r>
        <w:t>aa)</w:t>
      </w:r>
      <w:r>
        <w:tab/>
        <w:t>a 4. és 5. bekezdés szerinti, a személyek és a szél miatti billenőnyomaték fellépésekor;</w:t>
      </w:r>
    </w:p>
    <w:p w:rsidR="005624E3" w:rsidRPr="00C903F8" w:rsidRDefault="005624E3" w:rsidP="005624E3">
      <w:pPr>
        <w:pStyle w:val="EStiret"/>
        <w:rPr>
          <w:rFonts w:eastAsia="Calibri" w:cs="Arial"/>
          <w:szCs w:val="18"/>
        </w:rPr>
      </w:pPr>
      <w:r>
        <w:t>bb)</w:t>
      </w:r>
      <w:r>
        <w:tab/>
        <w:t>a 4. és 6. bekezdés szerinti, a személyek és a fordulás miatti billenőnyomaték fellépésekor;</w:t>
      </w:r>
    </w:p>
    <w:p w:rsidR="005624E3" w:rsidRPr="00C903F8" w:rsidRDefault="005624E3" w:rsidP="005624E3">
      <w:pPr>
        <w:pStyle w:val="ESlet"/>
        <w:rPr>
          <w:rFonts w:eastAsia="Calibri" w:cs="Arial"/>
          <w:szCs w:val="18"/>
        </w:rPr>
      </w:pPr>
      <w:r>
        <w:t>f)</w:t>
      </w:r>
      <w:r>
        <w:tab/>
        <w:t>a 4., 5. és 6. bekezdés szerinti, a személyek, a szél és a fordulás miatti nyomatékból adódó billenőnyomaték esetében a fennmaradó szabadoldal nem lehet kevesebb 0,20 m-nél;</w:t>
      </w:r>
    </w:p>
    <w:p w:rsidR="005624E3" w:rsidRPr="00C903F8" w:rsidRDefault="005624E3" w:rsidP="005624E3">
      <w:pPr>
        <w:pStyle w:val="ESlet"/>
        <w:rPr>
          <w:rFonts w:eastAsia="Calibri" w:cs="Arial"/>
          <w:szCs w:val="18"/>
        </w:rPr>
      </w:pPr>
      <w:r>
        <w:t>g)</w:t>
      </w:r>
      <w:r>
        <w:tab/>
        <w:t>azoknál a hajóknál, amelyeken a válaszfalfedélzetek alatt nem vízmentesen záródó ablakok vagy egyéb nyílások vannak a hajótesten, a fennmaradó biztonsági távolságnak legalább 0,10 m-nek kell lennie az f) pont szerint adódó háromféle billenőnyomaték fellépésekor.</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noProof/>
        </w:rPr>
      </w:pPr>
      <w:r>
        <w:t>4.</w:t>
      </w:r>
      <w:r>
        <w:tab/>
        <w:t xml:space="preserve">A személyek egy oldalon történő összegyűlése miatti </w:t>
      </w:r>
      <m:oMath>
        <m:sSub>
          <m:sSubPr>
            <m:ctrlPr>
              <w:rPr>
                <w:rFonts w:ascii="Cambria Math" w:eastAsia="Calibri" w:hAnsi="Cambria Math"/>
                <w:i/>
                <w:noProof/>
              </w:rPr>
            </m:ctrlPr>
          </m:sSubPr>
          <m:e>
            <m:r>
              <w:rPr>
                <w:rFonts w:ascii="Cambria Math" w:eastAsia="Calibri" w:hAnsi="Cambria Math"/>
                <w:noProof/>
              </w:rPr>
              <m:t>M</m:t>
            </m:r>
          </m:e>
          <m:sub>
            <m:r>
              <w:rPr>
                <w:rFonts w:ascii="Cambria Math" w:eastAsia="Calibri" w:hAnsi="Cambria Math"/>
                <w:noProof/>
              </w:rPr>
              <m:t>p</m:t>
            </m:r>
          </m:sub>
        </m:sSub>
      </m:oMath>
      <w:r>
        <w:t xml:space="preserve"> billenőnyomatékot a következő képlettel kell kiszámolni:</w:t>
      </w:r>
    </w:p>
    <w:p w:rsidR="005624E3" w:rsidRPr="00C903F8" w:rsidRDefault="005624E3" w:rsidP="005624E3">
      <w:pPr>
        <w:pStyle w:val="ESch"/>
        <w:rPr>
          <w:rFonts w:eastAsia="Calibri"/>
          <w:noProof/>
        </w:rPr>
      </w:pPr>
    </w:p>
    <w:p w:rsidR="005624E3" w:rsidRPr="00C903F8" w:rsidRDefault="003142CA" w:rsidP="005624E3">
      <w:pPr>
        <w:pStyle w:val="ESch"/>
        <w:ind w:left="0" w:firstLine="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M</m:t>
              </m:r>
            </m:e>
            <m:sub>
              <m:r>
                <w:rPr>
                  <w:rFonts w:ascii="Cambria Math" w:eastAsia="Calibri" w:hAnsi="Cambria Math" w:cs="Arial"/>
                  <w:szCs w:val="18"/>
                </w:rPr>
                <m:t>p</m:t>
              </m:r>
            </m:sub>
          </m:sSub>
          <m:r>
            <w:rPr>
              <w:rFonts w:ascii="Cambria Math" w:eastAsia="Calibri" w:hAnsi="Cambria Math" w:cs="Arial"/>
              <w:szCs w:val="18"/>
            </w:rPr>
            <m:t xml:space="preserve">=g ∙P ∙y=g ∙ </m:t>
          </m:r>
          <m:nary>
            <m:naryPr>
              <m:chr m:val="∑"/>
              <m:limLoc m:val="undOvr"/>
              <m:subHide m:val="1"/>
              <m:supHide m:val="1"/>
              <m:ctrlPr>
                <w:rPr>
                  <w:rFonts w:ascii="Cambria Math" w:eastAsia="Calibri" w:hAnsi="Cambria Math" w:cs="Arial"/>
                  <w:i/>
                  <w:szCs w:val="18"/>
                </w:rPr>
              </m:ctrlPr>
            </m:naryPr>
            <m:sub/>
            <m:sup/>
            <m:e>
              <m:sSub>
                <m:sSubPr>
                  <m:ctrlPr>
                    <w:rPr>
                      <w:rFonts w:ascii="Cambria Math" w:eastAsia="Calibri" w:hAnsi="Cambria Math" w:cs="Arial"/>
                      <w:i/>
                      <w:szCs w:val="18"/>
                    </w:rPr>
                  </m:ctrlPr>
                </m:sSubPr>
                <m:e>
                  <m:r>
                    <w:rPr>
                      <w:rFonts w:ascii="Cambria Math" w:eastAsia="Calibri" w:hAnsi="Cambria Math" w:cs="Arial"/>
                      <w:szCs w:val="18"/>
                    </w:rPr>
                    <m:t>P</m:t>
                  </m:r>
                </m:e>
                <m:sub>
                  <m:r>
                    <w:rPr>
                      <w:rFonts w:ascii="Cambria Math" w:eastAsia="Calibri" w:hAnsi="Cambria Math" w:cs="Arial"/>
                      <w:szCs w:val="18"/>
                    </w:rPr>
                    <m:t>i</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y</m:t>
                  </m:r>
                </m:e>
                <m:sub>
                  <m:r>
                    <w:rPr>
                      <w:rFonts w:ascii="Cambria Math" w:eastAsia="Calibri" w:hAnsi="Cambria Math" w:cs="Arial"/>
                      <w:szCs w:val="18"/>
                    </w:rPr>
                    <m:t>i</m:t>
                  </m:r>
                </m:sub>
              </m:sSub>
              <m:r>
                <w:rPr>
                  <w:rFonts w:ascii="Cambria Math" w:eastAsia="Calibri" w:hAnsi="Cambria Math" w:cs="Arial"/>
                  <w:szCs w:val="18"/>
                </w:rPr>
                <m:t xml:space="preserve"> [kNm]</m:t>
              </m:r>
            </m:e>
          </m:nary>
        </m:oMath>
      </m:oMathPara>
    </w:p>
    <w:p w:rsidR="005624E3" w:rsidRPr="00C903F8" w:rsidRDefault="005624E3" w:rsidP="005624E3">
      <w:pPr>
        <w:pStyle w:val="ESch"/>
        <w:rPr>
          <w:rFonts w:eastAsia="Calibri" w:cs="Arial"/>
        </w:rPr>
      </w:pPr>
    </w:p>
    <w:p w:rsidR="005624E3" w:rsidRPr="00C903F8" w:rsidRDefault="005624E3" w:rsidP="005624E3">
      <w:pPr>
        <w:pStyle w:val="ESlet"/>
        <w:rPr>
          <w:rFonts w:eastAsia="Calibri"/>
        </w:rPr>
      </w:pPr>
      <m:oMath>
        <m:r>
          <w:rPr>
            <w:rFonts w:ascii="Cambria Math" w:eastAsia="Calibri" w:hAnsi="Cambria Math" w:cs="Arial"/>
            <w:szCs w:val="18"/>
          </w:rPr>
          <m:t>P</m:t>
        </m:r>
      </m:oMath>
      <w:r>
        <w:t xml:space="preserve"> =</w:t>
      </w:r>
      <w:r>
        <w:tab/>
        <w:t>a hajón tartózkodó személyek össztömege [t]-ban, amely személyenként átlagosan 0,075 tonnát feltételezve a legnagyobb megengedett utaslétszámnak, valamint a kiszolgáló személyzet és legénység szokásos üzemi feltételek melletti maximális létszámának összegeként kerül kiszámításra;</w:t>
      </w:r>
    </w:p>
    <w:p w:rsidR="005624E3" w:rsidRPr="00C903F8" w:rsidRDefault="005624E3" w:rsidP="005624E3">
      <w:pPr>
        <w:pStyle w:val="ESlet"/>
        <w:rPr>
          <w:rFonts w:eastAsia="Calibri"/>
          <w:noProof/>
        </w:rPr>
      </w:pPr>
      <m:oMath>
        <m:r>
          <w:rPr>
            <w:rFonts w:ascii="Cambria Math" w:eastAsia="Calibri" w:hAnsi="Cambria Math"/>
            <w:noProof/>
          </w:rPr>
          <m:t>y</m:t>
        </m:r>
      </m:oMath>
      <w:r>
        <w:t xml:space="preserve"> =</w:t>
      </w:r>
      <w:r>
        <w:tab/>
        <w:t>a személyek össztömegének (</w:t>
      </w:r>
      <m:oMath>
        <m:r>
          <w:rPr>
            <w:rFonts w:ascii="Cambria Math" w:eastAsia="Calibri" w:hAnsi="Cambria Math"/>
            <w:noProof/>
          </w:rPr>
          <m:t>P</m:t>
        </m:r>
      </m:oMath>
      <w:r>
        <w:t>) tömegközéppontja és a középvonal közötti oldalirányú távolság [m]-ben;</w:t>
      </w:r>
    </w:p>
    <w:p w:rsidR="005624E3" w:rsidRPr="00DB7D1E" w:rsidRDefault="005624E3" w:rsidP="005624E3">
      <w:pPr>
        <w:pStyle w:val="ESlet"/>
        <w:rPr>
          <w:rFonts w:eastAsia="Calibri"/>
          <w:noProof/>
          <w:lang w:val="pt-PT"/>
        </w:rPr>
      </w:pPr>
      <m:oMath>
        <m:r>
          <w:rPr>
            <w:rFonts w:ascii="Cambria Math" w:eastAsia="Calibri" w:hAnsi="Cambria Math"/>
            <w:noProof/>
          </w:rPr>
          <m:t>g</m:t>
        </m:r>
      </m:oMath>
      <w:r w:rsidRPr="00DB7D1E">
        <w:rPr>
          <w:lang w:val="pt-PT"/>
        </w:rPr>
        <w:t xml:space="preserve"> =</w:t>
      </w:r>
      <w:r w:rsidRPr="00DB7D1E">
        <w:rPr>
          <w:lang w:val="pt-PT"/>
        </w:rPr>
        <w:tab/>
        <w:t xml:space="preserve">gravitációs gyorsulás </w:t>
      </w:r>
      <m:oMath>
        <m:r>
          <w:rPr>
            <w:rFonts w:ascii="Cambria Math" w:eastAsia="Calibri" w:hAnsi="Cambria Math"/>
            <w:szCs w:val="18"/>
            <w:lang w:val="pt-PT"/>
          </w:rPr>
          <m:t>(</m:t>
        </m:r>
        <m:r>
          <w:rPr>
            <w:rFonts w:ascii="Cambria Math" w:eastAsia="Calibri" w:hAnsi="Cambria Math"/>
            <w:szCs w:val="18"/>
          </w:rPr>
          <m:t>g</m:t>
        </m:r>
        <m:r>
          <w:rPr>
            <w:rFonts w:ascii="Cambria Math" w:eastAsia="Calibri" w:hAnsi="Cambria Math"/>
            <w:szCs w:val="18"/>
            <w:lang w:val="pt-PT"/>
          </w:rPr>
          <m:t xml:space="preserve">=9,81 </m:t>
        </m:r>
        <m:r>
          <w:rPr>
            <w:rFonts w:ascii="Cambria Math" w:eastAsia="Calibri" w:hAnsi="Cambria Math"/>
            <w:szCs w:val="18"/>
          </w:rPr>
          <m:t>m</m:t>
        </m:r>
        <m:r>
          <w:rPr>
            <w:rFonts w:ascii="Cambria Math" w:eastAsia="Calibri" w:hAnsi="Cambria Math"/>
            <w:szCs w:val="18"/>
            <w:lang w:val="pt-PT"/>
          </w:rPr>
          <m:t>/</m:t>
        </m:r>
        <m:sSup>
          <m:sSupPr>
            <m:ctrlPr>
              <w:rPr>
                <w:rFonts w:ascii="Cambria Math" w:eastAsia="Calibri" w:hAnsi="Cambria Math"/>
                <w:i/>
                <w:szCs w:val="18"/>
              </w:rPr>
            </m:ctrlPr>
          </m:sSupPr>
          <m:e>
            <m:r>
              <w:rPr>
                <w:rFonts w:ascii="Cambria Math" w:eastAsia="Calibri" w:hAnsi="Cambria Math"/>
                <w:szCs w:val="18"/>
              </w:rPr>
              <m:t>s</m:t>
            </m:r>
          </m:e>
          <m:sup>
            <m:r>
              <w:rPr>
                <w:rFonts w:ascii="Cambria Math" w:eastAsia="Calibri" w:hAnsi="Cambria Math"/>
                <w:szCs w:val="18"/>
                <w:lang w:val="pt-PT"/>
              </w:rPr>
              <m:t>2</m:t>
            </m:r>
          </m:sup>
        </m:sSup>
        <m:r>
          <w:rPr>
            <w:rFonts w:ascii="Cambria Math" w:eastAsia="Calibri" w:hAnsi="Cambria Math"/>
            <w:szCs w:val="18"/>
            <w:lang w:val="pt-PT"/>
          </w:rPr>
          <m:t>)</m:t>
        </m:r>
      </m:oMath>
      <w:r w:rsidRPr="00DB7D1E">
        <w:rPr>
          <w:lang w:val="pt-PT"/>
        </w:rPr>
        <w:t>;</w:t>
      </w:r>
    </w:p>
    <w:p w:rsidR="005624E3" w:rsidRPr="00DB7D1E" w:rsidRDefault="003142CA" w:rsidP="005624E3">
      <w:pPr>
        <w:pStyle w:val="ESlet"/>
        <w:rPr>
          <w:rFonts w:eastAsia="Calibri"/>
          <w:noProof/>
          <w:lang w:val="pt-PT"/>
        </w:rPr>
      </w:pPr>
      <m:oMath>
        <m:sSub>
          <m:sSubPr>
            <m:ctrlPr>
              <w:rPr>
                <w:rFonts w:ascii="Cambria Math" w:eastAsia="Calibri" w:hAnsi="Cambria Math"/>
                <w:i/>
                <w:szCs w:val="18"/>
              </w:rPr>
            </m:ctrlPr>
          </m:sSubPr>
          <m:e>
            <m:r>
              <w:rPr>
                <w:rFonts w:ascii="Cambria Math" w:eastAsia="Calibri" w:hAnsi="Cambria Math"/>
                <w:szCs w:val="18"/>
              </w:rPr>
              <m:t>P</m:t>
            </m:r>
          </m:e>
          <m:sub>
            <m:r>
              <w:rPr>
                <w:rFonts w:ascii="Cambria Math" w:eastAsia="Calibri" w:hAnsi="Cambria Math"/>
                <w:szCs w:val="18"/>
              </w:rPr>
              <m:t>i</m:t>
            </m:r>
          </m:sub>
        </m:sSub>
      </m:oMath>
      <w:r w:rsidR="005624E3" w:rsidRPr="00DB7D1E">
        <w:rPr>
          <w:lang w:val="pt-PT"/>
        </w:rPr>
        <w:t xml:space="preserve"> =</w:t>
      </w:r>
      <w:r w:rsidR="005624E3" w:rsidRPr="00DB7D1E">
        <w:rPr>
          <w:lang w:val="pt-PT"/>
        </w:rPr>
        <w:tab/>
        <w:t xml:space="preserve">az </w:t>
      </w: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oMath>
      <w:r w:rsidR="005624E3" w:rsidRPr="00DB7D1E">
        <w:rPr>
          <w:lang w:val="pt-PT"/>
        </w:rPr>
        <w:t xml:space="preserve"> területen összegyűlt személyek össztömege;</w:t>
      </w:r>
    </w:p>
    <w:p w:rsidR="005624E3" w:rsidRPr="00C903F8" w:rsidRDefault="003142CA" w:rsidP="005624E3">
      <w:pPr>
        <w:pStyle w:val="ESlet"/>
        <w:ind w:left="0"/>
        <w:rPr>
          <w:rFonts w:eastAsia="Calibri"/>
          <w:noProof/>
        </w:rPr>
      </w:pPr>
      <m:oMathPara>
        <m:oMath>
          <m:sSub>
            <m:sSubPr>
              <m:ctrlPr>
                <w:rPr>
                  <w:rFonts w:ascii="Cambria Math" w:eastAsia="Calibri" w:hAnsi="Cambria Math"/>
                  <w:i/>
                  <w:noProof/>
                </w:rPr>
              </m:ctrlPr>
            </m:sSubPr>
            <m:e>
              <m:r>
                <w:rPr>
                  <w:rFonts w:ascii="Cambria Math" w:eastAsia="Calibri" w:hAnsi="Cambria Math"/>
                  <w:noProof/>
                </w:rPr>
                <m:t>P</m:t>
              </m:r>
            </m:e>
            <m:sub>
              <m:r>
                <w:rPr>
                  <w:rFonts w:ascii="Cambria Math" w:eastAsia="Calibri" w:hAnsi="Cambria Math"/>
                  <w:noProof/>
                </w:rPr>
                <m:t>i</m:t>
              </m:r>
            </m:sub>
          </m:sSub>
          <m:r>
            <w:rPr>
              <w:rFonts w:ascii="Cambria Math" w:eastAsia="Calibri" w:hAnsi="Cambria Math"/>
              <w:noProof/>
            </w:rPr>
            <m:t xml:space="preserve">= </m:t>
          </m:r>
          <m:sSub>
            <m:sSubPr>
              <m:ctrlPr>
                <w:rPr>
                  <w:rFonts w:ascii="Cambria Math" w:eastAsia="Calibri" w:hAnsi="Cambria Math"/>
                  <w:i/>
                  <w:noProof/>
                </w:rPr>
              </m:ctrlPr>
            </m:sSubPr>
            <m:e>
              <m:r>
                <w:rPr>
                  <w:rFonts w:ascii="Cambria Math" w:eastAsia="Calibri" w:hAnsi="Cambria Math"/>
                  <w:noProof/>
                </w:rPr>
                <m:t>n</m:t>
              </m:r>
            </m:e>
            <m:sub>
              <m:r>
                <w:rPr>
                  <w:rFonts w:ascii="Cambria Math" w:eastAsia="Calibri" w:hAnsi="Cambria Math"/>
                  <w:noProof/>
                </w:rPr>
                <m:t>i</m:t>
              </m:r>
            </m:sub>
          </m:sSub>
          <m:r>
            <w:rPr>
              <w:rFonts w:ascii="Cambria Math" w:eastAsia="Calibri" w:hAnsi="Cambria Math"/>
              <w:noProof/>
            </w:rPr>
            <m:t xml:space="preserve"> ∙0,075 ∙ </m:t>
          </m:r>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r>
            <w:rPr>
              <w:rFonts w:ascii="Cambria Math" w:eastAsia="Calibri" w:hAnsi="Cambria Math"/>
              <w:noProof/>
            </w:rPr>
            <m:t xml:space="preserve"> [t]</m:t>
          </m:r>
        </m:oMath>
      </m:oMathPara>
    </w:p>
    <w:p w:rsidR="005624E3" w:rsidRPr="00C903F8" w:rsidRDefault="005624E3" w:rsidP="005624E3">
      <w:pPr>
        <w:pStyle w:val="ESchpar"/>
        <w:rPr>
          <w:rFonts w:eastAsia="Calibri"/>
          <w:noProof/>
        </w:rPr>
      </w:pPr>
      <w:r>
        <w:t>ahol:</w:t>
      </w:r>
    </w:p>
    <w:p w:rsidR="005624E3" w:rsidRPr="00C903F8" w:rsidRDefault="003142CA" w:rsidP="005624E3">
      <w:pPr>
        <w:pStyle w:val="ESlet"/>
        <w:rPr>
          <w:rFonts w:eastAsia="Calibri"/>
          <w:noProof/>
        </w:rPr>
      </w:pP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oMath>
      <w:r w:rsidR="005624E3">
        <w:t xml:space="preserve"> =</w:t>
      </w:r>
      <w:r w:rsidR="005624E3">
        <w:tab/>
        <w:t>a személyek által elfoglalt terület [m</w:t>
      </w:r>
      <w:r w:rsidR="005624E3">
        <w:rPr>
          <w:noProof/>
          <w:vertAlign w:val="superscript"/>
        </w:rPr>
        <w:t>2</w:t>
      </w:r>
      <w:r w:rsidR="005624E3">
        <w:t>]-ben;</w:t>
      </w:r>
    </w:p>
    <w:p w:rsidR="005624E3" w:rsidRPr="00C903F8" w:rsidRDefault="003142CA" w:rsidP="005624E3">
      <w:pPr>
        <w:pStyle w:val="ESlet"/>
        <w:rPr>
          <w:rFonts w:eastAsia="Calibri"/>
          <w:noProof/>
        </w:rPr>
      </w:pPr>
      <m:oMath>
        <m:sSub>
          <m:sSubPr>
            <m:ctrlPr>
              <w:rPr>
                <w:rFonts w:ascii="Cambria Math" w:eastAsia="Calibri" w:hAnsi="Cambria Math"/>
                <w:i/>
                <w:noProof/>
              </w:rPr>
            </m:ctrlPr>
          </m:sSubPr>
          <m:e>
            <m:r>
              <w:rPr>
                <w:rFonts w:ascii="Cambria Math" w:eastAsia="Calibri" w:hAnsi="Cambria Math"/>
                <w:noProof/>
              </w:rPr>
              <m:t>n</m:t>
            </m:r>
          </m:e>
          <m:sub>
            <m:r>
              <w:rPr>
                <w:rFonts w:ascii="Cambria Math" w:eastAsia="Calibri" w:hAnsi="Cambria Math"/>
                <w:noProof/>
              </w:rPr>
              <m:t>i</m:t>
            </m:r>
          </m:sub>
        </m:sSub>
      </m:oMath>
      <w:r w:rsidR="005624E3">
        <w:t xml:space="preserve"> =</w:t>
      </w:r>
      <w:r w:rsidR="005624E3">
        <w:tab/>
        <w:t>a személyek száma négyzetméterenként:</w:t>
      </w:r>
    </w:p>
    <w:p w:rsidR="005624E3" w:rsidRPr="00C903F8" w:rsidRDefault="003142CA" w:rsidP="005624E3">
      <w:pPr>
        <w:pStyle w:val="EStiret"/>
        <w:rPr>
          <w:rFonts w:eastAsia="Calibri"/>
        </w:rPr>
      </w:pPr>
      <m:oMath>
        <m:sSub>
          <m:sSubPr>
            <m:ctrlPr>
              <w:rPr>
                <w:rFonts w:ascii="Cambria Math" w:eastAsia="Calibri" w:hAnsi="Cambria Math"/>
                <w:i/>
              </w:rPr>
            </m:ctrlPr>
          </m:sSubPr>
          <m:e>
            <m:r>
              <w:rPr>
                <w:rFonts w:ascii="Cambria Math" w:eastAsia="Calibri" w:hAnsi="Cambria Math"/>
              </w:rPr>
              <m:t>n</m:t>
            </m:r>
          </m:e>
          <m:sub>
            <m:r>
              <w:rPr>
                <w:rFonts w:ascii="Cambria Math" w:eastAsia="Calibri" w:hAnsi="Cambria Math"/>
              </w:rPr>
              <m:t>i</m:t>
            </m:r>
          </m:sub>
        </m:sSub>
      </m:oMath>
      <w:r w:rsidR="005624E3">
        <w:t>=</w:t>
      </w:r>
      <w:r w:rsidR="005624E3">
        <w:tab/>
        <w:t xml:space="preserve">3,75 a szabad fedélzeti területekre és a mozdítható bútorokkal berendezett területekre; a rögzített ülőhelyekkel, mint pl. padokkal felszerelt fedélzetekre az </w:t>
      </w:r>
      <m:oMath>
        <m:sSub>
          <m:sSubPr>
            <m:ctrlPr>
              <w:rPr>
                <w:rFonts w:ascii="Cambria Math" w:eastAsia="Calibri" w:hAnsi="Cambria Math"/>
                <w:i/>
                <w:snapToGrid/>
                <w:color w:val="auto"/>
              </w:rPr>
            </m:ctrlPr>
          </m:sSubPr>
          <m:e>
            <m:r>
              <w:rPr>
                <w:rFonts w:ascii="Cambria Math" w:eastAsia="Calibri" w:hAnsi="Cambria Math"/>
              </w:rPr>
              <m:t>n</m:t>
            </m:r>
          </m:e>
          <m:sub>
            <m:r>
              <w:rPr>
                <w:rFonts w:ascii="Cambria Math" w:eastAsia="Calibri" w:hAnsi="Cambria Math"/>
              </w:rPr>
              <m:t>i</m:t>
            </m:r>
          </m:sub>
        </m:sSub>
      </m:oMath>
      <w:r w:rsidR="005624E3">
        <w:t xml:space="preserve"> kiszámítása úgy történik, hogy személyenként 0,50 m szélességet és 0,75 m ülésmélységet kell feltételezni;</w:t>
      </w:r>
    </w:p>
    <w:p w:rsidR="005624E3" w:rsidRPr="00C903F8" w:rsidRDefault="003142CA" w:rsidP="005624E3">
      <w:pPr>
        <w:pStyle w:val="ESlet"/>
        <w:rPr>
          <w:rFonts w:eastAsia="Calibri"/>
          <w:noProof/>
        </w:rPr>
      </w:pPr>
      <m:oMath>
        <m:sSub>
          <m:sSubPr>
            <m:ctrlPr>
              <w:rPr>
                <w:rFonts w:ascii="Cambria Math" w:eastAsia="Calibri" w:hAnsi="Cambria Math"/>
                <w:i/>
                <w:noProof/>
              </w:rPr>
            </m:ctrlPr>
          </m:sSubPr>
          <m:e>
            <m:r>
              <w:rPr>
                <w:rFonts w:ascii="Cambria Math" w:eastAsia="Calibri" w:hAnsi="Cambria Math"/>
                <w:noProof/>
              </w:rPr>
              <m:t>y</m:t>
            </m:r>
          </m:e>
          <m:sub>
            <m:r>
              <w:rPr>
                <w:rFonts w:ascii="Cambria Math" w:eastAsia="Calibri" w:hAnsi="Cambria Math"/>
                <w:noProof/>
              </w:rPr>
              <m:t>i</m:t>
            </m:r>
          </m:sub>
        </m:sSub>
      </m:oMath>
      <w:r w:rsidR="005624E3">
        <w:t xml:space="preserve"> =</w:t>
      </w:r>
      <w:r w:rsidR="005624E3">
        <w:tab/>
        <w:t xml:space="preserve">az </w:t>
      </w: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oMath>
      <w:r w:rsidR="005624E3">
        <w:t xml:space="preserve"> terület mértani középpontja és a középvonal közötti oldalirányú távolság [m]-ben.</w:t>
      </w:r>
    </w:p>
    <w:p w:rsidR="005624E3" w:rsidRPr="00C903F8" w:rsidRDefault="005624E3" w:rsidP="005624E3">
      <w:pPr>
        <w:pStyle w:val="ESch"/>
        <w:rPr>
          <w:rFonts w:eastAsia="Calibri"/>
          <w:noProof/>
        </w:rPr>
      </w:pPr>
    </w:p>
    <w:p w:rsidR="005624E3" w:rsidRPr="00C903F8" w:rsidRDefault="005624E3" w:rsidP="005624E3">
      <w:pPr>
        <w:pStyle w:val="ESchpar"/>
        <w:rPr>
          <w:rFonts w:eastAsia="Calibri" w:cs="Arial"/>
          <w:szCs w:val="18"/>
        </w:rPr>
      </w:pPr>
      <w:r>
        <w:t>A számítást az utasok jobb és bal oldalon történő összegyűlésének esetére egyaránt el kell végezni.</w:t>
      </w:r>
    </w:p>
    <w:p w:rsidR="005624E3" w:rsidRPr="00C903F8" w:rsidRDefault="005624E3" w:rsidP="005624E3">
      <w:pPr>
        <w:pStyle w:val="ESchpar"/>
        <w:rPr>
          <w:rFonts w:eastAsia="Calibri"/>
          <w:noProof/>
        </w:rPr>
      </w:pPr>
    </w:p>
    <w:p w:rsidR="005624E3" w:rsidRPr="00C903F8" w:rsidRDefault="005624E3" w:rsidP="005624E3">
      <w:pPr>
        <w:pStyle w:val="ESchpar"/>
        <w:rPr>
          <w:rFonts w:eastAsia="Calibri" w:cs="Arial"/>
          <w:szCs w:val="18"/>
        </w:rPr>
      </w:pPr>
      <w:r>
        <w:t>A személyek eloszlását a stabilitási szempontból legkedvezőtlenebbnek kell venni. A személyek általi nyomaték kiszámításakor a kabinokat üresnek kell venni.</w:t>
      </w:r>
    </w:p>
    <w:p w:rsidR="005624E3" w:rsidRPr="00C903F8" w:rsidRDefault="005624E3" w:rsidP="005624E3">
      <w:pPr>
        <w:pStyle w:val="ESchpar"/>
        <w:rPr>
          <w:rFonts w:eastAsia="Calibri"/>
          <w:noProof/>
        </w:rPr>
      </w:pPr>
    </w:p>
    <w:p w:rsidR="005624E3" w:rsidRPr="00C903F8" w:rsidRDefault="005624E3" w:rsidP="005624E3">
      <w:pPr>
        <w:pStyle w:val="ESchpar"/>
        <w:rPr>
          <w:rFonts w:eastAsia="Calibri" w:cs="Arial"/>
          <w:szCs w:val="18"/>
        </w:rPr>
      </w:pPr>
      <w:r>
        <w:t xml:space="preserve">A terhelési esetek kiszámításához a személyek tömegközéppontját a fedélzet legalacsonyabb pontja felett 1 m-rel, </w:t>
      </w:r>
      <m:oMath>
        <m:r>
          <w:rPr>
            <w:rFonts w:ascii="Cambria Math" w:eastAsia="Calibri" w:hAnsi="Cambria Math"/>
            <w:noProof/>
          </w:rPr>
          <m:t xml:space="preserve">0,5 </m:t>
        </m:r>
        <m:sSub>
          <m:sSubPr>
            <m:ctrlPr>
              <w:rPr>
                <w:rFonts w:ascii="Cambria Math" w:eastAsia="Calibri" w:hAnsi="Cambria Math"/>
                <w:i/>
                <w:noProof/>
              </w:rPr>
            </m:ctrlPr>
          </m:sSubPr>
          <m:e>
            <m:r>
              <w:rPr>
                <w:rFonts w:ascii="Cambria Math" w:eastAsia="Calibri" w:hAnsi="Cambria Math"/>
                <w:noProof/>
              </w:rPr>
              <m:t>L</m:t>
            </m:r>
          </m:e>
          <m:sub>
            <m:r>
              <w:rPr>
                <w:rFonts w:ascii="Cambria Math" w:eastAsia="Calibri" w:hAnsi="Cambria Math"/>
                <w:noProof/>
              </w:rPr>
              <m:t>WL</m:t>
            </m:r>
          </m:sub>
        </m:sSub>
      </m:oMath>
      <w:r>
        <w:t>-nél kell feltételezni, figyelmen kívül hagyva a fedélzet bármilyen görbületét, és személyenként 0,075 tonnányi tömeggel kell számolni.</w:t>
      </w:r>
    </w:p>
    <w:p w:rsidR="005624E3" w:rsidRPr="00C903F8" w:rsidRDefault="005624E3" w:rsidP="005624E3">
      <w:pPr>
        <w:pStyle w:val="ESchpar"/>
        <w:rPr>
          <w:rFonts w:eastAsia="Calibri"/>
          <w:noProof/>
        </w:rPr>
      </w:pPr>
    </w:p>
    <w:p w:rsidR="005624E3" w:rsidRPr="00C903F8" w:rsidRDefault="005624E3" w:rsidP="005624E3">
      <w:pPr>
        <w:pStyle w:val="ESchpar"/>
        <w:rPr>
          <w:rFonts w:eastAsia="Calibri"/>
          <w:noProof/>
        </w:rPr>
      </w:pPr>
      <w:r>
        <w:br w:type="page"/>
      </w:r>
    </w:p>
    <w:p w:rsidR="005624E3" w:rsidRPr="00C903F8" w:rsidRDefault="005624E3" w:rsidP="005624E3">
      <w:pPr>
        <w:pStyle w:val="ESchpar"/>
        <w:rPr>
          <w:rFonts w:eastAsia="Calibri"/>
          <w:noProof/>
        </w:rPr>
      </w:pPr>
      <w:r>
        <w:t>A személyek által elfoglalt fedélzeti terület pontos kiszámításától el lehet tekinteni, ha a következő értékeket alkalmazzák:</w:t>
      </w:r>
    </w:p>
    <w:p w:rsidR="005624E3" w:rsidRPr="00C903F8" w:rsidRDefault="005624E3" w:rsidP="005624E3">
      <w:pPr>
        <w:pStyle w:val="ESchpar"/>
        <w:rPr>
          <w:rFonts w:eastAsia="Calibri"/>
          <w:noProof/>
        </w:rPr>
      </w:pPr>
    </w:p>
    <w:p w:rsidR="005624E3" w:rsidRPr="00C903F8" w:rsidRDefault="005624E3" w:rsidP="005624E3">
      <w:pPr>
        <w:pStyle w:val="ESchpar"/>
        <w:rPr>
          <w:rFonts w:eastAsia="Calibri"/>
        </w:rPr>
      </w:pPr>
      <m:oMath>
        <m:r>
          <w:rPr>
            <w:rFonts w:ascii="Cambria Math" w:eastAsia="Calibri" w:hAnsi="Cambria Math" w:cs="Arial"/>
            <w:szCs w:val="18"/>
          </w:rPr>
          <m:t xml:space="preserve">P=1,1 ∙ </m:t>
        </m:r>
        <m:sSub>
          <m:sSubPr>
            <m:ctrlPr>
              <w:rPr>
                <w:rFonts w:ascii="Cambria Math" w:eastAsia="Calibri" w:hAnsi="Cambria Math" w:cs="Arial"/>
                <w:i/>
                <w:szCs w:val="18"/>
              </w:rPr>
            </m:ctrlPr>
          </m:sSubPr>
          <m:e>
            <m:r>
              <w:rPr>
                <w:rFonts w:ascii="Cambria Math" w:eastAsia="Calibri" w:hAnsi="Cambria Math" w:cs="Arial"/>
                <w:szCs w:val="18"/>
              </w:rPr>
              <m:t>F</m:t>
            </m:r>
          </m:e>
          <m:sub>
            <m:r>
              <w:rPr>
                <w:rFonts w:ascii="Cambria Math" w:eastAsia="Calibri" w:hAnsi="Cambria Math" w:cs="Arial"/>
                <w:szCs w:val="18"/>
              </w:rPr>
              <m:t>max</m:t>
            </m:r>
          </m:sub>
        </m:sSub>
        <m:r>
          <w:rPr>
            <w:rFonts w:ascii="Cambria Math" w:eastAsia="Calibri" w:hAnsi="Cambria Math" w:cs="Arial"/>
            <w:szCs w:val="18"/>
          </w:rPr>
          <m:t>∙0,075</m:t>
        </m:r>
      </m:oMath>
      <w:r>
        <w:t xml:space="preserve"> egynapos utazásra alkalmas hajó esetében</w:t>
      </w:r>
    </w:p>
    <w:p w:rsidR="005624E3" w:rsidRPr="00DB7D1E" w:rsidRDefault="005624E3" w:rsidP="005624E3">
      <w:pPr>
        <w:pStyle w:val="ESchpar"/>
        <w:spacing w:before="60"/>
        <w:ind w:left="992"/>
        <w:rPr>
          <w:rFonts w:eastAsia="Calibri" w:cs="Arial"/>
          <w:szCs w:val="18"/>
          <w:lang w:val="es-ES"/>
        </w:rPr>
      </w:pPr>
      <m:oMath>
        <m:r>
          <w:rPr>
            <w:rFonts w:ascii="Cambria Math" w:eastAsia="Calibri" w:hAnsi="Cambria Math" w:cs="Arial"/>
            <w:szCs w:val="18"/>
            <w:lang w:val="es-ES"/>
          </w:rPr>
          <m:t xml:space="preserve">1,5 ∙ </m:t>
        </m:r>
        <m:sSub>
          <m:sSubPr>
            <m:ctrlPr>
              <w:rPr>
                <w:rFonts w:ascii="Cambria Math" w:eastAsia="Calibri" w:hAnsi="Cambria Math" w:cs="Arial"/>
                <w:i/>
                <w:szCs w:val="18"/>
              </w:rPr>
            </m:ctrlPr>
          </m:sSubPr>
          <m:e>
            <m:r>
              <w:rPr>
                <w:rFonts w:ascii="Cambria Math" w:eastAsia="Calibri" w:hAnsi="Cambria Math" w:cs="Arial"/>
                <w:szCs w:val="18"/>
              </w:rPr>
              <m:t>F</m:t>
            </m:r>
          </m:e>
          <m:sub>
            <m:r>
              <w:rPr>
                <w:rFonts w:ascii="Cambria Math" w:eastAsia="Calibri" w:hAnsi="Cambria Math" w:cs="Arial"/>
                <w:szCs w:val="18"/>
              </w:rPr>
              <m:t>max</m:t>
            </m:r>
          </m:sub>
        </m:sSub>
        <m:r>
          <w:rPr>
            <w:rFonts w:ascii="Cambria Math" w:eastAsia="Calibri" w:hAnsi="Cambria Math" w:cs="Arial"/>
            <w:szCs w:val="18"/>
            <w:lang w:val="es-ES"/>
          </w:rPr>
          <m:t>∙0,075</m:t>
        </m:r>
      </m:oMath>
      <w:r w:rsidRPr="00DB7D1E">
        <w:rPr>
          <w:lang w:val="es-ES"/>
        </w:rPr>
        <w:t xml:space="preserve"> kabinos hajó esetében</w:t>
      </w:r>
    </w:p>
    <w:p w:rsidR="005624E3" w:rsidRPr="00DB7D1E" w:rsidRDefault="005624E3" w:rsidP="005624E3">
      <w:pPr>
        <w:pStyle w:val="ESletpar"/>
        <w:rPr>
          <w:rFonts w:eastAsia="Calibri"/>
          <w:lang w:val="es-ES"/>
        </w:rPr>
      </w:pPr>
      <w:r w:rsidRPr="00DB7D1E">
        <w:rPr>
          <w:lang w:val="es-ES"/>
        </w:rPr>
        <w:t xml:space="preserve">ahol: </w:t>
      </w:r>
    </w:p>
    <w:p w:rsidR="005624E3" w:rsidRPr="00DB7D1E" w:rsidRDefault="003142CA" w:rsidP="005624E3">
      <w:pPr>
        <w:pStyle w:val="EStiret"/>
        <w:ind w:left="1701" w:hanging="709"/>
        <w:rPr>
          <w:rFonts w:eastAsia="Calibri"/>
          <w:lang w:val="es-ES"/>
        </w:rPr>
      </w:pPr>
      <m:oMath>
        <m:sSub>
          <m:sSubPr>
            <m:ctrlPr>
              <w:rPr>
                <w:rFonts w:ascii="Cambria Math" w:eastAsia="Calibri" w:hAnsi="Cambria Math"/>
                <w:i/>
                <w:snapToGrid/>
                <w:color w:val="auto"/>
              </w:rPr>
            </m:ctrlPr>
          </m:sSubPr>
          <m:e>
            <m:r>
              <w:rPr>
                <w:rFonts w:ascii="Cambria Math" w:eastAsia="Calibri" w:hAnsi="Cambria Math"/>
              </w:rPr>
              <m:t>F</m:t>
            </m:r>
          </m:e>
          <m:sub>
            <m:r>
              <w:rPr>
                <w:rFonts w:ascii="Cambria Math" w:eastAsia="Calibri" w:hAnsi="Cambria Math"/>
              </w:rPr>
              <m:t>max</m:t>
            </m:r>
          </m:sub>
        </m:sSub>
      </m:oMath>
      <w:r w:rsidR="005624E3" w:rsidRPr="00DB7D1E">
        <w:rPr>
          <w:lang w:val="es-ES"/>
        </w:rPr>
        <w:t xml:space="preserve"> =</w:t>
      </w:r>
      <w:r w:rsidR="005624E3" w:rsidRPr="00DB7D1E">
        <w:rPr>
          <w:lang w:val="es-ES"/>
        </w:rPr>
        <w:tab/>
        <w:t xml:space="preserve">legnagyobb megengedett utaslétszám a fedélzeten </w:t>
      </w:r>
    </w:p>
    <w:p w:rsidR="005624E3" w:rsidRPr="00DB7D1E" w:rsidRDefault="005624E3" w:rsidP="005624E3">
      <w:pPr>
        <w:pStyle w:val="ESlet"/>
        <w:rPr>
          <w:rFonts w:eastAsia="Calibri"/>
          <w:lang w:val="es-ES"/>
        </w:rPr>
      </w:pPr>
      <m:oMath>
        <m:r>
          <w:rPr>
            <w:rFonts w:ascii="Cambria Math" w:eastAsia="Calibri" w:hAnsi="Cambria Math"/>
          </w:rPr>
          <m:t>y</m:t>
        </m:r>
        <m:r>
          <w:rPr>
            <w:rFonts w:ascii="Cambria Math" w:eastAsia="Calibri" w:hAnsi="Cambria Math"/>
            <w:lang w:val="es-ES"/>
          </w:rPr>
          <m:t>=</m:t>
        </m:r>
        <m:r>
          <w:rPr>
            <w:rFonts w:ascii="Cambria Math" w:eastAsia="Calibri" w:hAnsi="Cambria Math"/>
          </w:rPr>
          <m:t>B</m:t>
        </m:r>
        <m:r>
          <w:rPr>
            <w:rFonts w:ascii="Cambria Math" w:eastAsia="Calibri" w:hAnsi="Cambria Math"/>
            <w:lang w:val="es-ES"/>
          </w:rPr>
          <m:t>/2</m:t>
        </m:r>
      </m:oMath>
      <w:r w:rsidRPr="00DB7D1E">
        <w:rPr>
          <w:lang w:val="es-ES"/>
        </w:rPr>
        <w:t xml:space="preserve"> [m]-ben.</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noProof/>
          <w:lang w:val="es-ES"/>
        </w:rPr>
      </w:pPr>
      <w:r w:rsidRPr="00DB7D1E">
        <w:rPr>
          <w:lang w:val="es-ES"/>
        </w:rPr>
        <w:t>5.</w:t>
      </w:r>
      <w:r w:rsidRPr="00DB7D1E">
        <w:rPr>
          <w:lang w:val="es-ES"/>
        </w:rPr>
        <w:tab/>
        <w:t xml:space="preserve">A szélnyomás okozta </w:t>
      </w:r>
      <m:oMath>
        <m:sSub>
          <m:sSubPr>
            <m:ctrlPr>
              <w:rPr>
                <w:rFonts w:ascii="Cambria Math" w:eastAsia="Calibri" w:hAnsi="Cambria Math"/>
                <w:i/>
                <w:noProof/>
              </w:rPr>
            </m:ctrlPr>
          </m:sSubPr>
          <m:e>
            <m:r>
              <w:rPr>
                <w:rFonts w:ascii="Cambria Math" w:eastAsia="Calibri" w:hAnsi="Cambria Math"/>
                <w:noProof/>
              </w:rPr>
              <m:t>M</m:t>
            </m:r>
          </m:e>
          <m:sub>
            <m:r>
              <w:rPr>
                <w:rFonts w:ascii="Cambria Math" w:eastAsia="Calibri" w:hAnsi="Cambria Math"/>
                <w:noProof/>
              </w:rPr>
              <m:t>w</m:t>
            </m:r>
          </m:sub>
        </m:sSub>
      </m:oMath>
      <w:r w:rsidRPr="00DB7D1E">
        <w:rPr>
          <w:lang w:val="es-ES"/>
        </w:rPr>
        <w:t xml:space="preserve"> billenőnyomatékot az alábbiak szerint kell kiszámítani:</w:t>
      </w:r>
    </w:p>
    <w:p w:rsidR="005624E3" w:rsidRPr="00DB7D1E" w:rsidRDefault="005624E3" w:rsidP="005624E3">
      <w:pPr>
        <w:pStyle w:val="ESch"/>
        <w:rPr>
          <w:rFonts w:eastAsia="Calibri" w:cs="Arial"/>
          <w:szCs w:val="18"/>
          <w:lang w:val="es-ES"/>
        </w:rPr>
      </w:pPr>
    </w:p>
    <w:p w:rsidR="005624E3" w:rsidRPr="00C903F8" w:rsidRDefault="003142CA" w:rsidP="005624E3">
      <w:pPr>
        <w:pStyle w:val="ESch"/>
        <w:ind w:left="0" w:firstLine="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M</m:t>
              </m:r>
            </m:e>
            <m:sub>
              <m:r>
                <w:rPr>
                  <w:rFonts w:ascii="Cambria Math" w:eastAsia="Calibri" w:hAnsi="Cambria Math" w:cs="Arial"/>
                  <w:szCs w:val="18"/>
                </w:rPr>
                <m:t>w</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p</m:t>
              </m:r>
            </m:e>
            <m:sub>
              <m:r>
                <w:rPr>
                  <w:rFonts w:ascii="Cambria Math" w:eastAsia="Calibri" w:hAnsi="Cambria Math" w:cs="Arial"/>
                  <w:szCs w:val="18"/>
                </w:rPr>
                <m:t>w</m:t>
              </m:r>
            </m:sub>
          </m:sSub>
          <m:r>
            <w:rPr>
              <w:rFonts w:ascii="Cambria Math" w:eastAsia="Calibri" w:hAnsi="Cambria Math" w:cs="Arial"/>
              <w:szCs w:val="18"/>
            </w:rPr>
            <m:t xml:space="preserve"> ∙ </m:t>
          </m:r>
          <m:sSub>
            <m:sSubPr>
              <m:ctrlPr>
                <w:rPr>
                  <w:rFonts w:ascii="Cambria Math" w:eastAsia="Calibri" w:hAnsi="Cambria Math" w:cs="Arial"/>
                  <w:i/>
                  <w:szCs w:val="18"/>
                </w:rPr>
              </m:ctrlPr>
            </m:sSubPr>
            <m:e>
              <m:r>
                <w:rPr>
                  <w:rFonts w:ascii="Cambria Math" w:eastAsia="Calibri" w:hAnsi="Cambria Math" w:cs="Arial"/>
                  <w:szCs w:val="18"/>
                </w:rPr>
                <m:t>A</m:t>
              </m:r>
            </m:e>
            <m:sub>
              <m:r>
                <w:rPr>
                  <w:rFonts w:ascii="Cambria Math" w:eastAsia="Calibri" w:hAnsi="Cambria Math" w:cs="Arial"/>
                  <w:szCs w:val="18"/>
                </w:rPr>
                <m:t>w</m:t>
              </m:r>
            </m:sub>
          </m:sSub>
          <m:r>
            <w:rPr>
              <w:rFonts w:ascii="Cambria Math" w:eastAsia="Calibri" w:hAnsi="Cambria Math" w:cs="Arial"/>
              <w:szCs w:val="18"/>
            </w:rPr>
            <m:t xml:space="preserve"> ∙</m:t>
          </m:r>
          <m:d>
            <m:dPr>
              <m:ctrlPr>
                <w:rPr>
                  <w:rFonts w:ascii="Cambria Math" w:eastAsia="Calibri" w:hAnsi="Cambria Math" w:cs="Arial"/>
                  <w:i/>
                  <w:szCs w:val="18"/>
                </w:rPr>
              </m:ctrlPr>
            </m:dPr>
            <m:e>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m:t>
                  </m:r>
                </m:sub>
              </m:sSub>
              <m:r>
                <w:rPr>
                  <w:rFonts w:ascii="Cambria Math" w:eastAsia="Calibri" w:hAnsi="Cambria Math" w:cs="Arial"/>
                  <w:szCs w:val="18"/>
                </w:rPr>
                <m:t>+</m:t>
              </m:r>
              <m:f>
                <m:fPr>
                  <m:ctrlPr>
                    <w:rPr>
                      <w:rFonts w:ascii="Cambria Math" w:eastAsia="Calibri" w:hAnsi="Cambria Math" w:cs="Arial"/>
                      <w:i/>
                      <w:szCs w:val="18"/>
                    </w:rPr>
                  </m:ctrlPr>
                </m:fPr>
                <m:num>
                  <m:r>
                    <w:rPr>
                      <w:rFonts w:ascii="Cambria Math" w:eastAsia="Calibri" w:hAnsi="Cambria Math" w:cs="Arial"/>
                      <w:szCs w:val="18"/>
                    </w:rPr>
                    <m:t>T</m:t>
                  </m:r>
                </m:num>
                <m:den>
                  <m:r>
                    <w:rPr>
                      <w:rFonts w:ascii="Cambria Math" w:eastAsia="Calibri" w:hAnsi="Cambria Math" w:cs="Arial"/>
                      <w:szCs w:val="18"/>
                    </w:rPr>
                    <m:t>2</m:t>
                  </m:r>
                </m:den>
              </m:f>
            </m:e>
          </m:d>
          <m:r>
            <w:rPr>
              <w:rFonts w:ascii="Cambria Math" w:eastAsia="Calibri" w:hAnsi="Cambria Math" w:cs="Arial"/>
              <w:szCs w:val="18"/>
            </w:rPr>
            <m:t xml:space="preserve"> [kNm]</m:t>
          </m:r>
        </m:oMath>
      </m:oMathPara>
    </w:p>
    <w:p w:rsidR="005624E3" w:rsidRPr="00C903F8" w:rsidRDefault="005624E3" w:rsidP="005624E3">
      <w:pPr>
        <w:pStyle w:val="ESch"/>
        <w:rPr>
          <w:rFonts w:eastAsia="Calibri" w:cs="Arial"/>
          <w:szCs w:val="18"/>
        </w:rPr>
      </w:pPr>
    </w:p>
    <w:p w:rsidR="005624E3" w:rsidRPr="00C903F8" w:rsidRDefault="005624E3" w:rsidP="005624E3">
      <w:pPr>
        <w:pStyle w:val="ESchpar"/>
        <w:rPr>
          <w:rFonts w:eastAsia="Calibri" w:cs="Arial"/>
          <w:szCs w:val="18"/>
        </w:rPr>
      </w:pPr>
      <w:r>
        <w:t>ahol:</w:t>
      </w:r>
    </w:p>
    <w:p w:rsidR="005624E3" w:rsidRPr="00C903F8" w:rsidRDefault="003142CA" w:rsidP="005624E3">
      <w:pPr>
        <w:pStyle w:val="ESlet"/>
        <w:ind w:left="1134" w:hanging="567"/>
        <w:rPr>
          <w:rFonts w:eastAsia="Calibri" w:cs="Arial"/>
          <w:szCs w:val="18"/>
        </w:rPr>
      </w:pPr>
      <m:oMath>
        <m:sSub>
          <m:sSubPr>
            <m:ctrlPr>
              <w:rPr>
                <w:rFonts w:ascii="Cambria Math" w:eastAsia="Calibri" w:hAnsi="Cambria Math"/>
                <w:i/>
                <w:noProof/>
              </w:rPr>
            </m:ctrlPr>
          </m:sSubPr>
          <m:e>
            <m:r>
              <w:rPr>
                <w:rFonts w:ascii="Cambria Math" w:eastAsia="Calibri" w:hAnsi="Cambria Math"/>
                <w:noProof/>
              </w:rPr>
              <m:t>p</m:t>
            </m:r>
          </m:e>
          <m:sub>
            <m:r>
              <w:rPr>
                <w:rFonts w:ascii="Cambria Math" w:eastAsia="Calibri" w:hAnsi="Cambria Math"/>
                <w:noProof/>
              </w:rPr>
              <m:t>w</m:t>
            </m:r>
          </m:sub>
        </m:sSub>
      </m:oMath>
      <w:r w:rsidR="005624E3">
        <w:t xml:space="preserve"> =</w:t>
      </w:r>
      <w:r w:rsidR="005624E3">
        <w:tab/>
        <w:t>a fajlagos szélnyomás, amelynek értéke 0,25 kN/m²;</w:t>
      </w:r>
    </w:p>
    <w:p w:rsidR="005624E3" w:rsidRPr="00C903F8" w:rsidRDefault="003142CA" w:rsidP="005624E3">
      <w:pPr>
        <w:pStyle w:val="ESlet"/>
        <w:ind w:left="1134" w:hanging="567"/>
        <w:rPr>
          <w:rFonts w:eastAsia="Calibri" w:cs="Arial"/>
          <w:szCs w:val="18"/>
        </w:rPr>
      </w:pP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w</m:t>
            </m:r>
          </m:sub>
        </m:sSub>
      </m:oMath>
      <w:r w:rsidR="005624E3">
        <w:t xml:space="preserve"> =</w:t>
      </w:r>
      <w:r w:rsidR="005624E3">
        <w:tab/>
        <w:t>a szélnek kitett oldalfelület a vizsgált terhelési körülménynek megfelelő merülési sík felett [m²]-ben;</w:t>
      </w:r>
    </w:p>
    <w:p w:rsidR="005624E3" w:rsidRPr="00C903F8" w:rsidRDefault="003142CA" w:rsidP="005624E3">
      <w:pPr>
        <w:pStyle w:val="ESlet"/>
        <w:ind w:left="1134" w:hanging="567"/>
        <w:rPr>
          <w:rFonts w:eastAsia="Calibri" w:cs="Arial"/>
          <w:szCs w:val="18"/>
        </w:rPr>
      </w:pPr>
      <m:oMath>
        <m:sSub>
          <m:sSubPr>
            <m:ctrlPr>
              <w:rPr>
                <w:rFonts w:ascii="Cambria Math" w:eastAsia="Calibri" w:hAnsi="Cambria Math"/>
                <w:i/>
                <w:noProof/>
              </w:rPr>
            </m:ctrlPr>
          </m:sSubPr>
          <m:e>
            <m:r>
              <w:rPr>
                <w:rFonts w:ascii="Cambria Math" w:eastAsia="Calibri" w:hAnsi="Cambria Math"/>
                <w:noProof/>
              </w:rPr>
              <m:t>l</m:t>
            </m:r>
          </m:e>
          <m:sub>
            <m:r>
              <w:rPr>
                <w:rFonts w:ascii="Cambria Math" w:eastAsia="Calibri" w:hAnsi="Cambria Math"/>
                <w:noProof/>
              </w:rPr>
              <m:t>w</m:t>
            </m:r>
          </m:sub>
        </m:sSub>
      </m:oMath>
      <w:r w:rsidR="005624E3">
        <w:t xml:space="preserve"> =</w:t>
      </w:r>
      <w:r w:rsidR="005624E3">
        <w:tab/>
        <w:t>a szélnek kitett oldalfelület (</w:t>
      </w: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w</m:t>
            </m:r>
          </m:sub>
        </m:sSub>
      </m:oMath>
      <w:r w:rsidR="005624E3">
        <w:t>) tömegközéppontjának távolsága a vizsgált terhelési körülménynek megfelelő merülési síktól [m]-ben.</w:t>
      </w:r>
    </w:p>
    <w:p w:rsidR="005624E3" w:rsidRPr="00C903F8" w:rsidRDefault="005624E3" w:rsidP="005624E3">
      <w:pPr>
        <w:pStyle w:val="ESch"/>
        <w:rPr>
          <w:rFonts w:eastAsia="Calibri"/>
          <w:noProof/>
        </w:rPr>
      </w:pPr>
    </w:p>
    <w:p w:rsidR="005624E3" w:rsidRPr="00C903F8" w:rsidRDefault="005624E3" w:rsidP="005624E3">
      <w:pPr>
        <w:pStyle w:val="ESchpar"/>
        <w:rPr>
          <w:rFonts w:eastAsia="Calibri" w:cs="Arial"/>
          <w:szCs w:val="18"/>
        </w:rPr>
      </w:pPr>
      <w:r>
        <w:t>A szélnek kitett oldalfelület kiszámításakor figyelembe kell venni a fedélzet ponyvával és hasonló mobil felszerelésekkel történő tervezett körbezárását.</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noProof/>
        </w:rPr>
      </w:pPr>
      <w:r>
        <w:t>6.</w:t>
      </w:r>
      <w:r>
        <w:tab/>
        <w:t>A centrifugális erő miatt fellépő nyomatékot (</w:t>
      </w:r>
      <m:oMath>
        <m:sSub>
          <m:sSubPr>
            <m:ctrlPr>
              <w:rPr>
                <w:rFonts w:ascii="Cambria Math" w:eastAsia="Calibri" w:hAnsi="Cambria Math"/>
                <w:i/>
                <w:noProof/>
              </w:rPr>
            </m:ctrlPr>
          </m:sSubPr>
          <m:e>
            <m:r>
              <w:rPr>
                <w:rFonts w:ascii="Cambria Math" w:eastAsia="Calibri" w:hAnsi="Cambria Math"/>
                <w:noProof/>
              </w:rPr>
              <m:t>M</m:t>
            </m:r>
          </m:e>
          <m:sub>
            <m:r>
              <w:rPr>
                <w:rFonts w:ascii="Cambria Math" w:eastAsia="Calibri" w:hAnsi="Cambria Math"/>
                <w:noProof/>
              </w:rPr>
              <m:t>dr</m:t>
            </m:r>
          </m:sub>
        </m:sSub>
      </m:oMath>
      <w:r>
        <w:t>), amelyet a hajó fordulása okoz, az alábbiak szerint kell kiszámítani:</w:t>
      </w:r>
    </w:p>
    <w:p w:rsidR="005624E3" w:rsidRPr="00C903F8" w:rsidRDefault="005624E3" w:rsidP="005624E3">
      <w:pPr>
        <w:pStyle w:val="ESch"/>
        <w:rPr>
          <w:rFonts w:eastAsia="Calibri" w:cs="Arial"/>
          <w:szCs w:val="18"/>
        </w:rPr>
      </w:pPr>
    </w:p>
    <w:p w:rsidR="005624E3" w:rsidRPr="00C903F8" w:rsidRDefault="003142CA" w:rsidP="005624E3">
      <w:pPr>
        <w:pStyle w:val="ESch"/>
        <w:ind w:left="0" w:firstLine="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M</m:t>
              </m:r>
            </m:e>
            <m:sub>
              <m:r>
                <w:rPr>
                  <w:rFonts w:ascii="Cambria Math" w:eastAsia="Calibri" w:hAnsi="Cambria Math" w:cs="Arial"/>
                  <w:szCs w:val="18"/>
                </w:rPr>
                <m:t>dr</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c</m:t>
              </m:r>
            </m:e>
            <m:sub>
              <m:r>
                <w:rPr>
                  <w:rFonts w:ascii="Cambria Math" w:eastAsia="Calibri" w:hAnsi="Cambria Math" w:cs="Arial"/>
                  <w:szCs w:val="18"/>
                </w:rPr>
                <m:t>dr</m:t>
              </m:r>
            </m:sub>
          </m:sSub>
          <m:r>
            <w:rPr>
              <w:rFonts w:ascii="Cambria Math" w:eastAsia="Calibri" w:hAnsi="Cambria Math" w:cs="Arial"/>
              <w:szCs w:val="18"/>
            </w:rPr>
            <m:t xml:space="preserve"> ∙ </m:t>
          </m:r>
          <m:sSub>
            <m:sSubPr>
              <m:ctrlPr>
                <w:rPr>
                  <w:rFonts w:ascii="Cambria Math" w:eastAsia="Calibri" w:hAnsi="Cambria Math" w:cs="Arial"/>
                  <w:i/>
                  <w:szCs w:val="18"/>
                </w:rPr>
              </m:ctrlPr>
            </m:sSubPr>
            <m:e>
              <m:r>
                <w:rPr>
                  <w:rFonts w:ascii="Cambria Math" w:eastAsia="Calibri" w:hAnsi="Cambria Math" w:cs="Arial"/>
                  <w:szCs w:val="18"/>
                </w:rPr>
                <m:t>C</m:t>
              </m:r>
            </m:e>
            <m:sub>
              <m:r>
                <w:rPr>
                  <w:rFonts w:ascii="Cambria Math" w:eastAsia="Calibri" w:hAnsi="Cambria Math" w:cs="Arial"/>
                  <w:szCs w:val="18"/>
                </w:rPr>
                <m:t>B</m:t>
              </m:r>
            </m:sub>
          </m:sSub>
          <m:r>
            <w:rPr>
              <w:rFonts w:ascii="Cambria Math" w:eastAsia="Calibri" w:hAnsi="Cambria Math" w:cs="Arial"/>
              <w:szCs w:val="18"/>
            </w:rPr>
            <m:t xml:space="preserve"> ∙ </m:t>
          </m:r>
          <m:sSup>
            <m:sSupPr>
              <m:ctrlPr>
                <w:rPr>
                  <w:rFonts w:ascii="Cambria Math" w:eastAsia="Calibri" w:hAnsi="Cambria Math" w:cs="Arial"/>
                  <w:i/>
                  <w:szCs w:val="18"/>
                </w:rPr>
              </m:ctrlPr>
            </m:sSupPr>
            <m:e>
              <m:r>
                <w:rPr>
                  <w:rFonts w:ascii="Cambria Math" w:eastAsia="Calibri" w:hAnsi="Cambria Math" w:cs="Arial"/>
                  <w:szCs w:val="18"/>
                </w:rPr>
                <m:t>v</m:t>
              </m:r>
            </m:e>
            <m:sup>
              <m:r>
                <w:rPr>
                  <w:rFonts w:ascii="Cambria Math" w:eastAsia="Calibri" w:hAnsi="Cambria Math" w:cs="Arial"/>
                  <w:szCs w:val="18"/>
                </w:rPr>
                <m:t>2</m:t>
              </m:r>
            </m:sup>
          </m:sSup>
          <m:r>
            <w:rPr>
              <w:rFonts w:ascii="Cambria Math" w:eastAsia="Calibri" w:hAnsi="Cambria Math" w:cs="Arial"/>
              <w:szCs w:val="18"/>
            </w:rPr>
            <m:t xml:space="preserve"> ∙</m:t>
          </m:r>
          <m:f>
            <m:fPr>
              <m:ctrlPr>
                <w:rPr>
                  <w:rFonts w:ascii="Cambria Math" w:eastAsia="Calibri" w:hAnsi="Cambria Math" w:cs="Arial"/>
                  <w:i/>
                  <w:szCs w:val="18"/>
                </w:rPr>
              </m:ctrlPr>
            </m:fPr>
            <m:num>
              <m:r>
                <w:rPr>
                  <w:rFonts w:ascii="Cambria Math" w:eastAsia="Calibri" w:hAnsi="Cambria Math" w:cs="Arial"/>
                  <w:szCs w:val="18"/>
                </w:rPr>
                <m:t>D</m:t>
              </m:r>
            </m:num>
            <m:den>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r>
            <w:rPr>
              <w:rFonts w:ascii="Cambria Math" w:eastAsia="Calibri" w:hAnsi="Cambria Math" w:cs="Arial"/>
              <w:szCs w:val="18"/>
            </w:rPr>
            <m:t>∙</m:t>
          </m:r>
          <m:d>
            <m:dPr>
              <m:ctrlPr>
                <w:rPr>
                  <w:rFonts w:ascii="Cambria Math" w:eastAsia="Calibri" w:hAnsi="Cambria Math" w:cs="Arial"/>
                  <w:i/>
                  <w:szCs w:val="18"/>
                </w:rPr>
              </m:ctrlPr>
            </m:dPr>
            <m:e>
              <m:r>
                <w:rPr>
                  <w:rFonts w:ascii="Cambria Math" w:eastAsia="Calibri" w:hAnsi="Cambria Math" w:cs="Arial"/>
                  <w:szCs w:val="18"/>
                </w:rPr>
                <m:t>KG-</m:t>
              </m:r>
              <m:f>
                <m:fPr>
                  <m:ctrlPr>
                    <w:rPr>
                      <w:rFonts w:ascii="Cambria Math" w:eastAsia="Calibri" w:hAnsi="Cambria Math" w:cs="Arial"/>
                      <w:i/>
                      <w:szCs w:val="18"/>
                    </w:rPr>
                  </m:ctrlPr>
                </m:fPr>
                <m:num>
                  <m:r>
                    <w:rPr>
                      <w:rFonts w:ascii="Cambria Math" w:eastAsia="Calibri" w:hAnsi="Cambria Math" w:cs="Arial"/>
                      <w:szCs w:val="18"/>
                    </w:rPr>
                    <m:t>T</m:t>
                  </m:r>
                </m:num>
                <m:den>
                  <m:r>
                    <w:rPr>
                      <w:rFonts w:ascii="Cambria Math" w:eastAsia="Calibri" w:hAnsi="Cambria Math" w:cs="Arial"/>
                      <w:szCs w:val="18"/>
                    </w:rPr>
                    <m:t>2</m:t>
                  </m:r>
                </m:den>
              </m:f>
            </m:e>
          </m:d>
          <m:r>
            <w:rPr>
              <w:rFonts w:ascii="Cambria Math" w:eastAsia="Calibri" w:hAnsi="Cambria Math" w:cs="Arial"/>
              <w:szCs w:val="18"/>
            </w:rPr>
            <m:t xml:space="preserve"> [kNm]</m:t>
          </m:r>
        </m:oMath>
      </m:oMathPara>
    </w:p>
    <w:p w:rsidR="005624E3" w:rsidRPr="00C903F8" w:rsidRDefault="005624E3" w:rsidP="005624E3">
      <w:pPr>
        <w:pStyle w:val="ESch"/>
        <w:rPr>
          <w:rFonts w:eastAsia="Calibri" w:cs="Arial"/>
          <w:szCs w:val="18"/>
        </w:rPr>
      </w:pPr>
    </w:p>
    <w:p w:rsidR="005624E3" w:rsidRPr="00C903F8" w:rsidRDefault="005624E3" w:rsidP="005624E3">
      <w:pPr>
        <w:pStyle w:val="ESchpar"/>
        <w:rPr>
          <w:rFonts w:eastAsia="Calibri"/>
        </w:rPr>
      </w:pPr>
      <w:r>
        <w:t>ahol:</w:t>
      </w:r>
    </w:p>
    <w:p w:rsidR="005624E3" w:rsidRPr="00C903F8" w:rsidRDefault="003142CA" w:rsidP="005624E3">
      <w:pPr>
        <w:pStyle w:val="ESlet"/>
        <w:ind w:left="1134" w:hanging="567"/>
        <w:rPr>
          <w:rFonts w:eastAsia="Calibri"/>
          <w:szCs w:val="20"/>
        </w:rPr>
      </w:pPr>
      <m:oMath>
        <m:sSub>
          <m:sSubPr>
            <m:ctrlPr>
              <w:rPr>
                <w:rFonts w:ascii="Cambria Math" w:eastAsia="Calibri" w:hAnsi="Cambria Math"/>
                <w:i/>
                <w:szCs w:val="18"/>
              </w:rPr>
            </m:ctrlPr>
          </m:sSubPr>
          <m:e>
            <m:r>
              <w:rPr>
                <w:rFonts w:ascii="Cambria Math" w:eastAsia="Calibri" w:hAnsi="Cambria Math"/>
                <w:szCs w:val="18"/>
              </w:rPr>
              <m:t>C</m:t>
            </m:r>
          </m:e>
          <m:sub>
            <m:r>
              <w:rPr>
                <w:rFonts w:ascii="Cambria Math" w:eastAsia="Calibri" w:hAnsi="Cambria Math"/>
                <w:szCs w:val="18"/>
              </w:rPr>
              <m:t>dr</m:t>
            </m:r>
          </m:sub>
        </m:sSub>
      </m:oMath>
      <w:r w:rsidR="005624E3">
        <w:t xml:space="preserve"> =</w:t>
      </w:r>
      <w:r w:rsidR="005624E3">
        <w:tab/>
        <w:t>egy 0,45 értékű tényező;</w:t>
      </w:r>
    </w:p>
    <w:p w:rsidR="005624E3" w:rsidRPr="00C903F8" w:rsidRDefault="003142CA" w:rsidP="005624E3">
      <w:pPr>
        <w:pStyle w:val="ESlet"/>
        <w:ind w:left="1134" w:hanging="567"/>
        <w:rPr>
          <w:rFonts w:eastAsia="Calibri"/>
          <w:noProof/>
          <w:szCs w:val="20"/>
        </w:rPr>
      </w:pPr>
      <m:oMath>
        <m:sSub>
          <m:sSubPr>
            <m:ctrlPr>
              <w:rPr>
                <w:rFonts w:ascii="Cambria Math" w:eastAsia="Calibri" w:hAnsi="Cambria Math"/>
                <w:i/>
                <w:szCs w:val="18"/>
              </w:rPr>
            </m:ctrlPr>
          </m:sSubPr>
          <m:e>
            <m:r>
              <w:rPr>
                <w:rFonts w:ascii="Cambria Math" w:eastAsia="Calibri" w:hAnsi="Cambria Math"/>
                <w:szCs w:val="18"/>
              </w:rPr>
              <m:t>C</m:t>
            </m:r>
          </m:e>
          <m:sub>
            <m:r>
              <w:rPr>
                <w:rFonts w:ascii="Cambria Math" w:eastAsia="Calibri" w:hAnsi="Cambria Math"/>
                <w:szCs w:val="18"/>
              </w:rPr>
              <m:t>B</m:t>
            </m:r>
          </m:sub>
        </m:sSub>
      </m:oMath>
      <w:r w:rsidR="005624E3">
        <w:t xml:space="preserve"> =</w:t>
      </w:r>
      <w:r w:rsidR="005624E3">
        <w:tab/>
        <w:t>blokkolási tényező (ha nem ismert, akkor 1,0-nek kell venni);</w:t>
      </w:r>
    </w:p>
    <w:p w:rsidR="005624E3" w:rsidRPr="00DB7D1E" w:rsidRDefault="005624E3" w:rsidP="005624E3">
      <w:pPr>
        <w:pStyle w:val="ESlet"/>
        <w:ind w:left="1134" w:hanging="567"/>
        <w:rPr>
          <w:rFonts w:eastAsia="Calibri"/>
          <w:szCs w:val="20"/>
          <w:lang w:val="pt-PT"/>
        </w:rPr>
      </w:pPr>
      <m:oMath>
        <m:r>
          <w:rPr>
            <w:rFonts w:ascii="Cambria Math" w:eastAsia="Calibri" w:hAnsi="Cambria Math"/>
            <w:szCs w:val="20"/>
          </w:rPr>
          <m:t>v</m:t>
        </m:r>
      </m:oMath>
      <w:r w:rsidRPr="00DB7D1E">
        <w:rPr>
          <w:lang w:val="pt-PT"/>
        </w:rPr>
        <w:t xml:space="preserve"> =</w:t>
      </w:r>
      <w:r w:rsidRPr="00DB7D1E">
        <w:rPr>
          <w:lang w:val="pt-PT"/>
        </w:rPr>
        <w:tab/>
        <w:t>a hajó maximális sebessége [m/s]-ban;</w:t>
      </w:r>
    </w:p>
    <w:p w:rsidR="005624E3" w:rsidRPr="00DB7D1E" w:rsidRDefault="005624E3" w:rsidP="005624E3">
      <w:pPr>
        <w:pStyle w:val="ESlet"/>
        <w:ind w:left="1134" w:hanging="567"/>
        <w:rPr>
          <w:rFonts w:eastAsia="Calibri"/>
          <w:szCs w:val="20"/>
          <w:lang w:val="pt-PT"/>
        </w:rPr>
      </w:pPr>
      <m:oMath>
        <m:r>
          <w:rPr>
            <w:rFonts w:ascii="Cambria Math" w:eastAsia="Calibri" w:hAnsi="Cambria Math"/>
            <w:szCs w:val="20"/>
          </w:rPr>
          <m:t>KG</m:t>
        </m:r>
      </m:oMath>
      <w:r w:rsidRPr="00DB7D1E">
        <w:rPr>
          <w:lang w:val="pt-PT"/>
        </w:rPr>
        <w:t xml:space="preserve"> =</w:t>
      </w:r>
      <w:r w:rsidRPr="00DB7D1E">
        <w:rPr>
          <w:lang w:val="pt-PT"/>
        </w:rPr>
        <w:tab/>
        <w:t>a tömegközéppont és a gerincvonal közötti távolság [m]-ben.</w:t>
      </w:r>
    </w:p>
    <w:p w:rsidR="005624E3" w:rsidRPr="00DB7D1E" w:rsidRDefault="005624E3" w:rsidP="005624E3">
      <w:pPr>
        <w:pStyle w:val="ESch"/>
        <w:rPr>
          <w:rFonts w:eastAsia="Calibri"/>
          <w:noProof/>
          <w:lang w:val="pt-PT"/>
        </w:rPr>
      </w:pPr>
    </w:p>
    <w:p w:rsidR="005624E3" w:rsidRPr="00DB7D1E" w:rsidRDefault="005624E3" w:rsidP="005624E3">
      <w:pPr>
        <w:pStyle w:val="ESchpar"/>
        <w:rPr>
          <w:rFonts w:eastAsia="Calibri" w:cs="Arial"/>
          <w:szCs w:val="18"/>
          <w:lang w:val="pt-PT"/>
        </w:rPr>
      </w:pPr>
      <w:r w:rsidRPr="00DB7D1E">
        <w:rPr>
          <w:lang w:val="pt-PT"/>
        </w:rPr>
        <w:t xml:space="preserve">A 6.06. cikk szerinti propulziós rendszerekkel rendelkező személyhajók esetében az </w:t>
      </w:r>
      <m:oMath>
        <m:sSub>
          <m:sSubPr>
            <m:ctrlPr>
              <w:rPr>
                <w:rFonts w:ascii="Cambria Math" w:eastAsia="Calibri" w:hAnsi="Cambria Math"/>
                <w:i/>
                <w:szCs w:val="18"/>
              </w:rPr>
            </m:ctrlPr>
          </m:sSubPr>
          <m:e>
            <m:r>
              <w:rPr>
                <w:rFonts w:ascii="Cambria Math" w:eastAsia="Calibri" w:hAnsi="Cambria Math"/>
                <w:szCs w:val="18"/>
              </w:rPr>
              <m:t>M</m:t>
            </m:r>
          </m:e>
          <m:sub>
            <m:r>
              <w:rPr>
                <w:rFonts w:ascii="Cambria Math" w:eastAsia="Calibri" w:hAnsi="Cambria Math"/>
                <w:szCs w:val="18"/>
              </w:rPr>
              <m:t>dr</m:t>
            </m:r>
          </m:sub>
        </m:sSub>
      </m:oMath>
      <w:r w:rsidRPr="00DB7D1E">
        <w:rPr>
          <w:lang w:val="pt-PT"/>
        </w:rPr>
        <w:t>-t a teljes körű vagy modellpróbákból, egyébként pedig a megfelelő számításokból kell levezetni.</w:t>
      </w:r>
    </w:p>
    <w:p w:rsidR="005624E3" w:rsidRPr="00DB7D1E" w:rsidRDefault="005624E3" w:rsidP="005624E3">
      <w:pPr>
        <w:pStyle w:val="ESch"/>
        <w:rPr>
          <w:rFonts w:eastAsia="Calibri" w:cs="Arial"/>
          <w:szCs w:val="18"/>
          <w:lang w:val="pt-PT"/>
        </w:rPr>
      </w:pPr>
    </w:p>
    <w:p w:rsidR="005624E3" w:rsidRPr="00DB7D1E" w:rsidRDefault="005624E3" w:rsidP="005624E3">
      <w:pPr>
        <w:pStyle w:val="ESch"/>
        <w:rPr>
          <w:rFonts w:eastAsia="Calibri" w:cs="Arial"/>
          <w:szCs w:val="18"/>
          <w:lang w:val="pt-PT"/>
        </w:rPr>
      </w:pPr>
      <w:r w:rsidRPr="00DB7D1E">
        <w:rPr>
          <w:lang w:val="pt-PT"/>
        </w:rPr>
        <w:t>7.</w:t>
      </w:r>
      <w:r w:rsidRPr="00DB7D1E">
        <w:rPr>
          <w:lang w:val="pt-PT"/>
        </w:rPr>
        <w:tab/>
        <w:t>A kérelmezőnek számítással kell igazolnia, hogy a hajó sérült stabilitása megfelelő. Az elárasztás végső fázisára vonatkozó számításnak az úszóképesség csökkenésének módszerén kell alapulnia, míg az elárasztás közbenső fázisaira vonatkozó számításnak a hozzáadott tömeg módszerén. Minden számítást a megengedhető trimmre és süllyedésre vonatkoztatva kell elvégezni.</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8.</w:t>
      </w:r>
      <w:r w:rsidRPr="00DB7D1E">
        <w:rPr>
          <w:lang w:val="pt-PT"/>
        </w:rPr>
        <w:tab/>
        <w:t xml:space="preserve">A hajóra az elárasztás során ható felhajtóerőt </w:t>
      </w:r>
      <w:r w:rsidR="00380C1C">
        <w:rPr>
          <w:lang w:val="pt-PT"/>
        </w:rPr>
        <w:t xml:space="preserve">(a hajó úszóképességét) </w:t>
      </w:r>
      <w:r w:rsidRPr="00DB7D1E">
        <w:rPr>
          <w:lang w:val="pt-PT"/>
        </w:rPr>
        <w:t>a 2. bekezdésben meghatározott standard terhelési körülmények tekintetében kell igazolni. Ennek megfelelően, a kielégítő stabilitás matematikai igazolását az elárasztás három közbenső fázisára (a fokozatos elárasztás 25 %-os, 50 %-os és 75 %-os szintje) és az elárasztás végső fázisára kell megadni.</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noProof/>
          <w:lang w:val="pt-PT"/>
        </w:rPr>
      </w:pPr>
      <w:r w:rsidRPr="00DB7D1E">
        <w:rPr>
          <w:lang w:val="pt-PT"/>
        </w:rPr>
        <w:br w:type="page"/>
      </w:r>
    </w:p>
    <w:p w:rsidR="005624E3" w:rsidRPr="00DB7D1E" w:rsidRDefault="005624E3" w:rsidP="005624E3">
      <w:pPr>
        <w:pStyle w:val="ESch"/>
        <w:rPr>
          <w:rFonts w:eastAsia="Calibri" w:cs="Arial"/>
          <w:szCs w:val="18"/>
          <w:lang w:val="pt-PT"/>
        </w:rPr>
      </w:pPr>
      <w:r w:rsidRPr="00DB7D1E">
        <w:rPr>
          <w:lang w:val="pt-PT"/>
        </w:rPr>
        <w:t>9.</w:t>
      </w:r>
      <w:r w:rsidRPr="00DB7D1E">
        <w:rPr>
          <w:lang w:val="pt-PT"/>
        </w:rPr>
        <w:tab/>
        <w:t>A személyhajóknak meg kell felelniük az egyteres elárasztásra és a kétteres elárasztásra vonatkozó rendelkezéseknek.</w:t>
      </w:r>
    </w:p>
    <w:p w:rsidR="005624E3" w:rsidRPr="00DB7D1E" w:rsidRDefault="005624E3" w:rsidP="005624E3">
      <w:pPr>
        <w:pStyle w:val="ESch"/>
        <w:rPr>
          <w:rFonts w:eastAsia="Calibri"/>
          <w:noProof/>
          <w:lang w:val="pt-PT"/>
        </w:rPr>
      </w:pPr>
    </w:p>
    <w:p w:rsidR="005624E3" w:rsidRPr="00DB7D1E" w:rsidRDefault="005624E3" w:rsidP="005624E3">
      <w:pPr>
        <w:pStyle w:val="ESchpar"/>
        <w:rPr>
          <w:rFonts w:eastAsia="Calibri"/>
          <w:noProof/>
          <w:lang w:val="pt-PT"/>
        </w:rPr>
      </w:pPr>
      <w:r w:rsidRPr="00DB7D1E">
        <w:rPr>
          <w:lang w:val="pt-PT"/>
        </w:rPr>
        <w:t>Elárasztás esetén a következő feltételezésekből kell kiindulni a sérülés mértékére vonatkozóan:</w:t>
      </w:r>
    </w:p>
    <w:p w:rsidR="005624E3" w:rsidRPr="00DB7D1E" w:rsidRDefault="005624E3" w:rsidP="005624E3">
      <w:pPr>
        <w:pStyle w:val="ESchpar"/>
        <w:rPr>
          <w:rFonts w:eastAsia="Calibri"/>
          <w:noProof/>
          <w:lang w:val="pt-PT"/>
        </w:rPr>
      </w:pPr>
    </w:p>
    <w:tbl>
      <w:tblPr>
        <w:tblW w:w="0" w:type="auto"/>
        <w:tblLayout w:type="fixed"/>
        <w:tblLook w:val="0000" w:firstRow="0" w:lastRow="0" w:firstColumn="0" w:lastColumn="0" w:noHBand="0" w:noVBand="0"/>
      </w:tblPr>
      <w:tblGrid>
        <w:gridCol w:w="2786"/>
        <w:gridCol w:w="3250"/>
        <w:gridCol w:w="3250"/>
      </w:tblGrid>
      <w:tr w:rsidR="005624E3" w:rsidRPr="00C903F8" w:rsidTr="00101A80">
        <w:tc>
          <w:tcPr>
            <w:tcW w:w="2786" w:type="dxa"/>
            <w:tcBorders>
              <w:top w:val="single" w:sz="2" w:space="0" w:color="auto"/>
              <w:left w:val="single" w:sz="2" w:space="0" w:color="auto"/>
              <w:bottom w:val="single" w:sz="2" w:space="0" w:color="auto"/>
              <w:right w:val="single" w:sz="2" w:space="0" w:color="auto"/>
            </w:tcBorders>
          </w:tcPr>
          <w:p w:rsidR="005624E3" w:rsidRPr="00DB7D1E" w:rsidRDefault="005624E3" w:rsidP="00101A80">
            <w:pPr>
              <w:adjustRightInd w:val="0"/>
              <w:spacing w:before="60" w:after="60" w:line="240" w:lineRule="atLeast"/>
              <w:rPr>
                <w:rFonts w:cs="Arial"/>
                <w:noProof/>
                <w:sz w:val="18"/>
                <w:szCs w:val="18"/>
                <w:lang w:val="pt-PT"/>
              </w:rPr>
            </w:pP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r>
              <w:rPr>
                <w:noProof/>
                <w:sz w:val="18"/>
              </w:rPr>
              <w:t>Egyteres elárasztás</w:t>
            </w: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r>
              <w:rPr>
                <w:noProof/>
                <w:sz w:val="18"/>
              </w:rPr>
              <w:t>Kétteres elárasztás</w:t>
            </w:r>
          </w:p>
        </w:tc>
      </w:tr>
      <w:tr w:rsidR="005624E3" w:rsidRPr="00A0619C" w:rsidTr="00101A80">
        <w:tc>
          <w:tcPr>
            <w:tcW w:w="278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Az oldalsérülés mérete</w:t>
            </w: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p>
        </w:tc>
      </w:tr>
      <w:tr w:rsidR="005624E3" w:rsidRPr="00A0619C" w:rsidTr="00101A80">
        <w:tc>
          <w:tcPr>
            <w:tcW w:w="278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hosszirányban (</w:t>
            </w:r>
            <m:oMath>
              <m:r>
                <w:rPr>
                  <w:rFonts w:ascii="Cambria Math" w:hAnsi="Cambria Math" w:cs="Arial"/>
                  <w:noProof/>
                  <w:sz w:val="18"/>
                  <w:szCs w:val="18"/>
                </w:rPr>
                <m:t xml:space="preserve">l </m:t>
              </m:r>
            </m:oMath>
            <w:r>
              <w:rPr>
                <w:noProof/>
                <w:sz w:val="18"/>
              </w:rPr>
              <w:t>) [m]</w:t>
            </w: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m:oMath>
              <m:r>
                <w:rPr>
                  <w:rFonts w:ascii="Cambria Math" w:hAnsi="Cambria Math" w:cs="Arial"/>
                  <w:noProof/>
                  <w:sz w:val="18"/>
                  <w:szCs w:val="18"/>
                </w:rPr>
                <m:t xml:space="preserve">0,10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de legalább 4,00 m</w:t>
            </w: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m:oMath>
              <m:r>
                <w:rPr>
                  <w:rFonts w:ascii="Cambria Math" w:hAnsi="Cambria Math" w:cs="Arial"/>
                  <w:noProof/>
                  <w:sz w:val="18"/>
                  <w:szCs w:val="18"/>
                </w:rPr>
                <m:t xml:space="preserve">0,05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de legalább 2,25 m</w:t>
            </w:r>
          </w:p>
        </w:tc>
      </w:tr>
      <w:tr w:rsidR="005624E3" w:rsidRPr="00C903F8" w:rsidTr="00101A80">
        <w:tc>
          <w:tcPr>
            <w:tcW w:w="278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keresztirányban (</w:t>
            </w:r>
            <m:oMath>
              <m:r>
                <w:rPr>
                  <w:rFonts w:ascii="Cambria Math" w:hAnsi="Cambria Math" w:cs="Arial"/>
                  <w:noProof/>
                  <w:sz w:val="18"/>
                  <w:szCs w:val="18"/>
                </w:rPr>
                <m:t xml:space="preserve">b </m:t>
              </m:r>
            </m:oMath>
            <w:r>
              <w:rPr>
                <w:noProof/>
                <w:sz w:val="18"/>
              </w:rPr>
              <w:t>) [m]</w:t>
            </w: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r>
              <w:rPr>
                <w:noProof/>
                <w:sz w:val="18"/>
              </w:rPr>
              <w:t>B/5</w:t>
            </w: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r>
              <w:rPr>
                <w:noProof/>
                <w:sz w:val="18"/>
              </w:rPr>
              <w:t>0,59</w:t>
            </w:r>
          </w:p>
        </w:tc>
      </w:tr>
      <w:tr w:rsidR="005624E3" w:rsidRPr="00A0619C" w:rsidTr="00101A80">
        <w:tc>
          <w:tcPr>
            <w:tcW w:w="278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függőlegesen (</w:t>
            </w:r>
            <m:oMath>
              <m:r>
                <w:rPr>
                  <w:rFonts w:ascii="Cambria Math" w:hAnsi="Cambria Math" w:cs="Arial"/>
                  <w:noProof/>
                  <w:sz w:val="18"/>
                  <w:szCs w:val="18"/>
                </w:rPr>
                <m:t>h</m:t>
              </m:r>
            </m:oMath>
            <w:r>
              <w:rPr>
                <w:noProof/>
                <w:sz w:val="18"/>
              </w:rPr>
              <w:t>) [m]</w:t>
            </w:r>
          </w:p>
        </w:tc>
        <w:tc>
          <w:tcPr>
            <w:tcW w:w="6500" w:type="dxa"/>
            <w:gridSpan w:val="2"/>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a hajófenéktől felfelé, korlátozás nélkül</w:t>
            </w:r>
          </w:p>
        </w:tc>
      </w:tr>
      <w:tr w:rsidR="005624E3" w:rsidRPr="00A0619C" w:rsidTr="00101A80">
        <w:tc>
          <w:tcPr>
            <w:tcW w:w="278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A fenéksérülés mérete</w:t>
            </w: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p>
        </w:tc>
      </w:tr>
      <w:tr w:rsidR="005624E3" w:rsidRPr="00A0619C" w:rsidTr="00101A80">
        <w:tc>
          <w:tcPr>
            <w:tcW w:w="278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hosszirányban (</w:t>
            </w:r>
            <m:oMath>
              <m:r>
                <w:rPr>
                  <w:rFonts w:ascii="Cambria Math" w:hAnsi="Cambria Math" w:cs="Arial"/>
                  <w:noProof/>
                  <w:sz w:val="18"/>
                  <w:szCs w:val="18"/>
                </w:rPr>
                <m:t>l</m:t>
              </m:r>
            </m:oMath>
            <w:r>
              <w:rPr>
                <w:noProof/>
                <w:sz w:val="18"/>
              </w:rPr>
              <w:t>) [m]</w:t>
            </w: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m:oMath>
              <m:r>
                <w:rPr>
                  <w:rFonts w:ascii="Cambria Math" w:hAnsi="Cambria Math" w:cs="Arial"/>
                  <w:noProof/>
                  <w:sz w:val="18"/>
                  <w:szCs w:val="18"/>
                </w:rPr>
                <m:t xml:space="preserve">0,10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de legalább 4,00 m</w:t>
            </w:r>
          </w:p>
        </w:tc>
        <w:tc>
          <w:tcPr>
            <w:tcW w:w="3250"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m:oMath>
              <m:r>
                <w:rPr>
                  <w:rFonts w:ascii="Cambria Math" w:hAnsi="Cambria Math" w:cs="Arial"/>
                  <w:noProof/>
                  <w:sz w:val="18"/>
                  <w:szCs w:val="18"/>
                </w:rPr>
                <m:t xml:space="preserve">0,05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de legalább 2,25 m</w:t>
            </w:r>
          </w:p>
        </w:tc>
      </w:tr>
      <w:tr w:rsidR="005624E3" w:rsidRPr="00C903F8" w:rsidTr="00101A80">
        <w:tc>
          <w:tcPr>
            <w:tcW w:w="278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keresztirányban (</w:t>
            </w:r>
            <m:oMath>
              <m:r>
                <w:rPr>
                  <w:rFonts w:ascii="Cambria Math" w:hAnsi="Cambria Math" w:cs="Arial"/>
                  <w:noProof/>
                  <w:sz w:val="18"/>
                  <w:szCs w:val="18"/>
                </w:rPr>
                <m:t>b</m:t>
              </m:r>
            </m:oMath>
            <w:r>
              <w:rPr>
                <w:noProof/>
                <w:sz w:val="18"/>
              </w:rPr>
              <w:t>) [m]</w:t>
            </w:r>
          </w:p>
        </w:tc>
        <w:tc>
          <w:tcPr>
            <w:tcW w:w="6500" w:type="dxa"/>
            <w:gridSpan w:val="2"/>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jc w:val="center"/>
              <w:rPr>
                <w:rFonts w:cs="Arial"/>
                <w:noProof/>
                <w:sz w:val="18"/>
                <w:szCs w:val="18"/>
              </w:rPr>
            </w:pPr>
            <w:r>
              <w:rPr>
                <w:noProof/>
                <w:sz w:val="18"/>
              </w:rPr>
              <w:t>B/5</w:t>
            </w:r>
          </w:p>
        </w:tc>
      </w:tr>
      <w:tr w:rsidR="005624E3" w:rsidRPr="00A0619C" w:rsidTr="00101A80">
        <w:tc>
          <w:tcPr>
            <w:tcW w:w="2786" w:type="dxa"/>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függőlegesen (</w:t>
            </w:r>
            <m:oMath>
              <m:r>
                <w:rPr>
                  <w:rFonts w:ascii="Cambria Math" w:hAnsi="Cambria Math" w:cs="Arial"/>
                  <w:noProof/>
                  <w:sz w:val="18"/>
                  <w:szCs w:val="18"/>
                </w:rPr>
                <m:t>h</m:t>
              </m:r>
            </m:oMath>
            <w:r>
              <w:rPr>
                <w:noProof/>
                <w:sz w:val="18"/>
              </w:rPr>
              <w:t>) [m]</w:t>
            </w:r>
          </w:p>
        </w:tc>
        <w:tc>
          <w:tcPr>
            <w:tcW w:w="6500" w:type="dxa"/>
            <w:gridSpan w:val="2"/>
            <w:tcBorders>
              <w:top w:val="single" w:sz="2" w:space="0" w:color="auto"/>
              <w:left w:val="single" w:sz="2" w:space="0" w:color="auto"/>
              <w:bottom w:val="single" w:sz="2" w:space="0" w:color="auto"/>
              <w:right w:val="single" w:sz="2" w:space="0" w:color="auto"/>
            </w:tcBorders>
          </w:tcPr>
          <w:p w:rsidR="005624E3" w:rsidRPr="00C903F8" w:rsidRDefault="005624E3" w:rsidP="00101A80">
            <w:pPr>
              <w:spacing w:before="60" w:after="60" w:line="240" w:lineRule="atLeast"/>
              <w:rPr>
                <w:rFonts w:cs="Arial"/>
                <w:noProof/>
                <w:sz w:val="18"/>
                <w:szCs w:val="18"/>
              </w:rPr>
            </w:pPr>
            <w:r>
              <w:rPr>
                <w:noProof/>
                <w:sz w:val="18"/>
              </w:rPr>
              <w:t>0,59; a 19.02. cikk 13. bekezdésének c) pontja szerint felszerelt csővezetékeket épnek kell tekinteni</w:t>
            </w:r>
          </w:p>
        </w:tc>
      </w:tr>
    </w:tbl>
    <w:p w:rsidR="005624E3" w:rsidRPr="00C903F8" w:rsidRDefault="005624E3" w:rsidP="005624E3">
      <w:pPr>
        <w:pStyle w:val="ESchpar"/>
        <w:rPr>
          <w:rFonts w:eastAsia="Calibri"/>
          <w:noProof/>
        </w:rPr>
      </w:pPr>
    </w:p>
    <w:p w:rsidR="005624E3" w:rsidRPr="00C903F8" w:rsidRDefault="005624E3" w:rsidP="005624E3">
      <w:pPr>
        <w:pStyle w:val="ESlet"/>
        <w:rPr>
          <w:rFonts w:eastAsia="Calibri" w:cs="Arial"/>
          <w:szCs w:val="18"/>
        </w:rPr>
      </w:pPr>
      <w:r>
        <w:t>a)</w:t>
      </w:r>
      <w:r>
        <w:tab/>
        <w:t>Egyteres elárasztás esetén a válaszfalakat épnek lehet tekinteni, ha két szomszédos válaszfal közötti távolság nagyobb, mint a sérülés hossza. Azokat a hosszanti válaszfalakat, amelyek a legnagyobb merülés vonalában a hajó középvonalára merőlegesen mérve B/3-nál kisebb távolságra vannak az oldallemezeléstől, számítási célokra nem lehet figyelembe venni. A keresztirányú válaszfalban elhelyezett, 2,50 m-nél hosszabb válaszfalrekesz hosszanti válaszfalnak tekintendő.</w:t>
      </w:r>
    </w:p>
    <w:p w:rsidR="005624E3" w:rsidRPr="00C903F8" w:rsidRDefault="005624E3" w:rsidP="005624E3">
      <w:pPr>
        <w:pStyle w:val="ESlet"/>
        <w:rPr>
          <w:rFonts w:eastAsia="Calibri" w:cs="Arial"/>
          <w:szCs w:val="18"/>
        </w:rPr>
      </w:pPr>
      <w:r>
        <w:t>b)</w:t>
      </w:r>
      <w:r>
        <w:tab/>
        <w:t>Kétteres elárasztás esetén a sérülésen belüli valamennyi válaszfalat sérültnek kell tekinteni. Ez azt jelenti, hogy a válaszfalak helyét úgy kell megválasztani, hogy a személyhajó a hosszanti irányban egymáshoz kapcsolódó két vagy több rekesz elárasztása esetén továbbra is úszóképes maradjon.</w:t>
      </w:r>
    </w:p>
    <w:p w:rsidR="005624E3" w:rsidRPr="00C903F8" w:rsidRDefault="005624E3" w:rsidP="005624E3">
      <w:pPr>
        <w:pStyle w:val="ESlet"/>
        <w:rPr>
          <w:rFonts w:eastAsia="Calibri" w:cs="Arial"/>
          <w:szCs w:val="18"/>
        </w:rPr>
      </w:pPr>
      <w:r>
        <w:t>c)</w:t>
      </w:r>
      <w:r>
        <w:tab/>
        <w:t>Minden nem vízmentes nyílás (pl. ajtók, ablakok, lejárók) legalacsonyabb pontjának legalább 0,10 m-rel a sérülési vízszintvonal felett kell lennie. A válaszfalfedélzet nem kerülhet víz alá az elárasztás végső fázisában sem.</w:t>
      </w:r>
    </w:p>
    <w:p w:rsidR="005624E3" w:rsidRPr="00C903F8" w:rsidRDefault="005624E3" w:rsidP="005624E3">
      <w:pPr>
        <w:pStyle w:val="ESlet"/>
        <w:rPr>
          <w:rFonts w:eastAsia="Calibri" w:cs="Arial"/>
          <w:szCs w:val="18"/>
        </w:rPr>
      </w:pPr>
      <w:r>
        <w:t>d)</w:t>
      </w:r>
      <w:r>
        <w:tab/>
        <w:t>A vízáteresztő képességet 95 %-nak kell venni. Amennyiben számítással igazolható, hogy bármely rekesz átlagos vízáteresztő képessége 95 %-nál kisebb, a fenti érték helyett használható a kiszámított érték.</w:t>
      </w:r>
    </w:p>
    <w:p w:rsidR="005624E3" w:rsidRPr="00C903F8" w:rsidRDefault="005624E3" w:rsidP="005624E3">
      <w:pPr>
        <w:pStyle w:val="ESletpar"/>
        <w:rPr>
          <w:rFonts w:eastAsia="Calibri"/>
          <w:noProof/>
        </w:rPr>
      </w:pPr>
      <w:r>
        <w:t>Az alkalmazandó értékek nem lehetnek kisebbek az alábbiaknál:</w:t>
      </w:r>
    </w:p>
    <w:tbl>
      <w:tblPr>
        <w:tblW w:w="8392" w:type="dxa"/>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61"/>
        <w:gridCol w:w="1531"/>
      </w:tblGrid>
      <w:tr w:rsidR="005624E3" w:rsidRPr="00C903F8" w:rsidTr="00101A80">
        <w:tc>
          <w:tcPr>
            <w:tcW w:w="6861" w:type="dxa"/>
            <w:shd w:val="clear" w:color="auto" w:fill="auto"/>
            <w:vAlign w:val="center"/>
          </w:tcPr>
          <w:p w:rsidR="005624E3" w:rsidRPr="00C903F8" w:rsidRDefault="005624E3" w:rsidP="00101A80">
            <w:pPr>
              <w:pStyle w:val="ESlet"/>
              <w:ind w:left="0"/>
            </w:pPr>
            <w:r>
              <w:t>Társalgók</w:t>
            </w:r>
          </w:p>
        </w:tc>
        <w:tc>
          <w:tcPr>
            <w:tcW w:w="1531" w:type="dxa"/>
            <w:shd w:val="clear" w:color="auto" w:fill="auto"/>
            <w:vAlign w:val="center"/>
          </w:tcPr>
          <w:p w:rsidR="005624E3" w:rsidRPr="00C903F8" w:rsidRDefault="005624E3" w:rsidP="00101A80">
            <w:pPr>
              <w:pStyle w:val="ESlet"/>
              <w:ind w:left="0"/>
              <w:jc w:val="center"/>
            </w:pPr>
            <w:r>
              <w:t>95 %</w:t>
            </w:r>
          </w:p>
        </w:tc>
      </w:tr>
      <w:tr w:rsidR="005624E3" w:rsidRPr="00C903F8" w:rsidTr="00101A80">
        <w:tc>
          <w:tcPr>
            <w:tcW w:w="6861" w:type="dxa"/>
            <w:shd w:val="clear" w:color="auto" w:fill="auto"/>
            <w:vAlign w:val="center"/>
          </w:tcPr>
          <w:p w:rsidR="005624E3" w:rsidRPr="00C903F8" w:rsidRDefault="005624E3" w:rsidP="00101A80">
            <w:pPr>
              <w:pStyle w:val="ESlet"/>
              <w:ind w:left="0"/>
            </w:pPr>
            <w:r>
              <w:t>Gépterek és kazánterek</w:t>
            </w:r>
          </w:p>
        </w:tc>
        <w:tc>
          <w:tcPr>
            <w:tcW w:w="1531" w:type="dxa"/>
            <w:shd w:val="clear" w:color="auto" w:fill="auto"/>
            <w:vAlign w:val="center"/>
          </w:tcPr>
          <w:p w:rsidR="005624E3" w:rsidRPr="00C903F8" w:rsidRDefault="005624E3" w:rsidP="00101A80">
            <w:pPr>
              <w:pStyle w:val="ESlet"/>
              <w:ind w:left="0"/>
              <w:jc w:val="center"/>
            </w:pPr>
            <w:r>
              <w:t>85 %</w:t>
            </w:r>
          </w:p>
        </w:tc>
      </w:tr>
      <w:tr w:rsidR="005624E3" w:rsidRPr="00C903F8" w:rsidTr="00101A80">
        <w:tc>
          <w:tcPr>
            <w:tcW w:w="6861" w:type="dxa"/>
            <w:shd w:val="clear" w:color="auto" w:fill="auto"/>
            <w:vAlign w:val="center"/>
          </w:tcPr>
          <w:p w:rsidR="005624E3" w:rsidRPr="00C903F8" w:rsidRDefault="005624E3" w:rsidP="00101A80">
            <w:pPr>
              <w:pStyle w:val="ESlet"/>
              <w:ind w:left="0"/>
            </w:pPr>
            <w:r>
              <w:t>Poggyász- és raktárhelyiségek</w:t>
            </w:r>
          </w:p>
        </w:tc>
        <w:tc>
          <w:tcPr>
            <w:tcW w:w="1531" w:type="dxa"/>
            <w:shd w:val="clear" w:color="auto" w:fill="auto"/>
            <w:vAlign w:val="center"/>
          </w:tcPr>
          <w:p w:rsidR="005624E3" w:rsidRPr="00C903F8" w:rsidRDefault="005624E3" w:rsidP="00101A80">
            <w:pPr>
              <w:pStyle w:val="ESlet"/>
              <w:ind w:left="0"/>
              <w:jc w:val="center"/>
            </w:pPr>
            <w:r>
              <w:t>75 %</w:t>
            </w:r>
          </w:p>
        </w:tc>
      </w:tr>
      <w:tr w:rsidR="005624E3" w:rsidRPr="00C903F8" w:rsidTr="00101A80">
        <w:tc>
          <w:tcPr>
            <w:tcW w:w="6861" w:type="dxa"/>
            <w:shd w:val="clear" w:color="auto" w:fill="auto"/>
            <w:vAlign w:val="center"/>
          </w:tcPr>
          <w:p w:rsidR="005624E3" w:rsidRPr="00C903F8" w:rsidRDefault="005624E3" w:rsidP="00101A80">
            <w:pPr>
              <w:pStyle w:val="ESlet"/>
              <w:ind w:left="0"/>
            </w:pPr>
            <w:r>
              <w:t>Duplafenekek, tüzelőanyag-tartályok, ballaszt- és egyéb tartályok, attól függően, hogy ezek tervezett használatuk szerint telinek vagy üresnek tekintendők-e a hajó legnagyobb merülése mellett</w:t>
            </w:r>
          </w:p>
        </w:tc>
        <w:tc>
          <w:tcPr>
            <w:tcW w:w="1531" w:type="dxa"/>
            <w:shd w:val="clear" w:color="auto" w:fill="auto"/>
            <w:vAlign w:val="center"/>
          </w:tcPr>
          <w:p w:rsidR="005624E3" w:rsidRPr="00C903F8" w:rsidRDefault="005624E3" w:rsidP="00101A80">
            <w:pPr>
              <w:pStyle w:val="ESlet"/>
              <w:ind w:left="0"/>
              <w:jc w:val="center"/>
            </w:pPr>
            <w:r>
              <w:t>0 % vagy 95 %</w:t>
            </w:r>
          </w:p>
        </w:tc>
      </w:tr>
    </w:tbl>
    <w:p w:rsidR="005624E3" w:rsidRPr="00C903F8" w:rsidRDefault="005624E3" w:rsidP="005624E3">
      <w:pPr>
        <w:pStyle w:val="ESlet"/>
        <w:rPr>
          <w:rFonts w:eastAsia="Calibri" w:cs="Arial"/>
          <w:szCs w:val="18"/>
        </w:rPr>
      </w:pPr>
      <w:r>
        <w:t>e)</w:t>
      </w:r>
      <w:r>
        <w:tab/>
        <w:t>Ha a fentiekben meghatározottnál kisebb mértékű sérülés a dőlést vagy a metacentrikus magasságot hátrányosabban befolyásolja, számítási célokra ezt a sérülést kell figyelembe venni.</w:t>
      </w:r>
    </w:p>
    <w:p w:rsidR="005624E3" w:rsidRPr="00C903F8" w:rsidRDefault="005624E3" w:rsidP="005624E3">
      <w:pPr>
        <w:pStyle w:val="ESch"/>
        <w:rPr>
          <w:rFonts w:eastAsia="Calibri"/>
          <w:noProof/>
        </w:rPr>
      </w:pPr>
      <w:r>
        <w:br w:type="page"/>
      </w:r>
    </w:p>
    <w:p w:rsidR="005624E3" w:rsidRPr="00C903F8" w:rsidRDefault="005624E3" w:rsidP="005624E3">
      <w:pPr>
        <w:pStyle w:val="ESch"/>
        <w:rPr>
          <w:rFonts w:eastAsia="Calibri" w:cs="Arial"/>
          <w:szCs w:val="18"/>
        </w:rPr>
      </w:pPr>
      <w:r>
        <w:t>10.</w:t>
      </w:r>
      <w:r>
        <w:tab/>
        <w:t>Az elárasztás 8. bekezdésben említett minden közbenső fázisára vonatkozóan teljesülniük kell az alábbi követelményeknek:</w:t>
      </w:r>
    </w:p>
    <w:p w:rsidR="005624E3" w:rsidRPr="00C903F8" w:rsidRDefault="005624E3" w:rsidP="005624E3">
      <w:pPr>
        <w:pStyle w:val="ESlet"/>
        <w:rPr>
          <w:rFonts w:eastAsia="Calibri" w:cs="Arial"/>
          <w:szCs w:val="18"/>
        </w:rPr>
      </w:pPr>
      <w:r>
        <w:t>a)</w:t>
      </w:r>
      <w:r>
        <w:tab/>
        <w:t xml:space="preserve">A szóban forgó közbenső fázis egyensúlyi helyzetének </w:t>
      </w:r>
      <m:oMath>
        <m:r>
          <w:rPr>
            <w:rFonts w:ascii="Cambria Math" w:eastAsia="Calibri" w:hAnsi="Cambria Math"/>
            <w:noProof/>
          </w:rPr>
          <m:t>φ</m:t>
        </m:r>
      </m:oMath>
      <w:r>
        <w:t xml:space="preserve"> dőlésszöge nem haladhatja meg a 15°-ot.</w:t>
      </w:r>
    </w:p>
    <w:p w:rsidR="005624E3" w:rsidRPr="00C903F8" w:rsidRDefault="005624E3" w:rsidP="005624E3">
      <w:pPr>
        <w:pStyle w:val="ESlet"/>
        <w:rPr>
          <w:rFonts w:eastAsia="Calibri" w:cs="Arial"/>
          <w:szCs w:val="18"/>
        </w:rPr>
      </w:pPr>
      <w:r>
        <w:t>b)</w:t>
      </w:r>
      <w:r>
        <w:tab/>
        <w:t xml:space="preserve">A szóban forgó közbenső fázis egyensúlyi helyzetének dőlésszögén túl a stabilizáló kar görbéje pozitív szakaszának </w:t>
      </w:r>
      <m:oMath>
        <m:r>
          <w:rPr>
            <w:rFonts w:ascii="Cambria Math" w:eastAsia="Calibri" w:hAnsi="Cambria Math"/>
            <w:noProof/>
          </w:rPr>
          <m:t xml:space="preserve">GZ ≥0,02 m </m:t>
        </m:r>
      </m:oMath>
      <w:r>
        <w:t xml:space="preserve"> értéket kell mutatnia, mielőtt az első védelem nélküli nyílás víz alá kerül, vagy a dőlésszög (</w:t>
      </w:r>
      <m:oMath>
        <m:r>
          <w:rPr>
            <w:rFonts w:ascii="Cambria Math" w:eastAsia="Calibri" w:hAnsi="Cambria Math"/>
            <w:noProof/>
          </w:rPr>
          <m:t>φ</m:t>
        </m:r>
      </m:oMath>
      <w:r>
        <w:t>) eléri a 25°-ot.</w:t>
      </w:r>
    </w:p>
    <w:p w:rsidR="005624E3" w:rsidRPr="00C903F8" w:rsidRDefault="005624E3" w:rsidP="005624E3">
      <w:pPr>
        <w:pStyle w:val="ESlet"/>
        <w:rPr>
          <w:rFonts w:eastAsia="Calibri" w:cs="Arial"/>
          <w:szCs w:val="18"/>
        </w:rPr>
      </w:pPr>
      <w:r>
        <w:t>c)</w:t>
      </w:r>
      <w:r>
        <w:tab/>
        <w:t>A nem vízmentes nyílások a szóban forgó közbenső fázis egyensúlyi helyzetéhez tartozó dőlésszög eléréséig nem kerülhetnek víz alá.</w:t>
      </w:r>
    </w:p>
    <w:p w:rsidR="005624E3" w:rsidRPr="00C903F8" w:rsidRDefault="005624E3" w:rsidP="005624E3">
      <w:pPr>
        <w:pStyle w:val="ESlet"/>
        <w:rPr>
          <w:rFonts w:eastAsia="Calibri" w:cs="Arial"/>
          <w:szCs w:val="18"/>
        </w:rPr>
      </w:pPr>
      <w:r>
        <w:t>d)</w:t>
      </w:r>
      <w:r>
        <w:tab/>
        <w:t>Az elárasztás közbenső fázisaiban a szabad folyadékfelszín hatásának számításakor a sérült rekeszek teljes felületét kell figyelembe venni.</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 xml:space="preserve">11. </w:t>
      </w:r>
      <w:r>
        <w:tab/>
        <w:t>Az elárasztás végső fázisában a következő kritériumoknak kell teljesülniük a 4. bekezdés szerinti billenőnyomaték figyelembevételével:</w:t>
      </w:r>
    </w:p>
    <w:p w:rsidR="005624E3" w:rsidRPr="00DB7D1E" w:rsidRDefault="005624E3" w:rsidP="005624E3">
      <w:pPr>
        <w:pStyle w:val="ESlet"/>
        <w:rPr>
          <w:rFonts w:eastAsia="Calibri" w:cs="Arial"/>
          <w:szCs w:val="18"/>
          <w:lang w:val="pt-PT"/>
        </w:rPr>
      </w:pPr>
      <w:r w:rsidRPr="00DB7D1E">
        <w:rPr>
          <w:lang w:val="pt-PT"/>
        </w:rPr>
        <w:t>a)</w:t>
      </w:r>
      <w:r w:rsidRPr="00DB7D1E">
        <w:rPr>
          <w:lang w:val="pt-PT"/>
        </w:rPr>
        <w:tab/>
        <w:t xml:space="preserve">A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E</m:t>
            </m:r>
          </m:sub>
        </m:sSub>
      </m:oMath>
      <w:r w:rsidRPr="00DB7D1E">
        <w:rPr>
          <w:lang w:val="pt-PT"/>
        </w:rPr>
        <w:t xml:space="preserve"> dőlésszög nem haladhatja meg a 10°-ot.</w:t>
      </w:r>
    </w:p>
    <w:p w:rsidR="005624E3" w:rsidRPr="00DB7D1E" w:rsidRDefault="005624E3" w:rsidP="005624E3">
      <w:pPr>
        <w:pStyle w:val="ESlet"/>
        <w:rPr>
          <w:rFonts w:eastAsia="Calibri" w:cs="Arial"/>
          <w:szCs w:val="18"/>
          <w:lang w:val="pt-PT"/>
        </w:rPr>
      </w:pPr>
      <w:r w:rsidRPr="00DB7D1E">
        <w:rPr>
          <w:lang w:val="pt-PT"/>
        </w:rPr>
        <w:t>b)</w:t>
      </w:r>
      <w:r w:rsidRPr="00DB7D1E">
        <w:rPr>
          <w:lang w:val="pt-PT"/>
        </w:rPr>
        <w:tab/>
        <w:t xml:space="preserve">Az egyensúlyi helyzeten túl a stabilizáló kar görbéje pozitív szakaszának </w:t>
      </w:r>
      <m:oMath>
        <m:sSub>
          <m:sSubPr>
            <m:ctrlPr>
              <w:rPr>
                <w:rFonts w:ascii="Cambria Math" w:eastAsia="Calibri" w:hAnsi="Cambria Math"/>
                <w:i/>
                <w:noProof/>
              </w:rPr>
            </m:ctrlPr>
          </m:sSubPr>
          <m:e>
            <m:r>
              <w:rPr>
                <w:rFonts w:ascii="Cambria Math" w:eastAsia="Calibri" w:hAnsi="Cambria Math"/>
                <w:noProof/>
              </w:rPr>
              <m:t>GZ</m:t>
            </m:r>
          </m:e>
          <m:sub>
            <m:r>
              <w:rPr>
                <w:rFonts w:ascii="Cambria Math" w:eastAsia="Calibri" w:hAnsi="Cambria Math"/>
                <w:noProof/>
              </w:rPr>
              <m:t>R</m:t>
            </m:r>
          </m:sub>
        </m:sSub>
        <m:r>
          <w:rPr>
            <w:rFonts w:ascii="Cambria Math" w:eastAsia="Calibri" w:hAnsi="Cambria Math"/>
            <w:noProof/>
            <w:lang w:val="pt-PT"/>
          </w:rPr>
          <m:t xml:space="preserve"> ≥0,02 </m:t>
        </m:r>
        <m:r>
          <w:rPr>
            <w:rFonts w:ascii="Cambria Math" w:eastAsia="Calibri" w:hAnsi="Cambria Math"/>
            <w:noProof/>
          </w:rPr>
          <m:t>m</m:t>
        </m:r>
        <m:r>
          <w:rPr>
            <w:rFonts w:ascii="Cambria Math" w:eastAsia="Calibri" w:hAnsi="Cambria Math"/>
            <w:noProof/>
            <w:lang w:val="pt-PT"/>
          </w:rPr>
          <m:t xml:space="preserve"> </m:t>
        </m:r>
      </m:oMath>
      <w:r w:rsidRPr="00DB7D1E">
        <w:rPr>
          <w:lang w:val="pt-PT"/>
        </w:rPr>
        <w:t xml:space="preserve"> értéket kell mutatnia az </w:t>
      </w:r>
      <m:oMath>
        <m:r>
          <w:rPr>
            <w:rFonts w:ascii="Cambria Math" w:eastAsia="Calibri" w:hAnsi="Cambria Math"/>
            <w:noProof/>
          </w:rPr>
          <m:t>A</m:t>
        </m:r>
        <m:r>
          <w:rPr>
            <w:rFonts w:ascii="Cambria Math" w:eastAsia="Calibri" w:hAnsi="Cambria Math"/>
            <w:noProof/>
            <w:lang w:val="pt-PT"/>
          </w:rPr>
          <m:t xml:space="preserve"> ≥0,0025 </m:t>
        </m:r>
        <m:r>
          <w:rPr>
            <w:rFonts w:ascii="Cambria Math" w:eastAsia="Calibri" w:hAnsi="Cambria Math"/>
            <w:noProof/>
          </w:rPr>
          <m:t>m</m:t>
        </m:r>
        <m:r>
          <w:rPr>
            <w:rFonts w:ascii="Cambria Math" w:eastAsia="Calibri" w:hAnsi="Cambria Math"/>
            <w:noProof/>
            <w:lang w:val="pt-PT"/>
          </w:rPr>
          <m:t xml:space="preserve"> ∙</m:t>
        </m:r>
        <m:r>
          <w:rPr>
            <w:rFonts w:ascii="Cambria Math" w:eastAsia="Calibri" w:hAnsi="Cambria Math"/>
            <w:noProof/>
          </w:rPr>
          <m:t>rad</m:t>
        </m:r>
      </m:oMath>
      <w:r w:rsidRPr="00DB7D1E">
        <w:rPr>
          <w:lang w:val="pt-PT"/>
        </w:rPr>
        <w:t xml:space="preserve"> területre. Ezeket a stabilitási minimumértékeket az első védelem nélküli nyílás vízbemerüléséig, de minden esetben a 25°-os dőlésszög elérése előtt teljesíteni kell.</w:t>
      </w:r>
    </w:p>
    <w:p w:rsidR="005624E3" w:rsidRPr="00DB7D1E" w:rsidRDefault="005624E3" w:rsidP="005624E3">
      <w:pPr>
        <w:pStyle w:val="ESch"/>
        <w:rPr>
          <w:rFonts w:eastAsia="Calibri"/>
          <w:noProof/>
          <w:lang w:val="pt-PT"/>
        </w:rPr>
      </w:pPr>
    </w:p>
    <w:p w:rsidR="005624E3" w:rsidRPr="00C903F8" w:rsidRDefault="005624E3" w:rsidP="005624E3">
      <w:pPr>
        <w:pStyle w:val="ESch"/>
        <w:jc w:val="center"/>
        <w:rPr>
          <w:rFonts w:eastAsia="Calibri"/>
          <w:noProof/>
        </w:rPr>
      </w:pPr>
      <w:r>
        <w:rPr>
          <w:rFonts w:eastAsia="Calibri"/>
          <w:noProof/>
        </w:rPr>
        <w:drawing>
          <wp:inline distT="0" distB="0" distL="0" distR="0" wp14:anchorId="114284D5" wp14:editId="3FEEA73C">
            <wp:extent cx="5312664" cy="2831592"/>
            <wp:effectExtent l="0" t="0" r="2540" b="698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19_03_11b_en.jpg"/>
                    <pic:cNvPicPr/>
                  </pic:nvPicPr>
                  <pic:blipFill>
                    <a:blip r:embed="rId25">
                      <a:extLst>
                        <a:ext uri="{28A0092B-C50C-407E-A947-70E740481C1C}">
                          <a14:useLocalDpi xmlns:a14="http://schemas.microsoft.com/office/drawing/2010/main" val="0"/>
                        </a:ext>
                      </a:extLst>
                    </a:blip>
                    <a:stretch>
                      <a:fillRect/>
                    </a:stretch>
                  </pic:blipFill>
                  <pic:spPr>
                    <a:xfrm>
                      <a:off x="0" y="0"/>
                      <a:ext cx="5312664" cy="2831592"/>
                    </a:xfrm>
                    <a:prstGeom prst="rect">
                      <a:avLst/>
                    </a:prstGeom>
                  </pic:spPr>
                </pic:pic>
              </a:graphicData>
            </a:graphic>
          </wp:inline>
        </w:drawing>
      </w:r>
    </w:p>
    <w:p w:rsidR="005624E3" w:rsidRPr="00C903F8" w:rsidRDefault="005624E3" w:rsidP="005624E3">
      <w:pPr>
        <w:pStyle w:val="ESch"/>
        <w:ind w:left="0" w:firstLine="0"/>
        <w:jc w:val="center"/>
        <w:rPr>
          <w:rFonts w:eastAsia="Calibri" w:cs="Arial"/>
          <w:szCs w:val="18"/>
        </w:rPr>
      </w:pPr>
    </w:p>
    <w:p w:rsidR="005624E3" w:rsidRPr="00C903F8" w:rsidRDefault="005624E3" w:rsidP="005624E3">
      <w:pPr>
        <w:pStyle w:val="EStiret"/>
        <w:rPr>
          <w:rFonts w:eastAsia="Calibri" w:cs="Arial"/>
          <w:szCs w:val="18"/>
        </w:rPr>
      </w:pPr>
      <w:r>
        <w:t>Ahol:</w:t>
      </w:r>
    </w:p>
    <w:p w:rsidR="005624E3" w:rsidRPr="00C903F8" w:rsidRDefault="003142CA" w:rsidP="005624E3">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E</m:t>
            </m:r>
          </m:sub>
        </m:sSub>
      </m:oMath>
      <w:r w:rsidR="005624E3">
        <w:t xml:space="preserve"> </w:t>
      </w:r>
      <w:r w:rsidR="005624E3">
        <w:tab/>
        <w:t>a dőlésszög az elárasztás végső fázisában, figyelembe véve a 4. bekezdés szerinti nyomatékot;</w:t>
      </w:r>
    </w:p>
    <w:p w:rsidR="005624E3" w:rsidRPr="00C903F8" w:rsidRDefault="003142CA" w:rsidP="005624E3">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m</m:t>
            </m:r>
          </m:sub>
        </m:sSub>
      </m:oMath>
      <w:r w:rsidR="005624E3">
        <w:tab/>
        <w:t>a stabilitás terjedelmének szöge vagy az a szög, ahol az első védelem nélküli nyílás vízbe merül, vagy pedig 25°, a szerint, hogy melyik érték a kisebb;</w:t>
      </w:r>
    </w:p>
    <w:p w:rsidR="005624E3" w:rsidRPr="00C903F8" w:rsidRDefault="003142CA" w:rsidP="005624E3">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GZ</m:t>
            </m:r>
          </m:e>
          <m:sub>
            <m:r>
              <w:rPr>
                <w:rFonts w:ascii="Cambria Math" w:eastAsia="Calibri" w:hAnsi="Cambria Math"/>
              </w:rPr>
              <m:t>R</m:t>
            </m:r>
          </m:sub>
        </m:sSub>
      </m:oMath>
      <w:r w:rsidR="005624E3">
        <w:t xml:space="preserve"> </w:t>
      </w:r>
      <w:r w:rsidR="005624E3">
        <w:tab/>
        <w:t>a fennmaradó stabilizáló kar az elárasztás végső fázisában, figyelembe véve a 4. bekezdés szerinti nyomatékot;</w:t>
      </w:r>
    </w:p>
    <w:p w:rsidR="005624E3" w:rsidRPr="00C903F8" w:rsidRDefault="003142CA" w:rsidP="005624E3">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GZ</m:t>
            </m:r>
          </m:e>
          <m:sub>
            <m:r>
              <w:rPr>
                <w:rFonts w:ascii="Cambria Math" w:eastAsia="Calibri" w:hAnsi="Cambria Math"/>
              </w:rPr>
              <m:t>K</m:t>
            </m:r>
          </m:sub>
        </m:sSub>
      </m:oMath>
      <w:r w:rsidR="005624E3">
        <w:tab/>
        <w:t>a 4. bekezdés szerinti nyomatékból adódó dőléskar.</w:t>
      </w:r>
    </w:p>
    <w:p w:rsidR="005624E3" w:rsidRPr="00C903F8" w:rsidRDefault="005624E3" w:rsidP="005624E3">
      <w:pPr>
        <w:pStyle w:val="ESlet"/>
        <w:rPr>
          <w:rFonts w:eastAsia="Calibri"/>
          <w:noProof/>
        </w:rPr>
      </w:pPr>
      <w:r>
        <w:br w:type="page"/>
      </w:r>
    </w:p>
    <w:p w:rsidR="005624E3" w:rsidRPr="00C903F8" w:rsidRDefault="005624E3" w:rsidP="005624E3">
      <w:pPr>
        <w:pStyle w:val="ESlet"/>
        <w:rPr>
          <w:rFonts w:eastAsia="Calibri" w:cs="Arial"/>
          <w:szCs w:val="18"/>
        </w:rPr>
      </w:pPr>
      <w:r>
        <w:t>c)</w:t>
      </w:r>
      <w:r>
        <w:tab/>
        <w:t>A nem vízmentes nyílások nem kerülhetnek víz alá az egyensúlyi helyzet elérése előtt. Ha ezek a nyílások e pont előtt víz alá kerülnek, az átjárást biztosító helyiségeket a sérült stabilitás kiszámításának céljából elárasztottnak kell tekinteni.</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12.</w:t>
      </w:r>
      <w:r>
        <w:tab/>
        <w:t>A vízmentesen működő elzárószerkezeteket jelölni kell.</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13.</w:t>
      </w:r>
      <w:r>
        <w:tab/>
        <w:t>Amennyiben rendelkezésre állnak aszimmetrikus elárasztást csökkentő átfolyó nyílások, azoknak a következő feltételeknek kell megfelelniük:</w:t>
      </w:r>
    </w:p>
    <w:p w:rsidR="005624E3" w:rsidRPr="00C903F8" w:rsidRDefault="005624E3" w:rsidP="005624E3">
      <w:pPr>
        <w:pStyle w:val="ESlet"/>
        <w:rPr>
          <w:rFonts w:eastAsia="Calibri" w:cs="Arial"/>
          <w:szCs w:val="18"/>
        </w:rPr>
      </w:pPr>
      <w:r>
        <w:t>a)</w:t>
      </w:r>
      <w:r>
        <w:tab/>
        <w:t>az átfolyás kiszámítását az A.266 (VIII). sz. IMO-határozat</w:t>
      </w:r>
      <w:r>
        <w:rPr>
          <w:rStyle w:val="FootnoteReference"/>
          <w:noProof/>
        </w:rPr>
        <w:footnoteReference w:id="11"/>
      </w:r>
      <w:r>
        <w:t xml:space="preserve"> szerint kell végezni;</w:t>
      </w:r>
    </w:p>
    <w:p w:rsidR="005624E3" w:rsidRPr="00C903F8" w:rsidRDefault="005624E3" w:rsidP="005624E3">
      <w:pPr>
        <w:pStyle w:val="ESlet"/>
        <w:rPr>
          <w:rFonts w:eastAsia="Calibri" w:cs="Arial"/>
          <w:szCs w:val="18"/>
        </w:rPr>
      </w:pPr>
      <w:r>
        <w:t>b)</w:t>
      </w:r>
      <w:r>
        <w:tab/>
        <w:t>az átfolyóknak önműködőknek kell lenniük;</w:t>
      </w:r>
    </w:p>
    <w:p w:rsidR="005624E3" w:rsidRPr="00C903F8" w:rsidRDefault="005624E3" w:rsidP="005624E3">
      <w:pPr>
        <w:pStyle w:val="ESlet"/>
        <w:rPr>
          <w:rFonts w:eastAsia="Calibri" w:cs="Arial"/>
          <w:szCs w:val="18"/>
        </w:rPr>
      </w:pPr>
      <w:r>
        <w:t>c)</w:t>
      </w:r>
      <w:r>
        <w:tab/>
        <w:t>nem lehet rajtuk elzárószerkezet;</w:t>
      </w:r>
    </w:p>
    <w:p w:rsidR="005624E3" w:rsidRPr="00C903F8" w:rsidRDefault="005624E3" w:rsidP="005624E3">
      <w:pPr>
        <w:pStyle w:val="ESlet"/>
        <w:rPr>
          <w:rFonts w:eastAsia="Calibri" w:cs="Arial"/>
          <w:szCs w:val="18"/>
        </w:rPr>
      </w:pPr>
      <w:r>
        <w:t>d)</w:t>
      </w:r>
      <w:r>
        <w:tab/>
        <w:t>a kiegyenlítődés teljes megengedett időtartama nem lehet több 15 percnél.</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p>
    <w:p w:rsidR="005624E3" w:rsidRPr="00C903F8" w:rsidRDefault="005624E3" w:rsidP="005624E3">
      <w:pPr>
        <w:pStyle w:val="ES-Titre3"/>
        <w:rPr>
          <w:rFonts w:cs="Arial"/>
          <w:i/>
          <w:szCs w:val="18"/>
        </w:rPr>
      </w:pPr>
      <w:bookmarkStart w:id="352" w:name="_Toc491854173"/>
      <w:bookmarkStart w:id="353" w:name="_Toc535853952"/>
      <w:r>
        <w:t>19.04. cikk</w:t>
      </w:r>
      <w:r>
        <w:br/>
      </w:r>
      <w:r>
        <w:rPr>
          <w:i/>
          <w:noProof/>
        </w:rPr>
        <w:t>Biztonsági távolság és szabadoldal</w:t>
      </w:r>
      <w:bookmarkEnd w:id="352"/>
      <w:bookmarkEnd w:id="353"/>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1.</w:t>
      </w:r>
      <w:r>
        <w:tab/>
        <w:t>A biztonsági távolságnak legalább a következők összegével kell egyenlőnek lennie:</w:t>
      </w:r>
    </w:p>
    <w:p w:rsidR="005624E3" w:rsidRPr="00C903F8" w:rsidRDefault="005624E3" w:rsidP="005624E3">
      <w:pPr>
        <w:pStyle w:val="ESlet"/>
        <w:rPr>
          <w:rFonts w:eastAsia="Calibri" w:cs="Arial"/>
          <w:szCs w:val="18"/>
        </w:rPr>
      </w:pPr>
      <w:r>
        <w:t>a)</w:t>
      </w:r>
      <w:r>
        <w:tab/>
        <w:t>a további laterális bemerülés, amelyet a 19.03. cikk 3. bekezdésének e) pontja szerinti megengedhető dőlésszög okoz, és a külső lemezelésen kell mérni; és</w:t>
      </w:r>
    </w:p>
    <w:p w:rsidR="005624E3" w:rsidRPr="00C903F8" w:rsidRDefault="005624E3" w:rsidP="005624E3">
      <w:pPr>
        <w:pStyle w:val="ESlet"/>
        <w:rPr>
          <w:rFonts w:eastAsia="Calibri" w:cs="Arial"/>
          <w:szCs w:val="18"/>
        </w:rPr>
      </w:pPr>
      <w:r>
        <w:t>b)</w:t>
      </w:r>
      <w:r>
        <w:tab/>
        <w:t>a 19.03. cikk 3. bekezdésének g) pontja szerinti fennmaradó biztonsági távolság.</w:t>
      </w:r>
    </w:p>
    <w:p w:rsidR="005624E3" w:rsidRPr="00C903F8" w:rsidRDefault="005624E3" w:rsidP="005624E3">
      <w:pPr>
        <w:pStyle w:val="ESch"/>
        <w:rPr>
          <w:rFonts w:eastAsia="Calibri"/>
          <w:noProof/>
        </w:rPr>
      </w:pPr>
    </w:p>
    <w:p w:rsidR="005624E3" w:rsidRPr="00C903F8" w:rsidRDefault="005624E3" w:rsidP="005624E3">
      <w:pPr>
        <w:pStyle w:val="ESchpar"/>
        <w:rPr>
          <w:rFonts w:eastAsia="Calibri" w:cs="Arial"/>
          <w:szCs w:val="18"/>
        </w:rPr>
      </w:pPr>
      <w:r>
        <w:t>Válaszfalfedélzet nélküli hajók esetében a biztonsági távolságnak legalább 0,50 m-nek kell lennie.</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2.</w:t>
      </w:r>
      <w:r>
        <w:tab/>
        <w:t>A szabadoldalnak legalább a következők összegével kell egyenlőnek lennie:</w:t>
      </w:r>
    </w:p>
    <w:p w:rsidR="005624E3" w:rsidRPr="00C903F8" w:rsidRDefault="005624E3" w:rsidP="005624E3">
      <w:pPr>
        <w:pStyle w:val="ESlet"/>
        <w:rPr>
          <w:rFonts w:eastAsia="Calibri" w:cs="Arial"/>
          <w:szCs w:val="18"/>
        </w:rPr>
      </w:pPr>
      <w:r>
        <w:t>a)</w:t>
      </w:r>
      <w:r>
        <w:tab/>
        <w:t>a további laterális bemerülés, amelyet a 19.03. cikk 3. bekezdésének e) pontja szerinti dőlésszög okoz, és a külső lemezelésen kell mérni; és</w:t>
      </w:r>
    </w:p>
    <w:p w:rsidR="005624E3" w:rsidRPr="00C903F8" w:rsidRDefault="005624E3" w:rsidP="005624E3">
      <w:pPr>
        <w:pStyle w:val="ESlet"/>
        <w:rPr>
          <w:rFonts w:eastAsia="Calibri" w:cs="Arial"/>
          <w:szCs w:val="18"/>
        </w:rPr>
      </w:pPr>
      <w:r>
        <w:t>b)</w:t>
      </w:r>
      <w:r>
        <w:tab/>
        <w:t>a 19.03. cikk 3. bekezdésének f) pontja szerinti fennmaradó szabadoldal.</w:t>
      </w:r>
    </w:p>
    <w:p w:rsidR="005624E3" w:rsidRPr="00C903F8" w:rsidRDefault="005624E3" w:rsidP="005624E3">
      <w:pPr>
        <w:pStyle w:val="ESchpar"/>
        <w:rPr>
          <w:rFonts w:eastAsia="Calibri"/>
          <w:noProof/>
        </w:rPr>
      </w:pPr>
    </w:p>
    <w:p w:rsidR="005624E3" w:rsidRPr="00C903F8" w:rsidRDefault="005624E3" w:rsidP="005624E3">
      <w:pPr>
        <w:pStyle w:val="ESchpar"/>
        <w:rPr>
          <w:rFonts w:eastAsia="Calibri" w:cs="Arial"/>
          <w:szCs w:val="18"/>
        </w:rPr>
      </w:pPr>
      <w:r>
        <w:t>A szabadoldalnak azonban legalább 0,30 m-nek kell lennie.</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3.</w:t>
      </w:r>
      <w:r>
        <w:tab/>
        <w:t>A legnagyobb merülés síkját úgy kell meghatározni, hogy biztosítva legyen az 1. bekezdés szerinti biztonsági távolságnak és a 2. bekezdés szerinti szabadoldalnak, továbbá a 19.02. és 19.03. cikknek való megfelelés.</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4.</w:t>
      </w:r>
      <w:r>
        <w:tab/>
        <w:t>Biztonsági okokból az ellenőrző szerv előírhat nagyobb biztonsági távolságot és nagyobb szabadoldalt.</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noProof/>
        </w:rPr>
      </w:pPr>
    </w:p>
    <w:p w:rsidR="005624E3" w:rsidRPr="00C903F8" w:rsidRDefault="005624E3" w:rsidP="005624E3">
      <w:pPr>
        <w:pStyle w:val="ES-Titre3"/>
        <w:rPr>
          <w:rFonts w:cs="Arial"/>
          <w:i/>
          <w:szCs w:val="18"/>
        </w:rPr>
      </w:pPr>
      <w:bookmarkStart w:id="354" w:name="_Toc491854174"/>
      <w:bookmarkStart w:id="355" w:name="_Toc535853953"/>
      <w:r>
        <w:t>19.05. cikk</w:t>
      </w:r>
      <w:r>
        <w:br/>
      </w:r>
      <w:r>
        <w:rPr>
          <w:i/>
          <w:noProof/>
        </w:rPr>
        <w:t>Legnagyobb megengedett utaslétszám</w:t>
      </w:r>
      <w:bookmarkEnd w:id="354"/>
      <w:bookmarkEnd w:id="355"/>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1.</w:t>
      </w:r>
      <w:r>
        <w:tab/>
        <w:t>A legnagyobb megengedett utaslétszámot az ellenőrző szerv határozza meg, és ezt a számot bejegyzi a belvízi hajóbizonyítványba.</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2.</w:t>
      </w:r>
      <w:r>
        <w:tab/>
        <w:t>A legnagyobb megengedett utaslétszám nem lépheti túl az alábbi értékek egyikét sem:</w:t>
      </w:r>
    </w:p>
    <w:p w:rsidR="005624E3" w:rsidRPr="00C903F8" w:rsidRDefault="005624E3" w:rsidP="005624E3">
      <w:pPr>
        <w:pStyle w:val="ESlet"/>
        <w:rPr>
          <w:rFonts w:eastAsia="Calibri" w:cs="Arial"/>
          <w:szCs w:val="18"/>
        </w:rPr>
      </w:pPr>
      <w:r>
        <w:t>a)</w:t>
      </w:r>
      <w:r>
        <w:tab/>
        <w:t>az az utaslétszám, amelyre a 19.06. cikk 8. bekezdése szerinti evakuálási terület megléte bizonyított;</w:t>
      </w:r>
    </w:p>
    <w:p w:rsidR="005624E3" w:rsidRPr="00C903F8" w:rsidRDefault="005624E3" w:rsidP="005624E3">
      <w:pPr>
        <w:pStyle w:val="ESlet"/>
        <w:rPr>
          <w:rFonts w:eastAsia="Calibri"/>
          <w:noProof/>
        </w:rPr>
      </w:pPr>
      <w:r>
        <w:br w:type="page"/>
      </w:r>
    </w:p>
    <w:p w:rsidR="005624E3" w:rsidRPr="00C903F8" w:rsidRDefault="005624E3" w:rsidP="005624E3">
      <w:pPr>
        <w:pStyle w:val="ESlet"/>
        <w:rPr>
          <w:rFonts w:eastAsia="Calibri" w:cs="Arial"/>
          <w:szCs w:val="18"/>
        </w:rPr>
      </w:pPr>
      <w:r>
        <w:t>b)</w:t>
      </w:r>
      <w:r>
        <w:tab/>
        <w:t>a 19.03. cikk szerinti stabilitási számításhoz figyelembe vett utaslétszám;</w:t>
      </w:r>
    </w:p>
    <w:p w:rsidR="005624E3" w:rsidRPr="00C903F8" w:rsidRDefault="005624E3" w:rsidP="005624E3">
      <w:pPr>
        <w:pStyle w:val="ESlet"/>
        <w:rPr>
          <w:rFonts w:eastAsia="Calibri" w:cs="Arial"/>
          <w:szCs w:val="18"/>
        </w:rPr>
      </w:pPr>
      <w:r>
        <w:t>c)</w:t>
      </w:r>
      <w:r>
        <w:tab/>
        <w:t>a vendégéjszakákat is tartalmazó utakra szolgáló kabinos hajókon az utasok rendelkezésére álló fekhelyek száma.</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3.</w:t>
      </w:r>
      <w:r>
        <w:tab/>
        <w:t>Azoknál a kabinos hajóknál, amelyeket egynapos utazásra alkalmas hajókként is használnak, az utaslétszámot mind az egynapos utazásra, mind pedig a kabinos utazásra vonatkozóan ki kell számítani, és ezt be kell jegyezni a belvízi hajóbizonyítványba.</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4.</w:t>
      </w:r>
      <w:r>
        <w:tab/>
        <w:t>A legnagyobb megengedett utaslétszámot a hajó fedélzetén jól látható helyen és jól olvashatóan fel kell tüntetni.</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p>
    <w:p w:rsidR="005624E3" w:rsidRPr="00C903F8" w:rsidRDefault="005624E3" w:rsidP="005624E3">
      <w:pPr>
        <w:pStyle w:val="ES-Titre3"/>
        <w:rPr>
          <w:rFonts w:cs="Arial"/>
          <w:i/>
          <w:szCs w:val="18"/>
        </w:rPr>
      </w:pPr>
      <w:bookmarkStart w:id="356" w:name="_Toc491854175"/>
      <w:bookmarkStart w:id="357" w:name="_Toc535853954"/>
      <w:r>
        <w:t>19.06. cikk</w:t>
      </w:r>
      <w:r>
        <w:br/>
      </w:r>
      <w:r>
        <w:rPr>
          <w:i/>
          <w:noProof/>
        </w:rPr>
        <w:t>Utasterek és utasok által használt területek</w:t>
      </w:r>
      <w:bookmarkEnd w:id="356"/>
      <w:bookmarkEnd w:id="357"/>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1.</w:t>
      </w:r>
      <w:r>
        <w:tab/>
        <w:t>Az utastereknek:</w:t>
      </w:r>
    </w:p>
    <w:p w:rsidR="005624E3" w:rsidRPr="00C903F8" w:rsidRDefault="005624E3" w:rsidP="005624E3">
      <w:pPr>
        <w:pStyle w:val="ESlet"/>
        <w:rPr>
          <w:rFonts w:eastAsia="Calibri" w:cs="Arial"/>
          <w:szCs w:val="18"/>
        </w:rPr>
      </w:pPr>
      <w:r>
        <w:t>a)</w:t>
      </w:r>
      <w:r>
        <w:tab/>
        <w:t>minden fedélzeten az ütközési válaszfal mögött kell elhelyezkedniük, és amennyiben a válaszfalfedélzet alatt vannak, a farválaszfal előtt kell lenniük; és</w:t>
      </w:r>
    </w:p>
    <w:p w:rsidR="005624E3" w:rsidRPr="00C903F8" w:rsidRDefault="005624E3" w:rsidP="005624E3">
      <w:pPr>
        <w:pStyle w:val="ESlet"/>
        <w:rPr>
          <w:rFonts w:eastAsia="Calibri" w:cs="Arial"/>
          <w:szCs w:val="18"/>
        </w:rPr>
      </w:pPr>
      <w:r>
        <w:t>b)</w:t>
      </w:r>
      <w:r>
        <w:tab/>
        <w:t>a gépterektől és a kazánterektől gázzáró módon kell elválasztva lenniük.</w:t>
      </w:r>
    </w:p>
    <w:p w:rsidR="005624E3" w:rsidRPr="00C903F8" w:rsidRDefault="005624E3" w:rsidP="005624E3">
      <w:pPr>
        <w:pStyle w:val="ESch"/>
        <w:rPr>
          <w:rFonts w:eastAsia="Calibri"/>
          <w:noProof/>
        </w:rPr>
      </w:pPr>
    </w:p>
    <w:p w:rsidR="005624E3" w:rsidRPr="00C903F8" w:rsidRDefault="005624E3" w:rsidP="005624E3">
      <w:pPr>
        <w:pStyle w:val="ESchpar"/>
        <w:rPr>
          <w:rFonts w:eastAsia="Calibri" w:cs="Arial"/>
          <w:szCs w:val="18"/>
        </w:rPr>
      </w:pPr>
      <w:r>
        <w:t>A ponyvákkal vagy hasonló mobil felszerelésekkel nemcsak felülről, hanem teljesen vagy részben oldalról is zárt fedélzeti területeknek ugyanazon követelményeknek kell megfelelniük, mint a zárt utastereknek.</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2.</w:t>
      </w:r>
      <w:r>
        <w:tab/>
        <w:t>A 14.13. cikkben említett, gyúlékony folyadékok tárolására szolgáló szekrények és helyiségek nem lehetnek az utasok által használt területen.</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3.</w:t>
      </w:r>
      <w:r>
        <w:tab/>
        <w:t>Az utasterek kijáratai számának és szélességének az alábbi követelményeknek kell megfelelniük:</w:t>
      </w:r>
    </w:p>
    <w:p w:rsidR="005624E3" w:rsidRPr="00C903F8" w:rsidRDefault="005624E3" w:rsidP="005624E3">
      <w:pPr>
        <w:pStyle w:val="ESlet"/>
        <w:rPr>
          <w:rFonts w:eastAsia="Calibri" w:cs="Arial"/>
          <w:szCs w:val="18"/>
        </w:rPr>
      </w:pPr>
      <w:r>
        <w:t>a)</w:t>
      </w:r>
      <w:r>
        <w:tab/>
        <w:t>A 30 vagy több utas számára tervezett vagy berendezett, illetve 12 vagy több utas számára fekhelyet biztosító helyiségeknek vagy helyiségcsoportoknak legalább két kijárattal kell rendelkezniük. Egynapos utazásra alkalmas hajókon e két kijárat egyikét helyettesíteni lehet két vészkijárattal. A csak egy kijárattal rendelkező helyiségeknek és helyiségcsoportoknak – a kabinok kivételével – rendelkezniük kell legalább egy vészkijárattal.</w:t>
      </w:r>
    </w:p>
    <w:p w:rsidR="005624E3" w:rsidRPr="00C903F8" w:rsidRDefault="005624E3" w:rsidP="005624E3">
      <w:pPr>
        <w:pStyle w:val="ESlet"/>
        <w:rPr>
          <w:rFonts w:eastAsia="Calibri" w:cs="Arial"/>
          <w:szCs w:val="18"/>
        </w:rPr>
      </w:pPr>
      <w:r>
        <w:t>b)</w:t>
      </w:r>
      <w:r>
        <w:tab/>
        <w:t>Ha a helyiségek a válaszfalfedélzet alatt helyezkednek el, az egyik kijárat lehet egy, a 19.02. cikk 10. bekezdése szerinti vízmentes válaszfalajtó, amely egy olyan szomszédos rekeszbe vezet, ahonnan a felső fedélzet közvetlenül elérhető. A másik kijárat közvetlenül vagy – ha az a) pont megengedi – vészkijáratként a szabadba vagy a válaszfalfedélzetre vezet. Ez a követelmény nem vonatkozik az egyedi kabinokra.</w:t>
      </w:r>
    </w:p>
    <w:p w:rsidR="005624E3" w:rsidRPr="00C903F8" w:rsidRDefault="005624E3" w:rsidP="005624E3">
      <w:pPr>
        <w:pStyle w:val="ESlet"/>
        <w:rPr>
          <w:rFonts w:eastAsia="Calibri" w:cs="Arial"/>
          <w:szCs w:val="18"/>
        </w:rPr>
      </w:pPr>
      <w:r>
        <w:t>c)</w:t>
      </w:r>
      <w:r>
        <w:tab/>
        <w:t>Az a) és b) pont szerinti kijáratokat megfelelően kell elrendezni, szabad szélességüknek legalább 0,80 m-nek, szabad magasságuknak pedig legalább 2,00 m-nek kell lennie. Az utaskabinok és más kis helyiségek ajtajai esetében a szabad szélesség 0,70 m-re csökkenthető.</w:t>
      </w:r>
    </w:p>
    <w:p w:rsidR="005624E3" w:rsidRPr="00C903F8" w:rsidRDefault="005624E3" w:rsidP="005624E3">
      <w:pPr>
        <w:pStyle w:val="ESlet"/>
        <w:rPr>
          <w:rFonts w:eastAsia="Calibri" w:cs="Arial"/>
          <w:szCs w:val="18"/>
        </w:rPr>
      </w:pPr>
      <w:r>
        <w:t>d)</w:t>
      </w:r>
      <w:r>
        <w:tab/>
        <w:t>A 80 vagy annál több utas számára készült helyiségekben vagy helyiségcsoportokban az utasok számára tervezett és vészhelyzetben általuk használt kijáratok szélességeinek összege utasonként legalább 0,01 m.</w:t>
      </w:r>
    </w:p>
    <w:p w:rsidR="005624E3" w:rsidRPr="00C903F8" w:rsidRDefault="005624E3" w:rsidP="005624E3">
      <w:pPr>
        <w:pStyle w:val="ESlet"/>
        <w:rPr>
          <w:rFonts w:eastAsia="Calibri" w:cs="Arial"/>
          <w:szCs w:val="18"/>
        </w:rPr>
      </w:pPr>
      <w:r>
        <w:t>e)</w:t>
      </w:r>
      <w:r>
        <w:tab/>
        <w:t>Ha a kijáratok szabad szélességét az utasok száma határozza meg, minden egyes kijárat szélességének legalább 0,005 m-nek kell lennie utasonként.</w:t>
      </w:r>
    </w:p>
    <w:p w:rsidR="005624E3" w:rsidRPr="00C903F8" w:rsidRDefault="005624E3" w:rsidP="005624E3">
      <w:pPr>
        <w:pStyle w:val="ESlet"/>
        <w:rPr>
          <w:rFonts w:eastAsia="Calibri"/>
          <w:noProof/>
        </w:rPr>
      </w:pPr>
    </w:p>
    <w:p w:rsidR="005624E3" w:rsidRPr="00C903F8" w:rsidRDefault="005624E3" w:rsidP="005624E3">
      <w:pPr>
        <w:pStyle w:val="ESlet"/>
        <w:rPr>
          <w:rFonts w:eastAsia="Calibri"/>
          <w:noProof/>
        </w:rPr>
      </w:pPr>
      <w:r>
        <w:br w:type="page"/>
      </w:r>
    </w:p>
    <w:p w:rsidR="005624E3" w:rsidRPr="00C903F8" w:rsidRDefault="005624E3" w:rsidP="005624E3">
      <w:pPr>
        <w:pStyle w:val="ESlet"/>
        <w:rPr>
          <w:rFonts w:eastAsia="Calibri" w:cs="Arial"/>
          <w:szCs w:val="18"/>
        </w:rPr>
      </w:pPr>
      <w:r>
        <w:t>f)</w:t>
      </w:r>
      <w:r>
        <w:tab/>
        <w:t>A vészkijáratok rövidebb oldala legalább 0,60 m hosszú, illetve minimális átmérője 0,70 m. Ezeknek a menekülés irányába kell nyílniuk, és mindkét oldalukon jelölni kell őket.</w:t>
      </w:r>
    </w:p>
    <w:p w:rsidR="005624E3" w:rsidRPr="00C903F8" w:rsidRDefault="005624E3" w:rsidP="005624E3">
      <w:pPr>
        <w:pStyle w:val="ESlet"/>
        <w:rPr>
          <w:rFonts w:eastAsia="Calibri" w:cs="Arial"/>
          <w:szCs w:val="18"/>
        </w:rPr>
      </w:pPr>
      <w:r>
        <w:t>g)</w:t>
      </w:r>
      <w:r>
        <w:tab/>
        <w:t>A csökkent mozgásképességű személyek általi használatra szolgáló helyiségek kijáratai szabad szélességének legalább 0,90 m-nek kell lennie. Az általában a csökkent mozgásképességű személyek be- és kiszállására szolgáló kijáratok szabad szélességének legalább 1,50 m-nek kell lennie.</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4.</w:t>
      </w:r>
      <w:r>
        <w:tab/>
        <w:t>Az utasterek ajtajainak a következő követelményeknek kell megfelelniük:</w:t>
      </w:r>
    </w:p>
    <w:p w:rsidR="005624E3" w:rsidRPr="00C903F8" w:rsidRDefault="005624E3" w:rsidP="005624E3">
      <w:pPr>
        <w:pStyle w:val="ESlet"/>
        <w:rPr>
          <w:rFonts w:eastAsia="Calibri" w:cs="Arial"/>
          <w:szCs w:val="18"/>
        </w:rPr>
      </w:pPr>
      <w:r>
        <w:t>a)</w:t>
      </w:r>
      <w:r>
        <w:tab/>
        <w:t>Az összekötő folyosókra vezető ajtók kivételével kifelé kell nyílniuk vagy tolóajtóként kell működniük.</w:t>
      </w:r>
    </w:p>
    <w:p w:rsidR="005624E3" w:rsidRPr="00C903F8" w:rsidRDefault="005624E3" w:rsidP="005624E3">
      <w:pPr>
        <w:pStyle w:val="ESlet"/>
        <w:rPr>
          <w:rFonts w:eastAsia="Calibri" w:cs="Arial"/>
          <w:szCs w:val="18"/>
        </w:rPr>
      </w:pPr>
      <w:r>
        <w:t>b)</w:t>
      </w:r>
      <w:r>
        <w:tab/>
        <w:t>A kabinajtókat úgy kell kialakítani, hogy bármikor kívülről is nyithatók legyenek.</w:t>
      </w:r>
    </w:p>
    <w:p w:rsidR="005624E3" w:rsidRPr="00C903F8" w:rsidRDefault="005624E3" w:rsidP="005624E3">
      <w:pPr>
        <w:pStyle w:val="ESlet"/>
        <w:rPr>
          <w:rFonts w:eastAsia="Calibri" w:cs="Arial"/>
          <w:szCs w:val="18"/>
        </w:rPr>
      </w:pPr>
      <w:r>
        <w:t>c)</w:t>
      </w:r>
      <w:r>
        <w:tab/>
        <w:t>A gépi meghajtású ajtóknak könnyen nyithatóknak kell lenniük akkor is, ha a szerkezet áramforrása meghibásodik.</w:t>
      </w:r>
    </w:p>
    <w:p w:rsidR="005624E3" w:rsidRPr="00C903F8" w:rsidRDefault="005624E3" w:rsidP="005624E3">
      <w:pPr>
        <w:pStyle w:val="ESlet"/>
        <w:rPr>
          <w:rFonts w:eastAsia="Calibri" w:cs="Arial"/>
          <w:szCs w:val="18"/>
        </w:rPr>
      </w:pPr>
      <w:r>
        <w:t>d)</w:t>
      </w:r>
      <w:r>
        <w:tab/>
        <w:t>A csökkent mozgásképességű személyek általi használatra szolgáló ajtók esetében az ajtó nyílásának iránya szerinti oldalon legalább 0,60 m távolságnak kell lennie a zár oldalán az ajtókeret belső éle és a mellette lévő függőleges fal között.</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5.</w:t>
      </w:r>
      <w:r>
        <w:tab/>
        <w:t>Az összekötő folyosóknak a következő követelményeknek kell megfelelniük:</w:t>
      </w:r>
    </w:p>
    <w:p w:rsidR="005624E3" w:rsidRPr="00C903F8" w:rsidRDefault="005624E3" w:rsidP="005624E3">
      <w:pPr>
        <w:pStyle w:val="ESlet"/>
        <w:rPr>
          <w:rFonts w:eastAsia="Calibri" w:cs="Arial"/>
          <w:szCs w:val="18"/>
        </w:rPr>
      </w:pPr>
      <w:r>
        <w:t>a)</w:t>
      </w:r>
      <w:r>
        <w:tab/>
        <w:t>Előírt szabad szélességük legalább 0,80 m. Ha 80-nál több utas által használt helyiségekbe vezetnek, meg kell felelniük a 3. bekezdés d) és e) pontjában említett, az összekötő folyosókra vezető kijáratok szélességére vonatkozó rendelkezéseknek.</w:t>
      </w:r>
    </w:p>
    <w:p w:rsidR="005624E3" w:rsidRPr="00C903F8" w:rsidRDefault="005624E3" w:rsidP="005624E3">
      <w:pPr>
        <w:pStyle w:val="ESlet"/>
        <w:rPr>
          <w:rFonts w:eastAsia="Calibri" w:cs="Arial"/>
          <w:szCs w:val="18"/>
        </w:rPr>
      </w:pPr>
      <w:r>
        <w:t>b)</w:t>
      </w:r>
      <w:r>
        <w:tab/>
        <w:t>Szabad magasságuk legalább 2,00 m.</w:t>
      </w:r>
    </w:p>
    <w:p w:rsidR="005624E3" w:rsidRPr="00C903F8" w:rsidRDefault="005624E3" w:rsidP="005624E3">
      <w:pPr>
        <w:pStyle w:val="ESlet"/>
        <w:rPr>
          <w:rFonts w:eastAsia="Calibri" w:cs="Arial"/>
          <w:szCs w:val="18"/>
        </w:rPr>
      </w:pPr>
      <w:r>
        <w:t>c)</w:t>
      </w:r>
      <w:r>
        <w:tab/>
        <w:t>A csökkent mozgásképességű személyek általi használatra szolgáló összekötő folyosók szabad szélessége legalább 1,30 m. Az 1,50 m-nél szélesebb összekötő folyosók mindkét oldalán kapaszkodót kell felszerelni.</w:t>
      </w:r>
    </w:p>
    <w:p w:rsidR="005624E3" w:rsidRPr="00C903F8" w:rsidRDefault="005624E3" w:rsidP="005624E3">
      <w:pPr>
        <w:pStyle w:val="ESlet"/>
        <w:rPr>
          <w:rFonts w:eastAsia="Calibri" w:cs="Arial"/>
          <w:szCs w:val="18"/>
        </w:rPr>
      </w:pPr>
      <w:r>
        <w:t>d)</w:t>
      </w:r>
      <w:r>
        <w:tab/>
        <w:t>Ha az utasok számára kijelölt hajórészbe vagy helyiségbe csak egy összekötő folyosón keresztül lehet eljutni, annak szabad szélessége legalább 1,00 m.</w:t>
      </w:r>
    </w:p>
    <w:p w:rsidR="005624E3" w:rsidRPr="00C903F8" w:rsidRDefault="005624E3" w:rsidP="005624E3">
      <w:pPr>
        <w:pStyle w:val="ESlet"/>
        <w:rPr>
          <w:rFonts w:eastAsia="Calibri" w:cs="Arial"/>
          <w:szCs w:val="18"/>
        </w:rPr>
      </w:pPr>
      <w:r>
        <w:t>e)</w:t>
      </w:r>
      <w:r>
        <w:tab/>
        <w:t>Az összekötő folyosókon nem lehetnek lépcsőfokok.</w:t>
      </w:r>
    </w:p>
    <w:p w:rsidR="005624E3" w:rsidRPr="00C903F8" w:rsidRDefault="005624E3" w:rsidP="005624E3">
      <w:pPr>
        <w:pStyle w:val="ESlet"/>
        <w:rPr>
          <w:rFonts w:eastAsia="Calibri" w:cs="Arial"/>
          <w:szCs w:val="18"/>
        </w:rPr>
      </w:pPr>
      <w:r>
        <w:t>f)</w:t>
      </w:r>
      <w:r>
        <w:tab/>
        <w:t>Az összekötő folyosók csak a nyílt fedélzetre, helyiségekbe vagy lépcsőkhöz vezethetnek.</w:t>
      </w:r>
    </w:p>
    <w:p w:rsidR="005624E3" w:rsidRPr="00C903F8" w:rsidRDefault="005624E3" w:rsidP="005624E3">
      <w:pPr>
        <w:pStyle w:val="ESlet"/>
        <w:rPr>
          <w:rFonts w:eastAsia="Calibri" w:cs="Arial"/>
          <w:szCs w:val="18"/>
        </w:rPr>
      </w:pPr>
      <w:r>
        <w:t>g)</w:t>
      </w:r>
      <w:r>
        <w:tab/>
        <w:t>Az összekötő folyosók lezárt végei nem lehetnek hosszabbak két méternél.</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6.</w:t>
      </w:r>
      <w:r>
        <w:tab/>
        <w:t>Az 5. bekezdés rendelkezésein túlmenően a menekülési útvonalaknak meg kell felelniük a következő követelményeknek is:</w:t>
      </w:r>
    </w:p>
    <w:p w:rsidR="005624E3" w:rsidRPr="00C903F8" w:rsidRDefault="005624E3" w:rsidP="005624E3">
      <w:pPr>
        <w:pStyle w:val="ESlet"/>
        <w:rPr>
          <w:rFonts w:eastAsia="Calibri" w:cs="Arial"/>
          <w:szCs w:val="18"/>
        </w:rPr>
      </w:pPr>
      <w:r>
        <w:t>a)</w:t>
      </w:r>
      <w:r>
        <w:tab/>
        <w:t>A lépcsőket, kijáratokat és vészkijáratokat úgy kell elhelyezni, hogy ha bármelyik területen tűz üt ki, a többi terület biztonságosan evakuálható legyen.</w:t>
      </w:r>
    </w:p>
    <w:p w:rsidR="005624E3" w:rsidRPr="00C903F8" w:rsidRDefault="005624E3" w:rsidP="005624E3">
      <w:pPr>
        <w:pStyle w:val="ESlet"/>
        <w:rPr>
          <w:rFonts w:eastAsia="Calibri" w:cs="Arial"/>
          <w:szCs w:val="18"/>
        </w:rPr>
      </w:pPr>
      <w:r>
        <w:t>b)</w:t>
      </w:r>
      <w:r>
        <w:tab/>
        <w:t>A menekülési útvonalaknak a legrövidebb úton kell a 8. bekezdés szerinti evakuálási területekre vezetniük.</w:t>
      </w:r>
    </w:p>
    <w:p w:rsidR="005624E3" w:rsidRPr="00C903F8" w:rsidRDefault="005624E3" w:rsidP="005624E3">
      <w:pPr>
        <w:pStyle w:val="ESlet"/>
        <w:rPr>
          <w:rFonts w:eastAsia="Calibri" w:cs="Arial"/>
          <w:szCs w:val="18"/>
        </w:rPr>
      </w:pPr>
      <w:r>
        <w:t>c)</w:t>
      </w:r>
      <w:r>
        <w:tab/>
        <w:t>A menekülési útvonalak nem vezethetnek keresztül géptereken vagy konyhákon.</w:t>
      </w:r>
    </w:p>
    <w:p w:rsidR="005624E3" w:rsidRPr="00C903F8" w:rsidRDefault="005624E3" w:rsidP="005624E3">
      <w:pPr>
        <w:pStyle w:val="ESlet"/>
        <w:rPr>
          <w:rFonts w:eastAsia="Calibri" w:cs="Arial"/>
          <w:szCs w:val="18"/>
        </w:rPr>
      </w:pPr>
      <w:r>
        <w:t>d)</w:t>
      </w:r>
      <w:r>
        <w:tab/>
        <w:t>A menekülési útvonalak egyetlen pontján sem lehetnek lépcsőfokok, létrák vagy ezekhez hasonlók.</w:t>
      </w:r>
    </w:p>
    <w:p w:rsidR="005624E3" w:rsidRPr="00C903F8" w:rsidRDefault="005624E3" w:rsidP="005624E3">
      <w:pPr>
        <w:pStyle w:val="ESlet"/>
        <w:rPr>
          <w:rFonts w:eastAsia="Calibri" w:cs="Arial"/>
          <w:szCs w:val="18"/>
        </w:rPr>
      </w:pPr>
      <w:r>
        <w:t>e)</w:t>
      </w:r>
      <w:r>
        <w:tab/>
        <w:t>A menekülési útvonalakra nyíló ajtókat úgy kell kialakítani, hogy a menekülési útvonal 5. bekezdés a), illetve d) pontjában említett minimális szélességét ne csökkentsék.</w:t>
      </w:r>
    </w:p>
    <w:p w:rsidR="005624E3" w:rsidRPr="00C903F8" w:rsidRDefault="005624E3" w:rsidP="005624E3">
      <w:pPr>
        <w:pStyle w:val="ESlet"/>
        <w:rPr>
          <w:rFonts w:eastAsia="Calibri" w:cs="Arial"/>
          <w:szCs w:val="18"/>
        </w:rPr>
      </w:pPr>
      <w:r>
        <w:t>f)</w:t>
      </w:r>
      <w:r>
        <w:tab/>
        <w:t>A menekülési útvonalakat és a vészkijáratokat jól láthatóan jelölni kell. Ezeket a jelöléseket vészvilágítással meg kell világítani.</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7.</w:t>
      </w:r>
      <w:r>
        <w:tab/>
        <w:t>A menekülési útvonalakra és a vészkijáratokra megfelelő biztonsági útvonal-kijelölő rendszert kell kidolgozni.</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noProof/>
        </w:rPr>
      </w:pPr>
      <w:r>
        <w:br w:type="page"/>
      </w:r>
    </w:p>
    <w:p w:rsidR="005624E3" w:rsidRPr="00C903F8" w:rsidRDefault="005624E3" w:rsidP="005624E3">
      <w:pPr>
        <w:pStyle w:val="ESch"/>
        <w:rPr>
          <w:rFonts w:eastAsia="Calibri" w:cs="Arial"/>
          <w:szCs w:val="18"/>
        </w:rPr>
      </w:pPr>
      <w:r>
        <w:t>8.</w:t>
      </w:r>
      <w:r>
        <w:tab/>
        <w:t>A hajón tartózkodó valamennyi személy számára elérhető gyülekezőhelyeket kell kijelölni, amelyeknek az alábbi követelményeknek kell megfelelniük:</w:t>
      </w:r>
    </w:p>
    <w:p w:rsidR="005624E3" w:rsidRPr="00C903F8" w:rsidRDefault="005624E3" w:rsidP="005624E3">
      <w:pPr>
        <w:pStyle w:val="ESlet"/>
        <w:rPr>
          <w:rFonts w:eastAsia="Calibri" w:cs="Arial"/>
          <w:szCs w:val="18"/>
        </w:rPr>
      </w:pPr>
      <w:r>
        <w:t>a)</w:t>
      </w:r>
      <w:r>
        <w:tab/>
        <w:t>A gyülekezőhelyek teljes területének (</w:t>
      </w:r>
      <m:oMath>
        <m:sSub>
          <m:sSubPr>
            <m:ctrlPr>
              <w:rPr>
                <w:rFonts w:ascii="Cambria Math" w:eastAsia="Calibri" w:hAnsi="Cambria Math"/>
                <w:i/>
              </w:rPr>
            </m:ctrlPr>
          </m:sSubPr>
          <m:e>
            <m:r>
              <w:rPr>
                <w:rFonts w:ascii="Cambria Math" w:eastAsia="Calibri" w:hAnsi="Cambria Math"/>
              </w:rPr>
              <m:t>A</m:t>
            </m:r>
          </m:e>
          <m:sub>
            <m:r>
              <w:rPr>
                <w:rFonts w:ascii="Cambria Math" w:eastAsia="Calibri" w:hAnsi="Cambria Math"/>
              </w:rPr>
              <m:t>S</m:t>
            </m:r>
          </m:sub>
        </m:sSub>
      </m:oMath>
      <w:r>
        <w:t>) meg kell felelnie legalább az alábbi értékeknek:</w:t>
      </w:r>
    </w:p>
    <w:p w:rsidR="005624E3" w:rsidRPr="00C903F8" w:rsidRDefault="005624E3" w:rsidP="005624E3">
      <w:pPr>
        <w:pStyle w:val="ESletpar"/>
        <w:rPr>
          <w:rFonts w:eastAsia="Calibri"/>
        </w:rPr>
      </w:pPr>
      <w:r>
        <w:t>Egynapos utazásra alkalmas hajók esetében:</w:t>
      </w:r>
      <w:r>
        <w:tab/>
      </w:r>
      <m:oMath>
        <m:sSub>
          <m:sSubPr>
            <m:ctrlPr>
              <w:rPr>
                <w:rFonts w:ascii="Cambria Math" w:eastAsia="Calibri" w:hAnsi="Cambria Math"/>
                <w:i/>
              </w:rPr>
            </m:ctrlPr>
          </m:sSubPr>
          <m:e>
            <m:r>
              <w:rPr>
                <w:rFonts w:ascii="Cambria Math" w:eastAsia="Calibri" w:hAnsi="Cambria Math"/>
              </w:rPr>
              <m:t>A</m:t>
            </m:r>
          </m:e>
          <m:sub>
            <m:r>
              <w:rPr>
                <w:rFonts w:ascii="Cambria Math" w:eastAsia="Calibri" w:hAnsi="Cambria Math"/>
              </w:rPr>
              <m:t>S</m:t>
            </m:r>
          </m:sub>
        </m:sSub>
        <m:r>
          <w:rPr>
            <w:rFonts w:ascii="Cambria Math" w:eastAsia="Calibri" w:hAnsi="Cambria Math"/>
          </w:rPr>
          <m:t xml:space="preserve">=0,35 ∙ </m:t>
        </m:r>
        <m:sSub>
          <m:sSubPr>
            <m:ctrlPr>
              <w:rPr>
                <w:rFonts w:ascii="Cambria Math" w:eastAsia="Calibri" w:hAnsi="Cambria Math"/>
                <w:i/>
              </w:rPr>
            </m:ctrlPr>
          </m:sSubPr>
          <m:e>
            <m:r>
              <w:rPr>
                <w:rFonts w:ascii="Cambria Math" w:eastAsia="Calibri" w:hAnsi="Cambria Math"/>
              </w:rPr>
              <m:t>F</m:t>
            </m:r>
          </m:e>
          <m:sub>
            <m:r>
              <w:rPr>
                <w:rFonts w:ascii="Cambria Math" w:eastAsia="Calibri" w:hAnsi="Cambria Math"/>
              </w:rPr>
              <m:t>max</m:t>
            </m:r>
          </m:sub>
        </m:sSub>
        <m:r>
          <w:rPr>
            <w:rFonts w:ascii="Cambria Math" w:eastAsia="Calibri" w:hAnsi="Cambria Math"/>
          </w:rPr>
          <m:t xml:space="preserve"> </m:t>
        </m:r>
        <m:d>
          <m:dPr>
            <m:begChr m:val="["/>
            <m:endChr m:val="]"/>
            <m:ctrlPr>
              <w:rPr>
                <w:rFonts w:ascii="Cambria Math" w:eastAsia="Calibri" w:hAnsi="Cambria Math"/>
                <w:i/>
              </w:rPr>
            </m:ctrlPr>
          </m:dPr>
          <m:e>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rPr>
                  <m:t>2</m:t>
                </m:r>
              </m:sup>
            </m:sSup>
          </m:e>
        </m:d>
      </m:oMath>
      <w:r>
        <w:rPr>
          <w:vertAlign w:val="subscript"/>
        </w:rPr>
        <w:t xml:space="preserve"> </w:t>
      </w:r>
    </w:p>
    <w:p w:rsidR="005624E3" w:rsidRPr="00DB7D1E" w:rsidRDefault="005624E3" w:rsidP="005624E3">
      <w:pPr>
        <w:pStyle w:val="ESletpar"/>
        <w:rPr>
          <w:rFonts w:eastAsia="Calibri"/>
          <w:lang w:val="es-ES"/>
        </w:rPr>
      </w:pPr>
      <w:r w:rsidRPr="00DB7D1E">
        <w:rPr>
          <w:lang w:val="es-ES"/>
        </w:rPr>
        <w:t>Kabinos hajók esetében:</w:t>
      </w:r>
      <w:r w:rsidRPr="00DB7D1E">
        <w:rPr>
          <w:lang w:val="es-ES"/>
        </w:rPr>
        <w:tab/>
      </w:r>
      <m:oMath>
        <m:sSub>
          <m:sSubPr>
            <m:ctrlPr>
              <w:rPr>
                <w:rFonts w:ascii="Cambria Math" w:eastAsia="Calibri" w:hAnsi="Cambria Math"/>
                <w:i/>
              </w:rPr>
            </m:ctrlPr>
          </m:sSubPr>
          <m:e>
            <m:r>
              <w:rPr>
                <w:rFonts w:ascii="Cambria Math" w:eastAsia="Calibri" w:hAnsi="Cambria Math"/>
              </w:rPr>
              <m:t>A</m:t>
            </m:r>
          </m:e>
          <m:sub>
            <m:r>
              <w:rPr>
                <w:rFonts w:ascii="Cambria Math" w:eastAsia="Calibri" w:hAnsi="Cambria Math"/>
              </w:rPr>
              <m:t>S</m:t>
            </m:r>
          </m:sub>
        </m:sSub>
        <m:r>
          <w:rPr>
            <w:rFonts w:ascii="Cambria Math" w:eastAsia="Calibri" w:hAnsi="Cambria Math"/>
            <w:lang w:val="es-ES"/>
          </w:rPr>
          <m:t xml:space="preserve">=0,45 ∙ </m:t>
        </m:r>
        <m:sSub>
          <m:sSubPr>
            <m:ctrlPr>
              <w:rPr>
                <w:rFonts w:ascii="Cambria Math" w:eastAsia="Calibri" w:hAnsi="Cambria Math"/>
                <w:i/>
              </w:rPr>
            </m:ctrlPr>
          </m:sSubPr>
          <m:e>
            <m:r>
              <w:rPr>
                <w:rFonts w:ascii="Cambria Math" w:eastAsia="Calibri" w:hAnsi="Cambria Math"/>
              </w:rPr>
              <m:t>F</m:t>
            </m:r>
          </m:e>
          <m:sub>
            <m:r>
              <w:rPr>
                <w:rFonts w:ascii="Cambria Math" w:eastAsia="Calibri" w:hAnsi="Cambria Math"/>
              </w:rPr>
              <m:t>max</m:t>
            </m:r>
          </m:sub>
        </m:sSub>
        <m:r>
          <w:rPr>
            <w:rFonts w:ascii="Cambria Math" w:eastAsia="Calibri" w:hAnsi="Cambria Math"/>
            <w:lang w:val="es-ES"/>
          </w:rPr>
          <m:t xml:space="preserve"> </m:t>
        </m:r>
        <m:d>
          <m:dPr>
            <m:begChr m:val="["/>
            <m:endChr m:val="]"/>
            <m:ctrlPr>
              <w:rPr>
                <w:rFonts w:ascii="Cambria Math" w:eastAsia="Calibri" w:hAnsi="Cambria Math"/>
                <w:i/>
              </w:rPr>
            </m:ctrlPr>
          </m:dPr>
          <m:e>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lang w:val="es-ES"/>
                  </w:rPr>
                  <m:t>2</m:t>
                </m:r>
              </m:sup>
            </m:sSup>
          </m:e>
        </m:d>
      </m:oMath>
    </w:p>
    <w:p w:rsidR="005624E3" w:rsidRPr="00DB7D1E" w:rsidRDefault="005624E3" w:rsidP="005624E3">
      <w:pPr>
        <w:pStyle w:val="ESletpar"/>
        <w:rPr>
          <w:rFonts w:eastAsia="Calibri"/>
          <w:lang w:val="es-ES"/>
        </w:rPr>
      </w:pPr>
      <w:r w:rsidRPr="00DB7D1E">
        <w:rPr>
          <w:lang w:val="es-ES"/>
        </w:rPr>
        <w:t>ahol:</w:t>
      </w:r>
    </w:p>
    <w:p w:rsidR="005624E3" w:rsidRPr="00DB7D1E" w:rsidRDefault="003142CA" w:rsidP="005624E3">
      <w:pPr>
        <w:pStyle w:val="ESletpar"/>
        <w:tabs>
          <w:tab w:val="left" w:pos="1701"/>
        </w:tabs>
        <w:rPr>
          <w:rFonts w:eastAsia="Calibri"/>
          <w:szCs w:val="18"/>
          <w:lang w:val="es-ES"/>
        </w:rPr>
      </w:pPr>
      <m:oMath>
        <m:sSub>
          <m:sSubPr>
            <m:ctrlPr>
              <w:rPr>
                <w:rFonts w:ascii="Cambria Math" w:eastAsia="Calibri" w:hAnsi="Cambria Math"/>
                <w:i/>
                <w:szCs w:val="18"/>
              </w:rPr>
            </m:ctrlPr>
          </m:sSubPr>
          <m:e>
            <m:r>
              <w:rPr>
                <w:rFonts w:ascii="Cambria Math" w:eastAsia="Calibri" w:hAnsi="Cambria Math"/>
                <w:szCs w:val="18"/>
              </w:rPr>
              <m:t>F</m:t>
            </m:r>
          </m:e>
          <m:sub>
            <m:r>
              <w:rPr>
                <w:rFonts w:ascii="Cambria Math" w:eastAsia="Calibri" w:hAnsi="Cambria Math"/>
                <w:szCs w:val="18"/>
              </w:rPr>
              <m:t>max</m:t>
            </m:r>
          </m:sub>
        </m:sSub>
      </m:oMath>
      <w:r w:rsidR="005624E3" w:rsidRPr="00DB7D1E">
        <w:rPr>
          <w:lang w:val="es-ES"/>
        </w:rPr>
        <w:t xml:space="preserve"> =</w:t>
      </w:r>
      <w:r w:rsidR="005624E3" w:rsidRPr="00DB7D1E">
        <w:rPr>
          <w:lang w:val="es-ES"/>
        </w:rPr>
        <w:tab/>
        <w:t>a fedélzeten megengedett legnagyobb utaslétszám.</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Minden egyes gyülekezőhelynek és evakuálási területnek nagyobbnak kell lennie 10 m</w:t>
      </w:r>
      <w:r w:rsidRPr="00DB7D1E">
        <w:rPr>
          <w:noProof/>
          <w:vertAlign w:val="superscript"/>
          <w:lang w:val="es-ES"/>
        </w:rPr>
        <w:t>2</w:t>
      </w:r>
      <w:r w:rsidRPr="00DB7D1E">
        <w:rPr>
          <w:lang w:val="es-ES"/>
        </w:rPr>
        <w:t>-nél.</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A gyülekezőhelyeken nem lehetnek sem elmozdítható, sem rögzített bútorok.</w:t>
      </w:r>
    </w:p>
    <w:p w:rsidR="005624E3" w:rsidRPr="00DB7D1E" w:rsidRDefault="005624E3" w:rsidP="005624E3">
      <w:pPr>
        <w:pStyle w:val="ESlet"/>
        <w:rPr>
          <w:rFonts w:eastAsia="Calibri" w:cs="Arial"/>
          <w:szCs w:val="18"/>
          <w:lang w:val="es-ES"/>
        </w:rPr>
      </w:pPr>
      <w:r w:rsidRPr="00DB7D1E">
        <w:rPr>
          <w:lang w:val="es-ES"/>
        </w:rPr>
        <w:t>d)</w:t>
      </w:r>
      <w:r w:rsidRPr="00DB7D1E">
        <w:rPr>
          <w:lang w:val="es-ES"/>
        </w:rPr>
        <w:tab/>
        <w:t>Ha egy olyan helyiségben, amelyben gyülekezőhelyet jelöltek ki, elmozdítható bútorok találhatók, azokat megfelelően rögzíteni kell a megcsúszás elkerülése érdekében.</w:t>
      </w:r>
    </w:p>
    <w:p w:rsidR="005624E3" w:rsidRPr="00DB7D1E" w:rsidRDefault="005624E3" w:rsidP="005624E3">
      <w:pPr>
        <w:pStyle w:val="ESlet"/>
        <w:rPr>
          <w:rFonts w:eastAsia="Calibri" w:cs="Arial"/>
          <w:szCs w:val="18"/>
          <w:lang w:val="es-ES"/>
        </w:rPr>
      </w:pPr>
      <w:r w:rsidRPr="00DB7D1E">
        <w:rPr>
          <w:lang w:val="es-ES"/>
        </w:rPr>
        <w:t>e)</w:t>
      </w:r>
      <w:r w:rsidRPr="00DB7D1E">
        <w:rPr>
          <w:lang w:val="es-ES"/>
        </w:rPr>
        <w:tab/>
        <w:t>Ha egy olyan helyiségben, amelyben gyülekezőhelyet jelöltek ki, rögzített ülések vagy padok találhatók, a gyülekezőhelyek a) pont szerinti teljes területének kiszámításakor nem kell figyelembe venni a személyek ülőhelyeknek megfelelő létszámát. Azon személyek létszáma azonban, akik tekintetében egy adott helyiségben a rögzített ülőhelyek számát figyelembe veszik, nem haladhatja meg azon személyek létszámát, akiknek a szóban forgó helyiségben gyülekezőhely áll rendelkezésükre.</w:t>
      </w:r>
    </w:p>
    <w:p w:rsidR="005624E3" w:rsidRPr="00DB7D1E" w:rsidRDefault="005624E3" w:rsidP="005624E3">
      <w:pPr>
        <w:pStyle w:val="ESlet"/>
        <w:rPr>
          <w:rFonts w:eastAsia="Calibri" w:cs="Arial"/>
          <w:szCs w:val="18"/>
          <w:lang w:val="es-ES"/>
        </w:rPr>
      </w:pPr>
      <w:r w:rsidRPr="00DB7D1E">
        <w:rPr>
          <w:lang w:val="es-ES"/>
        </w:rPr>
        <w:t>f)</w:t>
      </w:r>
      <w:r w:rsidRPr="00DB7D1E">
        <w:rPr>
          <w:lang w:val="es-ES"/>
        </w:rPr>
        <w:tab/>
        <w:t>Az életmentő felszereléseknek az evakuálási területekről könnyen megközelíthetőknek kell lenniük.</w:t>
      </w:r>
    </w:p>
    <w:p w:rsidR="005624E3" w:rsidRPr="00DB7D1E" w:rsidRDefault="005624E3" w:rsidP="005624E3">
      <w:pPr>
        <w:pStyle w:val="ESlet"/>
        <w:rPr>
          <w:rFonts w:eastAsia="Calibri" w:cs="Arial"/>
          <w:szCs w:val="18"/>
          <w:lang w:val="es-ES"/>
        </w:rPr>
      </w:pPr>
      <w:r w:rsidRPr="00DB7D1E">
        <w:rPr>
          <w:lang w:val="es-ES"/>
        </w:rPr>
        <w:t>g)</w:t>
      </w:r>
      <w:r w:rsidRPr="00DB7D1E">
        <w:rPr>
          <w:lang w:val="es-ES"/>
        </w:rPr>
        <w:tab/>
        <w:t>Az utasok ezen evakuálási területekről történő biztonságos evakuálását a hajó mindkét oldalán lehetővé kell tenni.</w:t>
      </w:r>
    </w:p>
    <w:p w:rsidR="005624E3" w:rsidRPr="00DB7D1E" w:rsidRDefault="005624E3" w:rsidP="005624E3">
      <w:pPr>
        <w:pStyle w:val="ESlet"/>
        <w:rPr>
          <w:rFonts w:eastAsia="Calibri" w:cs="Arial"/>
          <w:szCs w:val="18"/>
          <w:lang w:val="es-ES"/>
        </w:rPr>
      </w:pPr>
      <w:r w:rsidRPr="00DB7D1E">
        <w:rPr>
          <w:lang w:val="es-ES"/>
        </w:rPr>
        <w:t>h)</w:t>
      </w:r>
      <w:r w:rsidRPr="00DB7D1E">
        <w:rPr>
          <w:lang w:val="es-ES"/>
        </w:rPr>
        <w:tab/>
        <w:t>A gyülekezőhelyeknek a biztonsági peremvonal felett kell lenniük.</w:t>
      </w:r>
    </w:p>
    <w:p w:rsidR="005624E3" w:rsidRPr="00DB7D1E" w:rsidRDefault="005624E3" w:rsidP="005624E3">
      <w:pPr>
        <w:pStyle w:val="ESlet"/>
        <w:rPr>
          <w:rFonts w:eastAsia="Calibri" w:cs="Arial"/>
          <w:szCs w:val="18"/>
          <w:lang w:val="es-ES"/>
        </w:rPr>
      </w:pPr>
      <w:r w:rsidRPr="00DB7D1E">
        <w:rPr>
          <w:lang w:val="es-ES"/>
        </w:rPr>
        <w:t>i)</w:t>
      </w:r>
      <w:r w:rsidRPr="00DB7D1E">
        <w:rPr>
          <w:lang w:val="es-ES"/>
        </w:rPr>
        <w:tab/>
        <w:t>A gyülekezőhelyeket és az evakuálási területeket a biztonságtechnikai tervrajzon fel kell tüntetni, a hajón pedig táblával kell jelölni.</w:t>
      </w:r>
    </w:p>
    <w:p w:rsidR="005624E3" w:rsidRPr="00DB7D1E" w:rsidRDefault="005624E3" w:rsidP="005624E3">
      <w:pPr>
        <w:pStyle w:val="ESlet"/>
        <w:rPr>
          <w:rFonts w:eastAsia="Calibri" w:cs="Arial"/>
          <w:szCs w:val="18"/>
          <w:lang w:val="es-ES"/>
        </w:rPr>
      </w:pPr>
      <w:r w:rsidRPr="00DB7D1E">
        <w:rPr>
          <w:lang w:val="es-ES"/>
        </w:rPr>
        <w:t>j)</w:t>
      </w:r>
      <w:r w:rsidRPr="00DB7D1E">
        <w:rPr>
          <w:lang w:val="es-ES"/>
        </w:rPr>
        <w:tab/>
        <w:t>A d) és e) pont rendelkezései azokra a szabad fedélzetekre is vonatkoznak, amelyeken gyülekezőhelyet jelöltek ki.</w:t>
      </w:r>
    </w:p>
    <w:p w:rsidR="005624E3" w:rsidRPr="00DB7D1E" w:rsidRDefault="005624E3" w:rsidP="005624E3">
      <w:pPr>
        <w:pStyle w:val="ESlet"/>
        <w:rPr>
          <w:rFonts w:eastAsia="Calibri" w:cs="Arial"/>
          <w:szCs w:val="18"/>
          <w:lang w:val="es-ES"/>
        </w:rPr>
      </w:pPr>
      <w:r w:rsidRPr="00DB7D1E">
        <w:rPr>
          <w:lang w:val="es-ES"/>
        </w:rPr>
        <w:t>k)</w:t>
      </w:r>
      <w:r w:rsidRPr="00DB7D1E">
        <w:rPr>
          <w:lang w:val="es-ES"/>
        </w:rPr>
        <w:tab/>
        <w:t>Amennyiben a fedélzeten rendelkezésre állnak a 19.09. cikk 5. bekezdésének megfelelő csoportos életmentő felszerelések, a gyülekezőhelyek a) pont szerinti teljes területének kiszámításakor nem kell figyelembe venni azon személyek létszámát, akik számára ezek a felszerelések elérhetők.</w:t>
      </w:r>
    </w:p>
    <w:p w:rsidR="005624E3" w:rsidRPr="00DB7D1E" w:rsidRDefault="005624E3" w:rsidP="005624E3">
      <w:pPr>
        <w:pStyle w:val="ESlet"/>
        <w:rPr>
          <w:rFonts w:eastAsia="Calibri" w:cs="Arial"/>
          <w:szCs w:val="18"/>
          <w:lang w:val="es-ES"/>
        </w:rPr>
      </w:pPr>
      <w:r w:rsidRPr="00DB7D1E">
        <w:rPr>
          <w:lang w:val="es-ES"/>
        </w:rPr>
        <w:t>l)</w:t>
      </w:r>
      <w:r w:rsidRPr="00DB7D1E">
        <w:rPr>
          <w:lang w:val="es-ES"/>
        </w:rPr>
        <w:tab/>
        <w:t>Minden olyan esetben azonban, amikor alkalmazzák az e), j) és k) pont szerinti levonást, az a) pontban említett teljes területnek elegendőnek kell lennie legalább a legnagyobb megengedett utaslétszám 50 %-a számára.</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9.</w:t>
      </w:r>
      <w:r w:rsidRPr="00DB7D1E">
        <w:rPr>
          <w:lang w:val="es-ES"/>
        </w:rPr>
        <w:tab/>
        <w:t>Az utasok által használt területeken lévő lépcsőknek és fordulóiknak meg kell felelniük az alábbi követelményeknek:</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Kialakításukat az EN 13056:2000 európai szabványnak megfelelően kell elvégezni.</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Szabad szélességük legalább 0,80 m, vagy ha összekötő folyosóra vagy 80-nál több utas által használt területre vezetnek, utasonként legalább 0,01 m.</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Szabad szélességük legalább 1,00 m, ha egyetlen bejáratként szolgálnak egy utasok által használt helyiségbe.</w:t>
      </w:r>
    </w:p>
    <w:p w:rsidR="005624E3" w:rsidRPr="00DB7D1E" w:rsidRDefault="005624E3" w:rsidP="005624E3">
      <w:pPr>
        <w:pStyle w:val="ESlet"/>
        <w:rPr>
          <w:rFonts w:eastAsia="Calibri" w:cs="Arial"/>
          <w:szCs w:val="18"/>
          <w:lang w:val="es-ES"/>
        </w:rPr>
      </w:pPr>
      <w:r w:rsidRPr="00DB7D1E">
        <w:rPr>
          <w:lang w:val="es-ES"/>
        </w:rPr>
        <w:t>d)</w:t>
      </w:r>
      <w:r w:rsidRPr="00DB7D1E">
        <w:rPr>
          <w:lang w:val="es-ES"/>
        </w:rPr>
        <w:tab/>
        <w:t>Ha ugyanazon helyiségben nincs a hajó mindkét oldalán legalább egy lépcsőház, azoknak a biztonság</w:t>
      </w:r>
      <w:r w:rsidR="005F0225">
        <w:rPr>
          <w:lang w:val="es-ES"/>
        </w:rPr>
        <w:t>i térben</w:t>
      </w:r>
      <w:r w:rsidRPr="00DB7D1E">
        <w:rPr>
          <w:lang w:val="es-ES"/>
        </w:rPr>
        <w:t xml:space="preserve"> kell lenniük.</w:t>
      </w:r>
    </w:p>
    <w:p w:rsidR="005624E3" w:rsidRPr="00DB7D1E" w:rsidRDefault="005624E3" w:rsidP="005624E3">
      <w:pPr>
        <w:pStyle w:val="ESlet"/>
        <w:rPr>
          <w:rFonts w:eastAsia="Calibri" w:cs="Arial"/>
          <w:szCs w:val="18"/>
          <w:lang w:val="es-ES"/>
        </w:rPr>
      </w:pPr>
      <w:r w:rsidRPr="00DB7D1E">
        <w:rPr>
          <w:lang w:val="es-ES"/>
        </w:rPr>
        <w:t>e)</w:t>
      </w:r>
      <w:r w:rsidRPr="00DB7D1E">
        <w:rPr>
          <w:lang w:val="es-ES"/>
        </w:rPr>
        <w:tab/>
        <w:t>A csökkent mozgásképességű személyek általi használatra szolgáló lépcsőknek meg kell felelniük továbbá az alábbi követelményeknek:</w:t>
      </w:r>
    </w:p>
    <w:p w:rsidR="005624E3" w:rsidRPr="00DB7D1E" w:rsidRDefault="005624E3" w:rsidP="005624E3">
      <w:pPr>
        <w:pStyle w:val="EStiret"/>
        <w:rPr>
          <w:rFonts w:eastAsia="Calibri" w:cs="Arial"/>
          <w:szCs w:val="18"/>
          <w:lang w:val="es-ES"/>
        </w:rPr>
      </w:pPr>
      <w:r w:rsidRPr="00DB7D1E">
        <w:rPr>
          <w:lang w:val="es-ES"/>
        </w:rPr>
        <w:t>aa)</w:t>
      </w:r>
      <w:r w:rsidRPr="00DB7D1E">
        <w:rPr>
          <w:lang w:val="es-ES"/>
        </w:rPr>
        <w:tab/>
        <w:t>a lépcsősor emelkedése nem haladhatja meg a 38°-ot;</w:t>
      </w:r>
    </w:p>
    <w:p w:rsidR="005624E3" w:rsidRPr="00DB7D1E" w:rsidRDefault="005624E3" w:rsidP="005624E3">
      <w:pPr>
        <w:pStyle w:val="EStiret"/>
        <w:rPr>
          <w:rFonts w:eastAsia="Calibri" w:cs="Arial"/>
          <w:szCs w:val="18"/>
          <w:lang w:val="es-ES"/>
        </w:rPr>
      </w:pPr>
      <w:r w:rsidRPr="00DB7D1E">
        <w:rPr>
          <w:lang w:val="es-ES"/>
        </w:rPr>
        <w:t>bb)</w:t>
      </w:r>
      <w:r w:rsidRPr="00DB7D1E">
        <w:rPr>
          <w:lang w:val="es-ES"/>
        </w:rPr>
        <w:tab/>
        <w:t>a lépcsők szabad szélessége legalább 0,90 m;</w:t>
      </w:r>
    </w:p>
    <w:p w:rsidR="005624E3" w:rsidRPr="00DB7D1E" w:rsidRDefault="005624E3" w:rsidP="005624E3">
      <w:pPr>
        <w:pStyle w:val="EStiret"/>
        <w:rPr>
          <w:rFonts w:eastAsia="Calibri"/>
          <w:lang w:val="es-ES"/>
        </w:rPr>
      </w:pPr>
      <w:r w:rsidRPr="00DB7D1E">
        <w:rPr>
          <w:lang w:val="es-ES"/>
        </w:rPr>
        <w:br w:type="page"/>
      </w:r>
    </w:p>
    <w:p w:rsidR="005624E3" w:rsidRPr="00DB7D1E" w:rsidRDefault="005624E3" w:rsidP="005624E3">
      <w:pPr>
        <w:pStyle w:val="EStiret"/>
        <w:rPr>
          <w:rFonts w:eastAsia="Calibri" w:cs="Arial"/>
          <w:szCs w:val="18"/>
          <w:lang w:val="es-ES"/>
        </w:rPr>
      </w:pPr>
      <w:r w:rsidRPr="00DB7D1E">
        <w:rPr>
          <w:lang w:val="es-ES"/>
        </w:rPr>
        <w:t>cc)</w:t>
      </w:r>
      <w:r w:rsidRPr="00DB7D1E">
        <w:rPr>
          <w:lang w:val="es-ES"/>
        </w:rPr>
        <w:tab/>
        <w:t>csigalépcsők kialakítása nem megengedett;</w:t>
      </w:r>
    </w:p>
    <w:p w:rsidR="005624E3" w:rsidRPr="00166EA9" w:rsidRDefault="005624E3" w:rsidP="005624E3">
      <w:pPr>
        <w:pStyle w:val="EStiret"/>
        <w:rPr>
          <w:rFonts w:eastAsia="Calibri" w:cs="Arial"/>
          <w:szCs w:val="18"/>
          <w:lang w:val="es-ES"/>
        </w:rPr>
      </w:pPr>
      <w:r w:rsidRPr="00166EA9">
        <w:rPr>
          <w:lang w:val="es-ES"/>
        </w:rPr>
        <w:t>dd)</w:t>
      </w:r>
      <w:r w:rsidRPr="00166EA9">
        <w:rPr>
          <w:lang w:val="es-ES"/>
        </w:rPr>
        <w:tab/>
        <w:t>a lépcsők nem helyezkedhetnek el a hajó keresztirányában;</w:t>
      </w:r>
    </w:p>
    <w:p w:rsidR="005624E3" w:rsidRPr="00166EA9" w:rsidRDefault="005624E3" w:rsidP="005624E3">
      <w:pPr>
        <w:pStyle w:val="EStiret"/>
        <w:rPr>
          <w:rFonts w:eastAsia="Calibri" w:cs="Arial"/>
          <w:szCs w:val="18"/>
          <w:lang w:val="es-ES"/>
        </w:rPr>
      </w:pPr>
      <w:r w:rsidRPr="00166EA9">
        <w:rPr>
          <w:lang w:val="es-ES"/>
        </w:rPr>
        <w:t>ee)</w:t>
      </w:r>
      <w:r w:rsidRPr="00166EA9">
        <w:rPr>
          <w:lang w:val="es-ES"/>
        </w:rPr>
        <w:tab/>
        <w:t>a lépcsők kapaszkodóinak a lépcső tetején és alján körülbelül 0,30 m-rel túl kell nyúlniuk, a közlekedés akadályozása nélkül;</w:t>
      </w:r>
    </w:p>
    <w:p w:rsidR="005624E3" w:rsidRPr="00166EA9" w:rsidRDefault="005624E3" w:rsidP="005624E3">
      <w:pPr>
        <w:pStyle w:val="EStiret"/>
        <w:rPr>
          <w:rFonts w:eastAsia="Calibri" w:cs="Arial"/>
          <w:szCs w:val="18"/>
          <w:lang w:val="es-ES"/>
        </w:rPr>
      </w:pPr>
      <w:r w:rsidRPr="00166EA9">
        <w:rPr>
          <w:lang w:val="es-ES"/>
        </w:rPr>
        <w:t>ff)</w:t>
      </w:r>
      <w:r w:rsidRPr="00166EA9">
        <w:rPr>
          <w:lang w:val="es-ES"/>
        </w:rPr>
        <w:tab/>
        <w:t>a kapaszkodókat, legalább az első és utolsó lépcsőfok elülső felét, valamint a lépcsők végeinél a padlóburkolatot eltérő színnel kell jelölni.</w:t>
      </w:r>
    </w:p>
    <w:p w:rsidR="005624E3" w:rsidRPr="00166EA9" w:rsidRDefault="005624E3" w:rsidP="005624E3">
      <w:pPr>
        <w:pStyle w:val="ESletpar"/>
        <w:rPr>
          <w:rFonts w:eastAsia="Calibri" w:cs="Arial"/>
          <w:szCs w:val="18"/>
          <w:lang w:val="es-ES"/>
        </w:rPr>
      </w:pPr>
      <w:r w:rsidRPr="00166EA9">
        <w:rPr>
          <w:lang w:val="es-ES"/>
        </w:rPr>
        <w:t>A csökkent mozgásképességű személyek általi használatra szolgáló lifteket és emelőszerkezeteket, például lépcsőlifteket vagy emelőplatformokat az egyik tagállam vonatkozó szabványa vagy szabályzata szerint kell kialakítani.</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10.</w:t>
      </w:r>
      <w:r w:rsidRPr="00166EA9">
        <w:rPr>
          <w:lang w:val="es-ES"/>
        </w:rPr>
        <w:tab/>
        <w:t>Az utasok által használt, nem körbezárt fedélzetrészeknek az alábbi követelményeknek kell megfelelniük:</w:t>
      </w:r>
    </w:p>
    <w:p w:rsidR="005624E3" w:rsidRPr="00166EA9" w:rsidRDefault="005624E3" w:rsidP="005624E3">
      <w:pPr>
        <w:pStyle w:val="ESlet"/>
        <w:rPr>
          <w:rFonts w:eastAsia="Calibri" w:cs="Arial"/>
          <w:szCs w:val="18"/>
          <w:lang w:val="es-ES"/>
        </w:rPr>
      </w:pPr>
      <w:r w:rsidRPr="00166EA9">
        <w:rPr>
          <w:lang w:val="es-ES"/>
        </w:rPr>
        <w:t>a)</w:t>
      </w:r>
      <w:r w:rsidRPr="00166EA9">
        <w:rPr>
          <w:lang w:val="es-ES"/>
        </w:rPr>
        <w:tab/>
        <w:t>E fedélzetrészeket legalább 1,00 m magas rögzített mellvéddel vagy védőkorláttal, illetve az EN 711:2016 európai szabvány szerint készült, PF, PG vagy PZ szerkezeti típusú korláttal kell körülvenni. A csökkent mozgásképességű személyek általi használatra szolgáló fedélzeti mellvédeknek és korlátoknak legalább 1,10 m magasaknak kell lenniük</w:t>
      </w:r>
      <w:r w:rsidRPr="00166EA9">
        <w:rPr>
          <w:rFonts w:ascii="ArialMT" w:hAnsi="ArialMT"/>
          <w:lang w:val="es-ES"/>
        </w:rPr>
        <w:t>.</w:t>
      </w:r>
    </w:p>
    <w:p w:rsidR="005624E3" w:rsidRPr="00166EA9" w:rsidRDefault="005624E3" w:rsidP="005624E3">
      <w:pPr>
        <w:pStyle w:val="ESlet"/>
        <w:rPr>
          <w:rFonts w:eastAsia="Calibri" w:cs="Arial"/>
          <w:szCs w:val="18"/>
          <w:lang w:val="es-ES"/>
        </w:rPr>
      </w:pPr>
      <w:r w:rsidRPr="00166EA9">
        <w:rPr>
          <w:lang w:val="es-ES"/>
        </w:rPr>
        <w:t>b)</w:t>
      </w:r>
      <w:r w:rsidRPr="00166EA9">
        <w:rPr>
          <w:lang w:val="es-ES"/>
        </w:rPr>
        <w:tab/>
        <w:t>A be- és kiszállásra szolgáló nyílásoknak és eszközöknek, valamint a be- és kirakodást szolgáló nyílásoknak olyanoknak kell lenniük, hogy azokat biztosítani lehessen, szabad szélességüknek pedig legalább 1,00 m-nek kell lennie. Az általában csökkent mozgásképességű személyek be- és kiszállására szolgáló nyílások szabad szélességének legalább 1,50 m-nek kell lennie.</w:t>
      </w:r>
    </w:p>
    <w:p w:rsidR="005624E3" w:rsidRPr="00166EA9" w:rsidRDefault="005624E3" w:rsidP="005624E3">
      <w:pPr>
        <w:pStyle w:val="ESlet"/>
        <w:rPr>
          <w:rFonts w:eastAsia="Calibri" w:cs="Arial"/>
          <w:szCs w:val="18"/>
          <w:lang w:val="es-ES"/>
        </w:rPr>
      </w:pPr>
      <w:r w:rsidRPr="00166EA9">
        <w:rPr>
          <w:lang w:val="es-ES"/>
        </w:rPr>
        <w:t>c)</w:t>
      </w:r>
      <w:r w:rsidRPr="00166EA9">
        <w:rPr>
          <w:lang w:val="es-ES"/>
        </w:rPr>
        <w:tab/>
        <w:t>Ha a be- és kiszállásra szolgáló nyílásokat és eszközöket a kormányállásból nem lehet látni, megfelelő segédeszközöket kell alkalmazni.</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11.</w:t>
      </w:r>
      <w:r w:rsidRPr="00166EA9">
        <w:rPr>
          <w:lang w:val="es-ES"/>
        </w:rPr>
        <w:tab/>
        <w:t>A hajó nem utasok általi használatra szolgáló részeinek, különösen a kormányálláshoz, a csörlőkhöz és a gépterekhez vezető bejáratoknak az engedély nélküli belépés ellen biztosíthatóknak kell lenniük. Minden ilyen bejáratnál jól látható helyen ki kell tenni a 4. melléklet 1. ábrája szerint szimbólumot.</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12.</w:t>
      </w:r>
      <w:r w:rsidRPr="00166EA9">
        <w:rPr>
          <w:lang w:val="es-ES"/>
        </w:rPr>
        <w:tab/>
        <w:t>A feljáróhidat az EN 14206:2003 európai szabvány szerint kell kialakítani. A 13.02. cikk 3. bekezdésének d) pontjától eltérve, a feljáróhíd hossza 4 m-nél rövidebb is lehet.</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13.</w:t>
      </w:r>
      <w:r w:rsidRPr="00166EA9">
        <w:rPr>
          <w:lang w:val="es-ES"/>
        </w:rPr>
        <w:tab/>
        <w:t>A csökkent mozgásképességű személyek általi használatra szolgáló átjárók szabad szélessége 1,30 m, és az átjárókban nem lehet 0,025 m-nél magasabb ajtóküszöb. A csökkent mozgásképességű személyek általi használatra szolgáló átjárók falait kapaszkodókkal kell felszerelni a padló feletti 0,90 m-es magasságban.</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14.</w:t>
      </w:r>
      <w:r w:rsidRPr="00166EA9">
        <w:rPr>
          <w:lang w:val="es-ES"/>
        </w:rPr>
        <w:tab/>
        <w:t>Az átjárókban lévő üvegajtókat, üvegfalakat és ablaktáblákat előfeszített üvegből vagy rétegezett üvegből kell gyártani. Készülhetnek szintetikus anyagból is, feltéve, hogy az tűzvédelmi szempontból engedélyezett.</w:t>
      </w:r>
    </w:p>
    <w:p w:rsidR="005624E3" w:rsidRPr="00166EA9" w:rsidRDefault="005624E3" w:rsidP="005624E3">
      <w:pPr>
        <w:pStyle w:val="ESch"/>
        <w:rPr>
          <w:rFonts w:eastAsia="Calibri"/>
          <w:noProof/>
          <w:lang w:val="es-ES"/>
        </w:rPr>
      </w:pPr>
    </w:p>
    <w:p w:rsidR="005624E3" w:rsidRPr="00166EA9" w:rsidRDefault="005624E3" w:rsidP="005624E3">
      <w:pPr>
        <w:pStyle w:val="ESchpar"/>
        <w:rPr>
          <w:rFonts w:eastAsia="Calibri" w:cs="Arial"/>
          <w:szCs w:val="18"/>
          <w:lang w:val="es-ES"/>
        </w:rPr>
      </w:pPr>
      <w:r w:rsidRPr="00166EA9">
        <w:rPr>
          <w:lang w:val="es-ES"/>
        </w:rPr>
        <w:t>Az átjárókban a padlószintig nyúló átlátszó ajtókat és átlátszó falakat szembetűnő jelöléssel kell ellátni.</w:t>
      </w:r>
    </w:p>
    <w:p w:rsidR="005624E3" w:rsidRPr="00166EA9" w:rsidRDefault="005624E3" w:rsidP="005624E3">
      <w:pPr>
        <w:pStyle w:val="ESch"/>
        <w:rPr>
          <w:rFonts w:eastAsia="Calibri" w:cs="Arial"/>
          <w:color w:val="000000"/>
          <w:szCs w:val="20"/>
          <w:lang w:val="es-ES"/>
        </w:rPr>
      </w:pPr>
    </w:p>
    <w:p w:rsidR="005624E3" w:rsidRPr="00166EA9" w:rsidRDefault="005624E3" w:rsidP="005624E3">
      <w:pPr>
        <w:pStyle w:val="ESch"/>
        <w:rPr>
          <w:rFonts w:eastAsia="Calibri" w:cs="Arial"/>
          <w:color w:val="000000"/>
          <w:szCs w:val="20"/>
          <w:lang w:val="es-ES"/>
        </w:rPr>
      </w:pPr>
      <w:r w:rsidRPr="00166EA9">
        <w:rPr>
          <w:lang w:val="es-ES"/>
        </w:rPr>
        <w:br w:type="page"/>
      </w:r>
    </w:p>
    <w:p w:rsidR="005624E3" w:rsidRPr="00166EA9" w:rsidRDefault="005624E3" w:rsidP="005624E3">
      <w:pPr>
        <w:pStyle w:val="ESch"/>
        <w:rPr>
          <w:rFonts w:eastAsia="Calibri" w:cs="Arial"/>
          <w:szCs w:val="18"/>
          <w:lang w:val="es-ES"/>
        </w:rPr>
      </w:pPr>
      <w:r w:rsidRPr="00166EA9">
        <w:rPr>
          <w:color w:val="000000"/>
          <w:lang w:val="es-ES"/>
        </w:rPr>
        <w:t>15.</w:t>
      </w:r>
      <w:r w:rsidRPr="00166EA9">
        <w:rPr>
          <w:lang w:val="es-ES"/>
        </w:rPr>
        <w:tab/>
      </w:r>
      <w:r w:rsidRPr="00166EA9">
        <w:rPr>
          <w:color w:val="000000"/>
          <w:lang w:val="es-ES"/>
        </w:rPr>
        <w:t>A teljes egészében panorámaüvegből álló felépítményeket (vagy azok tetejét), a vászontetőkkel vagy hasonló mobil szerkezetekkel létrehozott eső- és szélvédett tereket, valamint azok alapozását úgy kell kialakítani, hogy építésük módja és a felhasznált anyagok rongálódás esetén se okozhassanak sérülést a fedélzeten tartózkodóknak.</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16.</w:t>
      </w:r>
      <w:r w:rsidRPr="00166EA9">
        <w:rPr>
          <w:lang w:val="es-ES"/>
        </w:rPr>
        <w:tab/>
        <w:t>Az ivóvízrendszereknek eleget kell tenniük legalább a 15.05. cikkben foglalt követelményeknek.</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17.</w:t>
      </w:r>
      <w:r w:rsidRPr="00166EA9">
        <w:rPr>
          <w:lang w:val="es-ES"/>
        </w:rPr>
        <w:tab/>
        <w:t>Az utasok számára WC-ket kell biztosítani. A csökkent mozgásképességű személyek számára legalább egy WC-t fel kell szerelni az egyik tagállam vonatkozó szabványának vagy szabályzatának megfelelően, és a WC-nek hozzáférhetőnek kell lennie a csökkent mozgásképességű személyek általi használatra szolgáló területekről.</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18.</w:t>
      </w:r>
      <w:r w:rsidRPr="00166EA9">
        <w:rPr>
          <w:lang w:val="es-ES"/>
        </w:rPr>
        <w:tab/>
        <w:t>A nyitható ablakkal nem rendelkező kabinokat csatlakoztatni kell a szellőzőrendszerhez.</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19.</w:t>
      </w:r>
      <w:r w:rsidRPr="00166EA9">
        <w:rPr>
          <w:lang w:val="es-ES"/>
        </w:rPr>
        <w:tab/>
        <w:t>A legénységi tagok vagy a kiszolgáló személyzet szállásául szolgáló helyiségeknek értelemszerűen kell megfelelniük e cikk előírásainak.</w:t>
      </w:r>
    </w:p>
    <w:p w:rsidR="005624E3" w:rsidRPr="00166EA9" w:rsidRDefault="005624E3" w:rsidP="005624E3">
      <w:pPr>
        <w:pStyle w:val="ESch"/>
        <w:rPr>
          <w:rFonts w:eastAsia="Calibri" w:cs="Arial"/>
          <w:szCs w:val="18"/>
          <w:lang w:val="es-ES"/>
        </w:rPr>
      </w:pPr>
    </w:p>
    <w:p w:rsidR="005624E3" w:rsidRPr="00166EA9" w:rsidRDefault="005624E3" w:rsidP="005624E3">
      <w:pPr>
        <w:pStyle w:val="ESch"/>
        <w:rPr>
          <w:rFonts w:eastAsia="Calibri" w:cs="Arial"/>
          <w:szCs w:val="18"/>
          <w:lang w:val="es-ES"/>
        </w:rPr>
      </w:pPr>
    </w:p>
    <w:p w:rsidR="005624E3" w:rsidRPr="00166EA9" w:rsidRDefault="005624E3" w:rsidP="005624E3">
      <w:pPr>
        <w:pStyle w:val="ES-Titre3"/>
        <w:rPr>
          <w:i/>
          <w:noProof/>
          <w:lang w:val="es-ES"/>
        </w:rPr>
      </w:pPr>
      <w:bookmarkStart w:id="358" w:name="_Toc491854176"/>
      <w:bookmarkStart w:id="359" w:name="_Toc535853955"/>
      <w:r w:rsidRPr="00166EA9">
        <w:rPr>
          <w:lang w:val="es-ES"/>
        </w:rPr>
        <w:t>19.07. cikk</w:t>
      </w:r>
      <w:r w:rsidRPr="00166EA9">
        <w:rPr>
          <w:lang w:val="es-ES"/>
        </w:rPr>
        <w:br/>
      </w:r>
      <w:r w:rsidRPr="00166EA9">
        <w:rPr>
          <w:i/>
          <w:noProof/>
          <w:lang w:val="es-ES"/>
        </w:rPr>
        <w:t>Propulziós rendszer</w:t>
      </w:r>
      <w:bookmarkEnd w:id="358"/>
      <w:bookmarkEnd w:id="359"/>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1.</w:t>
      </w:r>
      <w:r w:rsidRPr="00166EA9">
        <w:rPr>
          <w:lang w:val="es-ES"/>
        </w:rPr>
        <w:tab/>
        <w:t>A fő propulziós rendszeren felül a hajókat egy második, független propulziós rendszerrel is fel kell szerelni, hogy a fő propulziós rendszert érintő meghibásodás esetén a hajó saját erejéből továbbra is kormányozható maradjon.</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2.</w:t>
      </w:r>
      <w:r w:rsidRPr="00166EA9">
        <w:rPr>
          <w:lang w:val="es-ES"/>
        </w:rPr>
        <w:tab/>
        <w:t>A második, független propulziós rendszert külön géptérben kell elhelyezni. Ha a két géptérnek vannak közös térelválasztó elemei, ezeket a 19.11. cikk 2. bekezdése szerint kell kialakítani.</w:t>
      </w:r>
    </w:p>
    <w:p w:rsidR="005624E3" w:rsidRPr="00166EA9" w:rsidRDefault="005624E3" w:rsidP="005624E3">
      <w:pPr>
        <w:pStyle w:val="ESch"/>
        <w:rPr>
          <w:rFonts w:eastAsia="Calibri" w:cs="Arial"/>
          <w:szCs w:val="18"/>
          <w:lang w:val="es-ES"/>
        </w:rPr>
      </w:pPr>
    </w:p>
    <w:p w:rsidR="005624E3" w:rsidRPr="00166EA9" w:rsidRDefault="005624E3" w:rsidP="005624E3">
      <w:pPr>
        <w:pStyle w:val="ESch"/>
        <w:rPr>
          <w:rFonts w:eastAsia="Calibri" w:cs="Arial"/>
          <w:szCs w:val="18"/>
          <w:lang w:val="es-ES"/>
        </w:rPr>
      </w:pPr>
    </w:p>
    <w:p w:rsidR="005624E3" w:rsidRPr="00166EA9" w:rsidRDefault="005624E3" w:rsidP="005624E3">
      <w:pPr>
        <w:pStyle w:val="ES-Titre3"/>
        <w:rPr>
          <w:rFonts w:cs="Arial"/>
          <w:i/>
          <w:szCs w:val="18"/>
          <w:lang w:val="es-ES"/>
        </w:rPr>
      </w:pPr>
      <w:bookmarkStart w:id="360" w:name="_Toc491854177"/>
      <w:bookmarkStart w:id="361" w:name="_Toc535853956"/>
      <w:r w:rsidRPr="00166EA9">
        <w:rPr>
          <w:lang w:val="es-ES"/>
        </w:rPr>
        <w:t>19.08. cikk</w:t>
      </w:r>
      <w:r w:rsidRPr="00166EA9">
        <w:rPr>
          <w:lang w:val="es-ES"/>
        </w:rPr>
        <w:br/>
      </w:r>
      <w:r w:rsidRPr="00166EA9">
        <w:rPr>
          <w:i/>
          <w:noProof/>
          <w:lang w:val="es-ES"/>
        </w:rPr>
        <w:t>Biztonsági berendezések és felszerelések</w:t>
      </w:r>
      <w:bookmarkEnd w:id="360"/>
      <w:bookmarkEnd w:id="361"/>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 xml:space="preserve">1. </w:t>
      </w:r>
      <w:r w:rsidRPr="00166EA9">
        <w:rPr>
          <w:lang w:val="es-ES"/>
        </w:rPr>
        <w:tab/>
        <w:t>Minden személyhajónak rendelkeznie kell a 7.08. cikk szerinti belső kommunikációs eszközökkel. Ilyen eszközöknek rendelkezésre kell állniuk a műveleti helyiségekben is, valamint – amennyiben nincs közvetlen kommunikáció a kormányvezérlő-állással – a 19.06. cikk 8. bekezdésében említett, utasok által használt bejáratoknál és gyülekezőhelyeken.</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2.</w:t>
      </w:r>
      <w:r w:rsidRPr="00166EA9">
        <w:rPr>
          <w:lang w:val="es-ES"/>
        </w:rPr>
        <w:tab/>
        <w:t>Az utasok által használt valamennyi területnek elérhetőnek kell lennie egy hangszórórendszeren keresztül. A rendszert annak biztosításával kell kiépíteni, hogy a közvetített információ egyértelműen megkülönböztethető legyen a háttérzajtól. A hangszórók használata opcionális, ha lehetséges a közvetlen kommunikáció a kormányállás és az utasok által használt terület között.</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3.</w:t>
      </w:r>
      <w:r w:rsidRPr="00166EA9">
        <w:rPr>
          <w:lang w:val="es-ES"/>
        </w:rPr>
        <w:tab/>
        <w:t>A hajót riasztórendszerrel kell felszerelni. Ez a rendszer a következőket foglalja magában:</w:t>
      </w:r>
    </w:p>
    <w:p w:rsidR="005624E3" w:rsidRPr="00166EA9" w:rsidRDefault="005624E3" w:rsidP="005624E3">
      <w:pPr>
        <w:pStyle w:val="ESlet"/>
        <w:rPr>
          <w:rFonts w:eastAsia="Calibri" w:cs="Arial"/>
          <w:szCs w:val="18"/>
          <w:lang w:val="es-ES"/>
        </w:rPr>
      </w:pPr>
      <w:r w:rsidRPr="00166EA9">
        <w:rPr>
          <w:lang w:val="es-ES"/>
        </w:rPr>
        <w:t>a)</w:t>
      </w:r>
      <w:r w:rsidRPr="00166EA9">
        <w:rPr>
          <w:lang w:val="es-ES"/>
        </w:rPr>
        <w:tab/>
        <w:t>egy olyan riasztórendszer, amely az utasok, a legénységi tagok és a kiszolgáló személyzet számára lehetővé teszi a hajó parancsnokságának és legénységének riasztását.</w:t>
      </w:r>
    </w:p>
    <w:p w:rsidR="005624E3" w:rsidRPr="00166EA9" w:rsidRDefault="005624E3" w:rsidP="005624E3">
      <w:pPr>
        <w:pStyle w:val="ESletpar"/>
        <w:rPr>
          <w:rFonts w:eastAsia="Calibri" w:cs="Arial"/>
          <w:szCs w:val="18"/>
          <w:lang w:val="es-ES"/>
        </w:rPr>
      </w:pPr>
      <w:r w:rsidRPr="00166EA9">
        <w:rPr>
          <w:lang w:val="es-ES"/>
        </w:rPr>
        <w:t>A riasztásnak csak a hajó parancsnoksága és legénysége számára kijelölt területeken szabad észlelhetőnek lennie; biztosítani kell, hogy a riasztást csak a hajó parancsnoksága állíthassa le. A riasztásnak legalább az alábbi helyekről aktiválhatónak kell lennie:</w:t>
      </w:r>
    </w:p>
    <w:p w:rsidR="005624E3" w:rsidRPr="00166EA9" w:rsidRDefault="005624E3" w:rsidP="005624E3">
      <w:pPr>
        <w:pStyle w:val="EStiret"/>
        <w:rPr>
          <w:rFonts w:eastAsia="Calibri" w:cs="Arial"/>
          <w:szCs w:val="18"/>
          <w:lang w:val="es-ES"/>
        </w:rPr>
      </w:pPr>
      <w:r w:rsidRPr="00166EA9">
        <w:rPr>
          <w:lang w:val="es-ES"/>
        </w:rPr>
        <w:t>aa)</w:t>
      </w:r>
      <w:r w:rsidRPr="00166EA9">
        <w:rPr>
          <w:lang w:val="es-ES"/>
        </w:rPr>
        <w:tab/>
        <w:t>minden egyes kabin;</w:t>
      </w:r>
    </w:p>
    <w:p w:rsidR="005624E3" w:rsidRPr="00166EA9" w:rsidRDefault="005624E3" w:rsidP="005624E3">
      <w:pPr>
        <w:pStyle w:val="EStiret"/>
        <w:rPr>
          <w:rFonts w:eastAsia="Calibri"/>
          <w:lang w:val="es-ES"/>
        </w:rPr>
      </w:pPr>
    </w:p>
    <w:p w:rsidR="005624E3" w:rsidRPr="00166EA9" w:rsidRDefault="005624E3" w:rsidP="005624E3">
      <w:pPr>
        <w:pStyle w:val="EStiret"/>
        <w:rPr>
          <w:rFonts w:eastAsia="Calibri"/>
          <w:lang w:val="es-ES"/>
        </w:rPr>
      </w:pPr>
      <w:r w:rsidRPr="00166EA9">
        <w:rPr>
          <w:lang w:val="es-ES"/>
        </w:rPr>
        <w:br w:type="page"/>
      </w:r>
    </w:p>
    <w:p w:rsidR="005624E3" w:rsidRPr="00166EA9" w:rsidRDefault="005624E3" w:rsidP="005624E3">
      <w:pPr>
        <w:pStyle w:val="EStiret"/>
        <w:rPr>
          <w:rFonts w:eastAsia="Calibri" w:cs="Arial"/>
          <w:szCs w:val="18"/>
          <w:lang w:val="es-ES"/>
        </w:rPr>
      </w:pPr>
      <w:r w:rsidRPr="00166EA9">
        <w:rPr>
          <w:lang w:val="es-ES"/>
        </w:rPr>
        <w:t>bb)</w:t>
      </w:r>
      <w:r w:rsidRPr="00166EA9">
        <w:rPr>
          <w:lang w:val="es-ES"/>
        </w:rPr>
        <w:tab/>
        <w:t>folyosók, liftek és lépcsőházak oly módon, hogy a legközelebbi aktiválási pont legfeljebb 10 m távolságra legyen, és minden vízmentes rekeszben rendelkezésre álljon legalább egy aktiválási pont;</w:t>
      </w:r>
    </w:p>
    <w:p w:rsidR="005624E3" w:rsidRPr="00166EA9" w:rsidRDefault="005624E3" w:rsidP="005624E3">
      <w:pPr>
        <w:pStyle w:val="EStiret"/>
        <w:rPr>
          <w:rFonts w:eastAsia="Calibri" w:cs="Arial"/>
          <w:szCs w:val="18"/>
          <w:lang w:val="es-ES"/>
        </w:rPr>
      </w:pPr>
      <w:r w:rsidRPr="00166EA9">
        <w:rPr>
          <w:lang w:val="es-ES"/>
        </w:rPr>
        <w:t>cc)</w:t>
      </w:r>
      <w:r w:rsidRPr="00166EA9">
        <w:rPr>
          <w:lang w:val="es-ES"/>
        </w:rPr>
        <w:tab/>
        <w:t>társalgók, étkezők és hasonló szabadidős helyiségek;</w:t>
      </w:r>
    </w:p>
    <w:p w:rsidR="005624E3" w:rsidRPr="00166EA9" w:rsidRDefault="005624E3" w:rsidP="005624E3">
      <w:pPr>
        <w:pStyle w:val="EStiret"/>
        <w:rPr>
          <w:rFonts w:eastAsia="Calibri" w:cs="Arial"/>
          <w:szCs w:val="18"/>
          <w:lang w:val="es-ES"/>
        </w:rPr>
      </w:pPr>
      <w:r w:rsidRPr="00166EA9">
        <w:rPr>
          <w:lang w:val="es-ES"/>
        </w:rPr>
        <w:t>dd)</w:t>
      </w:r>
      <w:r w:rsidRPr="00166EA9">
        <w:rPr>
          <w:lang w:val="es-ES"/>
        </w:rPr>
        <w:tab/>
        <w:t>a csökkent mozgásképességű személyek általi használatra szolgáló WC-k;</w:t>
      </w:r>
    </w:p>
    <w:p w:rsidR="005624E3" w:rsidRPr="00166EA9" w:rsidRDefault="005624E3" w:rsidP="005624E3">
      <w:pPr>
        <w:pStyle w:val="EStiret"/>
        <w:rPr>
          <w:rFonts w:eastAsia="Calibri" w:cs="Arial"/>
          <w:szCs w:val="18"/>
          <w:lang w:val="es-ES"/>
        </w:rPr>
      </w:pPr>
      <w:r w:rsidRPr="00166EA9">
        <w:rPr>
          <w:lang w:val="es-ES"/>
        </w:rPr>
        <w:t>ee)</w:t>
      </w:r>
      <w:r w:rsidRPr="00166EA9">
        <w:rPr>
          <w:lang w:val="es-ES"/>
        </w:rPr>
        <w:tab/>
        <w:t>gépterek, konyhák és olyan hasonló helyiségek, ahol tűzveszély áll fenn;</w:t>
      </w:r>
    </w:p>
    <w:p w:rsidR="005624E3" w:rsidRPr="00166EA9" w:rsidRDefault="005624E3" w:rsidP="005624E3">
      <w:pPr>
        <w:pStyle w:val="EStiret"/>
        <w:rPr>
          <w:rFonts w:eastAsia="Calibri" w:cs="Arial"/>
          <w:szCs w:val="18"/>
          <w:lang w:val="es-ES"/>
        </w:rPr>
      </w:pPr>
      <w:r w:rsidRPr="00166EA9">
        <w:rPr>
          <w:lang w:val="es-ES"/>
        </w:rPr>
        <w:t>ff)</w:t>
      </w:r>
      <w:r w:rsidRPr="00166EA9">
        <w:rPr>
          <w:lang w:val="es-ES"/>
        </w:rPr>
        <w:tab/>
        <w:t>hűtőraktárak és egyéb raktárhelyiségek.</w:t>
      </w:r>
    </w:p>
    <w:p w:rsidR="005624E3" w:rsidRPr="00166EA9" w:rsidRDefault="005624E3" w:rsidP="005624E3">
      <w:pPr>
        <w:pStyle w:val="ESletpar"/>
        <w:rPr>
          <w:rFonts w:eastAsia="Calibri" w:cs="Arial"/>
          <w:szCs w:val="18"/>
          <w:lang w:val="es-ES"/>
        </w:rPr>
      </w:pPr>
      <w:r w:rsidRPr="00166EA9">
        <w:rPr>
          <w:lang w:val="es-ES"/>
        </w:rPr>
        <w:t>A riasztás aktiválási pontjait a padlótól mért 0,85–1,10 m-es magasságban kell felszerelni;</w:t>
      </w:r>
    </w:p>
    <w:p w:rsidR="005624E3" w:rsidRPr="00166EA9" w:rsidRDefault="005624E3" w:rsidP="005624E3">
      <w:pPr>
        <w:pStyle w:val="ESlet"/>
        <w:rPr>
          <w:rFonts w:eastAsia="Calibri" w:cs="Arial"/>
          <w:szCs w:val="18"/>
          <w:lang w:val="es-ES"/>
        </w:rPr>
      </w:pPr>
      <w:r w:rsidRPr="00166EA9">
        <w:rPr>
          <w:lang w:val="es-ES"/>
        </w:rPr>
        <w:t>b)</w:t>
      </w:r>
      <w:r w:rsidRPr="00166EA9">
        <w:rPr>
          <w:lang w:val="es-ES"/>
        </w:rPr>
        <w:tab/>
        <w:t>egy olyan riasztórendszer, amely a hajó parancsnoksága számára lehetővé teszi az utasok riasztását.</w:t>
      </w:r>
    </w:p>
    <w:p w:rsidR="005624E3" w:rsidRPr="00166EA9" w:rsidRDefault="005624E3" w:rsidP="005624E3">
      <w:pPr>
        <w:pStyle w:val="ESletpar"/>
        <w:rPr>
          <w:rFonts w:eastAsia="Calibri" w:cs="Arial"/>
          <w:szCs w:val="18"/>
          <w:lang w:val="es-ES"/>
        </w:rPr>
      </w:pPr>
      <w:r w:rsidRPr="00166EA9">
        <w:rPr>
          <w:lang w:val="es-ES"/>
        </w:rPr>
        <w:t>Ennek a riasztásnak az utasok által hozzáférhető valamennyi helyiségben egyértelműen és félreismerhetetlenül hallhatónak kell lennie. Az aktiválást lehetővé kell tenni a kormányállásból egy olyan helyről, ahol állandóan tartózkodik személyzet;</w:t>
      </w:r>
    </w:p>
    <w:p w:rsidR="005624E3" w:rsidRPr="00166EA9" w:rsidRDefault="005624E3" w:rsidP="005624E3">
      <w:pPr>
        <w:pStyle w:val="ESlet"/>
        <w:rPr>
          <w:rFonts w:eastAsia="Calibri" w:cs="Arial"/>
          <w:szCs w:val="18"/>
          <w:lang w:val="es-ES"/>
        </w:rPr>
      </w:pPr>
      <w:r w:rsidRPr="00166EA9">
        <w:rPr>
          <w:lang w:val="es-ES"/>
        </w:rPr>
        <w:t>c)</w:t>
      </w:r>
      <w:r w:rsidRPr="00166EA9">
        <w:rPr>
          <w:lang w:val="es-ES"/>
        </w:rPr>
        <w:tab/>
        <w:t>egy olyan, a 7.09. cikk 1. bekezdése szerinti riasztórendszer, amely a hajó parancsnoksága számára lehetővé teszi a legénység és a kiszolgáló személyzet riasztását.</w:t>
      </w:r>
    </w:p>
    <w:p w:rsidR="005624E3" w:rsidRPr="00166EA9" w:rsidRDefault="005624E3" w:rsidP="005624E3">
      <w:pPr>
        <w:pStyle w:val="ESletpar"/>
        <w:rPr>
          <w:rFonts w:eastAsia="Calibri" w:cs="Arial"/>
          <w:szCs w:val="18"/>
          <w:lang w:val="es-ES"/>
        </w:rPr>
      </w:pPr>
      <w:r w:rsidRPr="00166EA9">
        <w:rPr>
          <w:lang w:val="es-ES"/>
        </w:rPr>
        <w:t>A riasztórendszer hatókörének ki kell terjednie a kiszolgáló személyzet szabadidős helyiségeire, a hűtőraktárakra és egyéb raktárhelyiségekre is.</w:t>
      </w:r>
    </w:p>
    <w:p w:rsidR="005624E3" w:rsidRPr="00166EA9" w:rsidRDefault="005624E3" w:rsidP="005624E3">
      <w:pPr>
        <w:pStyle w:val="ESchpar"/>
        <w:rPr>
          <w:rFonts w:eastAsia="Calibri"/>
          <w:noProof/>
          <w:lang w:val="es-ES"/>
        </w:rPr>
      </w:pPr>
    </w:p>
    <w:p w:rsidR="005624E3" w:rsidRPr="00166EA9" w:rsidRDefault="005624E3" w:rsidP="005624E3">
      <w:pPr>
        <w:pStyle w:val="ESchpar"/>
        <w:rPr>
          <w:rFonts w:eastAsia="Calibri" w:cs="Arial"/>
          <w:szCs w:val="18"/>
          <w:lang w:val="es-ES"/>
        </w:rPr>
      </w:pPr>
      <w:r w:rsidRPr="00166EA9">
        <w:rPr>
          <w:lang w:val="es-ES"/>
        </w:rPr>
        <w:t>A riasztás aktiválási pontjait védeni kell a szándékolatlan használat ellen.</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4.</w:t>
      </w:r>
      <w:r w:rsidRPr="00166EA9">
        <w:rPr>
          <w:lang w:val="es-ES"/>
        </w:rPr>
        <w:tab/>
        <w:t>Minden vízmentes rekeszt fel kell szerelni fenékvízszint-riasztóval.</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5.</w:t>
      </w:r>
      <w:r w:rsidRPr="00166EA9">
        <w:rPr>
          <w:lang w:val="es-ES"/>
        </w:rPr>
        <w:tab/>
        <w:t>Két, motorral meghajtott fenékvízszivattyút kell biztosítani.</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6.</w:t>
      </w:r>
      <w:r w:rsidRPr="00166EA9">
        <w:rPr>
          <w:lang w:val="es-ES"/>
        </w:rPr>
        <w:tab/>
        <w:t>Rendelkezésre kell állnia egy tartósan rögzített csőhálózattal rendelkező fenékvízszívattyú-rendszernek.</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7.</w:t>
      </w:r>
      <w:r w:rsidRPr="00166EA9">
        <w:rPr>
          <w:lang w:val="es-ES"/>
        </w:rPr>
        <w:tab/>
        <w:t>A hűtőraktáraknak még zárt állapotban is nyithatóknak kell lenniük belülről.</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8.</w:t>
      </w:r>
      <w:r w:rsidRPr="00166EA9">
        <w:rPr>
          <w:lang w:val="es-ES"/>
        </w:rPr>
        <w:tab/>
        <w:t>Ha a fedélzet alatti helyiségekben CO</w:t>
      </w:r>
      <w:r w:rsidRPr="00166EA9">
        <w:rPr>
          <w:noProof/>
          <w:vertAlign w:val="subscript"/>
          <w:lang w:val="es-ES"/>
        </w:rPr>
        <w:t>2</w:t>
      </w:r>
      <w:r w:rsidRPr="00166EA9">
        <w:rPr>
          <w:lang w:val="es-ES"/>
        </w:rPr>
        <w:t>-rendszerek vannak, ezeket a helyiségeket fel kell szerelni önműködő szellőzőrendszerrel, amely önműködően bekapcsol, ha a helyiség ajtaját vagy fedélzeti nyílását kinyitják. A szellőzőcsatornákat a helyiség padlójától 0,05 m-re kell vezetni.</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9.</w:t>
      </w:r>
      <w:r w:rsidRPr="00166EA9">
        <w:rPr>
          <w:lang w:val="es-ES"/>
        </w:rPr>
        <w:tab/>
        <w:t>A 13.02. cikk 3. bekezdésének f) pontja szerinti elsősegélycsomagon kívül kellő számú további elsősegélycsomagot kell biztosítani. A elsősegélycsomagoknak és tárolásuknak meg kell felelniük a 13.02. cikk 3. bekezdésének f) pontjában meghatározott követelményeknek.</w:t>
      </w:r>
    </w:p>
    <w:p w:rsidR="005624E3" w:rsidRPr="00166EA9" w:rsidRDefault="005624E3" w:rsidP="005624E3">
      <w:pPr>
        <w:pStyle w:val="ESch"/>
        <w:rPr>
          <w:rFonts w:eastAsia="Calibri" w:cs="Arial"/>
          <w:szCs w:val="18"/>
          <w:lang w:val="es-ES"/>
        </w:rPr>
      </w:pPr>
    </w:p>
    <w:p w:rsidR="005624E3" w:rsidRPr="00166EA9" w:rsidRDefault="005624E3" w:rsidP="005624E3">
      <w:pPr>
        <w:pStyle w:val="ESch"/>
        <w:rPr>
          <w:rFonts w:eastAsia="Calibri" w:cs="Arial"/>
          <w:szCs w:val="18"/>
          <w:lang w:val="es-ES"/>
        </w:rPr>
      </w:pPr>
    </w:p>
    <w:p w:rsidR="005624E3" w:rsidRPr="00166EA9" w:rsidRDefault="005624E3" w:rsidP="005624E3">
      <w:pPr>
        <w:pStyle w:val="ES-Titre3"/>
        <w:rPr>
          <w:rFonts w:cs="Arial"/>
          <w:i/>
          <w:szCs w:val="18"/>
          <w:lang w:val="es-ES"/>
        </w:rPr>
      </w:pPr>
      <w:bookmarkStart w:id="362" w:name="_Toc491854178"/>
      <w:bookmarkStart w:id="363" w:name="_Toc535853957"/>
      <w:r w:rsidRPr="00166EA9">
        <w:rPr>
          <w:lang w:val="es-ES"/>
        </w:rPr>
        <w:t>19.09. cikk</w:t>
      </w:r>
      <w:r w:rsidRPr="00166EA9">
        <w:rPr>
          <w:lang w:val="es-ES"/>
        </w:rPr>
        <w:br/>
      </w:r>
      <w:r w:rsidRPr="00166EA9">
        <w:rPr>
          <w:i/>
          <w:noProof/>
          <w:lang w:val="es-ES"/>
        </w:rPr>
        <w:t>Életmentő felszerelések</w:t>
      </w:r>
      <w:bookmarkEnd w:id="362"/>
      <w:bookmarkEnd w:id="363"/>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w:t>
      </w:r>
      <w:r w:rsidRPr="00166EA9">
        <w:rPr>
          <w:lang w:val="es-ES"/>
        </w:rPr>
        <w:tab/>
        <w:t>A 13.08. cikk 1. bekezdésében meghatározott mentőgyűrűkön kívül a fedélzet minden olyan részét, amelyet az utasok használnak és nem zárt, fel kell szerelni megfelelő mentőgyűrűkkel, amelyeket a hajó mindkét oldalán, egymástól legfeljebb 20 m távolságra kell elhelyezni. A mentőgyűrűk akkor tekinthetők megfelelőnek, ha megfelelnek:</w:t>
      </w:r>
    </w:p>
    <w:p w:rsidR="005624E3" w:rsidRPr="00166EA9" w:rsidRDefault="005624E3" w:rsidP="005624E3">
      <w:pPr>
        <w:pStyle w:val="ESlet"/>
        <w:rPr>
          <w:rFonts w:eastAsia="Calibri" w:cs="Arial"/>
          <w:szCs w:val="18"/>
          <w:lang w:val="es-ES"/>
        </w:rPr>
      </w:pPr>
      <w:r w:rsidRPr="00166EA9">
        <w:rPr>
          <w:lang w:val="es-ES"/>
        </w:rPr>
        <w:t>–</w:t>
      </w:r>
      <w:r w:rsidRPr="00166EA9">
        <w:rPr>
          <w:lang w:val="es-ES"/>
        </w:rPr>
        <w:tab/>
        <w:t>az EN 14144:2003 európai szabványnak; vagy</w:t>
      </w:r>
    </w:p>
    <w:p w:rsidR="005624E3" w:rsidRPr="00166EA9" w:rsidRDefault="005624E3" w:rsidP="005624E3">
      <w:pPr>
        <w:pStyle w:val="ESlet"/>
        <w:rPr>
          <w:rFonts w:eastAsia="Calibri"/>
          <w:noProof/>
          <w:lang w:val="es-ES"/>
        </w:rPr>
      </w:pPr>
      <w:r w:rsidRPr="00166EA9">
        <w:rPr>
          <w:lang w:val="es-ES"/>
        </w:rPr>
        <w:t>-</w:t>
      </w:r>
      <w:r w:rsidRPr="00166EA9">
        <w:rPr>
          <w:lang w:val="es-ES"/>
        </w:rPr>
        <w:tab/>
        <w:t>az „Életbiztonság a tengeren” tárgyú 1974. évi nemzetközi egyezmény (1974. évi SOLAS-egyezmény) III. fejezete 7.1. előírásának és Az életmentő felszerelések nemzetközi szabályzata (LSA-szabályzat) 2.1. alpontjának.</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p>
    <w:p w:rsidR="005624E3" w:rsidRPr="00166EA9" w:rsidRDefault="005624E3" w:rsidP="005624E3">
      <w:pPr>
        <w:pStyle w:val="ESch"/>
        <w:rPr>
          <w:rFonts w:eastAsia="Calibri"/>
          <w:noProof/>
          <w:lang w:val="es-ES"/>
        </w:rPr>
      </w:pPr>
      <w:r w:rsidRPr="00166EA9">
        <w:rPr>
          <w:lang w:val="es-ES"/>
        </w:rPr>
        <w:br w:type="page"/>
      </w:r>
    </w:p>
    <w:p w:rsidR="005624E3" w:rsidRPr="00166EA9" w:rsidRDefault="005624E3" w:rsidP="005624E3">
      <w:pPr>
        <w:pStyle w:val="ESchpar"/>
        <w:rPr>
          <w:rFonts w:eastAsia="Calibri" w:cs="Arial"/>
          <w:szCs w:val="18"/>
          <w:lang w:val="es-ES"/>
        </w:rPr>
      </w:pPr>
      <w:r w:rsidRPr="00166EA9">
        <w:rPr>
          <w:lang w:val="es-ES"/>
        </w:rPr>
        <w:t>Az előírt mentőgyűrűk felét legalább 30 m hosszú, 8–11 mm átmérőjű dobókötéllel, az előírt mentőgyűrűk másik felét pedig önműködően bekapcsolódó, elemmel működő, a víz hatására ki nem alvó fénnyel kell felszerelni.</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2.</w:t>
      </w:r>
      <w:r w:rsidRPr="00166EA9">
        <w:rPr>
          <w:lang w:val="es-ES"/>
        </w:rPr>
        <w:tab/>
        <w:t>Az 1. bekezdésben említett mentőgyűrűkön kívül a teljes kiszolgáló személyzet számára könnyen elérhetőnek kell lennie a 13.08. cikk 2. bekezdése szerinti egyéni életmentő felszerelésnek. A biztonsági szolgálati beosztás szerint szolgálatot nem teljesítő kiszolgáló személyzet esetében megengedhető a 13.08. cikk 2. bekezdésében említett szabványok szerinti nem felfújható vagy félig önműködően felfújódó mentőmellény is.</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3.</w:t>
      </w:r>
      <w:r w:rsidRPr="00166EA9">
        <w:rPr>
          <w:lang w:val="es-ES"/>
        </w:rPr>
        <w:tab/>
        <w:t>A személyhajóknak rendelkezniük kell olyan megfelelő eszközzel, amely lehetővé teszi a személyek átszállítását sekély vízre, a partra vagy egy másik vízi járműre.</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4.</w:t>
      </w:r>
      <w:r w:rsidRPr="00166EA9">
        <w:rPr>
          <w:lang w:val="es-ES"/>
        </w:rPr>
        <w:tab/>
        <w:t>Az 1. és 2. bekezdésben említett életmentő felszerelésen kívül, a 13.08. cikk 2. bekezdése szerinti egyéni életmentő felszerelést kell biztosítani a legnagyobb megengedett utaslétszám 100 %-ának megfelelő mennyiségben. Megengedhetők a 13.08. cikk 2. bekezdésében említett szabványok szerinti nem felfújható vagy félig önműködően felfújódó mentőmellények is.</w:t>
      </w:r>
    </w:p>
    <w:p w:rsidR="005624E3" w:rsidRPr="00166EA9" w:rsidRDefault="005624E3" w:rsidP="005624E3">
      <w:pPr>
        <w:pStyle w:val="ESch"/>
        <w:rPr>
          <w:rFonts w:eastAsia="Calibri" w:cs="Arial"/>
          <w:szCs w:val="18"/>
          <w:lang w:val="es-ES"/>
        </w:rPr>
      </w:pPr>
    </w:p>
    <w:p w:rsidR="005624E3" w:rsidRPr="00166EA9" w:rsidRDefault="005624E3" w:rsidP="005624E3">
      <w:pPr>
        <w:pStyle w:val="ESch"/>
        <w:rPr>
          <w:rFonts w:eastAsia="Calibri" w:cs="Arial"/>
          <w:szCs w:val="18"/>
          <w:lang w:val="es-ES"/>
        </w:rPr>
      </w:pPr>
      <w:r w:rsidRPr="00166EA9">
        <w:rPr>
          <w:lang w:val="es-ES"/>
        </w:rPr>
        <w:t>5.</w:t>
      </w:r>
      <w:r w:rsidRPr="00166EA9">
        <w:rPr>
          <w:lang w:val="es-ES"/>
        </w:rPr>
        <w:tab/>
        <w:t>A „csoportos életmentő felszerelések” kifejezés magában foglalja a 13.07. cikk szerinti szolgálati csónakokat és a mentőtutajokat.</w:t>
      </w:r>
    </w:p>
    <w:p w:rsidR="005624E3" w:rsidRPr="00166EA9" w:rsidRDefault="005624E3" w:rsidP="005624E3">
      <w:pPr>
        <w:pStyle w:val="ESch"/>
        <w:rPr>
          <w:rFonts w:eastAsia="Calibri"/>
          <w:noProof/>
          <w:lang w:val="es-ES"/>
        </w:rPr>
      </w:pPr>
    </w:p>
    <w:p w:rsidR="005624E3" w:rsidRPr="00166EA9" w:rsidRDefault="005624E3" w:rsidP="005624E3">
      <w:pPr>
        <w:pStyle w:val="ESchpar"/>
        <w:rPr>
          <w:rFonts w:eastAsia="Calibri" w:cs="Arial"/>
          <w:szCs w:val="18"/>
          <w:lang w:val="es-ES"/>
        </w:rPr>
      </w:pPr>
      <w:r w:rsidRPr="00166EA9">
        <w:rPr>
          <w:lang w:val="es-ES"/>
        </w:rPr>
        <w:t>A mentőtutajokra az alábbi követelmények vonatkoznak:</w:t>
      </w:r>
    </w:p>
    <w:p w:rsidR="005624E3" w:rsidRPr="00166EA9" w:rsidRDefault="005624E3" w:rsidP="005624E3">
      <w:pPr>
        <w:pStyle w:val="ESlet"/>
        <w:rPr>
          <w:rFonts w:eastAsia="Calibri" w:cs="Arial"/>
          <w:szCs w:val="18"/>
          <w:lang w:val="es-ES"/>
        </w:rPr>
      </w:pPr>
      <w:r w:rsidRPr="00166EA9">
        <w:rPr>
          <w:lang w:val="es-ES"/>
        </w:rPr>
        <w:t>a)</w:t>
      </w:r>
      <w:r w:rsidRPr="00166EA9">
        <w:rPr>
          <w:lang w:val="es-ES"/>
        </w:rPr>
        <w:tab/>
        <w:t>tájékoztató feliratot kell viselniük, amely ismerteti rendeltetésüket és azt, hogy hány személyre lettek hitelesítve;</w:t>
      </w:r>
    </w:p>
    <w:p w:rsidR="005624E3" w:rsidRPr="00166EA9" w:rsidRDefault="005624E3" w:rsidP="005624E3">
      <w:pPr>
        <w:pStyle w:val="ESlet"/>
        <w:rPr>
          <w:rFonts w:eastAsia="Calibri" w:cs="Arial"/>
          <w:szCs w:val="18"/>
          <w:lang w:val="es-ES"/>
        </w:rPr>
      </w:pPr>
      <w:r w:rsidRPr="00166EA9">
        <w:rPr>
          <w:lang w:val="es-ES"/>
        </w:rPr>
        <w:t>b)</w:t>
      </w:r>
      <w:r w:rsidRPr="00166EA9">
        <w:rPr>
          <w:lang w:val="es-ES"/>
        </w:rPr>
        <w:tab/>
        <w:t>a megengedett számú személyek részére megfelelő ülőhellyel kell rendelkezniük;</w:t>
      </w:r>
    </w:p>
    <w:p w:rsidR="005624E3" w:rsidRPr="00166EA9" w:rsidRDefault="005624E3" w:rsidP="005624E3">
      <w:pPr>
        <w:pStyle w:val="ESlet"/>
        <w:rPr>
          <w:rFonts w:eastAsia="Calibri" w:cs="Arial"/>
          <w:szCs w:val="18"/>
          <w:lang w:val="es-ES"/>
        </w:rPr>
      </w:pPr>
      <w:r w:rsidRPr="00166EA9">
        <w:rPr>
          <w:lang w:val="es-ES"/>
        </w:rPr>
        <w:t>c)</w:t>
      </w:r>
      <w:r w:rsidRPr="00166EA9">
        <w:rPr>
          <w:lang w:val="es-ES"/>
        </w:rPr>
        <w:tab/>
        <w:t>édesvízben legalább személyenként 750 N felhajtóerővel kell rendelkezniük;</w:t>
      </w:r>
    </w:p>
    <w:p w:rsidR="005624E3" w:rsidRPr="00166EA9" w:rsidRDefault="005624E3" w:rsidP="005624E3">
      <w:pPr>
        <w:pStyle w:val="ESlet"/>
        <w:rPr>
          <w:rFonts w:eastAsia="Calibri" w:cs="Arial"/>
          <w:szCs w:val="18"/>
          <w:lang w:val="es-ES"/>
        </w:rPr>
      </w:pPr>
      <w:r w:rsidRPr="00166EA9">
        <w:rPr>
          <w:lang w:val="es-ES"/>
        </w:rPr>
        <w:t>d)</w:t>
      </w:r>
      <w:r w:rsidRPr="00166EA9">
        <w:rPr>
          <w:lang w:val="es-ES"/>
        </w:rPr>
        <w:tab/>
        <w:t>olyan kötéllel kell rendelkezniük, amely a személyhajóhoz köti őket, meggátolva elsodródásukat;</w:t>
      </w:r>
    </w:p>
    <w:p w:rsidR="005624E3" w:rsidRPr="00166EA9" w:rsidRDefault="005624E3" w:rsidP="005624E3">
      <w:pPr>
        <w:pStyle w:val="ESlet"/>
        <w:rPr>
          <w:rFonts w:eastAsia="Calibri" w:cs="Arial"/>
          <w:szCs w:val="18"/>
          <w:lang w:val="es-ES"/>
        </w:rPr>
      </w:pPr>
      <w:r w:rsidRPr="00166EA9">
        <w:rPr>
          <w:lang w:val="es-ES"/>
        </w:rPr>
        <w:t>e)</w:t>
      </w:r>
      <w:r w:rsidRPr="00166EA9">
        <w:rPr>
          <w:lang w:val="es-ES"/>
        </w:rPr>
        <w:tab/>
        <w:t>olajnak, olajszármazékoknak, valamint 50 °C-ig terjedő hőmérsékletnek ellenálló megfelelő anyagokból kell készülniük;</w:t>
      </w:r>
    </w:p>
    <w:p w:rsidR="005624E3" w:rsidRPr="00166EA9" w:rsidRDefault="005624E3" w:rsidP="005624E3">
      <w:pPr>
        <w:pStyle w:val="ESlet"/>
        <w:rPr>
          <w:rFonts w:eastAsia="Calibri" w:cs="Arial"/>
          <w:szCs w:val="18"/>
          <w:lang w:val="es-ES"/>
        </w:rPr>
      </w:pPr>
      <w:r w:rsidRPr="00166EA9">
        <w:rPr>
          <w:lang w:val="es-ES"/>
        </w:rPr>
        <w:t>f)</w:t>
      </w:r>
      <w:r w:rsidRPr="00166EA9">
        <w:rPr>
          <w:lang w:val="es-ES"/>
        </w:rPr>
        <w:tab/>
        <w:t>stabil egyensúlyi helyzetet kell elérniük és fenntartaniuk, valamint megfelelő felszereléssel kell rendelkezniük, hogy a rajtuk feltüntetett számú személy megkapaszkodhasson;</w:t>
      </w:r>
    </w:p>
    <w:p w:rsidR="005624E3" w:rsidRPr="00166EA9" w:rsidRDefault="005624E3" w:rsidP="005624E3">
      <w:pPr>
        <w:pStyle w:val="ESlet"/>
        <w:rPr>
          <w:rFonts w:eastAsia="Calibri" w:cs="Arial"/>
          <w:szCs w:val="18"/>
          <w:lang w:val="es-ES"/>
        </w:rPr>
      </w:pPr>
      <w:r w:rsidRPr="00166EA9">
        <w:rPr>
          <w:lang w:val="es-ES"/>
        </w:rPr>
        <w:t>g)</w:t>
      </w:r>
      <w:r w:rsidRPr="00166EA9">
        <w:rPr>
          <w:lang w:val="es-ES"/>
        </w:rPr>
        <w:tab/>
        <w:t>fluoreszkáló narancsszínűnek kell lenniük vagy legalább 100 cm</w:t>
      </w:r>
      <w:r w:rsidRPr="00166EA9">
        <w:rPr>
          <w:noProof/>
          <w:vertAlign w:val="superscript"/>
          <w:lang w:val="es-ES"/>
        </w:rPr>
        <w:t>2</w:t>
      </w:r>
      <w:r w:rsidRPr="00166EA9">
        <w:rPr>
          <w:lang w:val="es-ES"/>
        </w:rPr>
        <w:t>-nyi, minden oldalról látható fluoreszkáló felülettel kell rendelkezniük;</w:t>
      </w:r>
    </w:p>
    <w:p w:rsidR="005624E3" w:rsidRPr="00166EA9" w:rsidRDefault="005624E3" w:rsidP="005624E3">
      <w:pPr>
        <w:pStyle w:val="ESlet"/>
        <w:rPr>
          <w:rFonts w:eastAsia="Calibri" w:cs="Arial"/>
          <w:szCs w:val="18"/>
          <w:lang w:val="es-ES"/>
        </w:rPr>
      </w:pPr>
      <w:r w:rsidRPr="00166EA9">
        <w:rPr>
          <w:lang w:val="es-ES"/>
        </w:rPr>
        <w:t>h)</w:t>
      </w:r>
      <w:r w:rsidRPr="00166EA9">
        <w:rPr>
          <w:lang w:val="es-ES"/>
        </w:rPr>
        <w:tab/>
        <w:t>olyannak kell lenniük, hogy a helyükről egy ember gyorsan és biztonságosan a vízre bocsáthassa őket, vagy a helyükről maguktól vízre kerüljenek;</w:t>
      </w:r>
    </w:p>
    <w:p w:rsidR="005624E3" w:rsidRPr="00166EA9" w:rsidRDefault="005624E3" w:rsidP="005624E3">
      <w:pPr>
        <w:pStyle w:val="ESlet"/>
        <w:rPr>
          <w:rFonts w:eastAsia="Calibri" w:cs="Arial"/>
          <w:szCs w:val="18"/>
          <w:lang w:val="es-ES"/>
        </w:rPr>
      </w:pPr>
      <w:r w:rsidRPr="00166EA9">
        <w:rPr>
          <w:lang w:val="es-ES"/>
        </w:rPr>
        <w:t>i)</w:t>
      </w:r>
      <w:r w:rsidRPr="00166EA9">
        <w:rPr>
          <w:lang w:val="es-ES"/>
        </w:rPr>
        <w:tab/>
        <w:t>megfelelő evakuálási eszközzel kell rendelkezniük a 19.06. cikk 8. bekezdésében említett evakuálási területekről a tutajokra való evakuálás céljából, ha az a fedélzet, amelyen az evakuálási terület található, és a legnagyobb merülés síkja közötti függőleges távolság 1 m-nél nagyobb.</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6.</w:t>
      </w:r>
      <w:r w:rsidRPr="00166EA9">
        <w:rPr>
          <w:lang w:val="es-ES"/>
        </w:rPr>
        <w:tab/>
        <w:t>A további csoportos életmentő felszerelések olyan életmentő eszközök, amelyek több személy számára biztosítják a víz felszínén való fennmaradás lehetőségét. Az ezekre vonatkozó követelmények az alábbiak:</w:t>
      </w:r>
    </w:p>
    <w:p w:rsidR="005624E3" w:rsidRPr="00166EA9" w:rsidRDefault="005624E3" w:rsidP="005624E3">
      <w:pPr>
        <w:pStyle w:val="ESlet"/>
        <w:rPr>
          <w:rFonts w:eastAsia="Calibri" w:cs="Arial"/>
          <w:szCs w:val="18"/>
          <w:lang w:val="es-ES"/>
        </w:rPr>
      </w:pPr>
      <w:r w:rsidRPr="00166EA9">
        <w:rPr>
          <w:lang w:val="es-ES"/>
        </w:rPr>
        <w:t>a)</w:t>
      </w:r>
      <w:r w:rsidRPr="00166EA9">
        <w:rPr>
          <w:lang w:val="es-ES"/>
        </w:rPr>
        <w:tab/>
        <w:t>tájékoztató feliratot kell viselniük, amely ismerteti rendeltetésüket és azt, hogy hány személyre lettek hitelesítve;</w:t>
      </w:r>
    </w:p>
    <w:p w:rsidR="005624E3" w:rsidRPr="00166EA9" w:rsidRDefault="005624E3" w:rsidP="005624E3">
      <w:pPr>
        <w:pStyle w:val="ESlet"/>
        <w:rPr>
          <w:rFonts w:eastAsia="Calibri" w:cs="Arial"/>
          <w:szCs w:val="18"/>
          <w:lang w:val="es-ES"/>
        </w:rPr>
      </w:pPr>
      <w:r w:rsidRPr="00166EA9">
        <w:rPr>
          <w:lang w:val="es-ES"/>
        </w:rPr>
        <w:t>b)</w:t>
      </w:r>
      <w:r w:rsidRPr="00166EA9">
        <w:rPr>
          <w:lang w:val="es-ES"/>
        </w:rPr>
        <w:tab/>
        <w:t>édesvízben legalább személyenként 100 N felhajtóerővel kell rendelkezniük;</w:t>
      </w:r>
    </w:p>
    <w:p w:rsidR="005624E3" w:rsidRPr="00166EA9" w:rsidRDefault="005624E3" w:rsidP="005624E3">
      <w:pPr>
        <w:pStyle w:val="ESlet"/>
        <w:rPr>
          <w:rFonts w:eastAsia="Calibri"/>
          <w:noProof/>
          <w:lang w:val="es-ES"/>
        </w:rPr>
      </w:pPr>
      <w:r w:rsidRPr="00166EA9">
        <w:rPr>
          <w:lang w:val="es-ES"/>
        </w:rPr>
        <w:t>c)</w:t>
      </w:r>
      <w:r w:rsidRPr="00166EA9">
        <w:rPr>
          <w:lang w:val="es-ES"/>
        </w:rPr>
        <w:tab/>
        <w:t>olajnak, olajszármazékoknak, valamint 50 °C-ig terjedő hőmérsékletnek ellenálló megfelelő anyagokból kell készülniük;</w:t>
      </w:r>
    </w:p>
    <w:p w:rsidR="005624E3" w:rsidRPr="00166EA9" w:rsidRDefault="005624E3" w:rsidP="005624E3">
      <w:pPr>
        <w:pStyle w:val="ESlet"/>
        <w:rPr>
          <w:rFonts w:eastAsia="Calibri"/>
          <w:noProof/>
          <w:lang w:val="es-ES"/>
        </w:rPr>
      </w:pPr>
    </w:p>
    <w:p w:rsidR="005624E3" w:rsidRPr="00166EA9" w:rsidRDefault="005624E3" w:rsidP="005624E3">
      <w:pPr>
        <w:pStyle w:val="ESlet"/>
        <w:rPr>
          <w:rFonts w:eastAsia="Calibri" w:cs="Arial"/>
          <w:szCs w:val="18"/>
          <w:lang w:val="es-ES"/>
        </w:rPr>
      </w:pPr>
    </w:p>
    <w:p w:rsidR="005624E3" w:rsidRPr="00166EA9" w:rsidRDefault="005624E3" w:rsidP="005624E3">
      <w:pPr>
        <w:pStyle w:val="ESlet"/>
        <w:rPr>
          <w:rFonts w:eastAsia="Calibri"/>
          <w:noProof/>
          <w:lang w:val="es-ES"/>
        </w:rPr>
      </w:pPr>
      <w:r w:rsidRPr="00166EA9">
        <w:rPr>
          <w:lang w:val="es-ES"/>
        </w:rPr>
        <w:br w:type="page"/>
      </w:r>
    </w:p>
    <w:p w:rsidR="005624E3" w:rsidRPr="00166EA9" w:rsidRDefault="005624E3" w:rsidP="005624E3">
      <w:pPr>
        <w:pStyle w:val="ESlet"/>
        <w:rPr>
          <w:rFonts w:eastAsia="Calibri" w:cs="Arial"/>
          <w:szCs w:val="18"/>
          <w:lang w:val="es-ES"/>
        </w:rPr>
      </w:pPr>
      <w:r w:rsidRPr="00166EA9">
        <w:rPr>
          <w:lang w:val="es-ES"/>
        </w:rPr>
        <w:t>d)</w:t>
      </w:r>
      <w:r w:rsidRPr="00166EA9">
        <w:rPr>
          <w:lang w:val="es-ES"/>
        </w:rPr>
        <w:tab/>
        <w:t>stabil egyensúlyi helyzetet kell elérniük és fenntartaniuk, valamint ebben a tekintetben megfelelő felszereléssel kell rendelkezniük, amely lehetővé teszi, hogy a megadott számú személy kezelhesse őket;</w:t>
      </w:r>
    </w:p>
    <w:p w:rsidR="005624E3" w:rsidRPr="00166EA9" w:rsidRDefault="005624E3" w:rsidP="005624E3">
      <w:pPr>
        <w:pStyle w:val="ESlet"/>
        <w:rPr>
          <w:rFonts w:eastAsia="Calibri" w:cs="Arial"/>
          <w:szCs w:val="18"/>
          <w:lang w:val="es-ES"/>
        </w:rPr>
      </w:pPr>
      <w:r w:rsidRPr="00166EA9">
        <w:rPr>
          <w:lang w:val="es-ES"/>
        </w:rPr>
        <w:t>e)</w:t>
      </w:r>
      <w:r w:rsidRPr="00166EA9">
        <w:rPr>
          <w:lang w:val="es-ES"/>
        </w:rPr>
        <w:tab/>
        <w:t>fluoreszkáló narancsszínűnek kell lenniük vagy legalább 100 cm</w:t>
      </w:r>
      <w:r w:rsidRPr="00166EA9">
        <w:rPr>
          <w:noProof/>
          <w:vertAlign w:val="superscript"/>
          <w:lang w:val="es-ES"/>
        </w:rPr>
        <w:t>2</w:t>
      </w:r>
      <w:r w:rsidRPr="00166EA9">
        <w:rPr>
          <w:lang w:val="es-ES"/>
        </w:rPr>
        <w:t>-nyi, minden oldalról látható fluoreszkáló felülettel kell rendelkezniük;</w:t>
      </w:r>
    </w:p>
    <w:p w:rsidR="005624E3" w:rsidRPr="00166EA9" w:rsidRDefault="005624E3" w:rsidP="005624E3">
      <w:pPr>
        <w:pStyle w:val="ESlet"/>
        <w:rPr>
          <w:rFonts w:eastAsia="Calibri" w:cs="Arial"/>
          <w:szCs w:val="18"/>
          <w:lang w:val="es-ES"/>
        </w:rPr>
      </w:pPr>
      <w:r w:rsidRPr="00166EA9">
        <w:rPr>
          <w:lang w:val="es-ES"/>
        </w:rPr>
        <w:t>f)</w:t>
      </w:r>
      <w:r w:rsidRPr="00166EA9">
        <w:rPr>
          <w:lang w:val="es-ES"/>
        </w:rPr>
        <w:tab/>
        <w:t>olyannak kell lenniük, hogy a helyükről egy ember gyorsan és biztonságosan a vízre bocsáthassa őket, vagy a helyükről maguktól vízre kerüljenek.</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7.</w:t>
      </w:r>
      <w:r w:rsidRPr="00166EA9">
        <w:rPr>
          <w:lang w:val="es-ES"/>
        </w:rPr>
        <w:tab/>
        <w:t>A felfújható csoportos életmentő felszereléseknek továbbá meg kell felelniük a következő feltételeknek:</w:t>
      </w:r>
    </w:p>
    <w:p w:rsidR="005624E3" w:rsidRPr="00166EA9" w:rsidRDefault="005624E3" w:rsidP="005624E3">
      <w:pPr>
        <w:pStyle w:val="ESlet"/>
        <w:rPr>
          <w:rFonts w:eastAsia="Calibri" w:cs="Arial"/>
          <w:szCs w:val="18"/>
          <w:lang w:val="es-ES"/>
        </w:rPr>
      </w:pPr>
      <w:r w:rsidRPr="00166EA9">
        <w:rPr>
          <w:lang w:val="es-ES"/>
        </w:rPr>
        <w:t>a)</w:t>
      </w:r>
      <w:r w:rsidRPr="00166EA9">
        <w:rPr>
          <w:lang w:val="es-ES"/>
        </w:rPr>
        <w:tab/>
        <w:t>legalább két külön légrekesszel kell rendelkezniük;</w:t>
      </w:r>
    </w:p>
    <w:p w:rsidR="005624E3" w:rsidRPr="00166EA9" w:rsidRDefault="005624E3" w:rsidP="005624E3">
      <w:pPr>
        <w:pStyle w:val="ESlet"/>
        <w:rPr>
          <w:rFonts w:eastAsia="Calibri" w:cs="Arial"/>
          <w:szCs w:val="18"/>
          <w:lang w:val="es-ES"/>
        </w:rPr>
      </w:pPr>
      <w:r w:rsidRPr="00166EA9">
        <w:rPr>
          <w:lang w:val="es-ES"/>
        </w:rPr>
        <w:t>b)</w:t>
      </w:r>
      <w:r w:rsidRPr="00166EA9">
        <w:rPr>
          <w:lang w:val="es-ES"/>
        </w:rPr>
        <w:tab/>
        <w:t>vízre bocsátáskor automatikusan vagy kézi indítással fel kell fújódniuk;</w:t>
      </w:r>
    </w:p>
    <w:p w:rsidR="005624E3" w:rsidRPr="00166EA9" w:rsidRDefault="005624E3" w:rsidP="005624E3">
      <w:pPr>
        <w:pStyle w:val="ESlet"/>
        <w:rPr>
          <w:rFonts w:eastAsia="Calibri"/>
          <w:noProof/>
          <w:lang w:val="es-ES"/>
        </w:rPr>
      </w:pPr>
      <w:r w:rsidRPr="00166EA9">
        <w:rPr>
          <w:lang w:val="es-ES"/>
        </w:rPr>
        <w:t>c)</w:t>
      </w:r>
      <w:r w:rsidRPr="00166EA9">
        <w:rPr>
          <w:lang w:val="es-ES"/>
        </w:rPr>
        <w:tab/>
        <w:t>stabil egyensúlyi helyzetet kell elérniük és fenntartaniuk, függetlenül a rajtuk lévő terheléstől, akkor is, ha csak a légrekeszek fele van felfújva.</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8.</w:t>
      </w:r>
      <w:r w:rsidRPr="00166EA9">
        <w:rPr>
          <w:lang w:val="es-ES"/>
        </w:rPr>
        <w:tab/>
        <w:t>Az életmentő felszereléseket a fedélzeten kell tartani olyan helyen, hogy szükség esetén könnyen és biztonságosan elérhetők legyenek. A fedett tárolóhelyeket egyértelműen jelölni kell.</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9.</w:t>
      </w:r>
      <w:r w:rsidRPr="00166EA9">
        <w:rPr>
          <w:lang w:val="es-ES"/>
        </w:rPr>
        <w:tab/>
        <w:t>Az életmentő felszereléseket a gyártó utasításai szerint ellenőrizni kell.</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10.</w:t>
      </w:r>
      <w:r w:rsidRPr="00166EA9">
        <w:rPr>
          <w:lang w:val="es-ES"/>
        </w:rPr>
        <w:tab/>
        <w:t>A szolgálati csónakokat motorral és keresőfénnyel kell felszerelni.</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11.</w:t>
      </w:r>
      <w:r w:rsidRPr="00166EA9">
        <w:rPr>
          <w:lang w:val="es-ES"/>
        </w:rPr>
        <w:tab/>
        <w:t>Rendelkezésre kell állnia megfelelő hordágynak.</w:t>
      </w:r>
    </w:p>
    <w:p w:rsidR="005624E3" w:rsidRPr="00166EA9" w:rsidRDefault="005624E3" w:rsidP="005624E3">
      <w:pPr>
        <w:pStyle w:val="ESch"/>
        <w:rPr>
          <w:rFonts w:eastAsia="Calibri" w:cs="Arial"/>
          <w:szCs w:val="18"/>
          <w:lang w:val="es-ES"/>
        </w:rPr>
      </w:pPr>
    </w:p>
    <w:p w:rsidR="005624E3" w:rsidRPr="00166EA9" w:rsidRDefault="005624E3" w:rsidP="005624E3">
      <w:pPr>
        <w:pStyle w:val="ESch"/>
        <w:rPr>
          <w:rFonts w:eastAsia="Calibri" w:cs="Arial"/>
          <w:szCs w:val="18"/>
          <w:lang w:val="es-ES"/>
        </w:rPr>
      </w:pPr>
    </w:p>
    <w:p w:rsidR="005624E3" w:rsidRPr="00166EA9" w:rsidRDefault="005624E3" w:rsidP="005624E3">
      <w:pPr>
        <w:pStyle w:val="ES-Titre3"/>
        <w:rPr>
          <w:rFonts w:cs="Arial"/>
          <w:i/>
          <w:szCs w:val="18"/>
          <w:lang w:val="es-ES"/>
        </w:rPr>
      </w:pPr>
      <w:bookmarkStart w:id="364" w:name="_Toc491854179"/>
      <w:bookmarkStart w:id="365" w:name="_Toc535853958"/>
      <w:r w:rsidRPr="00166EA9">
        <w:rPr>
          <w:lang w:val="es-ES"/>
        </w:rPr>
        <w:t>19.10. cikk</w:t>
      </w:r>
      <w:r w:rsidRPr="00166EA9">
        <w:rPr>
          <w:lang w:val="es-ES"/>
        </w:rPr>
        <w:br/>
      </w:r>
      <w:r w:rsidRPr="00166EA9">
        <w:rPr>
          <w:i/>
          <w:noProof/>
          <w:lang w:val="es-ES"/>
        </w:rPr>
        <w:t>Elektromos berendezések</w:t>
      </w:r>
      <w:bookmarkEnd w:id="364"/>
      <w:bookmarkEnd w:id="365"/>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w:t>
      </w:r>
      <w:r w:rsidRPr="00166EA9">
        <w:rPr>
          <w:lang w:val="es-ES"/>
        </w:rPr>
        <w:tab/>
        <w:t>Világítás céljára csak elektromos berendezések használata engedélyezett.</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2.</w:t>
      </w:r>
      <w:r w:rsidRPr="00166EA9">
        <w:rPr>
          <w:lang w:val="es-ES"/>
        </w:rPr>
        <w:tab/>
        <w:t>A 10.16. cikk 3. bekezdése az utasterekre is alkalmazandó.</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3.</w:t>
      </w:r>
      <w:r w:rsidRPr="00166EA9">
        <w:rPr>
          <w:lang w:val="es-ES"/>
        </w:rPr>
        <w:tab/>
        <w:t>Az alábbi helyiségekhez és helyekhez megfelelő világítást és vészvilágítást kell biztosítani:</w:t>
      </w:r>
    </w:p>
    <w:p w:rsidR="005624E3" w:rsidRPr="00166EA9" w:rsidRDefault="005624E3" w:rsidP="005624E3">
      <w:pPr>
        <w:pStyle w:val="ESlet"/>
        <w:rPr>
          <w:rFonts w:eastAsia="Calibri" w:cs="Arial"/>
          <w:szCs w:val="18"/>
          <w:lang w:val="es-ES"/>
        </w:rPr>
      </w:pPr>
      <w:r w:rsidRPr="00166EA9">
        <w:rPr>
          <w:lang w:val="es-ES"/>
        </w:rPr>
        <w:t>a)</w:t>
      </w:r>
      <w:r w:rsidRPr="00166EA9">
        <w:rPr>
          <w:lang w:val="es-ES"/>
        </w:rPr>
        <w:tab/>
        <w:t>azok a helyek, ahol az életmentő felszereléseket tárolják, és ahol ezeket általában használatra előkészítik;</w:t>
      </w:r>
    </w:p>
    <w:p w:rsidR="005624E3" w:rsidRPr="00166EA9" w:rsidRDefault="005624E3" w:rsidP="005624E3">
      <w:pPr>
        <w:pStyle w:val="ESlet"/>
        <w:rPr>
          <w:rFonts w:eastAsia="Calibri" w:cs="Arial"/>
          <w:szCs w:val="18"/>
          <w:lang w:val="es-ES"/>
        </w:rPr>
      </w:pPr>
      <w:r w:rsidRPr="00166EA9">
        <w:rPr>
          <w:lang w:val="es-ES"/>
        </w:rPr>
        <w:t>b)</w:t>
      </w:r>
      <w:r w:rsidRPr="00166EA9">
        <w:rPr>
          <w:lang w:val="es-ES"/>
        </w:rPr>
        <w:tab/>
        <w:t>menekülési útvonalak, utasbejáratok, beleértve a feljáróhidakat, bejáratok és kijáratok, összekötő folyosók, liftek és lakótérlépcsők, kabinok és lakóterek;</w:t>
      </w:r>
    </w:p>
    <w:p w:rsidR="005624E3" w:rsidRPr="00166EA9" w:rsidRDefault="005624E3" w:rsidP="005624E3">
      <w:pPr>
        <w:pStyle w:val="ESlet"/>
        <w:rPr>
          <w:rFonts w:eastAsia="Calibri"/>
          <w:noProof/>
          <w:lang w:val="es-ES"/>
        </w:rPr>
      </w:pPr>
      <w:r w:rsidRPr="00166EA9">
        <w:rPr>
          <w:lang w:val="es-ES"/>
        </w:rPr>
        <w:t>c)</w:t>
      </w:r>
      <w:r w:rsidRPr="00166EA9">
        <w:rPr>
          <w:lang w:val="es-ES"/>
        </w:rPr>
        <w:tab/>
        <w:t>a menekülési útvonalakra és vészkijáratokra utaló jelölések;</w:t>
      </w:r>
    </w:p>
    <w:p w:rsidR="005624E3" w:rsidRPr="00166EA9" w:rsidRDefault="005624E3" w:rsidP="005624E3">
      <w:pPr>
        <w:pStyle w:val="ESlet"/>
        <w:rPr>
          <w:rFonts w:eastAsia="Calibri"/>
          <w:noProof/>
          <w:lang w:val="es-ES"/>
        </w:rPr>
      </w:pPr>
      <w:r w:rsidRPr="00166EA9">
        <w:rPr>
          <w:lang w:val="es-ES"/>
        </w:rPr>
        <w:t>d)</w:t>
      </w:r>
      <w:r w:rsidRPr="00166EA9">
        <w:rPr>
          <w:lang w:val="es-ES"/>
        </w:rPr>
        <w:tab/>
        <w:t>a csökkent mozgásképességű személyek általi használatra szolgáló egyéb területek;</w:t>
      </w:r>
    </w:p>
    <w:p w:rsidR="005624E3" w:rsidRPr="00166EA9" w:rsidRDefault="005624E3" w:rsidP="005624E3">
      <w:pPr>
        <w:pStyle w:val="ESlet"/>
        <w:rPr>
          <w:rFonts w:eastAsia="Calibri"/>
          <w:noProof/>
          <w:lang w:val="es-ES"/>
        </w:rPr>
      </w:pPr>
      <w:r w:rsidRPr="00166EA9">
        <w:rPr>
          <w:lang w:val="es-ES"/>
        </w:rPr>
        <w:t>e)</w:t>
      </w:r>
      <w:r w:rsidRPr="00166EA9">
        <w:rPr>
          <w:lang w:val="es-ES"/>
        </w:rPr>
        <w:tab/>
        <w:t>műveleti helyiségek, gépterek, kormányműterek és azok kijáratai;</w:t>
      </w:r>
    </w:p>
    <w:p w:rsidR="005624E3" w:rsidRPr="00166EA9" w:rsidRDefault="005624E3" w:rsidP="005624E3">
      <w:pPr>
        <w:pStyle w:val="ESlet"/>
        <w:rPr>
          <w:rFonts w:eastAsia="Calibri"/>
          <w:noProof/>
          <w:lang w:val="es-ES"/>
        </w:rPr>
      </w:pPr>
      <w:r w:rsidRPr="00166EA9">
        <w:rPr>
          <w:lang w:val="es-ES"/>
        </w:rPr>
        <w:t>f)</w:t>
      </w:r>
      <w:r w:rsidRPr="00166EA9">
        <w:rPr>
          <w:lang w:val="es-ES"/>
        </w:rPr>
        <w:tab/>
        <w:t>kormányállás;</w:t>
      </w:r>
    </w:p>
    <w:p w:rsidR="005624E3" w:rsidRPr="00166EA9" w:rsidRDefault="005624E3" w:rsidP="005624E3">
      <w:pPr>
        <w:pStyle w:val="ESlet"/>
        <w:rPr>
          <w:rFonts w:eastAsia="Calibri"/>
          <w:noProof/>
          <w:lang w:val="es-ES"/>
        </w:rPr>
      </w:pPr>
      <w:r w:rsidRPr="00166EA9">
        <w:rPr>
          <w:lang w:val="es-ES"/>
        </w:rPr>
        <w:t>g)</w:t>
      </w:r>
      <w:r w:rsidRPr="00166EA9">
        <w:rPr>
          <w:lang w:val="es-ES"/>
        </w:rPr>
        <w:tab/>
        <w:t>a vészhelyzeti áramforrás elhelyezésére szolgáló tér;</w:t>
      </w:r>
    </w:p>
    <w:p w:rsidR="005624E3" w:rsidRPr="00166EA9" w:rsidRDefault="005624E3" w:rsidP="005624E3">
      <w:pPr>
        <w:pStyle w:val="ESlet"/>
        <w:rPr>
          <w:rFonts w:eastAsia="Calibri"/>
          <w:noProof/>
          <w:lang w:val="es-ES"/>
        </w:rPr>
      </w:pPr>
      <w:r w:rsidRPr="00166EA9">
        <w:rPr>
          <w:lang w:val="es-ES"/>
        </w:rPr>
        <w:t>h)</w:t>
      </w:r>
      <w:r w:rsidRPr="00166EA9">
        <w:rPr>
          <w:lang w:val="es-ES"/>
        </w:rPr>
        <w:tab/>
        <w:t>azok a pontok, ahol a tűzoltó készülékek és a tűzoltó berendezések vezérlőegységei találhatók;</w:t>
      </w:r>
    </w:p>
    <w:p w:rsidR="005624E3" w:rsidRPr="00166EA9" w:rsidRDefault="005624E3" w:rsidP="005624E3">
      <w:pPr>
        <w:pStyle w:val="ESlet"/>
        <w:rPr>
          <w:rFonts w:eastAsia="Calibri"/>
          <w:noProof/>
          <w:lang w:val="es-ES"/>
        </w:rPr>
      </w:pPr>
      <w:r w:rsidRPr="00166EA9">
        <w:rPr>
          <w:lang w:val="es-ES"/>
        </w:rPr>
        <w:t>i)</w:t>
      </w:r>
      <w:r w:rsidRPr="00166EA9">
        <w:rPr>
          <w:lang w:val="es-ES"/>
        </w:rPr>
        <w:tab/>
        <w:t>azok a helyek, ahol veszély esetén az utasok, a kiszolgáló személyzet és a legénység gyülekezik.</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br w:type="page"/>
      </w:r>
    </w:p>
    <w:p w:rsidR="005624E3" w:rsidRPr="00166EA9" w:rsidRDefault="005624E3" w:rsidP="005624E3">
      <w:pPr>
        <w:pStyle w:val="ESch"/>
        <w:rPr>
          <w:rFonts w:eastAsia="Calibri"/>
          <w:noProof/>
          <w:lang w:val="es-ES"/>
        </w:rPr>
      </w:pPr>
      <w:r w:rsidRPr="00166EA9">
        <w:rPr>
          <w:lang w:val="es-ES"/>
        </w:rPr>
        <w:t>4.</w:t>
      </w:r>
      <w:r w:rsidRPr="00166EA9">
        <w:rPr>
          <w:lang w:val="es-ES"/>
        </w:rPr>
        <w:tab/>
        <w:t>Rendelkezni kell egy vészhelyzeti energiaellátó berendezéssel, amely egy vészhelyzeti áramforrásból és egy vészhelyzeti kapcsolótáblából áll, és amely az alábbi elektromos berendezések áramforrásának leállása esetén azonnal át tudja venni ezek helyét, ha az adott berendezésnek nincs saját áramforrása:</w:t>
      </w:r>
    </w:p>
    <w:p w:rsidR="005624E3" w:rsidRPr="00166EA9" w:rsidRDefault="005624E3" w:rsidP="005624E3">
      <w:pPr>
        <w:pStyle w:val="ESlet"/>
        <w:rPr>
          <w:rFonts w:eastAsia="Calibri"/>
          <w:noProof/>
          <w:lang w:val="es-ES"/>
        </w:rPr>
      </w:pPr>
      <w:r w:rsidRPr="00166EA9">
        <w:rPr>
          <w:lang w:val="es-ES"/>
        </w:rPr>
        <w:t>a)</w:t>
      </w:r>
      <w:r w:rsidRPr="00166EA9">
        <w:rPr>
          <w:lang w:val="es-ES"/>
        </w:rPr>
        <w:tab/>
        <w:t>navigációs fények;</w:t>
      </w:r>
    </w:p>
    <w:p w:rsidR="005624E3" w:rsidRPr="00166EA9" w:rsidRDefault="005624E3" w:rsidP="005624E3">
      <w:pPr>
        <w:pStyle w:val="ESlet"/>
        <w:rPr>
          <w:rFonts w:eastAsia="Calibri"/>
          <w:noProof/>
          <w:lang w:val="es-ES"/>
        </w:rPr>
      </w:pPr>
      <w:r w:rsidRPr="00166EA9">
        <w:rPr>
          <w:lang w:val="es-ES"/>
        </w:rPr>
        <w:t>b)</w:t>
      </w:r>
      <w:r w:rsidRPr="00166EA9">
        <w:rPr>
          <w:lang w:val="es-ES"/>
        </w:rPr>
        <w:tab/>
        <w:t>hangjelző készülékek;</w:t>
      </w:r>
    </w:p>
    <w:p w:rsidR="005624E3" w:rsidRPr="00166EA9" w:rsidRDefault="005624E3" w:rsidP="005624E3">
      <w:pPr>
        <w:pStyle w:val="ESlet"/>
        <w:rPr>
          <w:rFonts w:eastAsia="Calibri"/>
          <w:noProof/>
          <w:lang w:val="es-ES"/>
        </w:rPr>
      </w:pPr>
      <w:r w:rsidRPr="00166EA9">
        <w:rPr>
          <w:lang w:val="es-ES"/>
        </w:rPr>
        <w:t>c)</w:t>
      </w:r>
      <w:r w:rsidRPr="00166EA9">
        <w:rPr>
          <w:lang w:val="es-ES"/>
        </w:rPr>
        <w:tab/>
        <w:t>a 3. bekezdés szerinti vészvilágítás;</w:t>
      </w:r>
    </w:p>
    <w:p w:rsidR="005624E3" w:rsidRPr="00166EA9" w:rsidRDefault="005624E3" w:rsidP="005624E3">
      <w:pPr>
        <w:pStyle w:val="ESlet"/>
        <w:rPr>
          <w:rFonts w:eastAsia="Calibri"/>
          <w:noProof/>
          <w:lang w:val="es-ES"/>
        </w:rPr>
      </w:pPr>
      <w:r w:rsidRPr="00166EA9">
        <w:rPr>
          <w:lang w:val="es-ES"/>
        </w:rPr>
        <w:t>d)</w:t>
      </w:r>
      <w:r w:rsidRPr="00166EA9">
        <w:rPr>
          <w:lang w:val="es-ES"/>
        </w:rPr>
        <w:tab/>
        <w:t>rádiótelefon-berendezések;</w:t>
      </w:r>
    </w:p>
    <w:p w:rsidR="005624E3" w:rsidRPr="00166EA9" w:rsidRDefault="005624E3" w:rsidP="005624E3">
      <w:pPr>
        <w:pStyle w:val="ESlet"/>
        <w:rPr>
          <w:rFonts w:eastAsia="Calibri"/>
          <w:noProof/>
          <w:lang w:val="es-ES"/>
        </w:rPr>
      </w:pPr>
      <w:r w:rsidRPr="00166EA9">
        <w:rPr>
          <w:lang w:val="es-ES"/>
        </w:rPr>
        <w:t>e)</w:t>
      </w:r>
      <w:r w:rsidRPr="00166EA9">
        <w:rPr>
          <w:lang w:val="es-ES"/>
        </w:rPr>
        <w:tab/>
        <w:t>riasztó, hangszóró és fedélzeti üzenettovábbító rendszerek;</w:t>
      </w:r>
    </w:p>
    <w:p w:rsidR="005624E3" w:rsidRPr="00166EA9" w:rsidRDefault="005624E3" w:rsidP="005624E3">
      <w:pPr>
        <w:pStyle w:val="ESlet"/>
        <w:rPr>
          <w:rFonts w:eastAsia="Calibri"/>
          <w:noProof/>
          <w:lang w:val="es-ES"/>
        </w:rPr>
      </w:pPr>
      <w:r w:rsidRPr="00166EA9">
        <w:rPr>
          <w:lang w:val="es-ES"/>
        </w:rPr>
        <w:t>f)</w:t>
      </w:r>
      <w:r w:rsidRPr="00166EA9">
        <w:rPr>
          <w:lang w:val="es-ES"/>
        </w:rPr>
        <w:tab/>
        <w:t>a 13.02. cikk 2. bekezdésének i) pontja szerinti keresőfények;</w:t>
      </w:r>
    </w:p>
    <w:p w:rsidR="005624E3" w:rsidRPr="00166EA9" w:rsidRDefault="005624E3" w:rsidP="005624E3">
      <w:pPr>
        <w:pStyle w:val="ESlet"/>
        <w:rPr>
          <w:rFonts w:eastAsia="Calibri"/>
          <w:noProof/>
          <w:lang w:val="es-ES"/>
        </w:rPr>
      </w:pPr>
      <w:r w:rsidRPr="00166EA9">
        <w:rPr>
          <w:lang w:val="es-ES"/>
        </w:rPr>
        <w:t>g)</w:t>
      </w:r>
      <w:r w:rsidRPr="00166EA9">
        <w:rPr>
          <w:lang w:val="es-ES"/>
        </w:rPr>
        <w:tab/>
        <w:t>tűzriasztó rendszer;</w:t>
      </w:r>
    </w:p>
    <w:p w:rsidR="005624E3" w:rsidRPr="00166EA9" w:rsidRDefault="005624E3" w:rsidP="005624E3">
      <w:pPr>
        <w:pStyle w:val="ESlet"/>
        <w:rPr>
          <w:rFonts w:eastAsia="Calibri"/>
          <w:noProof/>
          <w:lang w:val="es-ES"/>
        </w:rPr>
      </w:pPr>
      <w:r w:rsidRPr="00166EA9">
        <w:rPr>
          <w:lang w:val="es-ES"/>
        </w:rPr>
        <w:t>h)</w:t>
      </w:r>
      <w:r w:rsidRPr="00166EA9">
        <w:rPr>
          <w:lang w:val="es-ES"/>
        </w:rPr>
        <w:tab/>
        <w:t>egyéb biztonsági berendezések, például automatikus</w:t>
      </w:r>
      <w:r w:rsidR="005F0225">
        <w:rPr>
          <w:lang w:val="es-ES"/>
        </w:rPr>
        <w:t>,</w:t>
      </w:r>
      <w:r w:rsidRPr="00166EA9">
        <w:rPr>
          <w:lang w:val="es-ES"/>
        </w:rPr>
        <w:t xml:space="preserve"> vízpermettel oltó túlnyomásos berendezések vagy tűzoltószivattyúk;</w:t>
      </w:r>
    </w:p>
    <w:p w:rsidR="005624E3" w:rsidRPr="00166EA9" w:rsidRDefault="005624E3" w:rsidP="005624E3">
      <w:pPr>
        <w:pStyle w:val="ESlet"/>
        <w:rPr>
          <w:rFonts w:eastAsia="Calibri"/>
          <w:noProof/>
          <w:lang w:val="es-ES"/>
        </w:rPr>
      </w:pPr>
      <w:r w:rsidRPr="00166EA9">
        <w:rPr>
          <w:lang w:val="es-ES"/>
        </w:rPr>
        <w:t>i)</w:t>
      </w:r>
      <w:r w:rsidRPr="00166EA9">
        <w:rPr>
          <w:lang w:val="es-ES"/>
        </w:rPr>
        <w:tab/>
        <w:t>a 19.06. cikk 9. bekezdésének második mondata szerinti liftek és emelőszerkezetek.</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5.</w:t>
      </w:r>
      <w:r w:rsidRPr="00166EA9">
        <w:rPr>
          <w:lang w:val="es-ES"/>
        </w:rPr>
        <w:tab/>
        <w:t>A vészvilágítás lámpaarmatúráit jelölni kell.</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6.</w:t>
      </w:r>
      <w:r w:rsidRPr="00166EA9">
        <w:rPr>
          <w:lang w:val="es-ES"/>
        </w:rPr>
        <w:tab/>
        <w:t>A vészhelyzeti energiaellátó berendezést a főgéptéren, a 10.02. cikk 1. bekezdésében említett energiaforrásokat tartalmazó helyiségeken, valamint a fő kapcsolótáblának helyet adó helyiségen kívül kell telepíteni, és ezektől a helyiségektől el kell különíteni a 19.11. cikk 2. bekezdése szerinti térelválasztó elemekkel.</w:t>
      </w:r>
    </w:p>
    <w:p w:rsidR="005624E3" w:rsidRPr="00166EA9" w:rsidRDefault="005624E3" w:rsidP="005624E3">
      <w:pPr>
        <w:pStyle w:val="ESch"/>
        <w:rPr>
          <w:rFonts w:eastAsia="Calibri"/>
          <w:noProof/>
          <w:lang w:val="es-ES"/>
        </w:rPr>
      </w:pPr>
    </w:p>
    <w:p w:rsidR="005624E3" w:rsidRPr="00166EA9" w:rsidRDefault="005624E3" w:rsidP="005624E3">
      <w:pPr>
        <w:pStyle w:val="ESchpar"/>
        <w:rPr>
          <w:rFonts w:eastAsia="Calibri" w:cs="Arial"/>
          <w:szCs w:val="18"/>
          <w:lang w:val="es-ES"/>
        </w:rPr>
      </w:pPr>
      <w:r w:rsidRPr="00166EA9">
        <w:rPr>
          <w:lang w:val="es-ES"/>
        </w:rPr>
        <w:t>Az elektromos berendezések vészhelyzeti tápkábeleit úgy kell felszerelni és elvezetni, hogy tűz vagy elárasztás esetén ezen berendezések ellátásának folyamatossága biztosítva legyen. Az ilyen kábeleket soha nem lehet átvezetni a főgéptéren, a konyhákon vagy a fő energiaforrás és annak kapcsolódó berendezései elhelyezésére szolgáló helyiségeken, kivéve ha ezeken a területeken vészhelyzeti berendezésre van szükség.</w:t>
      </w:r>
    </w:p>
    <w:p w:rsidR="005624E3" w:rsidRPr="00166EA9" w:rsidRDefault="005624E3" w:rsidP="005624E3">
      <w:pPr>
        <w:pStyle w:val="ESchpar"/>
        <w:rPr>
          <w:rFonts w:eastAsia="Calibri"/>
          <w:noProof/>
          <w:lang w:val="es-ES"/>
        </w:rPr>
      </w:pPr>
    </w:p>
    <w:p w:rsidR="005624E3" w:rsidRPr="00166EA9" w:rsidRDefault="005624E3" w:rsidP="005624E3">
      <w:pPr>
        <w:pStyle w:val="ESchpar"/>
        <w:rPr>
          <w:rFonts w:eastAsia="Calibri" w:cs="Arial"/>
          <w:szCs w:val="18"/>
          <w:lang w:val="es-ES"/>
        </w:rPr>
      </w:pPr>
      <w:r w:rsidRPr="00166EA9">
        <w:rPr>
          <w:lang w:val="es-ES"/>
        </w:rPr>
        <w:t>A vészhelyzeti energiaellátó berendezést vagy a biztonsági peremvonal felett vagy pedig a 10.02. cikk 1. bekezdésében említett energiaforrásoktól a lehető legtávolabb kell elhelyezni annak biztosítására, hogy a 19.03. cikk 9. bekezdése szerinti elárasztás esetén ne kerülhessen ezen energiaforrásokkal egy időben elárasztásra.</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7.</w:t>
      </w:r>
      <w:r w:rsidRPr="00166EA9">
        <w:rPr>
          <w:lang w:val="es-ES"/>
        </w:rPr>
        <w:tab/>
        <w:t>Vészhelyzeti áramforrásként a következők alkalmazhatók:</w:t>
      </w:r>
    </w:p>
    <w:p w:rsidR="005624E3" w:rsidRPr="00166EA9" w:rsidRDefault="005624E3" w:rsidP="005624E3">
      <w:pPr>
        <w:pStyle w:val="ESlet"/>
        <w:rPr>
          <w:rFonts w:eastAsia="Calibri" w:cs="Arial"/>
          <w:szCs w:val="18"/>
          <w:lang w:val="es-ES"/>
        </w:rPr>
      </w:pPr>
      <w:r w:rsidRPr="00166EA9">
        <w:rPr>
          <w:lang w:val="es-ES"/>
        </w:rPr>
        <w:t>a)</w:t>
      </w:r>
      <w:r w:rsidRPr="00166EA9">
        <w:rPr>
          <w:lang w:val="es-ES"/>
        </w:rPr>
        <w:tab/>
        <w:t>segédgenerátorok saját független tüzelőanyag-ellátással és független hűtőrendszerrel, amelyek áramkimaradás esetén bekapcsolnak és 30 másodpercen belül automatikusan átveszik az áramellátást, vagy – amennyiben a kormányállás közvetlen közelében vagy egyéb olyan helyen vannak, ahol állandóan tartózkodik legénység – kézzel bekapcsolhatók; vagy</w:t>
      </w:r>
    </w:p>
    <w:p w:rsidR="005624E3" w:rsidRPr="00166EA9" w:rsidRDefault="005624E3" w:rsidP="005624E3">
      <w:pPr>
        <w:pStyle w:val="ESlet"/>
        <w:rPr>
          <w:rFonts w:eastAsia="Calibri" w:cs="Arial"/>
          <w:szCs w:val="18"/>
          <w:lang w:val="es-ES"/>
        </w:rPr>
      </w:pPr>
      <w:r w:rsidRPr="00166EA9">
        <w:rPr>
          <w:lang w:val="es-ES"/>
        </w:rPr>
        <w:t>b)</w:t>
      </w:r>
      <w:r w:rsidRPr="00166EA9">
        <w:rPr>
          <w:lang w:val="es-ES"/>
        </w:rPr>
        <w:tab/>
        <w:t>akkumulátortelepek, amelyek áramkimaradás esetén automatikusan bekapcsolnak, vagy – ha a kormányállás közvetlen közelében vagy egyéb olyan helyen vannak, ahol állandóan tartózkodik legénység – kézzel bekapcsolhatók. Az akkumulátortelepeknek alkalmasaknak kell lenniük a fent említett energiafogyasztók előírt időtartamú energiaellátására újratöltés vagy a feszültség elfogadhatatlan mértékű csökkenése nélkül.</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br w:type="page"/>
      </w:r>
    </w:p>
    <w:p w:rsidR="005624E3" w:rsidRPr="00166EA9" w:rsidRDefault="005624E3" w:rsidP="005624E3">
      <w:pPr>
        <w:pStyle w:val="ESch"/>
        <w:rPr>
          <w:rFonts w:eastAsia="Calibri" w:cs="Arial"/>
          <w:szCs w:val="18"/>
          <w:lang w:val="es-ES"/>
        </w:rPr>
      </w:pPr>
      <w:r w:rsidRPr="00166EA9">
        <w:rPr>
          <w:lang w:val="es-ES"/>
        </w:rPr>
        <w:t>8.</w:t>
      </w:r>
      <w:r w:rsidRPr="00166EA9">
        <w:rPr>
          <w:lang w:val="es-ES"/>
        </w:rPr>
        <w:tab/>
        <w:t>A vészhelyzeti áramforrás működésének tervezett időtartamát a személyhajó rendeltetési célja szerint kell megállapítani, de nem lehet kevesebb 30 percnél.</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9.</w:t>
      </w:r>
      <w:r w:rsidRPr="00166EA9">
        <w:rPr>
          <w:lang w:val="es-ES"/>
        </w:rPr>
        <w:tab/>
        <w:t xml:space="preserve">Az elektromos rendszerek szigetelési ellenállását és földelését időszakos </w:t>
      </w:r>
      <w:r w:rsidR="0092642D">
        <w:rPr>
          <w:lang w:val="es-ES"/>
        </w:rPr>
        <w:t>vizsgálatok</w:t>
      </w:r>
      <w:r w:rsidRPr="00166EA9">
        <w:rPr>
          <w:lang w:val="es-ES"/>
        </w:rPr>
        <w:t xml:space="preserve"> alkalmával meg kell vizsgálni.</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10.</w:t>
      </w:r>
      <w:r w:rsidRPr="00166EA9">
        <w:rPr>
          <w:lang w:val="es-ES"/>
        </w:rPr>
        <w:tab/>
        <w:t>A 10.02. cikk 1. bekezdése szerinti áramforrásoknak egymástól függetleneknek kell lenniük.</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t>11.</w:t>
      </w:r>
      <w:r w:rsidRPr="00166EA9">
        <w:rPr>
          <w:lang w:val="es-ES"/>
        </w:rPr>
        <w:tab/>
        <w:t>A fő és a vészhelyzeti energiaellátó berendezések közül az egyik meghibásodása nem befolyásolhatja azt, hogy a másik miként gondoskodik a berendezések üzembiztonságáról.</w:t>
      </w:r>
    </w:p>
    <w:p w:rsidR="005624E3" w:rsidRPr="00166EA9" w:rsidRDefault="005624E3" w:rsidP="005624E3">
      <w:pPr>
        <w:pStyle w:val="ESch"/>
        <w:rPr>
          <w:rFonts w:eastAsia="Calibri" w:cs="Arial"/>
          <w:szCs w:val="18"/>
          <w:lang w:val="es-ES"/>
        </w:rPr>
      </w:pPr>
    </w:p>
    <w:p w:rsidR="005624E3" w:rsidRPr="00166EA9" w:rsidRDefault="005624E3" w:rsidP="005624E3">
      <w:pPr>
        <w:pStyle w:val="ESch"/>
        <w:rPr>
          <w:rFonts w:eastAsia="Calibri" w:cs="Arial"/>
          <w:szCs w:val="18"/>
          <w:lang w:val="es-ES"/>
        </w:rPr>
      </w:pPr>
    </w:p>
    <w:p w:rsidR="005624E3" w:rsidRPr="00166EA9" w:rsidRDefault="005624E3" w:rsidP="005624E3">
      <w:pPr>
        <w:pStyle w:val="ES-Titre3"/>
        <w:rPr>
          <w:rFonts w:cs="Arial"/>
          <w:i/>
          <w:szCs w:val="18"/>
          <w:lang w:val="es-ES"/>
        </w:rPr>
      </w:pPr>
      <w:bookmarkStart w:id="366" w:name="_Toc491854180"/>
      <w:bookmarkStart w:id="367" w:name="_Toc535853959"/>
      <w:r w:rsidRPr="00166EA9">
        <w:rPr>
          <w:lang w:val="es-ES"/>
        </w:rPr>
        <w:t>19.11. cikk</w:t>
      </w:r>
      <w:r w:rsidRPr="00166EA9">
        <w:rPr>
          <w:lang w:val="es-ES"/>
        </w:rPr>
        <w:br/>
      </w:r>
      <w:r w:rsidRPr="00166EA9">
        <w:rPr>
          <w:i/>
          <w:noProof/>
          <w:lang w:val="es-ES"/>
        </w:rPr>
        <w:t>Tűzvédelem</w:t>
      </w:r>
      <w:bookmarkEnd w:id="366"/>
      <w:bookmarkEnd w:id="367"/>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cs="Arial"/>
          <w:szCs w:val="18"/>
          <w:lang w:val="es-ES"/>
        </w:rPr>
      </w:pPr>
      <w:r w:rsidRPr="00166EA9">
        <w:rPr>
          <w:lang w:val="es-ES"/>
        </w:rPr>
        <w:t>1.</w:t>
      </w:r>
      <w:r w:rsidRPr="00166EA9">
        <w:rPr>
          <w:lang w:val="es-ES"/>
        </w:rPr>
        <w:tab/>
        <w:t>Az anyagok és szerkezeti elemek tűzvédelmi megfelelőségét egy akkreditált vizsgáló intézmény állapítja meg megfelelő vizsgálati módszerek alapján.</w:t>
      </w:r>
    </w:p>
    <w:p w:rsidR="005624E3" w:rsidRPr="00166EA9" w:rsidRDefault="005624E3" w:rsidP="005624E3">
      <w:pPr>
        <w:pStyle w:val="ESlet"/>
        <w:rPr>
          <w:rFonts w:eastAsia="Calibri" w:cs="Arial"/>
          <w:szCs w:val="18"/>
          <w:lang w:val="es-ES"/>
        </w:rPr>
      </w:pPr>
      <w:r w:rsidRPr="00166EA9">
        <w:rPr>
          <w:lang w:val="es-ES"/>
        </w:rPr>
        <w:t>a)</w:t>
      </w:r>
      <w:r w:rsidRPr="00166EA9">
        <w:rPr>
          <w:lang w:val="es-ES"/>
        </w:rPr>
        <w:tab/>
        <w:t>A vizsgáló intézménynek meg kell felelnie:</w:t>
      </w:r>
    </w:p>
    <w:p w:rsidR="005624E3" w:rsidRPr="00166EA9" w:rsidRDefault="005624E3" w:rsidP="005624E3">
      <w:pPr>
        <w:pStyle w:val="EStiret"/>
        <w:rPr>
          <w:rFonts w:eastAsia="Calibri" w:cs="Arial"/>
          <w:szCs w:val="18"/>
          <w:lang w:val="es-ES"/>
        </w:rPr>
      </w:pPr>
      <w:r w:rsidRPr="00166EA9">
        <w:rPr>
          <w:lang w:val="es-ES"/>
        </w:rPr>
        <w:t>aa)</w:t>
      </w:r>
      <w:r w:rsidRPr="00166EA9">
        <w:rPr>
          <w:lang w:val="es-ES"/>
        </w:rPr>
        <w:tab/>
        <w:t>a tűzállósági vizsgálati módszerek szabályzatának; vagy</w:t>
      </w:r>
    </w:p>
    <w:p w:rsidR="005624E3" w:rsidRPr="00166EA9" w:rsidRDefault="005624E3" w:rsidP="005624E3">
      <w:pPr>
        <w:pStyle w:val="EStiret"/>
        <w:rPr>
          <w:rFonts w:eastAsia="Calibri" w:cs="Arial"/>
          <w:szCs w:val="18"/>
          <w:lang w:val="es-ES"/>
        </w:rPr>
      </w:pPr>
      <w:r w:rsidRPr="00166EA9">
        <w:rPr>
          <w:lang w:val="es-ES"/>
        </w:rPr>
        <w:t>bb)</w:t>
      </w:r>
      <w:r w:rsidRPr="00166EA9">
        <w:rPr>
          <w:lang w:val="es-ES"/>
        </w:rPr>
        <w:tab/>
        <w:t>az EN ISO/IEC 17025:2005 európai szabványnak.</w:t>
      </w:r>
    </w:p>
    <w:p w:rsidR="005624E3" w:rsidRPr="00166EA9" w:rsidRDefault="005624E3" w:rsidP="005624E3">
      <w:pPr>
        <w:pStyle w:val="ESlet"/>
        <w:rPr>
          <w:rFonts w:eastAsia="Calibri" w:cs="Arial"/>
          <w:szCs w:val="18"/>
          <w:lang w:val="es-ES"/>
        </w:rPr>
      </w:pPr>
      <w:r w:rsidRPr="00166EA9">
        <w:rPr>
          <w:lang w:val="es-ES"/>
        </w:rPr>
        <w:t>b)</w:t>
      </w:r>
      <w:r w:rsidRPr="00166EA9">
        <w:rPr>
          <w:lang w:val="es-ES"/>
        </w:rPr>
        <w:tab/>
        <w:t>Az anyagok nem gyúlékony mivoltának meghatározására szolgáló elismert vizsgálati módszerek a következők:</w:t>
      </w:r>
    </w:p>
    <w:p w:rsidR="005624E3" w:rsidRPr="00166EA9" w:rsidRDefault="005624E3" w:rsidP="005624E3">
      <w:pPr>
        <w:pStyle w:val="EStiret"/>
        <w:rPr>
          <w:rFonts w:eastAsia="Calibri" w:cs="Arial"/>
          <w:szCs w:val="18"/>
          <w:lang w:val="es-ES"/>
        </w:rPr>
      </w:pPr>
      <w:r w:rsidRPr="00166EA9">
        <w:rPr>
          <w:lang w:val="es-ES"/>
        </w:rPr>
        <w:t>aa)</w:t>
      </w:r>
      <w:r w:rsidRPr="00166EA9">
        <w:rPr>
          <w:lang w:val="es-ES"/>
        </w:rPr>
        <w:tab/>
        <w:t>a tűzállósági vizsgálati módszerek szabályzata 1. mellékletének 1. része; és</w:t>
      </w:r>
    </w:p>
    <w:p w:rsidR="005624E3" w:rsidRPr="00166EA9" w:rsidRDefault="005624E3" w:rsidP="005624E3">
      <w:pPr>
        <w:pStyle w:val="EStiret"/>
        <w:rPr>
          <w:rFonts w:eastAsia="Calibri" w:cs="Arial"/>
          <w:szCs w:val="18"/>
          <w:lang w:val="es-ES"/>
        </w:rPr>
      </w:pPr>
      <w:r w:rsidRPr="00166EA9">
        <w:rPr>
          <w:lang w:val="es-ES"/>
        </w:rPr>
        <w:t>bb)</w:t>
      </w:r>
      <w:r w:rsidRPr="00166EA9">
        <w:rPr>
          <w:lang w:val="es-ES"/>
        </w:rPr>
        <w:tab/>
        <w:t>az egyik tagállam egyenértékű szabályzata.</w:t>
      </w:r>
    </w:p>
    <w:p w:rsidR="005624E3" w:rsidRPr="00166EA9" w:rsidRDefault="005624E3" w:rsidP="005624E3">
      <w:pPr>
        <w:pStyle w:val="ESlet"/>
        <w:rPr>
          <w:rFonts w:eastAsia="Calibri" w:cs="Arial"/>
          <w:szCs w:val="18"/>
          <w:lang w:val="es-ES"/>
        </w:rPr>
      </w:pPr>
      <w:r w:rsidRPr="00166EA9">
        <w:rPr>
          <w:lang w:val="es-ES"/>
        </w:rPr>
        <w:t>c)</w:t>
      </w:r>
      <w:r w:rsidRPr="00166EA9">
        <w:rPr>
          <w:lang w:val="es-ES"/>
        </w:rPr>
        <w:tab/>
        <w:t>Az anyagok égésgátló tulajdonságainak meghatározására szolgáló elismert vizsgálati módszerek a következők:</w:t>
      </w:r>
    </w:p>
    <w:p w:rsidR="005624E3" w:rsidRPr="00166EA9" w:rsidRDefault="005624E3" w:rsidP="005624E3">
      <w:pPr>
        <w:pStyle w:val="EStiret"/>
        <w:rPr>
          <w:rFonts w:eastAsia="Calibri" w:cs="Arial"/>
          <w:szCs w:val="18"/>
          <w:lang w:val="es-ES"/>
        </w:rPr>
      </w:pPr>
      <w:r w:rsidRPr="00166EA9">
        <w:rPr>
          <w:lang w:val="es-ES"/>
        </w:rPr>
        <w:t>aa)</w:t>
      </w:r>
      <w:r w:rsidRPr="00166EA9">
        <w:rPr>
          <w:lang w:val="es-ES"/>
        </w:rPr>
        <w:tab/>
        <w:t>a tűzállósági vizsgálati módszerek szabályzata 1. mellékletének 5. részében (Felületi gyúlékonysági vizsgálat – Felületi anyagok és elsődleges fedélzetborítások vizsgálata), 7. részében (Függesztett textilek és műanyagok vizsgálata), 8. részében (Kárpitozott bútorok vizsgálata) és 9. részében (Ágyneműk összetevőinek vizsgálata) meghatározott követelmények; és</w:t>
      </w:r>
    </w:p>
    <w:p w:rsidR="005624E3" w:rsidRPr="00166EA9" w:rsidRDefault="005624E3" w:rsidP="005624E3">
      <w:pPr>
        <w:pStyle w:val="EStiret"/>
        <w:rPr>
          <w:rFonts w:eastAsia="Calibri" w:cs="Arial"/>
          <w:szCs w:val="18"/>
          <w:lang w:val="es-ES"/>
        </w:rPr>
      </w:pPr>
      <w:r w:rsidRPr="00166EA9">
        <w:rPr>
          <w:lang w:val="es-ES"/>
        </w:rPr>
        <w:t>bb)</w:t>
      </w:r>
      <w:r w:rsidRPr="00166EA9">
        <w:rPr>
          <w:lang w:val="es-ES"/>
        </w:rPr>
        <w:tab/>
        <w:t>az egyik tagállam egyenértékű szabályzata.</w:t>
      </w:r>
    </w:p>
    <w:p w:rsidR="005624E3" w:rsidRPr="00166EA9" w:rsidRDefault="005624E3" w:rsidP="005624E3">
      <w:pPr>
        <w:pStyle w:val="ESlet"/>
        <w:rPr>
          <w:rFonts w:eastAsia="Calibri" w:cs="Arial"/>
          <w:szCs w:val="18"/>
          <w:lang w:val="es-ES"/>
        </w:rPr>
      </w:pPr>
      <w:r w:rsidRPr="00166EA9">
        <w:rPr>
          <w:lang w:val="es-ES"/>
        </w:rPr>
        <w:t>d)</w:t>
      </w:r>
      <w:r w:rsidRPr="00166EA9">
        <w:rPr>
          <w:lang w:val="es-ES"/>
        </w:rPr>
        <w:tab/>
        <w:t>A tűzállóság meghatározásának elismert vizsgálati módszerei a következők:</w:t>
      </w:r>
    </w:p>
    <w:p w:rsidR="005624E3" w:rsidRPr="00166EA9" w:rsidRDefault="005624E3" w:rsidP="005624E3">
      <w:pPr>
        <w:pStyle w:val="EStiret"/>
        <w:rPr>
          <w:rFonts w:eastAsia="Calibri" w:cs="Arial"/>
          <w:szCs w:val="18"/>
          <w:lang w:val="es-ES"/>
        </w:rPr>
      </w:pPr>
      <w:r w:rsidRPr="00166EA9">
        <w:rPr>
          <w:lang w:val="es-ES"/>
        </w:rPr>
        <w:t>aa)</w:t>
      </w:r>
      <w:r w:rsidRPr="00166EA9">
        <w:rPr>
          <w:lang w:val="es-ES"/>
        </w:rPr>
        <w:tab/>
        <w:t>a tűzállósági vizsgálati módszerek szabályzata 1. mellékletének 3. része, és</w:t>
      </w:r>
    </w:p>
    <w:p w:rsidR="005624E3" w:rsidRPr="00166EA9" w:rsidRDefault="005624E3" w:rsidP="005624E3">
      <w:pPr>
        <w:pStyle w:val="EStiret"/>
        <w:rPr>
          <w:rFonts w:eastAsia="Calibri" w:cs="Arial"/>
          <w:szCs w:val="18"/>
          <w:lang w:val="es-ES"/>
        </w:rPr>
      </w:pPr>
      <w:r w:rsidRPr="00166EA9">
        <w:rPr>
          <w:lang w:val="es-ES"/>
        </w:rPr>
        <w:t>bb)</w:t>
      </w:r>
      <w:r w:rsidRPr="00166EA9">
        <w:rPr>
          <w:lang w:val="es-ES"/>
        </w:rPr>
        <w:tab/>
        <w:t>az egyik tagállam egyenértékű szabályzata.</w:t>
      </w:r>
    </w:p>
    <w:p w:rsidR="005624E3" w:rsidRPr="00166EA9" w:rsidRDefault="005624E3" w:rsidP="005624E3">
      <w:pPr>
        <w:pStyle w:val="ESlet"/>
        <w:rPr>
          <w:rFonts w:eastAsia="Calibri" w:cs="Arial"/>
          <w:szCs w:val="18"/>
          <w:lang w:val="es-ES"/>
        </w:rPr>
      </w:pPr>
      <w:r w:rsidRPr="00166EA9">
        <w:rPr>
          <w:lang w:val="es-ES"/>
        </w:rPr>
        <w:t>e)</w:t>
      </w:r>
      <w:r w:rsidRPr="00166EA9">
        <w:rPr>
          <w:lang w:val="es-ES"/>
        </w:rPr>
        <w:tab/>
        <w:t>A tűzállósági vizsgálati módszerek szabályzata értelmében az ellenőrző szerv próbát írhat elő egy térelválasztóelem-minta tekintetében, biztosítva a 2. bekezdés ellenálló képességre és hőmérséklet-emelkedésre vonatkozó rendelkezéseinek való megfelelést.</w:t>
      </w:r>
    </w:p>
    <w:p w:rsidR="005624E3" w:rsidRPr="00166EA9" w:rsidRDefault="005624E3" w:rsidP="005624E3">
      <w:pPr>
        <w:pStyle w:val="ESch"/>
        <w:rPr>
          <w:rFonts w:eastAsia="Calibri"/>
          <w:noProof/>
          <w:lang w:val="es-ES"/>
        </w:rPr>
      </w:pPr>
    </w:p>
    <w:p w:rsidR="005624E3" w:rsidRPr="00166EA9" w:rsidRDefault="005624E3" w:rsidP="005624E3">
      <w:pPr>
        <w:pStyle w:val="ESch"/>
        <w:rPr>
          <w:rFonts w:eastAsia="Calibri"/>
          <w:noProof/>
          <w:lang w:val="es-ES"/>
        </w:rPr>
      </w:pPr>
      <w:r w:rsidRPr="00166EA9">
        <w:rPr>
          <w:lang w:val="es-ES"/>
        </w:rPr>
        <w:br w:type="page"/>
      </w:r>
    </w:p>
    <w:p w:rsidR="005624E3" w:rsidRPr="00166EA9" w:rsidRDefault="005624E3" w:rsidP="005624E3">
      <w:pPr>
        <w:pStyle w:val="ESch"/>
        <w:rPr>
          <w:rFonts w:eastAsia="Calibri" w:cs="Arial"/>
          <w:szCs w:val="18"/>
          <w:lang w:val="es-ES"/>
        </w:rPr>
      </w:pPr>
      <w:r w:rsidRPr="00166EA9">
        <w:rPr>
          <w:lang w:val="es-ES"/>
        </w:rPr>
        <w:t>2.</w:t>
      </w:r>
      <w:r w:rsidRPr="00166EA9">
        <w:rPr>
          <w:lang w:val="es-ES"/>
        </w:rPr>
        <w:tab/>
        <w:t>A térelválasztó elemekre az alábbi követelmények alkalmazandók:</w:t>
      </w:r>
    </w:p>
    <w:p w:rsidR="005624E3" w:rsidRPr="00166EA9" w:rsidRDefault="005624E3" w:rsidP="005624E3">
      <w:pPr>
        <w:pStyle w:val="ESlet"/>
        <w:rPr>
          <w:rFonts w:eastAsia="Calibri" w:cs="Arial"/>
          <w:szCs w:val="18"/>
          <w:lang w:val="es-ES"/>
        </w:rPr>
      </w:pPr>
      <w:r w:rsidRPr="00166EA9">
        <w:rPr>
          <w:lang w:val="es-ES"/>
        </w:rPr>
        <w:t>a)</w:t>
      </w:r>
      <w:r w:rsidRPr="00166EA9">
        <w:rPr>
          <w:lang w:val="es-ES"/>
        </w:rPr>
        <w:tab/>
        <w:t>A helyiségek közötti térelválasztó elemeket az alábbi táblázatoknak megfelelően kell kialakítani:</w:t>
      </w:r>
    </w:p>
    <w:p w:rsidR="005624E3" w:rsidRPr="00166EA9" w:rsidRDefault="005624E3" w:rsidP="005624E3">
      <w:pPr>
        <w:pStyle w:val="ESlet"/>
        <w:ind w:left="1560" w:hanging="567"/>
        <w:rPr>
          <w:rFonts w:eastAsia="Calibri"/>
          <w:noProof/>
          <w:lang w:val="es-ES"/>
        </w:rPr>
      </w:pPr>
      <w:r w:rsidRPr="00166EA9">
        <w:rPr>
          <w:lang w:val="es-ES"/>
        </w:rPr>
        <w:t>aa)</w:t>
      </w:r>
      <w:r w:rsidRPr="00166EA9">
        <w:rPr>
          <w:lang w:val="es-ES"/>
        </w:rPr>
        <w:tab/>
        <w:t>Azon helyiségek közötti térelválasztó elemek táblázata, amelyekben nincsenek felszerelve a 13.04. cikk szerinti vízpermettel oltó túlnyomásos berendezések</w:t>
      </w:r>
    </w:p>
    <w:p w:rsidR="005624E3" w:rsidRPr="00166EA9" w:rsidRDefault="005624E3" w:rsidP="005624E3">
      <w:pPr>
        <w:pStyle w:val="ESch"/>
        <w:rPr>
          <w:rFonts w:eastAsia="Calibri"/>
          <w:noProof/>
          <w:lang w:val="es-ES"/>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Helyiségek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Vezérlőközpontok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Lépcsőházak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Gyülekezőhelyek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Társalgók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Gépterek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Konyhák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Raktárhelyiségek</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Vezérlőközpontok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A0</w:t>
            </w:r>
          </w:p>
        </w:tc>
        <w:tc>
          <w:tcPr>
            <w:tcW w:w="972" w:type="dxa"/>
          </w:tcPr>
          <w:p w:rsidR="005624E3" w:rsidRPr="00C903F8" w:rsidRDefault="005624E3" w:rsidP="00101A80">
            <w:pPr>
              <w:spacing w:before="60" w:after="60" w:line="240" w:lineRule="atLeast"/>
              <w:jc w:val="center"/>
              <w:rPr>
                <w:rFonts w:cs="Arial"/>
                <w:noProof/>
                <w:sz w:val="18"/>
                <w:szCs w:val="18"/>
                <w:vertAlign w:val="superscript"/>
              </w:rPr>
            </w:pPr>
            <w:r>
              <w:rPr>
                <w:noProof/>
                <w:sz w:val="18"/>
              </w:rPr>
              <w:t>A0/B15</w:t>
            </w:r>
            <w:r>
              <w:rPr>
                <w:noProof/>
                <w:sz w:val="18"/>
                <w:vertAlign w:val="superscript"/>
              </w:rPr>
              <w:t>1)</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A30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A30/A60</w:t>
            </w:r>
            <w:r>
              <w:rPr>
                <w:noProof/>
                <w:sz w:val="18"/>
                <w:vertAlign w:val="superscript"/>
              </w:rPr>
              <w:t>5)</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Lépcsőházak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A30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A30</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Gyülekezőhelyek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A30/B15</w:t>
            </w:r>
            <w:r>
              <w:rPr>
                <w:noProof/>
                <w:sz w:val="18"/>
                <w:vertAlign w:val="superscript"/>
              </w:rPr>
              <w:t>2)</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A30/A60</w:t>
            </w:r>
            <w:r>
              <w:rPr>
                <w:noProof/>
                <w:sz w:val="18"/>
                <w:vertAlign w:val="superscript"/>
              </w:rPr>
              <w:t>5)</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Társalgók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–/A0/B15</w:t>
            </w:r>
            <w:r>
              <w:rPr>
                <w:noProof/>
                <w:sz w:val="18"/>
                <w:vertAlign w:val="superscript"/>
              </w:rPr>
              <w:t>3)</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A30</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Gépterek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vertAlign w:val="superscript"/>
              </w:rPr>
            </w:pPr>
            <w:r>
              <w:rPr>
                <w:noProof/>
                <w:sz w:val="18"/>
              </w:rPr>
              <w:t>A60/A0</w:t>
            </w:r>
            <w:r>
              <w:rPr>
                <w:noProof/>
                <w:sz w:val="18"/>
                <w:vertAlign w:val="superscript"/>
              </w:rPr>
              <w:t>4)</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A60</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Konyhák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A30/B15</w:t>
            </w:r>
            <w:r>
              <w:rPr>
                <w:noProof/>
                <w:sz w:val="18"/>
                <w:vertAlign w:val="superscript"/>
              </w:rPr>
              <w:t>6)</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Raktárhelyiségek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w:t>
            </w:r>
          </w:p>
        </w:tc>
      </w:tr>
    </w:tbl>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p>
    <w:p w:rsidR="005624E3" w:rsidRPr="00C903F8" w:rsidRDefault="005624E3" w:rsidP="005624E3">
      <w:pPr>
        <w:pStyle w:val="ESlet"/>
        <w:ind w:left="1560" w:hanging="567"/>
        <w:rPr>
          <w:rFonts w:eastAsia="Calibri"/>
          <w:noProof/>
        </w:rPr>
      </w:pPr>
      <w:r>
        <w:t>bb)</w:t>
      </w:r>
      <w:r>
        <w:tab/>
        <w:t xml:space="preserve">Azon helyiségek közötti térelválasztó elemek táblázata, amelyekben fel vannak szerelve a 13.04. cikk szerinti vízpermettel oltó </w:t>
      </w:r>
      <w:r w:rsidR="005F0225">
        <w:t xml:space="preserve">túlnyomásos </w:t>
      </w:r>
      <w:r>
        <w:t>berendezések</w:t>
      </w:r>
    </w:p>
    <w:p w:rsidR="005624E3" w:rsidRPr="00C903F8" w:rsidRDefault="005624E3" w:rsidP="005624E3">
      <w:pPr>
        <w:pStyle w:val="ESch"/>
        <w:rPr>
          <w:rFonts w:eastAsia="Calibri"/>
          <w:noProof/>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5624E3" w:rsidRPr="00C903F8" w:rsidTr="00101A80">
        <w:trPr>
          <w:tblHeade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Helyiségek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Vezérlőközpontok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Lépcsőházak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Gyülekezőhelyek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Társalgók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Gépterek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Konyhák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 xml:space="preserve">Raktárhelyiségek </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Vezérlőközpontok</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 xml:space="preserve">A0/ B15 </w:t>
            </w:r>
            <w:r>
              <w:rPr>
                <w:noProof/>
                <w:sz w:val="18"/>
                <w:vertAlign w:val="superscript"/>
              </w:rPr>
              <w:t>1)</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A30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A0/A30</w:t>
            </w:r>
            <w:r>
              <w:rPr>
                <w:noProof/>
                <w:sz w:val="18"/>
                <w:vertAlign w:val="superscript"/>
              </w:rPr>
              <w:t>5)</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Lépcsőházak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b/>
                <w:noProof/>
                <w:sz w:val="18"/>
                <w:szCs w:val="18"/>
              </w:rPr>
            </w:pPr>
            <w:r>
              <w:rPr>
                <w:b/>
                <w:noProof/>
                <w:sz w:val="18"/>
              </w:rPr>
              <w:t>–</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A30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A0</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Gyülekezőhelyek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 xml:space="preserve">A30/B15 </w:t>
            </w:r>
            <w:r>
              <w:rPr>
                <w:noProof/>
                <w:sz w:val="18"/>
                <w:vertAlign w:val="superscript"/>
              </w:rPr>
              <w:t>2)</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A30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A0/A30</w:t>
            </w:r>
            <w:r>
              <w:rPr>
                <w:noProof/>
                <w:sz w:val="18"/>
                <w:vertAlign w:val="superscript"/>
              </w:rPr>
              <w:t>5)</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Társalgók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–/B15/B0</w:t>
            </w:r>
            <w:r>
              <w:rPr>
                <w:noProof/>
                <w:sz w:val="18"/>
                <w:vertAlign w:val="superscript"/>
              </w:rPr>
              <w:t>3)</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A30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A0</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Gépterek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b/>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 xml:space="preserve">A60/A0 </w:t>
            </w:r>
            <w:r>
              <w:rPr>
                <w:noProof/>
                <w:sz w:val="18"/>
                <w:vertAlign w:val="superscript"/>
              </w:rPr>
              <w:t>4)</w:t>
            </w: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A60</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A60</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Konyhák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b/>
                <w:noProof/>
                <w:sz w:val="18"/>
                <w:szCs w:val="18"/>
              </w:rPr>
            </w:pPr>
          </w:p>
        </w:tc>
        <w:tc>
          <w:tcPr>
            <w:tcW w:w="972" w:type="dxa"/>
          </w:tcPr>
          <w:p w:rsidR="005624E3" w:rsidRPr="00C903F8" w:rsidRDefault="005624E3" w:rsidP="00101A80">
            <w:pPr>
              <w:spacing w:before="60" w:after="60" w:line="240" w:lineRule="atLeast"/>
              <w:jc w:val="center"/>
              <w:rPr>
                <w:rFonts w:cs="Arial"/>
                <w:b/>
                <w:noProof/>
                <w:sz w:val="18"/>
                <w:szCs w:val="18"/>
              </w:rPr>
            </w:pPr>
          </w:p>
        </w:tc>
        <w:tc>
          <w:tcPr>
            <w:tcW w:w="972" w:type="dxa"/>
          </w:tcPr>
          <w:p w:rsidR="005624E3" w:rsidRPr="00C903F8" w:rsidRDefault="005624E3" w:rsidP="00101A80">
            <w:pPr>
              <w:spacing w:before="60" w:after="60" w:line="240" w:lineRule="atLeast"/>
              <w:jc w:val="center"/>
              <w:rPr>
                <w:rFonts w:cs="Arial"/>
                <w:b/>
                <w:noProof/>
                <w:sz w:val="18"/>
                <w:szCs w:val="18"/>
              </w:rPr>
            </w:pPr>
            <w:r>
              <w:rPr>
                <w:b/>
                <w:noProof/>
                <w:sz w:val="18"/>
              </w:rPr>
              <w:t>–</w:t>
            </w:r>
          </w:p>
        </w:tc>
        <w:tc>
          <w:tcPr>
            <w:tcW w:w="972"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A0/B15</w:t>
            </w:r>
            <w:r>
              <w:rPr>
                <w:noProof/>
                <w:sz w:val="18"/>
                <w:vertAlign w:val="superscript"/>
              </w:rPr>
              <w:t xml:space="preserve">6) </w:t>
            </w:r>
          </w:p>
        </w:tc>
      </w:tr>
      <w:tr w:rsidR="005624E3" w:rsidRPr="00C903F8" w:rsidTr="00101A80">
        <w:trPr>
          <w:jc w:val="center"/>
        </w:trPr>
        <w:tc>
          <w:tcPr>
            <w:tcW w:w="1843" w:type="dxa"/>
          </w:tcPr>
          <w:p w:rsidR="005624E3" w:rsidRPr="00C903F8" w:rsidRDefault="005624E3" w:rsidP="00101A80">
            <w:pPr>
              <w:spacing w:before="60" w:after="60" w:line="240" w:lineRule="atLeast"/>
              <w:rPr>
                <w:rFonts w:cs="Arial"/>
                <w:noProof/>
                <w:sz w:val="18"/>
                <w:szCs w:val="18"/>
              </w:rPr>
            </w:pPr>
            <w:r>
              <w:rPr>
                <w:noProof/>
                <w:sz w:val="18"/>
              </w:rPr>
              <w:t>Raktárhelyiségek</w:t>
            </w: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p>
        </w:tc>
        <w:tc>
          <w:tcPr>
            <w:tcW w:w="972" w:type="dxa"/>
          </w:tcPr>
          <w:p w:rsidR="005624E3" w:rsidRPr="00C903F8" w:rsidRDefault="005624E3" w:rsidP="00101A80">
            <w:pPr>
              <w:spacing w:before="60" w:after="60" w:line="240" w:lineRule="atLeast"/>
              <w:jc w:val="center"/>
              <w:rPr>
                <w:rFonts w:cs="Arial"/>
                <w:noProof/>
                <w:sz w:val="18"/>
                <w:szCs w:val="18"/>
              </w:rPr>
            </w:pPr>
            <w:r>
              <w:rPr>
                <w:noProof/>
                <w:sz w:val="18"/>
              </w:rPr>
              <w:t>–</w:t>
            </w:r>
          </w:p>
        </w:tc>
      </w:tr>
      <w:tr w:rsidR="005624E3" w:rsidRPr="00A0619C" w:rsidTr="00101A80">
        <w:trPr>
          <w:jc w:val="center"/>
        </w:trPr>
        <w:tc>
          <w:tcPr>
            <w:tcW w:w="8647" w:type="dxa"/>
            <w:gridSpan w:val="8"/>
            <w:tcBorders>
              <w:left w:val="nil"/>
              <w:bottom w:val="nil"/>
              <w:right w:val="nil"/>
            </w:tcBorders>
          </w:tcPr>
          <w:p w:rsidR="005624E3" w:rsidRPr="00C903F8" w:rsidRDefault="005624E3" w:rsidP="00101A80">
            <w:pPr>
              <w:tabs>
                <w:tab w:val="left" w:pos="567"/>
                <w:tab w:val="left" w:pos="1134"/>
                <w:tab w:val="left" w:pos="5670"/>
              </w:tabs>
              <w:suppressAutoHyphens/>
              <w:spacing w:before="60" w:after="20"/>
              <w:ind w:left="284" w:hanging="284"/>
              <w:rPr>
                <w:noProof/>
                <w:spacing w:val="-20"/>
                <w:sz w:val="18"/>
                <w:szCs w:val="18"/>
                <w:vertAlign w:val="superscript"/>
              </w:rPr>
            </w:pPr>
          </w:p>
          <w:p w:rsidR="005624E3" w:rsidRPr="00C903F8" w:rsidRDefault="005624E3" w:rsidP="00101A80">
            <w:pPr>
              <w:tabs>
                <w:tab w:val="left" w:pos="567"/>
                <w:tab w:val="left" w:pos="1134"/>
                <w:tab w:val="left" w:pos="5670"/>
              </w:tabs>
              <w:suppressAutoHyphens/>
              <w:spacing w:before="60" w:after="20"/>
              <w:ind w:left="284" w:hanging="284"/>
              <w:rPr>
                <w:noProof/>
                <w:spacing w:val="-20"/>
                <w:sz w:val="18"/>
                <w:szCs w:val="18"/>
              </w:rPr>
            </w:pPr>
            <w:r>
              <w:rPr>
                <w:noProof/>
                <w:spacing w:val="-20"/>
                <w:sz w:val="18"/>
                <w:vertAlign w:val="superscript"/>
              </w:rPr>
              <w:t>1)</w:t>
            </w:r>
            <w:r>
              <w:tab/>
            </w:r>
            <w:r>
              <w:rPr>
                <w:noProof/>
                <w:sz w:val="18"/>
              </w:rPr>
              <w:t>A vezérlőközpontok és a belső gyülekezőhelyek közötti térelválasztó elemeknek az A0 típusnak kell megfelelniük, míg a külső gyülekezőhelyek esetében csak a B15 típusnak.</w:t>
            </w:r>
          </w:p>
        </w:tc>
      </w:tr>
      <w:tr w:rsidR="005624E3" w:rsidRPr="00A0619C" w:rsidTr="00101A80">
        <w:trPr>
          <w:jc w:val="center"/>
        </w:trPr>
        <w:tc>
          <w:tcPr>
            <w:tcW w:w="8647" w:type="dxa"/>
            <w:gridSpan w:val="8"/>
            <w:tcBorders>
              <w:top w:val="nil"/>
              <w:left w:val="nil"/>
              <w:bottom w:val="nil"/>
              <w:right w:val="nil"/>
            </w:tcBorders>
          </w:tcPr>
          <w:p w:rsidR="005624E3" w:rsidRPr="00C903F8" w:rsidRDefault="005624E3" w:rsidP="00101A80">
            <w:pPr>
              <w:tabs>
                <w:tab w:val="left" w:pos="567"/>
                <w:tab w:val="left" w:pos="1134"/>
                <w:tab w:val="left" w:pos="5670"/>
              </w:tabs>
              <w:suppressAutoHyphens/>
              <w:spacing w:before="20" w:after="20"/>
              <w:ind w:left="284" w:hanging="284"/>
              <w:rPr>
                <w:noProof/>
                <w:spacing w:val="-20"/>
                <w:sz w:val="18"/>
                <w:szCs w:val="18"/>
              </w:rPr>
            </w:pPr>
            <w:r>
              <w:rPr>
                <w:noProof/>
                <w:spacing w:val="-20"/>
                <w:sz w:val="18"/>
                <w:vertAlign w:val="superscript"/>
              </w:rPr>
              <w:t>2)</w:t>
            </w:r>
            <w:r>
              <w:tab/>
            </w:r>
            <w:r>
              <w:rPr>
                <w:noProof/>
                <w:sz w:val="18"/>
              </w:rPr>
              <w:t>A társalgók és a belső gyülekezőhelyek közötti térelválasztó elemeknek az A30 típusnak kell megfelelniük, míg a külső gyülekezőhelyek esetében csak a B15 típusnak.</w:t>
            </w:r>
          </w:p>
        </w:tc>
      </w:tr>
      <w:tr w:rsidR="005624E3" w:rsidRPr="00A0619C" w:rsidTr="00101A80">
        <w:trPr>
          <w:jc w:val="center"/>
        </w:trPr>
        <w:tc>
          <w:tcPr>
            <w:tcW w:w="8647" w:type="dxa"/>
            <w:gridSpan w:val="8"/>
            <w:tcBorders>
              <w:top w:val="nil"/>
              <w:left w:val="nil"/>
              <w:bottom w:val="nil"/>
              <w:right w:val="nil"/>
            </w:tcBorders>
          </w:tcPr>
          <w:p w:rsidR="005624E3" w:rsidRPr="00C903F8" w:rsidRDefault="005624E3" w:rsidP="00101A80">
            <w:pPr>
              <w:tabs>
                <w:tab w:val="left" w:pos="567"/>
                <w:tab w:val="left" w:pos="1134"/>
                <w:tab w:val="left" w:pos="5670"/>
              </w:tabs>
              <w:suppressAutoHyphens/>
              <w:spacing w:before="20" w:after="20"/>
              <w:ind w:left="284" w:hanging="284"/>
              <w:rPr>
                <w:noProof/>
                <w:spacing w:val="-20"/>
                <w:sz w:val="18"/>
                <w:szCs w:val="18"/>
              </w:rPr>
            </w:pPr>
            <w:r>
              <w:rPr>
                <w:noProof/>
                <w:spacing w:val="-20"/>
                <w:sz w:val="18"/>
                <w:vertAlign w:val="superscript"/>
              </w:rPr>
              <w:t>3)</w:t>
            </w:r>
            <w:r>
              <w:tab/>
            </w:r>
            <w:r>
              <w:rPr>
                <w:noProof/>
                <w:sz w:val="18"/>
              </w:rPr>
              <w:t>A kabinok közötti térelválasztó elemeknek, a kabinok és a folyosók közötti térelválasztó elemeknek, valamint a társalgókat elválasztó, 10. bekezdés szerinti függőleges térelválasztó elemeknek a B15 típusnak kell megfelelniük, a vízpermettel oltó túlnyomásos berendezésekkel felszerelt helyiségek esetében pedig a B0 típusnak. A kabinok és szaunák közötti térelválasztó elemeknek az A0 típusnak kell megfelelniük, a vízpermettel oltó túlnyomásos berendezésekkel felszerelt helyiségek esetében pedig a B15 típusnak.</w:t>
            </w:r>
          </w:p>
        </w:tc>
      </w:tr>
      <w:tr w:rsidR="005624E3" w:rsidRPr="00A0619C" w:rsidTr="00101A80">
        <w:trPr>
          <w:jc w:val="center"/>
        </w:trPr>
        <w:tc>
          <w:tcPr>
            <w:tcW w:w="8647" w:type="dxa"/>
            <w:gridSpan w:val="8"/>
            <w:tcBorders>
              <w:top w:val="nil"/>
              <w:left w:val="nil"/>
              <w:bottom w:val="nil"/>
              <w:right w:val="nil"/>
            </w:tcBorders>
          </w:tcPr>
          <w:p w:rsidR="005624E3" w:rsidRPr="00C903F8" w:rsidRDefault="005624E3" w:rsidP="00101A80">
            <w:pPr>
              <w:tabs>
                <w:tab w:val="left" w:pos="567"/>
                <w:tab w:val="left" w:pos="1134"/>
                <w:tab w:val="left" w:pos="5670"/>
              </w:tabs>
              <w:suppressAutoHyphens/>
              <w:spacing w:before="20" w:after="20"/>
              <w:ind w:left="284" w:hanging="284"/>
              <w:rPr>
                <w:noProof/>
                <w:spacing w:val="-20"/>
                <w:sz w:val="18"/>
                <w:szCs w:val="18"/>
              </w:rPr>
            </w:pPr>
            <w:r>
              <w:rPr>
                <w:noProof/>
                <w:spacing w:val="-20"/>
                <w:sz w:val="18"/>
                <w:vertAlign w:val="superscript"/>
              </w:rPr>
              <w:t>4)</w:t>
            </w:r>
            <w:r>
              <w:tab/>
            </w:r>
            <w:r>
              <w:rPr>
                <w:noProof/>
                <w:sz w:val="18"/>
              </w:rPr>
              <w:t>A 19.07. cikk és a 19.10. cikk 6. bekezdése szerinti, gépterek közötti térelválasztó elemeknek az A60 típusnak kell megfelelniük; egyéb esetekben az A0 típusnak.</w:t>
            </w:r>
          </w:p>
        </w:tc>
      </w:tr>
      <w:tr w:rsidR="005624E3" w:rsidRPr="00A0619C" w:rsidTr="00101A80">
        <w:trPr>
          <w:jc w:val="center"/>
        </w:trPr>
        <w:tc>
          <w:tcPr>
            <w:tcW w:w="8647" w:type="dxa"/>
            <w:gridSpan w:val="8"/>
            <w:tcBorders>
              <w:top w:val="nil"/>
              <w:left w:val="nil"/>
              <w:bottom w:val="nil"/>
              <w:right w:val="nil"/>
            </w:tcBorders>
          </w:tcPr>
          <w:p w:rsidR="005624E3" w:rsidRPr="00C903F8" w:rsidRDefault="005624E3" w:rsidP="00101A80">
            <w:pPr>
              <w:tabs>
                <w:tab w:val="left" w:pos="567"/>
                <w:tab w:val="left" w:pos="1134"/>
                <w:tab w:val="left" w:pos="5670"/>
              </w:tabs>
              <w:suppressAutoHyphens/>
              <w:spacing w:before="20" w:after="20"/>
              <w:ind w:left="284" w:hanging="284"/>
              <w:rPr>
                <w:noProof/>
                <w:spacing w:val="-20"/>
                <w:sz w:val="18"/>
                <w:szCs w:val="18"/>
              </w:rPr>
            </w:pPr>
            <w:r>
              <w:rPr>
                <w:noProof/>
                <w:spacing w:val="-20"/>
                <w:sz w:val="18"/>
                <w:vertAlign w:val="superscript"/>
              </w:rPr>
              <w:t>5)</w:t>
            </w:r>
            <w:r>
              <w:tab/>
            </w:r>
            <w:r>
              <w:rPr>
                <w:noProof/>
                <w:sz w:val="18"/>
              </w:rPr>
              <w:t>A gyúlékony folyadékok tárolására szolgáló raktárhelyiségek, a vezérlőközpontok és a gyülekezőhelyek közötti térelválasztó elemeknek az A60 típusnak kell megfelelniük, a vízpermettel oltó túlnyomásos berendezésekkel felszerelt helyiségek esetében pedig az A30 típusnak.</w:t>
            </w:r>
          </w:p>
        </w:tc>
      </w:tr>
      <w:tr w:rsidR="005624E3" w:rsidRPr="00A0619C" w:rsidTr="00101A80">
        <w:trPr>
          <w:jc w:val="center"/>
        </w:trPr>
        <w:tc>
          <w:tcPr>
            <w:tcW w:w="8647" w:type="dxa"/>
            <w:gridSpan w:val="8"/>
            <w:tcBorders>
              <w:top w:val="nil"/>
              <w:left w:val="nil"/>
              <w:bottom w:val="nil"/>
              <w:right w:val="nil"/>
            </w:tcBorders>
          </w:tcPr>
          <w:p w:rsidR="005624E3" w:rsidRPr="00C903F8" w:rsidRDefault="005624E3" w:rsidP="00101A80">
            <w:pPr>
              <w:tabs>
                <w:tab w:val="left" w:pos="567"/>
                <w:tab w:val="left" w:pos="1134"/>
                <w:tab w:val="left" w:pos="5670"/>
              </w:tabs>
              <w:suppressAutoHyphens/>
              <w:spacing w:before="20" w:after="20"/>
              <w:ind w:left="284" w:hanging="284"/>
              <w:rPr>
                <w:noProof/>
                <w:spacing w:val="-20"/>
                <w:sz w:val="18"/>
                <w:szCs w:val="18"/>
              </w:rPr>
            </w:pPr>
            <w:r>
              <w:rPr>
                <w:noProof/>
                <w:spacing w:val="-20"/>
                <w:sz w:val="18"/>
                <w:vertAlign w:val="superscript"/>
              </w:rPr>
              <w:t>6)</w:t>
            </w:r>
            <w:r>
              <w:tab/>
            </w:r>
            <w:r>
              <w:rPr>
                <w:noProof/>
                <w:sz w:val="18"/>
              </w:rPr>
              <w:t>A B15 típus alkalmas egyrészről a konyhák, másrészről pedig a hűtőraktárak és élelmiszer-tároló helyiségek közötti térelválasztó elemekhez.</w:t>
            </w:r>
          </w:p>
        </w:tc>
      </w:tr>
    </w:tbl>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r>
        <w:br w:type="page"/>
      </w:r>
    </w:p>
    <w:p w:rsidR="005624E3" w:rsidRPr="00C903F8" w:rsidRDefault="005624E3" w:rsidP="005624E3">
      <w:pPr>
        <w:pStyle w:val="ESlet"/>
        <w:rPr>
          <w:rFonts w:eastAsia="Calibri" w:cs="Arial"/>
          <w:szCs w:val="18"/>
        </w:rPr>
      </w:pPr>
      <w:r>
        <w:t>b)</w:t>
      </w:r>
      <w:r>
        <w:tab/>
        <w:t>Az A típusú térelválasztó elemek válaszfalak, falak és fedélzetek, amelyek megfelelnek az alábbi követelményeknek:</w:t>
      </w:r>
    </w:p>
    <w:p w:rsidR="005624E3" w:rsidRPr="00C903F8" w:rsidRDefault="005624E3" w:rsidP="005624E3">
      <w:pPr>
        <w:pStyle w:val="EStiret"/>
        <w:rPr>
          <w:rFonts w:eastAsia="Calibri" w:cs="Arial"/>
          <w:szCs w:val="18"/>
        </w:rPr>
      </w:pPr>
      <w:r>
        <w:t>aa)</w:t>
      </w:r>
      <w:r>
        <w:tab/>
        <w:t>acélból, vagy más, azzal egyenértékű anyagból készülnek;</w:t>
      </w:r>
    </w:p>
    <w:p w:rsidR="005624E3" w:rsidRPr="00C903F8" w:rsidRDefault="005624E3" w:rsidP="005624E3">
      <w:pPr>
        <w:pStyle w:val="EStiret"/>
        <w:rPr>
          <w:rFonts w:eastAsia="Calibri" w:cs="Arial"/>
          <w:szCs w:val="18"/>
        </w:rPr>
      </w:pPr>
      <w:r>
        <w:t>bb)</w:t>
      </w:r>
      <w:r>
        <w:tab/>
        <w:t>megfelelően merevítettek;</w:t>
      </w:r>
    </w:p>
    <w:p w:rsidR="005624E3" w:rsidRPr="00C903F8" w:rsidRDefault="005624E3" w:rsidP="005624E3">
      <w:pPr>
        <w:pStyle w:val="EStiret"/>
        <w:rPr>
          <w:rFonts w:eastAsia="Calibri"/>
        </w:rPr>
      </w:pPr>
      <w:r>
        <w:t>cc)</w:t>
      </w:r>
      <w:r>
        <w:tab/>
        <w:t>jóváhagyott éghetetlen anyaggal vannak szigetelve oly módon, hogy a tűzzel átellenes oldalon az átlagos hőmérséklet legfeljebb 140 °C-kal emelkedik az eredeti hőmérséklet fölé, és egyetlen ponton sem emelkedik (beleértve a csatlakozásoknál lévő réseket is) 180 °C-nál többel az eredeti hőmérséklet fölé a következő meghatározott időtartamokon belül:</w:t>
      </w:r>
    </w:p>
    <w:p w:rsidR="005624E3" w:rsidRPr="00DB7D1E" w:rsidRDefault="005624E3" w:rsidP="005624E3">
      <w:pPr>
        <w:pStyle w:val="EStiretpar"/>
        <w:tabs>
          <w:tab w:val="decimal" w:pos="2835"/>
          <w:tab w:val="left" w:pos="2977"/>
        </w:tabs>
        <w:rPr>
          <w:rFonts w:eastAsia="Calibri" w:cs="Arial"/>
          <w:szCs w:val="18"/>
          <w:lang w:val="pt-PT"/>
        </w:rPr>
      </w:pPr>
      <w:r w:rsidRPr="00DB7D1E">
        <w:rPr>
          <w:lang w:val="pt-PT"/>
        </w:rPr>
        <w:t xml:space="preserve">A60 típus </w:t>
      </w:r>
      <w:r w:rsidRPr="00DB7D1E">
        <w:rPr>
          <w:lang w:val="pt-PT"/>
        </w:rPr>
        <w:tab/>
        <w:t>60</w:t>
      </w:r>
      <w:r w:rsidRPr="00DB7D1E">
        <w:rPr>
          <w:lang w:val="pt-PT"/>
        </w:rPr>
        <w:tab/>
        <w:t>perc</w:t>
      </w:r>
    </w:p>
    <w:p w:rsidR="005624E3" w:rsidRPr="00DB7D1E" w:rsidRDefault="005624E3" w:rsidP="005624E3">
      <w:pPr>
        <w:pStyle w:val="EStiretpar"/>
        <w:tabs>
          <w:tab w:val="decimal" w:pos="2835"/>
          <w:tab w:val="left" w:pos="2977"/>
        </w:tabs>
        <w:rPr>
          <w:rFonts w:eastAsia="Calibri" w:cs="Arial"/>
          <w:szCs w:val="18"/>
          <w:lang w:val="pt-PT"/>
        </w:rPr>
      </w:pPr>
      <w:r w:rsidRPr="00DB7D1E">
        <w:rPr>
          <w:lang w:val="pt-PT"/>
        </w:rPr>
        <w:t>A30 típus</w:t>
      </w:r>
      <w:r w:rsidRPr="00DB7D1E">
        <w:rPr>
          <w:lang w:val="pt-PT"/>
        </w:rPr>
        <w:tab/>
        <w:t>30</w:t>
      </w:r>
      <w:r w:rsidRPr="00DB7D1E">
        <w:rPr>
          <w:lang w:val="pt-PT"/>
        </w:rPr>
        <w:tab/>
        <w:t>perc</w:t>
      </w:r>
    </w:p>
    <w:p w:rsidR="005624E3" w:rsidRPr="00DB7D1E" w:rsidRDefault="005624E3" w:rsidP="005624E3">
      <w:pPr>
        <w:pStyle w:val="EStiretpar"/>
        <w:tabs>
          <w:tab w:val="decimal" w:pos="2835"/>
          <w:tab w:val="left" w:pos="2977"/>
        </w:tabs>
        <w:rPr>
          <w:rFonts w:eastAsia="Calibri" w:cs="Arial"/>
          <w:szCs w:val="18"/>
          <w:lang w:val="pt-PT"/>
        </w:rPr>
      </w:pPr>
      <w:r w:rsidRPr="00DB7D1E">
        <w:rPr>
          <w:lang w:val="pt-PT"/>
        </w:rPr>
        <w:t xml:space="preserve">A0 típus </w:t>
      </w:r>
      <w:r w:rsidRPr="00DB7D1E">
        <w:rPr>
          <w:lang w:val="pt-PT"/>
        </w:rPr>
        <w:tab/>
        <w:t>0</w:t>
      </w:r>
      <w:r w:rsidRPr="00DB7D1E">
        <w:rPr>
          <w:lang w:val="pt-PT"/>
        </w:rPr>
        <w:tab/>
        <w:t>perc;</w:t>
      </w:r>
    </w:p>
    <w:p w:rsidR="005624E3" w:rsidRPr="00DB7D1E" w:rsidRDefault="005624E3" w:rsidP="005624E3">
      <w:pPr>
        <w:pStyle w:val="EStiret"/>
        <w:rPr>
          <w:rFonts w:eastAsia="Calibri" w:cs="Arial"/>
          <w:szCs w:val="18"/>
          <w:lang w:val="pt-PT"/>
        </w:rPr>
      </w:pPr>
      <w:r w:rsidRPr="00DB7D1E">
        <w:rPr>
          <w:lang w:val="pt-PT"/>
        </w:rPr>
        <w:t>dd)</w:t>
      </w:r>
      <w:r w:rsidRPr="00DB7D1E">
        <w:rPr>
          <w:lang w:val="pt-PT"/>
        </w:rPr>
        <w:tab/>
        <w:t>szerkezetüknél fogva megakadályozzák a füst és a lángok átterjedését az egyórás standard tűzállósági vizsgálat végéig;</w:t>
      </w:r>
    </w:p>
    <w:p w:rsidR="005624E3" w:rsidRPr="00DB7D1E" w:rsidRDefault="005624E3" w:rsidP="005624E3">
      <w:pPr>
        <w:pStyle w:val="ESlet"/>
        <w:rPr>
          <w:rFonts w:eastAsia="Calibri" w:cs="Arial"/>
          <w:szCs w:val="18"/>
          <w:lang w:val="pt-PT"/>
        </w:rPr>
      </w:pPr>
      <w:r w:rsidRPr="00DB7D1E">
        <w:rPr>
          <w:lang w:val="pt-PT"/>
        </w:rPr>
        <w:t>c)</w:t>
      </w:r>
      <w:r w:rsidRPr="00DB7D1E">
        <w:rPr>
          <w:lang w:val="pt-PT"/>
        </w:rPr>
        <w:tab/>
        <w:t>A B típusú térelválasztó elemek válaszfalak, falak, fedélzetek, mennyezetek vagy burkolatok, amelyek megfelelnek az alábbi követelményeknek:</w:t>
      </w:r>
    </w:p>
    <w:p w:rsidR="005624E3" w:rsidRPr="00DB7D1E" w:rsidRDefault="005624E3" w:rsidP="005624E3">
      <w:pPr>
        <w:pStyle w:val="EStiret"/>
        <w:rPr>
          <w:rFonts w:eastAsia="Calibri" w:cs="Arial"/>
          <w:szCs w:val="18"/>
          <w:lang w:val="pt-PT"/>
        </w:rPr>
      </w:pPr>
      <w:r w:rsidRPr="00DB7D1E">
        <w:rPr>
          <w:lang w:val="pt-PT"/>
        </w:rPr>
        <w:t>aa)</w:t>
      </w:r>
      <w:r w:rsidRPr="00DB7D1E">
        <w:rPr>
          <w:lang w:val="pt-PT"/>
        </w:rPr>
        <w:tab/>
        <w:t>jóváhagyott éghetetlen anyagból készülnek. Továbbá a térelválasztó elemek gyártásánál és összeszerelésénél használt valamennyi anyag éghetetlen, kivéve a burkolatot, amelynek legalább égésgátlónak kell lennie;</w:t>
      </w:r>
    </w:p>
    <w:p w:rsidR="005624E3" w:rsidRPr="00DB7D1E" w:rsidRDefault="005624E3" w:rsidP="005624E3">
      <w:pPr>
        <w:pStyle w:val="EStiret"/>
        <w:rPr>
          <w:rFonts w:eastAsia="Calibri" w:cs="Arial"/>
          <w:szCs w:val="18"/>
          <w:lang w:val="pt-PT"/>
        </w:rPr>
      </w:pPr>
      <w:r w:rsidRPr="00DB7D1E">
        <w:rPr>
          <w:lang w:val="pt-PT"/>
        </w:rPr>
        <w:t>bb)</w:t>
      </w:r>
      <w:r w:rsidRPr="00DB7D1E">
        <w:rPr>
          <w:lang w:val="pt-PT"/>
        </w:rPr>
        <w:tab/>
        <w:t>szigetelési értékük olyan, hogy a tűzzel átellenes oldalon az átlagos hőmérséklet legfeljebb 140 °C-kal emelkedik az eredeti hőmérséklet fölé, és egyetlen ponton sem emelkedik (beleértve a csatlakozásoknál lévő réseket is) 225 °C-nál többel az eredeti hőmérséklet fölé a következő meghatározott időtartamokon belül:</w:t>
      </w:r>
    </w:p>
    <w:p w:rsidR="005624E3" w:rsidRPr="00DB7D1E" w:rsidRDefault="005624E3" w:rsidP="005624E3">
      <w:pPr>
        <w:pStyle w:val="EStiretpar"/>
        <w:tabs>
          <w:tab w:val="decimal" w:pos="2835"/>
          <w:tab w:val="left" w:pos="2977"/>
        </w:tabs>
        <w:rPr>
          <w:rFonts w:eastAsia="Calibri" w:cs="Arial"/>
          <w:szCs w:val="18"/>
          <w:lang w:val="pt-PT"/>
        </w:rPr>
      </w:pPr>
      <w:r w:rsidRPr="00DB7D1E">
        <w:rPr>
          <w:lang w:val="pt-PT"/>
        </w:rPr>
        <w:t xml:space="preserve">B15 típus </w:t>
      </w:r>
      <w:r w:rsidRPr="00DB7D1E">
        <w:rPr>
          <w:lang w:val="pt-PT"/>
        </w:rPr>
        <w:tab/>
        <w:t>15</w:t>
      </w:r>
      <w:r w:rsidRPr="00DB7D1E">
        <w:rPr>
          <w:lang w:val="pt-PT"/>
        </w:rPr>
        <w:tab/>
        <w:t>perc</w:t>
      </w:r>
    </w:p>
    <w:p w:rsidR="005624E3" w:rsidRPr="00DB7D1E" w:rsidRDefault="005624E3" w:rsidP="005624E3">
      <w:pPr>
        <w:pStyle w:val="EStiretpar"/>
        <w:tabs>
          <w:tab w:val="decimal" w:pos="2835"/>
          <w:tab w:val="left" w:pos="2977"/>
        </w:tabs>
        <w:rPr>
          <w:rFonts w:eastAsia="Calibri" w:cs="Arial"/>
          <w:szCs w:val="18"/>
          <w:lang w:val="pt-PT"/>
        </w:rPr>
      </w:pPr>
      <w:r w:rsidRPr="00DB7D1E">
        <w:rPr>
          <w:lang w:val="pt-PT"/>
        </w:rPr>
        <w:t xml:space="preserve">B0 típus </w:t>
      </w:r>
      <w:r w:rsidRPr="00DB7D1E">
        <w:rPr>
          <w:lang w:val="pt-PT"/>
        </w:rPr>
        <w:tab/>
        <w:t>0</w:t>
      </w:r>
      <w:r w:rsidRPr="00DB7D1E">
        <w:rPr>
          <w:lang w:val="pt-PT"/>
        </w:rPr>
        <w:tab/>
        <w:t>perc;</w:t>
      </w:r>
    </w:p>
    <w:p w:rsidR="005624E3" w:rsidRPr="00DB7D1E" w:rsidRDefault="005624E3" w:rsidP="005624E3">
      <w:pPr>
        <w:pStyle w:val="EStiret"/>
        <w:rPr>
          <w:rFonts w:eastAsia="Calibri" w:cs="Arial"/>
          <w:szCs w:val="18"/>
          <w:lang w:val="pt-PT"/>
        </w:rPr>
      </w:pPr>
      <w:r w:rsidRPr="00DB7D1E">
        <w:rPr>
          <w:lang w:val="pt-PT"/>
        </w:rPr>
        <w:t>cc)</w:t>
      </w:r>
      <w:r w:rsidRPr="00DB7D1E">
        <w:rPr>
          <w:lang w:val="pt-PT"/>
        </w:rPr>
        <w:tab/>
        <w:t>szerkezetüknél fogva megakadályozzák a lángok átterjedését a standard tűzállósági vizsgálat első félórájának végéig.</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3.</w:t>
      </w:r>
      <w:r w:rsidRPr="00DB7D1E">
        <w:rPr>
          <w:lang w:val="pt-PT"/>
        </w:rPr>
        <w:tab/>
        <w:t>A festékeknek, lakkoknak és egyéb felületkezelő termékeknek, valamint a gépterek és raktárhelyiségek kivételével a helyiségek fedélzetborításának égésgátlóknak kell lenniük. A szőnyegeknek, textileknek, függönyöknek és egyéb függesztett szövetanyagoknak, valamint a kárpitozott bútoroknak és az ágyneműk összetevőinek égésgátlóknak kell lenniük, ha azok a helyiségek, ahol találhatók, nincsenek felszerelve a 13.04. cikk szerinti vízpermettel oltó túlnyomásos berendezéssel.</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4.</w:t>
      </w:r>
      <w:r w:rsidRPr="00DB7D1E">
        <w:rPr>
          <w:lang w:val="pt-PT"/>
        </w:rPr>
        <w:tab/>
        <w:t>A társalgók mennyezetének és falburkolatának, beleértve az alapstruktúrákat is, amennyiben e társalgók nincsenek felszerelve a 13.04. cikk szerinti vízpermettel oltó túlnyomásos berendezéssel, éghetetlen anyagokból kell készülniük, kivéve a felületüket, amelynek legalább égésgátlónak kell lennie. Az első mondat nem alkalmazandó a szaunákra.</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5.</w:t>
      </w:r>
      <w:r w:rsidRPr="00DB7D1E">
        <w:rPr>
          <w:lang w:val="pt-PT"/>
        </w:rPr>
        <w:tab/>
        <w:t>A gyülekezőhelyként szolgáló társalgókban a bútoroknak és szerelékeknek, amennyiben e társalgók nincsenek felszerelve a 13.04. cikk szerinti vízpermettel oltó túlnyomásos berendezéssel, éghetetlen anyagból kell készülniük.</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noProof/>
          <w:lang w:val="pt-PT"/>
        </w:rPr>
      </w:pPr>
      <w:r w:rsidRPr="00DB7D1E">
        <w:rPr>
          <w:lang w:val="pt-PT"/>
        </w:rPr>
        <w:br w:type="page"/>
      </w:r>
    </w:p>
    <w:p w:rsidR="005624E3" w:rsidRPr="00DB7D1E" w:rsidRDefault="005624E3" w:rsidP="005624E3">
      <w:pPr>
        <w:pStyle w:val="ESch"/>
        <w:rPr>
          <w:rFonts w:eastAsia="Calibri"/>
          <w:noProof/>
          <w:lang w:val="pt-PT"/>
        </w:rPr>
      </w:pPr>
      <w:r w:rsidRPr="00DB7D1E">
        <w:rPr>
          <w:lang w:val="pt-PT"/>
        </w:rPr>
        <w:t>6.</w:t>
      </w:r>
      <w:r w:rsidRPr="00DB7D1E">
        <w:rPr>
          <w:lang w:val="pt-PT"/>
        </w:rPr>
        <w:tab/>
        <w:t>A szabadon lévő belső felületeken használt festékek, lakkok és egyéb anyagok nem bocsáthatnak ki túlzott mennyiségű füstöt vagy mérgező anyagot. Ezt a tűzállósági vizsgálati módszerek szabályzata szerint igazolni kell.</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noProof/>
          <w:lang w:val="pt-PT"/>
        </w:rPr>
      </w:pPr>
      <w:r w:rsidRPr="00DB7D1E">
        <w:rPr>
          <w:lang w:val="pt-PT"/>
        </w:rPr>
        <w:t>7.</w:t>
      </w:r>
      <w:r w:rsidRPr="00DB7D1E">
        <w:rPr>
          <w:lang w:val="pt-PT"/>
        </w:rPr>
        <w:tab/>
        <w:t>A társalgókban használt szigetelőanyagoknak éghetetleneknek kell lenniük. Ez nem vonatkozik a hűtőanyagot szállító csövek szigeteléseire. Az ilyen csöveken használt szigetelőanyagok felületének legalább égésgátlónak kell lennie.</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8.</w:t>
      </w:r>
      <w:r w:rsidRPr="00DB7D1E">
        <w:rPr>
          <w:lang w:val="pt-PT"/>
        </w:rPr>
        <w:tab/>
        <w:t>A fedélzeti területek teljes vagy részleges körbezárására szolgáló ponyváknak és hasonló mobil felszereléseknek, valamint azok alapstruktúráinak legalább égésgátlóknak kell lenniük.</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9.</w:t>
      </w:r>
      <w:r w:rsidRPr="00DB7D1E">
        <w:rPr>
          <w:lang w:val="pt-PT"/>
        </w:rPr>
        <w:tab/>
        <w:t>A 2. bekezdés szerinti térelválasztó elemeken lévő ajtóknak az alábbi követelményeknek kell megfelelniük:</w:t>
      </w:r>
    </w:p>
    <w:p w:rsidR="005624E3" w:rsidRPr="00DB7D1E" w:rsidRDefault="005624E3" w:rsidP="005624E3">
      <w:pPr>
        <w:pStyle w:val="ESlet"/>
        <w:rPr>
          <w:rFonts w:eastAsia="Calibri" w:cs="Arial"/>
          <w:szCs w:val="18"/>
          <w:lang w:val="pt-PT"/>
        </w:rPr>
      </w:pPr>
      <w:r w:rsidRPr="00DB7D1E">
        <w:rPr>
          <w:lang w:val="pt-PT"/>
        </w:rPr>
        <w:t>a)</w:t>
      </w:r>
      <w:r w:rsidRPr="00DB7D1E">
        <w:rPr>
          <w:lang w:val="pt-PT"/>
        </w:rPr>
        <w:tab/>
        <w:t>Meg kell felelniük ugyanazon, a magukra a térelválasztó elemekre vonatkozó, 2. bekezdés szerinti követelményeknek.</w:t>
      </w:r>
    </w:p>
    <w:p w:rsidR="005624E3" w:rsidRPr="00DB7D1E" w:rsidRDefault="005624E3" w:rsidP="005624E3">
      <w:pPr>
        <w:pStyle w:val="ESlet"/>
        <w:rPr>
          <w:rFonts w:eastAsia="Calibri" w:cs="Arial"/>
          <w:szCs w:val="18"/>
          <w:lang w:val="pt-PT"/>
        </w:rPr>
      </w:pPr>
      <w:r w:rsidRPr="00DB7D1E">
        <w:rPr>
          <w:lang w:val="pt-PT"/>
        </w:rPr>
        <w:t>b)</w:t>
      </w:r>
      <w:r w:rsidRPr="00DB7D1E">
        <w:rPr>
          <w:lang w:val="pt-PT"/>
        </w:rPr>
        <w:tab/>
        <w:t>A 10. bekezdés szerinti térelválasztó falakon lévő ajtóknak, illetve a géptereket, konyhákat és lépcsőházakat körülvevő zárt terek ajtajainak önműködően kell záródniuk.</w:t>
      </w:r>
    </w:p>
    <w:p w:rsidR="005624E3" w:rsidRPr="00DB7D1E" w:rsidRDefault="005624E3" w:rsidP="005624E3">
      <w:pPr>
        <w:pStyle w:val="ESlet"/>
        <w:rPr>
          <w:rFonts w:eastAsia="Calibri" w:cs="Arial"/>
          <w:szCs w:val="18"/>
          <w:lang w:val="pt-PT"/>
        </w:rPr>
      </w:pPr>
      <w:r w:rsidRPr="00DB7D1E">
        <w:rPr>
          <w:lang w:val="pt-PT"/>
        </w:rPr>
        <w:t>c)</w:t>
      </w:r>
      <w:r w:rsidRPr="00DB7D1E">
        <w:rPr>
          <w:lang w:val="pt-PT"/>
        </w:rPr>
        <w:tab/>
        <w:t>A rendeltetésszerű működés során általában nyitott, önműködően záródó ajtóknak zárhatóknak kell lenniük olyan helyekről, ahol állandóan tartózkodik kiszolgáló személyzet vagy legénység. Ha egy ajtót táv</w:t>
      </w:r>
      <w:r w:rsidR="000855F0">
        <w:rPr>
          <w:lang w:val="pt-PT"/>
        </w:rPr>
        <w:t>vezérléssel</w:t>
      </w:r>
      <w:r w:rsidRPr="00DB7D1E">
        <w:rPr>
          <w:lang w:val="pt-PT"/>
        </w:rPr>
        <w:t xml:space="preserve"> bezártak, annak a helyszínen biztonságosan újranyithatónak és -zárhatónak kell lennie.</w:t>
      </w:r>
    </w:p>
    <w:p w:rsidR="005624E3" w:rsidRPr="00DB7D1E" w:rsidRDefault="005624E3" w:rsidP="005624E3">
      <w:pPr>
        <w:pStyle w:val="ESlet"/>
        <w:rPr>
          <w:rFonts w:eastAsia="Calibri" w:cs="Arial"/>
          <w:szCs w:val="18"/>
          <w:lang w:val="pt-PT"/>
        </w:rPr>
      </w:pPr>
      <w:r w:rsidRPr="00DB7D1E">
        <w:rPr>
          <w:lang w:val="pt-PT"/>
        </w:rPr>
        <w:t>d)</w:t>
      </w:r>
      <w:r w:rsidRPr="00DB7D1E">
        <w:rPr>
          <w:lang w:val="pt-PT"/>
        </w:rPr>
        <w:tab/>
        <w:t>A 19.02. cikk szerinti vízmentes ajtókat nem kell szigetelni.</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 xml:space="preserve">10. </w:t>
      </w:r>
      <w:r w:rsidRPr="00DB7D1E">
        <w:rPr>
          <w:lang w:val="pt-PT"/>
        </w:rPr>
        <w:tab/>
        <w:t>A 2. bekezdés szerinti falaknak fedélzettől fedélzetig érően folytonosaknak kell lenniük, vagy olyan folytonos mennyezetnél kell végződniük, amely megfelel ugyanazon, a 2. bekezdésben említett követelményeknek.</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11.</w:t>
      </w:r>
      <w:r w:rsidRPr="00DB7D1E">
        <w:rPr>
          <w:lang w:val="pt-PT"/>
        </w:rPr>
        <w:tab/>
        <w:t>Az utasok által használt alábbi területeket a 2. bekezdésben említett függőleges térelválasztó elemekkel kell megosztani:</w:t>
      </w:r>
    </w:p>
    <w:p w:rsidR="005624E3" w:rsidRPr="00DB7D1E" w:rsidRDefault="005624E3" w:rsidP="005624E3">
      <w:pPr>
        <w:pStyle w:val="ESlet"/>
        <w:rPr>
          <w:rFonts w:eastAsia="Calibri" w:cs="Arial"/>
          <w:szCs w:val="18"/>
          <w:lang w:val="pt-PT"/>
        </w:rPr>
      </w:pPr>
      <w:r w:rsidRPr="00DB7D1E">
        <w:rPr>
          <w:lang w:val="pt-PT"/>
        </w:rPr>
        <w:t>a)</w:t>
      </w:r>
      <w:r w:rsidRPr="00DB7D1E">
        <w:rPr>
          <w:lang w:val="pt-PT"/>
        </w:rPr>
        <w:tab/>
        <w:t>a 800 m</w:t>
      </w:r>
      <w:r w:rsidRPr="00DB7D1E">
        <w:rPr>
          <w:noProof/>
          <w:vertAlign w:val="superscript"/>
          <w:lang w:val="pt-PT"/>
        </w:rPr>
        <w:t>2</w:t>
      </w:r>
      <w:r w:rsidRPr="00DB7D1E">
        <w:rPr>
          <w:lang w:val="pt-PT"/>
        </w:rPr>
        <w:t>-nél nagyobb teljes felületű, utasok által használt területek;</w:t>
      </w:r>
    </w:p>
    <w:p w:rsidR="005624E3" w:rsidRPr="00DB7D1E" w:rsidRDefault="005624E3" w:rsidP="005624E3">
      <w:pPr>
        <w:pStyle w:val="ESlet"/>
        <w:rPr>
          <w:rFonts w:eastAsia="Calibri" w:cs="Arial"/>
          <w:szCs w:val="18"/>
          <w:lang w:val="pt-PT"/>
        </w:rPr>
      </w:pPr>
      <w:r w:rsidRPr="00DB7D1E">
        <w:rPr>
          <w:lang w:val="pt-PT"/>
        </w:rPr>
        <w:t>b)</w:t>
      </w:r>
      <w:r w:rsidRPr="00DB7D1E">
        <w:rPr>
          <w:lang w:val="pt-PT"/>
        </w:rPr>
        <w:tab/>
        <w:t>utasok által használt olyan területek, amelyeken legfeljebb 40 m-enként kabinok találhatók.</w:t>
      </w:r>
    </w:p>
    <w:p w:rsidR="005624E3" w:rsidRPr="00DB7D1E" w:rsidRDefault="005624E3" w:rsidP="005624E3">
      <w:pPr>
        <w:pStyle w:val="ESch"/>
        <w:rPr>
          <w:rFonts w:eastAsia="Calibri"/>
          <w:noProof/>
          <w:lang w:val="pt-PT"/>
        </w:rPr>
      </w:pPr>
    </w:p>
    <w:p w:rsidR="005624E3" w:rsidRPr="00DB7D1E" w:rsidRDefault="005624E3" w:rsidP="005624E3">
      <w:pPr>
        <w:pStyle w:val="ESchpar"/>
        <w:rPr>
          <w:rFonts w:eastAsia="Calibri" w:cs="Arial"/>
          <w:szCs w:val="18"/>
          <w:lang w:val="pt-PT"/>
        </w:rPr>
      </w:pPr>
      <w:r w:rsidRPr="00DB7D1E">
        <w:rPr>
          <w:lang w:val="pt-PT"/>
        </w:rPr>
        <w:t>A függőleges térelválasztó elemeknek a szokásos működés során füstzáróknak és fedélzettől fedélzetig érően folytonosaknak kell lenniük.</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12.</w:t>
      </w:r>
      <w:r w:rsidRPr="00DB7D1E">
        <w:rPr>
          <w:lang w:val="pt-PT"/>
        </w:rPr>
        <w:tab/>
        <w:t>A mennyezetek feletti, padlók alatti és falburkolatok mögötti üregeket legfeljebb 14 m-enként le kell választani éghetetlen huzatmentesítőkkel, melyek tűz esetén is hatékony tűzálló tömítésként szolgálnak.</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13.</w:t>
      </w:r>
      <w:r w:rsidRPr="00DB7D1E">
        <w:rPr>
          <w:lang w:val="pt-PT"/>
        </w:rPr>
        <w:tab/>
        <w:t>A lépcsőket acélból vagy azzal egyenértékű éghetetlen anyagból kell készíteni.</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14.</w:t>
      </w:r>
      <w:r w:rsidRPr="00DB7D1E">
        <w:rPr>
          <w:lang w:val="pt-PT"/>
        </w:rPr>
        <w:tab/>
        <w:t>A belső lépcsőket és lifteket minden szinten a 2. bekezdés szerinti falakkal kell körülvenni. Az alábbi kivételek megengedettek:</w:t>
      </w:r>
    </w:p>
    <w:p w:rsidR="005624E3" w:rsidRPr="00DB7D1E" w:rsidRDefault="005624E3" w:rsidP="005624E3">
      <w:pPr>
        <w:pStyle w:val="ESlet"/>
        <w:rPr>
          <w:rFonts w:eastAsia="Calibri" w:cs="Arial"/>
          <w:szCs w:val="18"/>
          <w:lang w:val="pt-PT"/>
        </w:rPr>
      </w:pPr>
      <w:r w:rsidRPr="00DB7D1E">
        <w:rPr>
          <w:lang w:val="pt-PT"/>
        </w:rPr>
        <w:t>a)</w:t>
      </w:r>
      <w:r w:rsidRPr="00DB7D1E">
        <w:rPr>
          <w:lang w:val="pt-PT"/>
        </w:rPr>
        <w:tab/>
        <w:t>a csak két fedélzetet összekötő lépcsősort nem kell körülvenni, ha a lépcső az egyik fedélzeten a 2. bekezdés szerint körbe van zárva;</w:t>
      </w:r>
    </w:p>
    <w:p w:rsidR="005624E3" w:rsidRPr="00DB7D1E" w:rsidRDefault="005624E3" w:rsidP="005624E3">
      <w:pPr>
        <w:pStyle w:val="ESlet"/>
        <w:rPr>
          <w:rFonts w:eastAsia="Calibri"/>
          <w:noProof/>
          <w:lang w:val="pt-PT"/>
        </w:rPr>
      </w:pPr>
    </w:p>
    <w:p w:rsidR="005624E3" w:rsidRPr="00DB7D1E" w:rsidRDefault="005624E3" w:rsidP="005624E3">
      <w:pPr>
        <w:pStyle w:val="ESlet"/>
        <w:rPr>
          <w:rFonts w:eastAsia="Calibri"/>
          <w:noProof/>
          <w:lang w:val="pt-PT"/>
        </w:rPr>
      </w:pPr>
      <w:r w:rsidRPr="00DB7D1E">
        <w:rPr>
          <w:lang w:val="pt-PT"/>
        </w:rPr>
        <w:br w:type="page"/>
      </w:r>
    </w:p>
    <w:p w:rsidR="005624E3" w:rsidRPr="00DB7D1E" w:rsidRDefault="005624E3" w:rsidP="005624E3">
      <w:pPr>
        <w:pStyle w:val="ESlet"/>
        <w:rPr>
          <w:rFonts w:eastAsia="Calibri" w:cs="Arial"/>
          <w:szCs w:val="18"/>
          <w:lang w:val="pt-PT"/>
        </w:rPr>
      </w:pPr>
      <w:r w:rsidRPr="00DB7D1E">
        <w:rPr>
          <w:lang w:val="pt-PT"/>
        </w:rPr>
        <w:t>b)</w:t>
      </w:r>
      <w:r w:rsidRPr="00DB7D1E">
        <w:rPr>
          <w:lang w:val="pt-PT"/>
        </w:rPr>
        <w:tab/>
        <w:t>a társalgóban lévő lépcsőket nem kell körülvenni, ha azok teljes egészében a helyiségen belül vannak, és</w:t>
      </w:r>
    </w:p>
    <w:p w:rsidR="005624E3" w:rsidRPr="00DB7D1E" w:rsidRDefault="005624E3" w:rsidP="005624E3">
      <w:pPr>
        <w:pStyle w:val="EStiret"/>
        <w:rPr>
          <w:rFonts w:eastAsia="Calibri" w:cs="Arial"/>
          <w:szCs w:val="18"/>
          <w:lang w:val="pt-PT"/>
        </w:rPr>
      </w:pPr>
      <w:r w:rsidRPr="00DB7D1E">
        <w:rPr>
          <w:lang w:val="pt-PT"/>
        </w:rPr>
        <w:t>aa)</w:t>
      </w:r>
      <w:r w:rsidRPr="00DB7D1E">
        <w:rPr>
          <w:lang w:val="pt-PT"/>
        </w:rPr>
        <w:tab/>
        <w:t>ez a helyiség csak két fedélzetre terjed ki; vagy</w:t>
      </w:r>
    </w:p>
    <w:p w:rsidR="005624E3" w:rsidRPr="00DB7D1E" w:rsidRDefault="005624E3" w:rsidP="005624E3">
      <w:pPr>
        <w:pStyle w:val="EStiret"/>
        <w:rPr>
          <w:rFonts w:eastAsia="Calibri" w:cs="Arial"/>
          <w:szCs w:val="18"/>
          <w:lang w:val="pt-PT"/>
        </w:rPr>
      </w:pPr>
      <w:r w:rsidRPr="00DB7D1E">
        <w:rPr>
          <w:lang w:val="pt-PT"/>
        </w:rPr>
        <w:t>bb)</w:t>
      </w:r>
      <w:r w:rsidRPr="00DB7D1E">
        <w:rPr>
          <w:lang w:val="pt-PT"/>
        </w:rPr>
        <w:tab/>
        <w:t>ebben a helyiségben minden fedélzeten fel van szerelve a 13.04. cikk szerinti vízpermettel oltó túlnyomásos berendezés, a helyiség a 16. bekezdés szerinti füstelvezető rendszerrel rendelkezik és a helyiségből minden fedélzeten megközelíthető egy lépcsőház.</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15.</w:t>
      </w:r>
      <w:r w:rsidRPr="00DB7D1E">
        <w:rPr>
          <w:lang w:val="pt-PT"/>
        </w:rPr>
        <w:tab/>
        <w:t>A szellőzőrendszereknek és a levegőellátást biztosító rendszereknek az alábbi követelményeket kell teljesíteniük:</w:t>
      </w:r>
    </w:p>
    <w:p w:rsidR="005624E3" w:rsidRPr="00DB7D1E" w:rsidRDefault="005624E3" w:rsidP="005624E3">
      <w:pPr>
        <w:pStyle w:val="ESlet"/>
        <w:rPr>
          <w:rFonts w:eastAsia="Calibri" w:cs="Arial"/>
          <w:szCs w:val="18"/>
          <w:lang w:val="pt-PT"/>
        </w:rPr>
      </w:pPr>
      <w:r w:rsidRPr="00DB7D1E">
        <w:rPr>
          <w:lang w:val="pt-PT"/>
        </w:rPr>
        <w:t>a)</w:t>
      </w:r>
      <w:r w:rsidRPr="00DB7D1E">
        <w:rPr>
          <w:lang w:val="pt-PT"/>
        </w:rPr>
        <w:tab/>
        <w:t>tervezésüknek biztosítaniuk kell, hogy maguktól nem okozzák a tűz és a füst terjedését;</w:t>
      </w:r>
    </w:p>
    <w:p w:rsidR="005624E3" w:rsidRPr="00DB7D1E" w:rsidRDefault="005624E3" w:rsidP="005624E3">
      <w:pPr>
        <w:pStyle w:val="ESlet"/>
        <w:rPr>
          <w:rFonts w:eastAsia="Calibri" w:cs="Arial"/>
          <w:szCs w:val="18"/>
          <w:lang w:val="pt-PT"/>
        </w:rPr>
      </w:pPr>
      <w:r w:rsidRPr="00DB7D1E">
        <w:rPr>
          <w:lang w:val="pt-PT"/>
        </w:rPr>
        <w:t>b)</w:t>
      </w:r>
      <w:r w:rsidRPr="00DB7D1E">
        <w:rPr>
          <w:lang w:val="pt-PT"/>
        </w:rPr>
        <w:tab/>
        <w:t>a légbeszívó és -elszívó, valamint levegőellátást biztosító rendszerek nyílásainak lezárhatóknak kell lenniük;</w:t>
      </w:r>
    </w:p>
    <w:p w:rsidR="005624E3" w:rsidRPr="00DB7D1E" w:rsidRDefault="005624E3" w:rsidP="005624E3">
      <w:pPr>
        <w:pStyle w:val="ESlet"/>
        <w:rPr>
          <w:rFonts w:eastAsia="Calibri" w:cs="Arial"/>
          <w:szCs w:val="18"/>
          <w:lang w:val="pt-PT"/>
        </w:rPr>
      </w:pPr>
      <w:r w:rsidRPr="00DB7D1E">
        <w:rPr>
          <w:lang w:val="pt-PT"/>
        </w:rPr>
        <w:t>c)</w:t>
      </w:r>
      <w:r w:rsidRPr="00DB7D1E">
        <w:rPr>
          <w:lang w:val="pt-PT"/>
        </w:rPr>
        <w:tab/>
        <w:t>a szellőzőcsatornáknak acélból, vagy azzal egyenértékű éghetetlen anyagból kell készülniük, és egymáshoz és a hajó felépítményéhez biztonságosan kell kapcsolódniuk;</w:t>
      </w:r>
    </w:p>
    <w:p w:rsidR="005624E3" w:rsidRPr="00DB7D1E" w:rsidRDefault="005624E3" w:rsidP="005624E3">
      <w:pPr>
        <w:pStyle w:val="ESlet"/>
        <w:rPr>
          <w:rFonts w:eastAsia="Calibri" w:cs="Arial"/>
          <w:szCs w:val="18"/>
          <w:lang w:val="pt-PT"/>
        </w:rPr>
      </w:pPr>
      <w:r w:rsidRPr="00DB7D1E">
        <w:rPr>
          <w:lang w:val="pt-PT"/>
        </w:rPr>
        <w:t>d)</w:t>
      </w:r>
      <w:r w:rsidRPr="00DB7D1E">
        <w:rPr>
          <w:lang w:val="pt-PT"/>
        </w:rPr>
        <w:tab/>
        <w:t>ha a 0,02 m</w:t>
      </w:r>
      <w:r w:rsidRPr="00DB7D1E">
        <w:rPr>
          <w:noProof/>
          <w:vertAlign w:val="superscript"/>
          <w:lang w:val="pt-PT"/>
        </w:rPr>
        <w:t>2</w:t>
      </w:r>
      <w:r w:rsidRPr="00DB7D1E">
        <w:rPr>
          <w:lang w:val="pt-PT"/>
        </w:rPr>
        <w:t>-nél nagyobb keresztmetszetű szellőzőcsatornák a 2. bekezdés szerinti A típusú vagy a 10. bekezdés szerinti térelválasztó elemeken vezetnek keresztül, akkor ezeket önműködő tűzvédelmi csappantyúkkal kell felszerelni, amelyeknek működtethetőknek kell lenniük egy olyan helyről, ahol állandóan tartózkodik kiszolgáló személyzet vagy legénység;</w:t>
      </w:r>
    </w:p>
    <w:p w:rsidR="005624E3" w:rsidRPr="00DB7D1E" w:rsidRDefault="005624E3" w:rsidP="005624E3">
      <w:pPr>
        <w:pStyle w:val="ESlet"/>
        <w:rPr>
          <w:rFonts w:eastAsia="Calibri" w:cs="Arial"/>
          <w:szCs w:val="18"/>
          <w:lang w:val="pt-PT"/>
        </w:rPr>
      </w:pPr>
      <w:r w:rsidRPr="00DB7D1E">
        <w:rPr>
          <w:lang w:val="pt-PT"/>
        </w:rPr>
        <w:t>e)</w:t>
      </w:r>
      <w:r w:rsidRPr="00DB7D1E">
        <w:rPr>
          <w:lang w:val="pt-PT"/>
        </w:rPr>
        <w:tab/>
        <w:t>a konyhák és a gépterek szellőzőrendszereit el kell választani a többi terület szellőzését biztosító rendszerektől;</w:t>
      </w:r>
    </w:p>
    <w:p w:rsidR="005624E3" w:rsidRPr="00DB7D1E" w:rsidRDefault="005624E3" w:rsidP="005624E3">
      <w:pPr>
        <w:pStyle w:val="ESlet"/>
        <w:rPr>
          <w:rFonts w:eastAsia="Calibri" w:cs="Arial"/>
          <w:szCs w:val="18"/>
          <w:lang w:val="pt-PT"/>
        </w:rPr>
      </w:pPr>
      <w:r w:rsidRPr="00DB7D1E">
        <w:rPr>
          <w:lang w:val="pt-PT"/>
        </w:rPr>
        <w:t>f)</w:t>
      </w:r>
      <w:r w:rsidRPr="00DB7D1E">
        <w:rPr>
          <w:lang w:val="pt-PT"/>
        </w:rPr>
        <w:tab/>
        <w:t>a légelszívó csatornákat zárható nyílásokkal kell ellátni az ellenőrzés és a tisztántartás céljára. Ezeket a nyílásokat a tűzvédelmi csappantyúk közelében kell elhelyezni;</w:t>
      </w:r>
    </w:p>
    <w:p w:rsidR="005624E3" w:rsidRPr="00DB7D1E" w:rsidRDefault="005624E3" w:rsidP="005624E3">
      <w:pPr>
        <w:pStyle w:val="ESlet"/>
        <w:rPr>
          <w:rFonts w:eastAsia="Calibri" w:cs="Arial"/>
          <w:szCs w:val="18"/>
          <w:lang w:val="pt-PT"/>
        </w:rPr>
      </w:pPr>
      <w:r w:rsidRPr="00DB7D1E">
        <w:rPr>
          <w:lang w:val="pt-PT"/>
        </w:rPr>
        <w:t>g)</w:t>
      </w:r>
      <w:r w:rsidRPr="00DB7D1E">
        <w:rPr>
          <w:lang w:val="pt-PT"/>
        </w:rPr>
        <w:tab/>
        <w:t>a beépített szellőzőrendszereknek kikapcsolhatóknak kell lenniük egy géptéren kívüli, központi helyről.</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16.</w:t>
      </w:r>
      <w:r w:rsidRPr="00DB7D1E">
        <w:rPr>
          <w:lang w:val="pt-PT"/>
        </w:rPr>
        <w:tab/>
        <w:t>A konyhákat szellőzőrendszerekkel és elszívókészülékkel rendelkező tűzhelyekkel kell felszerelni. Az elszívókészülék légelszívó csatornáinak meg kell felelniük a 14. bekezdésben foglalt követelményeknek, továbbá a bementi nyílásoknál kézi működtetésű tűzvédelmi csappantyúkkal kell felszerelni őket.</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17.</w:t>
      </w:r>
      <w:r w:rsidRPr="00DB7D1E">
        <w:rPr>
          <w:lang w:val="pt-PT"/>
        </w:rPr>
        <w:tab/>
        <w:t>A vezérlőközpontokat, a lépcsőházakat és a belső gyülekezőhelyeket fel kell szerelni természetes és gépi füstelvezető rendszerekkel. A füstelvezető rendszereknek meg kell felelniük az alábbi követelményeknek:</w:t>
      </w:r>
    </w:p>
    <w:p w:rsidR="005624E3" w:rsidRPr="00DB7D1E" w:rsidRDefault="005624E3" w:rsidP="005624E3">
      <w:pPr>
        <w:pStyle w:val="ESlet"/>
        <w:rPr>
          <w:rFonts w:eastAsia="Calibri" w:cs="Arial"/>
          <w:szCs w:val="18"/>
          <w:lang w:val="pt-PT"/>
        </w:rPr>
      </w:pPr>
      <w:r w:rsidRPr="00DB7D1E">
        <w:rPr>
          <w:lang w:val="pt-PT"/>
        </w:rPr>
        <w:t>a)</w:t>
      </w:r>
      <w:r w:rsidRPr="00DB7D1E">
        <w:rPr>
          <w:lang w:val="pt-PT"/>
        </w:rPr>
        <w:tab/>
        <w:t>elégséges kapacitással kell rendelkezniük és kellően megbízhatóknak kell lenniük;</w:t>
      </w:r>
    </w:p>
    <w:p w:rsidR="005624E3" w:rsidRPr="00DB7D1E" w:rsidRDefault="005624E3" w:rsidP="005624E3">
      <w:pPr>
        <w:pStyle w:val="ESlet"/>
        <w:rPr>
          <w:rFonts w:eastAsia="Calibri" w:cs="Arial"/>
          <w:szCs w:val="18"/>
          <w:lang w:val="pt-PT"/>
        </w:rPr>
      </w:pPr>
      <w:r w:rsidRPr="00DB7D1E">
        <w:rPr>
          <w:lang w:val="pt-PT"/>
        </w:rPr>
        <w:t>b)</w:t>
      </w:r>
      <w:r w:rsidRPr="00DB7D1E">
        <w:rPr>
          <w:lang w:val="pt-PT"/>
        </w:rPr>
        <w:tab/>
        <w:t>meg kell felelniük a személyhajók üzemi körülményeinek;</w:t>
      </w:r>
    </w:p>
    <w:p w:rsidR="005624E3" w:rsidRPr="00DB7D1E" w:rsidRDefault="005624E3" w:rsidP="005624E3">
      <w:pPr>
        <w:pStyle w:val="ESlet"/>
        <w:rPr>
          <w:rFonts w:eastAsia="Calibri" w:cs="Arial"/>
          <w:szCs w:val="18"/>
          <w:lang w:val="pt-PT"/>
        </w:rPr>
      </w:pPr>
      <w:r w:rsidRPr="00DB7D1E">
        <w:rPr>
          <w:lang w:val="pt-PT"/>
        </w:rPr>
        <w:t>c)</w:t>
      </w:r>
      <w:r w:rsidRPr="00DB7D1E">
        <w:rPr>
          <w:lang w:val="pt-PT"/>
        </w:rPr>
        <w:tab/>
        <w:t>ha a füstelvezető rendszerek a helyiségek általános szellőzőrendszereiként is szolgálnak, ez nem gátolhatja füstelvezető rendszerként való működésüket tűz esetén;</w:t>
      </w:r>
    </w:p>
    <w:p w:rsidR="005624E3" w:rsidRPr="00DB7D1E" w:rsidRDefault="005624E3" w:rsidP="005624E3">
      <w:pPr>
        <w:pStyle w:val="ESlet"/>
        <w:rPr>
          <w:rFonts w:eastAsia="Calibri" w:cs="Arial"/>
          <w:szCs w:val="18"/>
          <w:lang w:val="pt-PT"/>
        </w:rPr>
      </w:pPr>
      <w:r w:rsidRPr="00DB7D1E">
        <w:rPr>
          <w:lang w:val="pt-PT"/>
        </w:rPr>
        <w:t>d)</w:t>
      </w:r>
      <w:r w:rsidRPr="00DB7D1E">
        <w:rPr>
          <w:lang w:val="pt-PT"/>
        </w:rPr>
        <w:tab/>
        <w:t>a füstelvezető rendszereknek rendelkezniük kell kézzel működtethető indítószerkezettel;</w:t>
      </w:r>
    </w:p>
    <w:p w:rsidR="005624E3" w:rsidRPr="00DB7D1E" w:rsidRDefault="005624E3" w:rsidP="005624E3">
      <w:pPr>
        <w:pStyle w:val="ESlet"/>
        <w:rPr>
          <w:rFonts w:eastAsia="Calibri" w:cs="Arial"/>
          <w:szCs w:val="18"/>
          <w:lang w:val="pt-PT"/>
        </w:rPr>
      </w:pPr>
      <w:r w:rsidRPr="00DB7D1E">
        <w:rPr>
          <w:lang w:val="pt-PT"/>
        </w:rPr>
        <w:t>e)</w:t>
      </w:r>
      <w:r w:rsidRPr="00DB7D1E">
        <w:rPr>
          <w:lang w:val="pt-PT"/>
        </w:rPr>
        <w:tab/>
        <w:t>a mechanikus füstelvezető rendszereknek ezenkívül vezérelhetőknek kell lenniük egy olyan helyről, ahol állandóan tartózkodik kiszolgáló személyzet vagy legénység;</w:t>
      </w:r>
    </w:p>
    <w:p w:rsidR="005624E3" w:rsidRPr="00DB7D1E" w:rsidRDefault="005624E3" w:rsidP="005624E3">
      <w:pPr>
        <w:pStyle w:val="ESlet"/>
        <w:rPr>
          <w:rFonts w:eastAsia="Calibri" w:cs="Arial"/>
          <w:szCs w:val="18"/>
          <w:lang w:val="pt-PT"/>
        </w:rPr>
      </w:pPr>
      <w:r w:rsidRPr="00DB7D1E">
        <w:rPr>
          <w:lang w:val="pt-PT"/>
        </w:rPr>
        <w:t>f)</w:t>
      </w:r>
      <w:r w:rsidRPr="00DB7D1E">
        <w:rPr>
          <w:lang w:val="pt-PT"/>
        </w:rPr>
        <w:tab/>
        <w:t>a természetes füstelvezető rendszerekre kézzel vagy a rendszeren belüli áramforrással működtethető nyitómechanizmust kell szerelni;</w:t>
      </w:r>
    </w:p>
    <w:p w:rsidR="005624E3" w:rsidRPr="00DB7D1E" w:rsidRDefault="005624E3" w:rsidP="005624E3">
      <w:pPr>
        <w:pStyle w:val="ESlet"/>
        <w:rPr>
          <w:rFonts w:eastAsia="Calibri" w:cs="Arial"/>
          <w:szCs w:val="18"/>
          <w:lang w:val="pt-PT"/>
        </w:rPr>
      </w:pPr>
      <w:r w:rsidRPr="00DB7D1E">
        <w:rPr>
          <w:lang w:val="pt-PT"/>
        </w:rPr>
        <w:t>g)</w:t>
      </w:r>
      <w:r w:rsidRPr="00DB7D1E">
        <w:rPr>
          <w:lang w:val="pt-PT"/>
        </w:rPr>
        <w:tab/>
        <w:t>a kézzel működtethető indítószerkezeteknek és nyitómechanizmusoknak a védendő helyiségen belülről vagy kívülről hozzáférhetőnek kell lenniük.</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noProof/>
          <w:lang w:val="pt-PT"/>
        </w:rPr>
      </w:pPr>
      <w:r w:rsidRPr="00DB7D1E">
        <w:rPr>
          <w:lang w:val="pt-PT"/>
        </w:rPr>
        <w:br w:type="page"/>
      </w:r>
    </w:p>
    <w:p w:rsidR="005624E3" w:rsidRPr="00DB7D1E" w:rsidRDefault="005624E3" w:rsidP="005624E3">
      <w:pPr>
        <w:pStyle w:val="ESch"/>
        <w:rPr>
          <w:rFonts w:eastAsia="Calibri" w:cs="Arial"/>
          <w:szCs w:val="18"/>
          <w:lang w:val="pt-PT"/>
        </w:rPr>
      </w:pPr>
      <w:r w:rsidRPr="00DB7D1E">
        <w:rPr>
          <w:lang w:val="pt-PT"/>
        </w:rPr>
        <w:t>18.</w:t>
      </w:r>
      <w:r w:rsidRPr="00DB7D1E">
        <w:rPr>
          <w:lang w:val="pt-PT"/>
        </w:rPr>
        <w:tab/>
        <w:t>A kiszolgáló személyzet vagy a legénység által nem folyamatosan felügyelt társalgókat, a konyhákat, a géptereket és az egyéb olyan helyiségeket, ahol tűzveszély áll fenn, megfelelő tűzriasztó rendszerrel kell ellátni. A tűz megjelenését és pontos helyét automatikusan ki kell jelezni egy olyan helyen, ahol állandóan tartózkodik kiszolgáló személyzet vagy legénység.</w:t>
      </w:r>
    </w:p>
    <w:p w:rsidR="005624E3" w:rsidRPr="00DB7D1E" w:rsidRDefault="005624E3" w:rsidP="005624E3">
      <w:pPr>
        <w:pStyle w:val="ESch"/>
        <w:rPr>
          <w:rFonts w:eastAsia="Calibri" w:cs="Arial"/>
          <w:szCs w:val="18"/>
          <w:lang w:val="pt-PT"/>
        </w:rPr>
      </w:pPr>
    </w:p>
    <w:p w:rsidR="005624E3" w:rsidRPr="00DB7D1E" w:rsidRDefault="005624E3" w:rsidP="005624E3">
      <w:pPr>
        <w:pStyle w:val="ESch"/>
        <w:rPr>
          <w:rFonts w:eastAsia="Calibri" w:cs="Arial"/>
          <w:szCs w:val="18"/>
          <w:lang w:val="pt-PT"/>
        </w:rPr>
      </w:pPr>
    </w:p>
    <w:p w:rsidR="005624E3" w:rsidRPr="00DB7D1E" w:rsidRDefault="005624E3" w:rsidP="005624E3">
      <w:pPr>
        <w:pStyle w:val="ES-Titre3"/>
        <w:rPr>
          <w:rFonts w:cs="Arial"/>
          <w:i/>
          <w:szCs w:val="18"/>
          <w:lang w:val="pt-PT"/>
        </w:rPr>
      </w:pPr>
      <w:bookmarkStart w:id="368" w:name="_Toc491854181"/>
      <w:bookmarkStart w:id="369" w:name="_Toc535853960"/>
      <w:r w:rsidRPr="00DB7D1E">
        <w:rPr>
          <w:lang w:val="pt-PT"/>
        </w:rPr>
        <w:t>19.12. cikk</w:t>
      </w:r>
      <w:r w:rsidRPr="00DB7D1E">
        <w:rPr>
          <w:lang w:val="pt-PT"/>
        </w:rPr>
        <w:br/>
      </w:r>
      <w:r w:rsidRPr="00DB7D1E">
        <w:rPr>
          <w:i/>
          <w:noProof/>
          <w:lang w:val="pt-PT"/>
        </w:rPr>
        <w:t>Tűz</w:t>
      </w:r>
      <w:bookmarkEnd w:id="368"/>
      <w:r w:rsidR="00166EA9">
        <w:rPr>
          <w:i/>
          <w:noProof/>
          <w:lang w:val="pt-PT"/>
        </w:rPr>
        <w:t>védelem</w:t>
      </w:r>
      <w:bookmarkEnd w:id="369"/>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1.</w:t>
      </w:r>
      <w:r w:rsidRPr="00DB7D1E">
        <w:rPr>
          <w:lang w:val="pt-PT"/>
        </w:rPr>
        <w:tab/>
        <w:t>A 13.03. cikk szerinti hordozható tűzoltó készülékeken kívül legalább a következő hordozható tűzoltó készülékeknek kell rendelkezésre állniuk a fedélzeten:</w:t>
      </w:r>
    </w:p>
    <w:p w:rsidR="005624E3" w:rsidRPr="00DB7D1E" w:rsidRDefault="005624E3" w:rsidP="005624E3">
      <w:pPr>
        <w:pStyle w:val="ESlet"/>
        <w:rPr>
          <w:rFonts w:eastAsia="Calibri" w:cs="Arial"/>
          <w:szCs w:val="18"/>
          <w:lang w:val="pt-PT"/>
        </w:rPr>
      </w:pPr>
      <w:r w:rsidRPr="00DB7D1E">
        <w:rPr>
          <w:lang w:val="pt-PT"/>
        </w:rPr>
        <w:t>a)</w:t>
      </w:r>
      <w:r w:rsidRPr="00DB7D1E">
        <w:rPr>
          <w:lang w:val="pt-PT"/>
        </w:rPr>
        <w:tab/>
        <w:t>egy hordozható tűzoltó készülék az utasterek bruttó padlófelületének minden 120 m</w:t>
      </w:r>
      <w:r w:rsidRPr="00DB7D1E">
        <w:rPr>
          <w:noProof/>
          <w:vertAlign w:val="superscript"/>
          <w:lang w:val="pt-PT"/>
        </w:rPr>
        <w:t>2</w:t>
      </w:r>
      <w:r w:rsidRPr="00DB7D1E">
        <w:rPr>
          <w:lang w:val="pt-PT"/>
        </w:rPr>
        <w:t>-ére;</w:t>
      </w:r>
    </w:p>
    <w:p w:rsidR="005624E3" w:rsidRPr="00DB7D1E" w:rsidRDefault="005624E3" w:rsidP="005624E3">
      <w:pPr>
        <w:pStyle w:val="ESlet"/>
        <w:rPr>
          <w:rFonts w:eastAsia="Calibri" w:cs="Arial"/>
          <w:szCs w:val="18"/>
          <w:lang w:val="pt-PT"/>
        </w:rPr>
      </w:pPr>
      <w:r w:rsidRPr="00DB7D1E">
        <w:rPr>
          <w:lang w:val="pt-PT"/>
        </w:rPr>
        <w:t>b)</w:t>
      </w:r>
      <w:r w:rsidRPr="00DB7D1E">
        <w:rPr>
          <w:lang w:val="pt-PT"/>
        </w:rPr>
        <w:tab/>
        <w:t>egy hordozható tűzoltó készülék 10 kabinonként (felfelé kerekítve);</w:t>
      </w:r>
    </w:p>
    <w:p w:rsidR="005624E3" w:rsidRPr="00DB7D1E" w:rsidRDefault="005624E3" w:rsidP="005624E3">
      <w:pPr>
        <w:pStyle w:val="ESlet"/>
        <w:rPr>
          <w:rFonts w:eastAsia="Calibri" w:cs="Arial"/>
          <w:szCs w:val="18"/>
          <w:lang w:val="pt-PT"/>
        </w:rPr>
      </w:pPr>
      <w:r w:rsidRPr="00DB7D1E">
        <w:rPr>
          <w:lang w:val="pt-PT"/>
        </w:rPr>
        <w:t>c)</w:t>
      </w:r>
      <w:r w:rsidRPr="00DB7D1E">
        <w:rPr>
          <w:lang w:val="pt-PT"/>
        </w:rPr>
        <w:tab/>
        <w:t>egy hordozható tűzoltó készülék minden egyes konyhában, és minden olyan helyiség közelében, ahol gyúlékony folyadékokat tárolnak vagy használnak. A konyhákban az oltóanyagnak az olajtüzek kioltására is alkalmasnak kell lennie.</w:t>
      </w:r>
    </w:p>
    <w:p w:rsidR="005624E3" w:rsidRPr="00DB7D1E" w:rsidRDefault="005624E3" w:rsidP="005624E3">
      <w:pPr>
        <w:pStyle w:val="ESch"/>
        <w:rPr>
          <w:rFonts w:eastAsia="Calibri"/>
          <w:noProof/>
          <w:lang w:val="pt-PT"/>
        </w:rPr>
      </w:pPr>
    </w:p>
    <w:p w:rsidR="005624E3" w:rsidRPr="00DB7D1E" w:rsidRDefault="005624E3" w:rsidP="005624E3">
      <w:pPr>
        <w:pStyle w:val="ESchpar"/>
        <w:rPr>
          <w:rFonts w:eastAsia="Calibri" w:cs="Arial"/>
          <w:szCs w:val="18"/>
          <w:lang w:val="pt-PT"/>
        </w:rPr>
      </w:pPr>
      <w:r w:rsidRPr="00DB7D1E">
        <w:rPr>
          <w:lang w:val="pt-PT"/>
        </w:rPr>
        <w:t>Ezeknek a kiegészítő tűzoltó készülékeknek meg kell felelniük a 13.03. cikk 2. bekezdésében előírt követelményeknek, és a hajón úgy kell felszerelni és elosztani őket, hogy bármely ponton és bármikor kezdődő tűz esetén azonnal el lehessen érni egy tűzoltó készüléket. Minden konyhában, valamint a fodrászüzletekben és illatszerboltokban kéznél kell lennie egy-egy tűzoltásra szolgáló takarónak.</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2.</w:t>
      </w:r>
      <w:r w:rsidRPr="00DB7D1E">
        <w:rPr>
          <w:lang w:val="pt-PT"/>
        </w:rPr>
        <w:tab/>
        <w:t>A személyhajókat fel kell szerelni tűzcsaprendszerrel, amely az alábbiakból áll:</w:t>
      </w:r>
    </w:p>
    <w:p w:rsidR="005624E3" w:rsidRPr="00DB7D1E" w:rsidRDefault="005624E3" w:rsidP="005624E3">
      <w:pPr>
        <w:pStyle w:val="ESlet"/>
        <w:rPr>
          <w:rFonts w:eastAsia="Calibri" w:cs="Arial"/>
          <w:szCs w:val="18"/>
          <w:lang w:val="pt-PT"/>
        </w:rPr>
      </w:pPr>
      <w:r w:rsidRPr="00DB7D1E">
        <w:rPr>
          <w:lang w:val="pt-PT"/>
        </w:rPr>
        <w:t>a)</w:t>
      </w:r>
      <w:r w:rsidRPr="00DB7D1E">
        <w:rPr>
          <w:lang w:val="pt-PT"/>
        </w:rPr>
        <w:tab/>
        <w:t>két gépi meghajtású, megfelelő teljesítményű tűzoltószivattyú, amelyek közül legalább az egyik tartósan rögzített;</w:t>
      </w:r>
    </w:p>
    <w:p w:rsidR="005624E3" w:rsidRPr="00DB7D1E" w:rsidRDefault="005624E3" w:rsidP="005624E3">
      <w:pPr>
        <w:pStyle w:val="ESlet"/>
        <w:rPr>
          <w:rFonts w:eastAsia="Calibri" w:cs="Arial"/>
          <w:szCs w:val="18"/>
          <w:lang w:val="pt-PT"/>
        </w:rPr>
      </w:pPr>
      <w:r w:rsidRPr="00DB7D1E">
        <w:rPr>
          <w:lang w:val="pt-PT"/>
        </w:rPr>
        <w:t>b)</w:t>
      </w:r>
      <w:r w:rsidRPr="00DB7D1E">
        <w:rPr>
          <w:lang w:val="pt-PT"/>
        </w:rPr>
        <w:tab/>
        <w:t>egy tűzoltóvezeték elegendő számú tűzcsappal, amelyekre állandóan rá vannak kötve legalább 20 m hosszú tűzoltótömlők, a tömlők pedig olyan fúvókával rendelkeznek, amely vízpermetet és vízsugarat is képes kibocsátani és beépített elzárószerkezettel rendelkezik.</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3.</w:t>
      </w:r>
      <w:r w:rsidRPr="00DB7D1E">
        <w:rPr>
          <w:lang w:val="pt-PT"/>
        </w:rPr>
        <w:tab/>
        <w:t>A tűzcsaprendszereket az alábbiak szerint kell kialakítani és méretezni:</w:t>
      </w:r>
    </w:p>
    <w:p w:rsidR="005624E3" w:rsidRPr="00DB7D1E" w:rsidRDefault="005624E3" w:rsidP="005624E3">
      <w:pPr>
        <w:pStyle w:val="ESlet"/>
        <w:rPr>
          <w:rFonts w:eastAsia="Calibri" w:cs="Arial"/>
          <w:szCs w:val="18"/>
          <w:lang w:val="pt-PT"/>
        </w:rPr>
      </w:pPr>
      <w:r w:rsidRPr="00DB7D1E">
        <w:rPr>
          <w:lang w:val="pt-PT"/>
        </w:rPr>
        <w:t>a)</w:t>
      </w:r>
      <w:r w:rsidRPr="00DB7D1E">
        <w:rPr>
          <w:lang w:val="pt-PT"/>
        </w:rPr>
        <w:tab/>
        <w:t>a hajó bármely pontjának elérhetőnek kell lennie legalább két, különböző helyen lévő tűzcsapról, amelyek mindegyikén egységesen legfeljebb 20 m hosszú tömlő van;</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a tűzcsapokban a nyomás legalább 300 kPa; és</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biztosítani kell, hogy valamennyi fedélzeten ki lehessen bocsátani legalább 6 m hosszú vízsugarat.</w:t>
      </w:r>
    </w:p>
    <w:p w:rsidR="005624E3" w:rsidRPr="00DB7D1E" w:rsidRDefault="005624E3" w:rsidP="005624E3">
      <w:pPr>
        <w:pStyle w:val="ESch"/>
        <w:rPr>
          <w:rFonts w:eastAsia="Calibri"/>
          <w:noProof/>
          <w:lang w:val="es-ES"/>
        </w:rPr>
      </w:pPr>
    </w:p>
    <w:p w:rsidR="005624E3" w:rsidRPr="00DB7D1E" w:rsidRDefault="005624E3" w:rsidP="005624E3">
      <w:pPr>
        <w:pStyle w:val="ESchpar"/>
        <w:rPr>
          <w:rFonts w:eastAsia="Calibri" w:cs="Arial"/>
          <w:szCs w:val="18"/>
          <w:lang w:val="es-ES"/>
        </w:rPr>
      </w:pPr>
      <w:r w:rsidRPr="00DB7D1E">
        <w:rPr>
          <w:lang w:val="es-ES"/>
        </w:rPr>
        <w:t>Ha a tűzcsap szekrényben van elhelyezve, a szekrény külsejét a 4. melléklet 5. ábrája szerintihez hasonló „Tűzoltótömlő” szimbólummal kell ellátni, amelynek oldalhosszúsága legalább 10 cm.</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4.</w:t>
      </w:r>
      <w:r w:rsidRPr="00DB7D1E">
        <w:rPr>
          <w:lang w:val="es-ES"/>
        </w:rPr>
        <w:tab/>
        <w:t>A csavarmenetes vagy csapos tűzcsapokat tudni kell úgy beállítani, hogy a tűzoltószivattyúk működése közben minden egyes tűzoltótömlőt le lehessen választani és el lehessen távolítani.</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5.</w:t>
      </w:r>
      <w:r w:rsidRPr="00DB7D1E">
        <w:rPr>
          <w:lang w:val="es-ES"/>
        </w:rPr>
        <w:tab/>
        <w:t>A belső területeken a tűzoltótömlőket fel kell tekerni egy axiálisan csatlakozó dobra.</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6.</w:t>
      </w:r>
      <w:r w:rsidRPr="00DB7D1E">
        <w:rPr>
          <w:lang w:val="es-ES"/>
        </w:rPr>
        <w:tab/>
        <w:t>A tűzvédelmi berendezések anyagainak vagy hőállóknak, vagy megfelelően védetteknek kell lenniük a magas hőmérsékleten történő meghibásodás ellen.</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7.</w:t>
      </w:r>
      <w:r w:rsidRPr="00DB7D1E">
        <w:rPr>
          <w:lang w:val="es-ES"/>
        </w:rPr>
        <w:tab/>
        <w:t>A csöveket és a tűzcsapokat úgy kell elhelyezni, hogy a fagyásveszély elkerülhető legyen.</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noProof/>
          <w:lang w:val="es-ES"/>
        </w:rPr>
      </w:pPr>
      <w:r w:rsidRPr="00DB7D1E">
        <w:rPr>
          <w:lang w:val="es-ES"/>
        </w:rPr>
        <w:br w:type="page"/>
      </w:r>
    </w:p>
    <w:p w:rsidR="005624E3" w:rsidRPr="00DB7D1E" w:rsidRDefault="005624E3" w:rsidP="005624E3">
      <w:pPr>
        <w:pStyle w:val="ESch"/>
        <w:rPr>
          <w:rFonts w:eastAsia="Calibri" w:cs="Arial"/>
          <w:szCs w:val="18"/>
          <w:lang w:val="es-ES"/>
        </w:rPr>
      </w:pPr>
      <w:r w:rsidRPr="00DB7D1E">
        <w:rPr>
          <w:lang w:val="es-ES"/>
        </w:rPr>
        <w:t>8.</w:t>
      </w:r>
      <w:r w:rsidRPr="00DB7D1E">
        <w:rPr>
          <w:lang w:val="es-ES"/>
        </w:rPr>
        <w:tab/>
        <w:t>A tűzoltószivattyúkra vonatkozó követelmények:</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külön helyiségben kell felszerelni vagy tárolni őket;</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egymástól függetlenül működtethetőknek kell lenniük;</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valamennyi fedélzeten minden egyes szivattyúnak képesnek kell lennie a tűzcsapok szükséges nyomásának fenntartására és a megkívánt hosszúságú vízsugár kibocsátására;</w:t>
      </w:r>
    </w:p>
    <w:p w:rsidR="005624E3" w:rsidRPr="00DB7D1E" w:rsidRDefault="005624E3" w:rsidP="005624E3">
      <w:pPr>
        <w:pStyle w:val="ESlet"/>
        <w:rPr>
          <w:rFonts w:eastAsia="Calibri" w:cs="Arial"/>
          <w:szCs w:val="18"/>
          <w:lang w:val="es-ES"/>
        </w:rPr>
      </w:pPr>
      <w:r w:rsidRPr="00DB7D1E">
        <w:rPr>
          <w:lang w:val="es-ES"/>
        </w:rPr>
        <w:t>d)</w:t>
      </w:r>
      <w:r w:rsidRPr="00DB7D1E">
        <w:rPr>
          <w:lang w:val="es-ES"/>
        </w:rPr>
        <w:tab/>
        <w:t>a farválaszfal előtt kell felszerelni őket.</w:t>
      </w:r>
    </w:p>
    <w:p w:rsidR="005624E3" w:rsidRPr="00DB7D1E" w:rsidRDefault="005624E3" w:rsidP="005624E3">
      <w:pPr>
        <w:pStyle w:val="ESch"/>
        <w:rPr>
          <w:rFonts w:eastAsia="Calibri"/>
          <w:noProof/>
          <w:lang w:val="es-ES"/>
        </w:rPr>
      </w:pPr>
    </w:p>
    <w:p w:rsidR="005624E3" w:rsidRPr="00DB7D1E" w:rsidRDefault="005624E3" w:rsidP="005624E3">
      <w:pPr>
        <w:pStyle w:val="ESchpar"/>
        <w:rPr>
          <w:rFonts w:eastAsia="Calibri" w:cs="Arial"/>
          <w:szCs w:val="18"/>
          <w:lang w:val="es-ES"/>
        </w:rPr>
      </w:pPr>
      <w:r w:rsidRPr="00DB7D1E">
        <w:rPr>
          <w:lang w:val="es-ES"/>
        </w:rPr>
        <w:t>A tűzoltószivattyúk általános célokra is használhatók.</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9.</w:t>
      </w:r>
      <w:r w:rsidRPr="00DB7D1E">
        <w:rPr>
          <w:lang w:val="es-ES"/>
        </w:rPr>
        <w:tab/>
        <w:t>A gépterekben fel kell szerelni egy 13.05. cikk szerinti tartósan rögzített tűzoltó berendezést.</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10.</w:t>
      </w:r>
      <w:r w:rsidRPr="00DB7D1E">
        <w:rPr>
          <w:lang w:val="es-ES"/>
        </w:rPr>
        <w:tab/>
        <w:t>A kabinos hajókat fel kell szerelni a következőkkel:</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r>
      <w:r w:rsidRPr="00DB7D1E">
        <w:rPr>
          <w:rFonts w:ascii="ArialMT" w:hAnsi="ArialMT"/>
          <w:lang w:val="es-ES"/>
        </w:rPr>
        <w:t>két, az EN 137:2006 európai szabványnak megfelelő, 2-es típusú autonóm légzőkészülék az EN 136:1998 európai szabványnak megfelelő, teljes arcot takaró maszkokkal;</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 xml:space="preserve">két felszereléscsomag, amelyek legalább védőruhából, sisakból, bakancsból, kesztyűből, fejszéből, feszítővasból, elemlámpából és biztosítókötélből állnak; </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négy menekülőkámzsa.</w:t>
      </w:r>
    </w:p>
    <w:p w:rsidR="005624E3" w:rsidRPr="00DB7D1E" w:rsidRDefault="005624E3" w:rsidP="005624E3">
      <w:pPr>
        <w:pStyle w:val="ESch"/>
        <w:rPr>
          <w:rFonts w:eastAsia="Calibri" w:cs="Arial"/>
          <w:szCs w:val="18"/>
          <w:lang w:val="es-ES"/>
        </w:rPr>
      </w:pPr>
    </w:p>
    <w:p w:rsidR="005624E3" w:rsidRPr="00DB7D1E" w:rsidRDefault="005624E3" w:rsidP="005624E3">
      <w:pPr>
        <w:pStyle w:val="ESch"/>
        <w:rPr>
          <w:rFonts w:eastAsia="Calibri" w:cs="Arial"/>
          <w:szCs w:val="18"/>
          <w:lang w:val="es-ES"/>
        </w:rPr>
      </w:pPr>
    </w:p>
    <w:p w:rsidR="005624E3" w:rsidRPr="00DB7D1E" w:rsidRDefault="005624E3" w:rsidP="005624E3">
      <w:pPr>
        <w:pStyle w:val="ES-Titre3"/>
        <w:rPr>
          <w:rFonts w:cs="Arial"/>
          <w:i/>
          <w:szCs w:val="18"/>
          <w:lang w:val="es-ES"/>
        </w:rPr>
      </w:pPr>
      <w:bookmarkStart w:id="370" w:name="_Toc491854182"/>
      <w:bookmarkStart w:id="371" w:name="_Toc535853961"/>
      <w:r w:rsidRPr="00DB7D1E">
        <w:rPr>
          <w:lang w:val="es-ES"/>
        </w:rPr>
        <w:t>19.13. cikk</w:t>
      </w:r>
      <w:r w:rsidRPr="00DB7D1E">
        <w:rPr>
          <w:lang w:val="es-ES"/>
        </w:rPr>
        <w:br/>
      </w:r>
      <w:r w:rsidRPr="00DB7D1E">
        <w:rPr>
          <w:i/>
          <w:noProof/>
          <w:lang w:val="es-ES"/>
        </w:rPr>
        <w:t>Biztonságtechnikai szervezés</w:t>
      </w:r>
      <w:bookmarkEnd w:id="370"/>
      <w:bookmarkEnd w:id="371"/>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1.</w:t>
      </w:r>
      <w:r w:rsidRPr="00DB7D1E">
        <w:rPr>
          <w:lang w:val="es-ES"/>
        </w:rPr>
        <w:tab/>
        <w:t>A személyhajók fedélzetén tartani kell egy biztonsági szolgálati beosztást. A biztonsági szolgálati beosztás leírja a legénység és a kiszolgáló személyzet feladatait a következő eshetőségekre:</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motorleállás;</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fedélzeti tűz;</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utasok evakuálása;</w:t>
      </w:r>
    </w:p>
    <w:p w:rsidR="005624E3" w:rsidRPr="00DB7D1E" w:rsidRDefault="005624E3" w:rsidP="005624E3">
      <w:pPr>
        <w:pStyle w:val="ESlet"/>
        <w:rPr>
          <w:rFonts w:eastAsia="Calibri" w:cs="Arial"/>
          <w:szCs w:val="18"/>
          <w:lang w:val="es-ES"/>
        </w:rPr>
      </w:pPr>
      <w:r w:rsidRPr="00DB7D1E">
        <w:rPr>
          <w:lang w:val="es-ES"/>
        </w:rPr>
        <w:t>d)</w:t>
      </w:r>
      <w:r w:rsidRPr="00DB7D1E">
        <w:rPr>
          <w:lang w:val="es-ES"/>
        </w:rPr>
        <w:tab/>
        <w:t>ember a vízben.</w:t>
      </w:r>
    </w:p>
    <w:p w:rsidR="005624E3" w:rsidRPr="00DB7D1E" w:rsidRDefault="005624E3" w:rsidP="005624E3">
      <w:pPr>
        <w:pStyle w:val="ESch"/>
        <w:rPr>
          <w:rFonts w:eastAsia="Calibri"/>
          <w:noProof/>
          <w:lang w:val="es-ES"/>
        </w:rPr>
      </w:pPr>
    </w:p>
    <w:p w:rsidR="005624E3" w:rsidRPr="00DB7D1E" w:rsidRDefault="005624E3" w:rsidP="005624E3">
      <w:pPr>
        <w:pStyle w:val="ESchpar"/>
        <w:rPr>
          <w:rFonts w:eastAsia="Calibri" w:cs="Arial"/>
          <w:szCs w:val="18"/>
          <w:lang w:val="es-ES"/>
        </w:rPr>
      </w:pPr>
      <w:r w:rsidRPr="00DB7D1E">
        <w:rPr>
          <w:lang w:val="es-ES"/>
        </w:rPr>
        <w:t>A csökkent mozgásképességű személyekre vonatkozóan különleges biztonsági intézkedéseket kell figyelembe venni.</w:t>
      </w:r>
    </w:p>
    <w:p w:rsidR="005624E3" w:rsidRPr="00DB7D1E" w:rsidRDefault="005624E3" w:rsidP="005624E3">
      <w:pPr>
        <w:pStyle w:val="ESchpar"/>
        <w:rPr>
          <w:rFonts w:eastAsia="Calibri"/>
          <w:noProof/>
          <w:lang w:val="es-ES"/>
        </w:rPr>
      </w:pPr>
    </w:p>
    <w:p w:rsidR="005624E3" w:rsidRPr="00DB7D1E" w:rsidRDefault="005624E3" w:rsidP="005624E3">
      <w:pPr>
        <w:pStyle w:val="ESchpar"/>
        <w:rPr>
          <w:rFonts w:eastAsia="Calibri" w:cs="Arial"/>
          <w:szCs w:val="18"/>
          <w:lang w:val="es-ES"/>
        </w:rPr>
      </w:pPr>
      <w:r w:rsidRPr="00DB7D1E">
        <w:rPr>
          <w:lang w:val="es-ES"/>
        </w:rPr>
        <w:t>A legénység és a kiszolgáló személyzet biztonsági szolgálati beosztásban kijelölt tagjai részére ki kell osztani a tisztségeik szerint elvégzendő különböző feladatokat. A legénységnek szóló különleges utasítások biztosítják, hogy veszély esetén a 19.02. cikkben említett vízmentes válaszfalak minden ajtaja és nyílása azonnal hermetikusan bezárásra kerüljön.</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2.</w:t>
      </w:r>
      <w:r w:rsidRPr="00DB7D1E">
        <w:rPr>
          <w:lang w:val="es-ES"/>
        </w:rPr>
        <w:tab/>
        <w:t>A biztonsági szolgálati beosztás egy biztonsági tervet tartalmaz, amelyben legalább a következőket egyértelműen és pontosan ki kell jelölni:</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a csökkent mozgásképességű személyek általi használatra szolgáló területek;</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menekülési útvonalak, vészkijáratok és gyülekezőhelyek, valamint evakuálási területek;</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életmentő felszerelések és szolgálati csónakok;</w:t>
      </w:r>
    </w:p>
    <w:p w:rsidR="005624E3" w:rsidRPr="00DB7D1E" w:rsidRDefault="005624E3" w:rsidP="005624E3">
      <w:pPr>
        <w:pStyle w:val="ESlet"/>
        <w:rPr>
          <w:rFonts w:eastAsia="Calibri" w:cs="Arial"/>
          <w:szCs w:val="18"/>
          <w:lang w:val="es-ES"/>
        </w:rPr>
      </w:pPr>
      <w:r w:rsidRPr="00DB7D1E">
        <w:rPr>
          <w:lang w:val="es-ES"/>
        </w:rPr>
        <w:t>d)</w:t>
      </w:r>
      <w:r w:rsidRPr="00DB7D1E">
        <w:rPr>
          <w:lang w:val="es-ES"/>
        </w:rPr>
        <w:tab/>
        <w:t>tűzoltó készülékek, valamint tűzoltó és vízpermettel oltó túlnyomásos berendezések;</w:t>
      </w:r>
    </w:p>
    <w:p w:rsidR="005624E3" w:rsidRPr="00DB7D1E" w:rsidRDefault="005624E3" w:rsidP="005624E3">
      <w:pPr>
        <w:pStyle w:val="ESlet"/>
        <w:rPr>
          <w:rFonts w:eastAsia="Calibri" w:cs="Arial"/>
          <w:szCs w:val="18"/>
          <w:lang w:val="es-ES"/>
        </w:rPr>
      </w:pPr>
      <w:r w:rsidRPr="00DB7D1E">
        <w:rPr>
          <w:lang w:val="es-ES"/>
        </w:rPr>
        <w:t>e)</w:t>
      </w:r>
      <w:r w:rsidRPr="00DB7D1E">
        <w:rPr>
          <w:lang w:val="es-ES"/>
        </w:rPr>
        <w:tab/>
        <w:t>egyéb biztonsági berendezések;</w:t>
      </w:r>
    </w:p>
    <w:p w:rsidR="005624E3" w:rsidRPr="00DB7D1E" w:rsidRDefault="005624E3" w:rsidP="005624E3">
      <w:pPr>
        <w:pStyle w:val="ESlet"/>
        <w:rPr>
          <w:rFonts w:eastAsia="Calibri" w:cs="Arial"/>
          <w:szCs w:val="18"/>
          <w:lang w:val="es-ES"/>
        </w:rPr>
      </w:pPr>
      <w:r w:rsidRPr="00DB7D1E">
        <w:rPr>
          <w:lang w:val="es-ES"/>
        </w:rPr>
        <w:t>f)</w:t>
      </w:r>
      <w:r w:rsidRPr="00DB7D1E">
        <w:rPr>
          <w:lang w:val="es-ES"/>
        </w:rPr>
        <w:tab/>
        <w:t>a 19.08. cikk 3. bekezdésének a) pontjában említett riasztórendszer;</w:t>
      </w:r>
    </w:p>
    <w:p w:rsidR="005624E3" w:rsidRPr="00DB7D1E" w:rsidRDefault="005624E3" w:rsidP="005624E3">
      <w:pPr>
        <w:pStyle w:val="ESlet"/>
        <w:rPr>
          <w:rFonts w:eastAsia="Calibri"/>
          <w:noProof/>
          <w:lang w:val="es-ES"/>
        </w:rPr>
      </w:pPr>
    </w:p>
    <w:p w:rsidR="005624E3" w:rsidRPr="00DB7D1E" w:rsidRDefault="005624E3" w:rsidP="005624E3">
      <w:pPr>
        <w:pStyle w:val="ESlet"/>
        <w:rPr>
          <w:rFonts w:eastAsia="Calibri"/>
          <w:noProof/>
          <w:lang w:val="es-ES"/>
        </w:rPr>
      </w:pPr>
      <w:r w:rsidRPr="00DB7D1E">
        <w:rPr>
          <w:lang w:val="es-ES"/>
        </w:rPr>
        <w:br w:type="page"/>
      </w:r>
    </w:p>
    <w:p w:rsidR="005624E3" w:rsidRPr="00DB7D1E" w:rsidRDefault="005624E3" w:rsidP="005624E3">
      <w:pPr>
        <w:pStyle w:val="ESlet"/>
        <w:rPr>
          <w:rFonts w:eastAsia="Calibri" w:cs="Arial"/>
          <w:szCs w:val="18"/>
          <w:lang w:val="es-ES"/>
        </w:rPr>
      </w:pPr>
      <w:r w:rsidRPr="00DB7D1E">
        <w:rPr>
          <w:lang w:val="es-ES"/>
        </w:rPr>
        <w:t>g)</w:t>
      </w:r>
      <w:r w:rsidRPr="00DB7D1E">
        <w:rPr>
          <w:lang w:val="es-ES"/>
        </w:rPr>
        <w:tab/>
        <w:t>a 19.08. cikk 3. bekezdésének b) és c) pontjában említett riasztórendszer;</w:t>
      </w:r>
    </w:p>
    <w:p w:rsidR="005624E3" w:rsidRPr="00DB7D1E" w:rsidRDefault="005624E3" w:rsidP="005624E3">
      <w:pPr>
        <w:pStyle w:val="ESlet"/>
        <w:rPr>
          <w:rFonts w:eastAsia="Calibri" w:cs="Arial"/>
          <w:szCs w:val="18"/>
          <w:lang w:val="es-ES"/>
        </w:rPr>
      </w:pPr>
      <w:r w:rsidRPr="00DB7D1E">
        <w:rPr>
          <w:lang w:val="es-ES"/>
        </w:rPr>
        <w:t>h)</w:t>
      </w:r>
      <w:r w:rsidRPr="00DB7D1E">
        <w:rPr>
          <w:lang w:val="es-ES"/>
        </w:rPr>
        <w:tab/>
        <w:t>a 19.02. cikk 5. bekezdésében említett válaszfalajtók és azok vezérlésének helye, valamint a 19.02. cikk 9., 10. és 13. bekezdésében, továbbá a 19.03. cikk 12. bekezdésében említett egyéb nyílások;</w:t>
      </w:r>
    </w:p>
    <w:p w:rsidR="005624E3" w:rsidRPr="00DB7D1E" w:rsidRDefault="005624E3" w:rsidP="005624E3">
      <w:pPr>
        <w:pStyle w:val="ESlet"/>
        <w:rPr>
          <w:rFonts w:eastAsia="Calibri" w:cs="Arial"/>
          <w:szCs w:val="18"/>
          <w:lang w:val="es-ES"/>
        </w:rPr>
      </w:pPr>
      <w:r w:rsidRPr="00DB7D1E">
        <w:rPr>
          <w:lang w:val="es-ES"/>
        </w:rPr>
        <w:t>i)</w:t>
      </w:r>
      <w:r w:rsidRPr="00DB7D1E">
        <w:rPr>
          <w:lang w:val="es-ES"/>
        </w:rPr>
        <w:tab/>
        <w:t>a 19.11. cikk 9. bekezdésében említett ajtók;</w:t>
      </w:r>
    </w:p>
    <w:p w:rsidR="005624E3" w:rsidRPr="00DB7D1E" w:rsidRDefault="005624E3" w:rsidP="005624E3">
      <w:pPr>
        <w:pStyle w:val="ESlet"/>
        <w:rPr>
          <w:rFonts w:eastAsia="Calibri" w:cs="Arial"/>
          <w:szCs w:val="18"/>
          <w:lang w:val="es-ES"/>
        </w:rPr>
      </w:pPr>
      <w:r w:rsidRPr="00DB7D1E">
        <w:rPr>
          <w:lang w:val="es-ES"/>
        </w:rPr>
        <w:t>j)</w:t>
      </w:r>
      <w:r w:rsidRPr="00DB7D1E">
        <w:rPr>
          <w:lang w:val="es-ES"/>
        </w:rPr>
        <w:tab/>
        <w:t>tűzvédelmi csappantyúk;</w:t>
      </w:r>
    </w:p>
    <w:p w:rsidR="005624E3" w:rsidRPr="00DB7D1E" w:rsidRDefault="005624E3" w:rsidP="005624E3">
      <w:pPr>
        <w:pStyle w:val="ESlet"/>
        <w:rPr>
          <w:rFonts w:eastAsia="Calibri" w:cs="Arial"/>
          <w:szCs w:val="18"/>
          <w:lang w:val="es-ES"/>
        </w:rPr>
      </w:pPr>
      <w:r w:rsidRPr="00DB7D1E">
        <w:rPr>
          <w:lang w:val="es-ES"/>
        </w:rPr>
        <w:t>k)</w:t>
      </w:r>
      <w:r w:rsidRPr="00DB7D1E">
        <w:rPr>
          <w:lang w:val="es-ES"/>
        </w:rPr>
        <w:tab/>
        <w:t>tűzriasztó rendszer;</w:t>
      </w:r>
    </w:p>
    <w:p w:rsidR="005624E3" w:rsidRPr="00DB7D1E" w:rsidRDefault="005624E3" w:rsidP="005624E3">
      <w:pPr>
        <w:pStyle w:val="ESlet"/>
        <w:rPr>
          <w:rFonts w:eastAsia="Calibri" w:cs="Arial"/>
          <w:szCs w:val="18"/>
          <w:lang w:val="es-ES"/>
        </w:rPr>
      </w:pPr>
      <w:r w:rsidRPr="00DB7D1E">
        <w:rPr>
          <w:lang w:val="es-ES"/>
        </w:rPr>
        <w:t>l)</w:t>
      </w:r>
      <w:r w:rsidRPr="00DB7D1E">
        <w:rPr>
          <w:lang w:val="es-ES"/>
        </w:rPr>
        <w:tab/>
        <w:t>vészhelyzeti energiaellátó berendezés;</w:t>
      </w:r>
    </w:p>
    <w:p w:rsidR="005624E3" w:rsidRPr="00DB7D1E" w:rsidRDefault="005624E3" w:rsidP="005624E3">
      <w:pPr>
        <w:pStyle w:val="ESlet"/>
        <w:rPr>
          <w:rFonts w:eastAsia="Calibri" w:cs="Arial"/>
          <w:szCs w:val="18"/>
          <w:lang w:val="es-ES"/>
        </w:rPr>
      </w:pPr>
      <w:r w:rsidRPr="00DB7D1E">
        <w:rPr>
          <w:lang w:val="es-ES"/>
        </w:rPr>
        <w:t>m)</w:t>
      </w:r>
      <w:r w:rsidRPr="00DB7D1E">
        <w:rPr>
          <w:lang w:val="es-ES"/>
        </w:rPr>
        <w:tab/>
        <w:t>a szellőztetőrendszer vezérlőegységei;</w:t>
      </w:r>
    </w:p>
    <w:p w:rsidR="005624E3" w:rsidRPr="00DB7D1E" w:rsidRDefault="005624E3" w:rsidP="005624E3">
      <w:pPr>
        <w:pStyle w:val="ESlet"/>
        <w:rPr>
          <w:rFonts w:eastAsia="Calibri" w:cs="Arial"/>
          <w:szCs w:val="18"/>
          <w:lang w:val="es-ES"/>
        </w:rPr>
      </w:pPr>
      <w:r w:rsidRPr="00DB7D1E">
        <w:rPr>
          <w:lang w:val="es-ES"/>
        </w:rPr>
        <w:t>n)</w:t>
      </w:r>
      <w:r w:rsidRPr="00DB7D1E">
        <w:rPr>
          <w:lang w:val="es-ES"/>
        </w:rPr>
        <w:tab/>
        <w:t>parti csatlakozók;</w:t>
      </w:r>
    </w:p>
    <w:p w:rsidR="005624E3" w:rsidRPr="00DB7D1E" w:rsidRDefault="005624E3" w:rsidP="005624E3">
      <w:pPr>
        <w:pStyle w:val="ESlet"/>
        <w:rPr>
          <w:rFonts w:eastAsia="Calibri" w:cs="Arial"/>
          <w:szCs w:val="18"/>
          <w:lang w:val="es-ES"/>
        </w:rPr>
      </w:pPr>
      <w:r w:rsidRPr="00DB7D1E">
        <w:rPr>
          <w:lang w:val="es-ES"/>
        </w:rPr>
        <w:t>o)</w:t>
      </w:r>
      <w:r w:rsidRPr="00DB7D1E">
        <w:rPr>
          <w:lang w:val="es-ES"/>
        </w:rPr>
        <w:tab/>
        <w:t>üzemanyagvezeték-elzárók;</w:t>
      </w:r>
    </w:p>
    <w:p w:rsidR="005624E3" w:rsidRPr="00DB7D1E" w:rsidRDefault="005624E3" w:rsidP="005624E3">
      <w:pPr>
        <w:pStyle w:val="ESlet"/>
        <w:rPr>
          <w:rFonts w:eastAsia="Calibri" w:cs="Arial"/>
          <w:szCs w:val="18"/>
          <w:lang w:val="es-ES"/>
        </w:rPr>
      </w:pPr>
      <w:r w:rsidRPr="00DB7D1E">
        <w:rPr>
          <w:lang w:val="es-ES"/>
        </w:rPr>
        <w:t>p)</w:t>
      </w:r>
      <w:r w:rsidRPr="00DB7D1E">
        <w:rPr>
          <w:lang w:val="es-ES"/>
        </w:rPr>
        <w:tab/>
        <w:t>cseppfolyósított gázzal üzemelő berendezések;</w:t>
      </w:r>
    </w:p>
    <w:p w:rsidR="005624E3" w:rsidRPr="00DB7D1E" w:rsidRDefault="005624E3" w:rsidP="005624E3">
      <w:pPr>
        <w:pStyle w:val="ESlet"/>
        <w:rPr>
          <w:rFonts w:eastAsia="Calibri" w:cs="Arial"/>
          <w:szCs w:val="18"/>
          <w:lang w:val="es-ES"/>
        </w:rPr>
      </w:pPr>
      <w:r w:rsidRPr="00DB7D1E">
        <w:rPr>
          <w:lang w:val="es-ES"/>
        </w:rPr>
        <w:t xml:space="preserve">q) </w:t>
      </w:r>
      <w:r w:rsidRPr="00DB7D1E">
        <w:rPr>
          <w:lang w:val="es-ES"/>
        </w:rPr>
        <w:tab/>
        <w:t>hangosbeszélő rendszerek;</w:t>
      </w:r>
    </w:p>
    <w:p w:rsidR="005624E3" w:rsidRPr="00DB7D1E" w:rsidRDefault="005624E3" w:rsidP="005624E3">
      <w:pPr>
        <w:pStyle w:val="ESlet"/>
        <w:rPr>
          <w:rFonts w:eastAsia="Calibri" w:cs="Arial"/>
          <w:szCs w:val="18"/>
          <w:lang w:val="es-ES"/>
        </w:rPr>
      </w:pPr>
      <w:r w:rsidRPr="00DB7D1E">
        <w:rPr>
          <w:lang w:val="es-ES"/>
        </w:rPr>
        <w:t xml:space="preserve">r) </w:t>
      </w:r>
      <w:r w:rsidRPr="00DB7D1E">
        <w:rPr>
          <w:lang w:val="es-ES"/>
        </w:rPr>
        <w:tab/>
        <w:t>rádiótelefon-berendezés;</w:t>
      </w:r>
    </w:p>
    <w:p w:rsidR="005624E3" w:rsidRPr="00DB7D1E" w:rsidRDefault="005624E3" w:rsidP="005624E3">
      <w:pPr>
        <w:pStyle w:val="ESlet"/>
        <w:rPr>
          <w:rFonts w:eastAsia="Calibri" w:cs="Arial"/>
          <w:szCs w:val="18"/>
          <w:lang w:val="es-ES"/>
        </w:rPr>
      </w:pPr>
      <w:r w:rsidRPr="00DB7D1E">
        <w:rPr>
          <w:lang w:val="es-ES"/>
        </w:rPr>
        <w:t xml:space="preserve">s) </w:t>
      </w:r>
      <w:r w:rsidRPr="00DB7D1E">
        <w:rPr>
          <w:lang w:val="es-ES"/>
        </w:rPr>
        <w:tab/>
        <w:t>elsősegélycsomagok.</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3.</w:t>
      </w:r>
      <w:r w:rsidRPr="00DB7D1E">
        <w:rPr>
          <w:lang w:val="es-ES"/>
        </w:rPr>
        <w:tab/>
        <w:t>Az 1. bekezdés szerinti biztonsági szolgálati beosztást és a 2. bekezdés szerinti biztonsági tervet:</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az ellenőrző szerv megfelelően lepecsételi, továbbá</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minden fedélzeten, egy arra alkalmas helyen jól látható módon ki kell függeszteni.</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4.</w:t>
      </w:r>
      <w:r w:rsidRPr="00DB7D1E">
        <w:rPr>
          <w:lang w:val="es-ES"/>
        </w:rPr>
        <w:tab/>
        <w:t>Az utasok számára minden kabinban ki kell függeszteni egy magatartási kódexet és egy – csak a 2. bekezdés a)–f) pontjában említett információkat tartalmazó – egyszerűsített biztonsági tervet.</w:t>
      </w:r>
    </w:p>
    <w:p w:rsidR="005624E3" w:rsidRPr="00DB7D1E" w:rsidRDefault="005624E3" w:rsidP="005624E3">
      <w:pPr>
        <w:pStyle w:val="ESchpar"/>
        <w:rPr>
          <w:rFonts w:eastAsia="Calibri"/>
          <w:noProof/>
          <w:lang w:val="es-ES"/>
        </w:rPr>
      </w:pPr>
    </w:p>
    <w:p w:rsidR="005624E3" w:rsidRPr="00DB7D1E" w:rsidRDefault="005624E3" w:rsidP="005624E3">
      <w:pPr>
        <w:pStyle w:val="ESchpar"/>
        <w:rPr>
          <w:rFonts w:eastAsia="Calibri" w:cs="Arial"/>
          <w:szCs w:val="18"/>
          <w:lang w:val="es-ES"/>
        </w:rPr>
      </w:pPr>
      <w:r w:rsidRPr="00DB7D1E">
        <w:rPr>
          <w:lang w:val="es-ES"/>
        </w:rPr>
        <w:t>A magatartási kódex legalább a következőket foglalja magában:</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a vészhelyzetek megjelölései:</w:t>
      </w:r>
    </w:p>
    <w:p w:rsidR="005624E3" w:rsidRPr="00DB7D1E" w:rsidRDefault="005624E3" w:rsidP="005624E3">
      <w:pPr>
        <w:pStyle w:val="ESletpar"/>
        <w:rPr>
          <w:rFonts w:eastAsia="Calibri" w:cs="Arial"/>
          <w:szCs w:val="18"/>
          <w:lang w:val="es-ES"/>
        </w:rPr>
      </w:pPr>
      <w:r w:rsidRPr="00DB7D1E">
        <w:rPr>
          <w:lang w:val="es-ES"/>
        </w:rPr>
        <w:t>aa)</w:t>
      </w:r>
      <w:r w:rsidRPr="00DB7D1E">
        <w:rPr>
          <w:lang w:val="es-ES"/>
        </w:rPr>
        <w:tab/>
        <w:t>tűz;</w:t>
      </w:r>
    </w:p>
    <w:p w:rsidR="005624E3" w:rsidRPr="00DB7D1E" w:rsidRDefault="005624E3" w:rsidP="005624E3">
      <w:pPr>
        <w:pStyle w:val="ESletpar"/>
        <w:rPr>
          <w:rFonts w:eastAsia="Calibri" w:cs="Arial"/>
          <w:szCs w:val="18"/>
          <w:lang w:val="es-ES"/>
        </w:rPr>
      </w:pPr>
      <w:r w:rsidRPr="00DB7D1E">
        <w:rPr>
          <w:lang w:val="es-ES"/>
        </w:rPr>
        <w:t>bb)</w:t>
      </w:r>
      <w:r w:rsidRPr="00DB7D1E">
        <w:rPr>
          <w:lang w:val="es-ES"/>
        </w:rPr>
        <w:tab/>
        <w:t>elárasztás;</w:t>
      </w:r>
    </w:p>
    <w:p w:rsidR="005624E3" w:rsidRPr="00DB7D1E" w:rsidRDefault="005624E3" w:rsidP="005624E3">
      <w:pPr>
        <w:pStyle w:val="ESletpar"/>
        <w:rPr>
          <w:rFonts w:eastAsia="Calibri" w:cs="Arial"/>
          <w:szCs w:val="18"/>
          <w:lang w:val="es-ES"/>
        </w:rPr>
      </w:pPr>
      <w:r w:rsidRPr="00DB7D1E">
        <w:rPr>
          <w:lang w:val="es-ES"/>
        </w:rPr>
        <w:t>cc)</w:t>
      </w:r>
      <w:r w:rsidRPr="00DB7D1E">
        <w:rPr>
          <w:lang w:val="es-ES"/>
        </w:rPr>
        <w:tab/>
        <w:t>általános veszély;</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a különböző vészjelzések leírása;</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az alábbiakra vonatkozó utasítások:</w:t>
      </w:r>
    </w:p>
    <w:p w:rsidR="005624E3" w:rsidRPr="00DB7D1E" w:rsidRDefault="005624E3" w:rsidP="005624E3">
      <w:pPr>
        <w:pStyle w:val="ESletpar"/>
        <w:rPr>
          <w:rFonts w:eastAsia="Calibri" w:cs="Arial"/>
          <w:szCs w:val="18"/>
          <w:lang w:val="es-ES"/>
        </w:rPr>
      </w:pPr>
      <w:r w:rsidRPr="00DB7D1E">
        <w:rPr>
          <w:lang w:val="es-ES"/>
        </w:rPr>
        <w:t>aa)</w:t>
      </w:r>
      <w:r w:rsidRPr="00DB7D1E">
        <w:rPr>
          <w:lang w:val="es-ES"/>
        </w:rPr>
        <w:tab/>
        <w:t>menekülési útvonalak;</w:t>
      </w:r>
    </w:p>
    <w:p w:rsidR="005624E3" w:rsidRPr="00DB7D1E" w:rsidRDefault="005624E3" w:rsidP="005624E3">
      <w:pPr>
        <w:pStyle w:val="ESletpar"/>
        <w:rPr>
          <w:rFonts w:eastAsia="Calibri" w:cs="Arial"/>
          <w:szCs w:val="18"/>
          <w:lang w:val="es-ES"/>
        </w:rPr>
      </w:pPr>
      <w:r w:rsidRPr="00DB7D1E">
        <w:rPr>
          <w:lang w:val="es-ES"/>
        </w:rPr>
        <w:t>bb)</w:t>
      </w:r>
      <w:r w:rsidRPr="00DB7D1E">
        <w:rPr>
          <w:lang w:val="es-ES"/>
        </w:rPr>
        <w:tab/>
        <w:t>szükséges tennivalók;</w:t>
      </w:r>
    </w:p>
    <w:p w:rsidR="005624E3" w:rsidRPr="00DB7D1E" w:rsidRDefault="005624E3" w:rsidP="005624E3">
      <w:pPr>
        <w:pStyle w:val="ESletpar"/>
        <w:rPr>
          <w:rFonts w:eastAsia="Calibri" w:cs="Arial"/>
          <w:szCs w:val="18"/>
          <w:lang w:val="es-ES"/>
        </w:rPr>
      </w:pPr>
      <w:r w:rsidRPr="00DB7D1E">
        <w:rPr>
          <w:lang w:val="es-ES"/>
        </w:rPr>
        <w:t>cc)</w:t>
      </w:r>
      <w:r w:rsidRPr="00DB7D1E">
        <w:rPr>
          <w:lang w:val="es-ES"/>
        </w:rPr>
        <w:tab/>
        <w:t>a nyugalom megőrzésének szükségessége;</w:t>
      </w:r>
    </w:p>
    <w:p w:rsidR="005624E3" w:rsidRPr="00DB7D1E" w:rsidRDefault="005624E3" w:rsidP="005624E3">
      <w:pPr>
        <w:pStyle w:val="ESlet"/>
        <w:rPr>
          <w:rFonts w:eastAsia="Calibri" w:cs="Arial"/>
          <w:szCs w:val="18"/>
          <w:lang w:val="es-ES"/>
        </w:rPr>
      </w:pPr>
      <w:r w:rsidRPr="00DB7D1E">
        <w:rPr>
          <w:lang w:val="es-ES"/>
        </w:rPr>
        <w:t>d) az alábbiakra vonatkozó utasítások:</w:t>
      </w:r>
    </w:p>
    <w:p w:rsidR="005624E3" w:rsidRPr="00DB7D1E" w:rsidRDefault="005624E3" w:rsidP="005624E3">
      <w:pPr>
        <w:pStyle w:val="ESletpar"/>
        <w:rPr>
          <w:rFonts w:eastAsia="Calibri" w:cs="Arial"/>
          <w:szCs w:val="18"/>
          <w:lang w:val="es-ES"/>
        </w:rPr>
      </w:pPr>
      <w:r w:rsidRPr="00DB7D1E">
        <w:rPr>
          <w:lang w:val="es-ES"/>
        </w:rPr>
        <w:t>aa)</w:t>
      </w:r>
      <w:r w:rsidRPr="00DB7D1E">
        <w:rPr>
          <w:lang w:val="es-ES"/>
        </w:rPr>
        <w:tab/>
        <w:t>dohányzás;</w:t>
      </w:r>
    </w:p>
    <w:p w:rsidR="005624E3" w:rsidRPr="00DB7D1E" w:rsidRDefault="005624E3" w:rsidP="005624E3">
      <w:pPr>
        <w:pStyle w:val="ESletpar"/>
        <w:rPr>
          <w:rFonts w:eastAsia="Calibri" w:cs="Arial"/>
          <w:szCs w:val="18"/>
          <w:lang w:val="es-ES"/>
        </w:rPr>
      </w:pPr>
      <w:r w:rsidRPr="00DB7D1E">
        <w:rPr>
          <w:lang w:val="es-ES"/>
        </w:rPr>
        <w:t>bb)</w:t>
      </w:r>
      <w:r w:rsidRPr="00DB7D1E">
        <w:rPr>
          <w:lang w:val="es-ES"/>
        </w:rPr>
        <w:tab/>
        <w:t>tűz és nyílt láng használata;</w:t>
      </w:r>
    </w:p>
    <w:p w:rsidR="005624E3" w:rsidRPr="00DB7D1E" w:rsidRDefault="005624E3" w:rsidP="005624E3">
      <w:pPr>
        <w:pStyle w:val="ESletpar"/>
        <w:rPr>
          <w:rFonts w:eastAsia="Calibri" w:cs="Arial"/>
          <w:szCs w:val="18"/>
          <w:lang w:val="es-ES"/>
        </w:rPr>
      </w:pPr>
      <w:r w:rsidRPr="00DB7D1E">
        <w:rPr>
          <w:lang w:val="es-ES"/>
        </w:rPr>
        <w:t>cc)</w:t>
      </w:r>
      <w:r w:rsidRPr="00DB7D1E">
        <w:rPr>
          <w:lang w:val="es-ES"/>
        </w:rPr>
        <w:tab/>
        <w:t>ablakok nyitása;</w:t>
      </w:r>
    </w:p>
    <w:p w:rsidR="005624E3" w:rsidRPr="00DB7D1E" w:rsidRDefault="005624E3" w:rsidP="005624E3">
      <w:pPr>
        <w:pStyle w:val="ESletpar"/>
        <w:rPr>
          <w:rFonts w:eastAsia="Calibri" w:cs="Arial"/>
          <w:szCs w:val="18"/>
          <w:lang w:val="es-ES"/>
        </w:rPr>
      </w:pPr>
      <w:r w:rsidRPr="00DB7D1E">
        <w:rPr>
          <w:lang w:val="es-ES"/>
        </w:rPr>
        <w:t>dd)</w:t>
      </w:r>
      <w:r w:rsidRPr="00DB7D1E">
        <w:rPr>
          <w:lang w:val="es-ES"/>
        </w:rPr>
        <w:tab/>
        <w:t>egyes felszerelési tárgyak használata.</w:t>
      </w:r>
    </w:p>
    <w:p w:rsidR="005624E3" w:rsidRPr="00DB7D1E" w:rsidRDefault="005624E3" w:rsidP="005624E3">
      <w:pPr>
        <w:pStyle w:val="ESchpar"/>
        <w:rPr>
          <w:rFonts w:eastAsia="Calibri"/>
          <w:noProof/>
          <w:lang w:val="es-ES"/>
        </w:rPr>
      </w:pPr>
    </w:p>
    <w:p w:rsidR="005624E3" w:rsidRPr="00DB7D1E" w:rsidRDefault="005624E3" w:rsidP="005624E3">
      <w:pPr>
        <w:pStyle w:val="ESchpar"/>
        <w:rPr>
          <w:rFonts w:eastAsia="Calibri" w:cs="Arial"/>
          <w:szCs w:val="18"/>
          <w:lang w:val="es-ES"/>
        </w:rPr>
      </w:pPr>
      <w:r w:rsidRPr="00DB7D1E">
        <w:rPr>
          <w:lang w:val="es-ES"/>
        </w:rPr>
        <w:t>Ezeket a részleteket angol, francia, holland és német nyelven is ki kell függeszteni.</w:t>
      </w:r>
    </w:p>
    <w:p w:rsidR="005624E3" w:rsidRPr="00DB7D1E" w:rsidRDefault="005624E3" w:rsidP="005624E3">
      <w:pPr>
        <w:pStyle w:val="ESch"/>
        <w:rPr>
          <w:rFonts w:eastAsia="Calibri" w:cs="Arial"/>
          <w:szCs w:val="18"/>
          <w:lang w:val="es-ES"/>
        </w:rPr>
      </w:pPr>
    </w:p>
    <w:p w:rsidR="005624E3" w:rsidRPr="00DB7D1E" w:rsidRDefault="005624E3" w:rsidP="005624E3">
      <w:pPr>
        <w:pStyle w:val="ESch"/>
        <w:rPr>
          <w:rFonts w:eastAsia="Calibri" w:cs="Arial"/>
          <w:szCs w:val="18"/>
          <w:lang w:val="es-ES"/>
        </w:rPr>
      </w:pPr>
      <w:r w:rsidRPr="00DB7D1E">
        <w:rPr>
          <w:lang w:val="es-ES"/>
        </w:rPr>
        <w:br w:type="page"/>
      </w:r>
    </w:p>
    <w:p w:rsidR="005624E3" w:rsidRPr="00DB7D1E" w:rsidRDefault="005624E3" w:rsidP="005624E3">
      <w:pPr>
        <w:pStyle w:val="ES-Titre3"/>
        <w:rPr>
          <w:rFonts w:cs="Arial"/>
          <w:i/>
          <w:szCs w:val="18"/>
          <w:lang w:val="es-ES"/>
        </w:rPr>
      </w:pPr>
      <w:bookmarkStart w:id="372" w:name="_Toc491854183"/>
      <w:bookmarkStart w:id="373" w:name="_Toc535853962"/>
      <w:r w:rsidRPr="00DB7D1E">
        <w:rPr>
          <w:lang w:val="es-ES"/>
        </w:rPr>
        <w:t>19.14. cikk</w:t>
      </w:r>
      <w:r w:rsidRPr="00DB7D1E">
        <w:rPr>
          <w:lang w:val="es-ES"/>
        </w:rPr>
        <w:br/>
      </w:r>
      <w:r w:rsidRPr="00DB7D1E">
        <w:rPr>
          <w:i/>
          <w:noProof/>
          <w:lang w:val="es-ES"/>
        </w:rPr>
        <w:t>Szennyvízgyűjtő és -elvezető berendezések</w:t>
      </w:r>
      <w:bookmarkEnd w:id="372"/>
      <w:bookmarkEnd w:id="373"/>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1.</w:t>
      </w:r>
      <w:r w:rsidRPr="00DB7D1E">
        <w:rPr>
          <w:lang w:val="es-ES"/>
        </w:rPr>
        <w:tab/>
        <w:t>A személyhajókat fel kell szerelni e cikk 2. bekezdésének megfelelően háztartásiszennyvíz-gyűjtő tartályokkal vagy a 18. fejezetnek megfelelően fedélzeti szennyvízkezelő művekkel.</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2.</w:t>
      </w:r>
      <w:r w:rsidRPr="00DB7D1E">
        <w:rPr>
          <w:lang w:val="es-ES"/>
        </w:rPr>
        <w:tab/>
        <w:t>A szennyvízgyűjtő tartályoknak elegendő befogadóképességgel kell rendelkezniük. A tartályokat fel kell szerelni olyan eszközzel, amely jelzi a telítettségi szintet. A tartályok kiürítéséhez fedélzeti szivattyúknak és csöveknek kell rendelkezésre állniuk, amelyekkel a szennyvizet a hajó mindkét oldaláról el lehet vezetni. Lehetővé kell tenni a szennyvíz más hajókról történő továbbvezetését is.</w:t>
      </w:r>
    </w:p>
    <w:p w:rsidR="005624E3" w:rsidRPr="00DB7D1E" w:rsidRDefault="005624E3" w:rsidP="005624E3">
      <w:pPr>
        <w:pStyle w:val="ESch"/>
        <w:rPr>
          <w:rFonts w:eastAsia="Calibri"/>
          <w:noProof/>
          <w:lang w:val="es-ES"/>
        </w:rPr>
      </w:pPr>
    </w:p>
    <w:p w:rsidR="005624E3" w:rsidRPr="00DB7D1E" w:rsidRDefault="005624E3" w:rsidP="005624E3">
      <w:pPr>
        <w:pStyle w:val="ESchpar"/>
        <w:rPr>
          <w:rFonts w:eastAsia="Calibri" w:cs="Arial"/>
          <w:szCs w:val="18"/>
          <w:lang w:val="es-ES"/>
        </w:rPr>
      </w:pPr>
      <w:r w:rsidRPr="00DB7D1E">
        <w:rPr>
          <w:lang w:val="es-ES"/>
        </w:rPr>
        <w:t>A csöveket fel kell szerelni egy, az EN 1306:1996 európai szabvány szerinti leürítő csatlakozással.</w:t>
      </w:r>
    </w:p>
    <w:p w:rsidR="005624E3" w:rsidRPr="00DB7D1E" w:rsidRDefault="005624E3" w:rsidP="005624E3">
      <w:pPr>
        <w:pStyle w:val="ESch"/>
        <w:rPr>
          <w:rFonts w:eastAsia="Calibri" w:cs="Arial"/>
          <w:szCs w:val="18"/>
          <w:lang w:val="es-ES"/>
        </w:rPr>
      </w:pPr>
    </w:p>
    <w:p w:rsidR="005624E3" w:rsidRPr="00DB7D1E" w:rsidRDefault="005624E3" w:rsidP="005624E3">
      <w:pPr>
        <w:pStyle w:val="ESch"/>
        <w:rPr>
          <w:rFonts w:eastAsia="Calibri" w:cs="Arial"/>
          <w:szCs w:val="18"/>
          <w:lang w:val="es-ES"/>
        </w:rPr>
      </w:pPr>
    </w:p>
    <w:p w:rsidR="005624E3" w:rsidRPr="00DB7D1E" w:rsidRDefault="005624E3" w:rsidP="005624E3">
      <w:pPr>
        <w:pStyle w:val="ES-Titre3"/>
        <w:rPr>
          <w:rFonts w:cs="Arial"/>
          <w:i/>
          <w:szCs w:val="18"/>
          <w:lang w:val="es-ES"/>
        </w:rPr>
      </w:pPr>
      <w:bookmarkStart w:id="374" w:name="_Toc491854184"/>
      <w:bookmarkStart w:id="375" w:name="_Toc535853963"/>
      <w:r w:rsidRPr="00DB7D1E">
        <w:rPr>
          <w:lang w:val="es-ES"/>
        </w:rPr>
        <w:t>19.15. cikk</w:t>
      </w:r>
      <w:r w:rsidRPr="00DB7D1E">
        <w:rPr>
          <w:lang w:val="es-ES"/>
        </w:rPr>
        <w:br/>
      </w:r>
      <w:r w:rsidRPr="00DB7D1E">
        <w:rPr>
          <w:i/>
          <w:noProof/>
          <w:lang w:val="es-ES"/>
        </w:rPr>
        <w:t>Bizonyos személyhajókra vonatkozó eltérések</w:t>
      </w:r>
      <w:bookmarkEnd w:id="374"/>
      <w:bookmarkEnd w:id="375"/>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1.</w:t>
      </w:r>
      <w:r w:rsidRPr="00DB7D1E">
        <w:rPr>
          <w:lang w:val="es-ES"/>
        </w:rPr>
        <w:tab/>
        <w:t>A maximum 50 utas szállítására engedélyezett és legfeljebb 25 m hosszúságú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DB7D1E">
        <w:rPr>
          <w:lang w:val="es-ES"/>
        </w:rPr>
        <w:t>) személyhajóknak sérülés után kielégítő stabilitással kell rendelkezniük a 19.03. cikk 7–13. bekezdésének megfelelően, vagy ennek alternatívájaként igazolniuk kell. hogy szimmetrikus elárasztást követően megfelelnek az alábbi követelményeknek:</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a hajó merülése nem lépheti túl a biztonsági peremvonalat; valamint</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 xml:space="preserve">a </w:t>
      </w:r>
      <m:oMath>
        <m:sSub>
          <m:sSubPr>
            <m:ctrlPr>
              <w:rPr>
                <w:rFonts w:ascii="Cambria Math" w:eastAsia="Calibri" w:hAnsi="Cambria Math"/>
                <w:i/>
                <w:noProof/>
              </w:rPr>
            </m:ctrlPr>
          </m:sSubPr>
          <m:e>
            <m:r>
              <w:rPr>
                <w:rFonts w:ascii="Cambria Math" w:eastAsia="Calibri" w:hAnsi="Cambria Math"/>
                <w:noProof/>
              </w:rPr>
              <m:t>GM</m:t>
            </m:r>
          </m:e>
          <m:sub>
            <m:r>
              <w:rPr>
                <w:rFonts w:ascii="Cambria Math" w:eastAsia="Calibri" w:hAnsi="Cambria Math"/>
                <w:noProof/>
              </w:rPr>
              <m:t>R</m:t>
            </m:r>
          </m:sub>
        </m:sSub>
      </m:oMath>
      <w:r w:rsidRPr="00DB7D1E">
        <w:rPr>
          <w:lang w:val="es-ES"/>
        </w:rPr>
        <w:t xml:space="preserve"> fennmaradó metacentrikus magasság nem lehet kevesebb 0,10 m-nél.</w:t>
      </w:r>
    </w:p>
    <w:p w:rsidR="005624E3" w:rsidRPr="00DB7D1E" w:rsidRDefault="005624E3" w:rsidP="005624E3">
      <w:pPr>
        <w:pStyle w:val="ESch"/>
        <w:rPr>
          <w:rFonts w:eastAsia="Calibri"/>
          <w:noProof/>
          <w:lang w:val="es-ES"/>
        </w:rPr>
      </w:pPr>
    </w:p>
    <w:p w:rsidR="005624E3" w:rsidRPr="00DB7D1E" w:rsidRDefault="005624E3" w:rsidP="005624E3">
      <w:pPr>
        <w:pStyle w:val="ESchpar"/>
        <w:rPr>
          <w:rFonts w:eastAsia="Calibri" w:cs="Arial"/>
          <w:szCs w:val="18"/>
          <w:lang w:val="es-ES"/>
        </w:rPr>
      </w:pPr>
      <w:r w:rsidRPr="00DB7D1E">
        <w:rPr>
          <w:lang w:val="es-ES"/>
        </w:rPr>
        <w:t>A szükséges fennmaradó felhajtóerőt a hajótest építéséhez használt megfelelő anyag kiválasztásával, vagy a hajótesthez szilárdan rögzített, erősen porózus habúszók alkalmazásával kell biztosítani. 15 m-nél hosszabb hajók esetében a fennmaradó felhajtóerőt úszók és a 19.03. cikk szerinti egyteres elárasztásnak megfelelő rekeszek kombinációjával kell biztosítani.</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2.</w:t>
      </w:r>
      <w:r w:rsidRPr="00DB7D1E">
        <w:rPr>
          <w:lang w:val="es-ES"/>
        </w:rPr>
        <w:tab/>
        <w:t>Az 1. bekezdés szerinti személyhajók számára az ellenőrző szerv engedélyezhet kisebb eltéréseket a 19.06. cikk 3. bekezdésének c) és 5. bekezdésének b) pontjában előírt szabad magasságtól. Az eltérés legfeljebb 5 % lehet. Eltérés esetén az érintett részeket színjelzéssel kell ellátni.</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3.</w:t>
      </w:r>
      <w:r w:rsidRPr="00DB7D1E">
        <w:rPr>
          <w:lang w:val="es-ES"/>
        </w:rPr>
        <w:tab/>
        <w:t>A 19.03. cikk 9. bekezdésétől eltérve, a legfeljebb 45 m hosszúságú (</w:t>
      </w:r>
      <m:oMath>
        <m:r>
          <w:rPr>
            <w:rFonts w:ascii="Cambria Math" w:eastAsia="Calibri" w:hAnsi="Cambria Math"/>
            <w:noProof/>
          </w:rPr>
          <m:t>L</m:t>
        </m:r>
      </m:oMath>
      <w:r w:rsidRPr="00DB7D1E">
        <w:rPr>
          <w:lang w:val="es-ES"/>
        </w:rPr>
        <w:t>) és legfeljebb 250 utas szállítására engedélyezett hajóknak nem kell kétteres elárasztással rendelkezniük.</w:t>
      </w:r>
    </w:p>
    <w:p w:rsidR="005624E3" w:rsidRPr="00DB7D1E" w:rsidRDefault="005624E3" w:rsidP="005624E3">
      <w:pPr>
        <w:pStyle w:val="ESch"/>
        <w:rPr>
          <w:rFonts w:eastAsia="Calibri" w:cs="Arial"/>
          <w:szCs w:val="18"/>
          <w:lang w:val="es-ES"/>
        </w:rPr>
      </w:pPr>
    </w:p>
    <w:p w:rsidR="005624E3" w:rsidRPr="00DB7D1E" w:rsidRDefault="005624E3" w:rsidP="005624E3">
      <w:pPr>
        <w:pStyle w:val="ESch"/>
        <w:rPr>
          <w:rFonts w:eastAsia="Calibri" w:cs="Arial"/>
          <w:szCs w:val="18"/>
          <w:lang w:val="es-ES"/>
        </w:rPr>
      </w:pPr>
      <w:r w:rsidRPr="00DB7D1E">
        <w:rPr>
          <w:lang w:val="es-ES"/>
        </w:rPr>
        <w:t>4.</w:t>
      </w:r>
      <w:r w:rsidRPr="00DB7D1E">
        <w:rPr>
          <w:lang w:val="es-ES"/>
        </w:rPr>
        <w:tab/>
        <w:t>Az ellenőrző szerv mentességet adhat a 13.07. cikk alkalmazása alól azon személyhajók esetében, amelyek legfeljebb 250 utast szállíthatnak, és hosszúságuk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DB7D1E">
        <w:rPr>
          <w:lang w:val="es-ES"/>
        </w:rPr>
        <w:t>)</w:t>
      </w:r>
      <w:r w:rsidRPr="00DB7D1E">
        <w:rPr>
          <w:noProof/>
          <w:sz w:val="18"/>
          <w:lang w:val="es-ES"/>
        </w:rPr>
        <w:t xml:space="preserve"> </w:t>
      </w:r>
      <w:r w:rsidRPr="00DB7D1E">
        <w:rPr>
          <w:lang w:val="es-ES"/>
        </w:rPr>
        <w:t>nem haladja meg a 25 m-t, feltéve, hogy fel vannak szerelve egy, a hajó mindkét oldaláról megközelíthető és közvetlenül a merülési vonal feletti platformmal, amely lehetővé teszi a vízből mentést. A személyhajókat fel lehet szerelni egy ezzel egyenértékű berendezéssel is, amelyre az alábbi feltételek vonatkoznak:</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egy személy egyedül tudja működtetni;</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mobil berendezés megengedett;</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a propulziós rendszertől biztonságos távolságban kell elhelyezkednie; és</w:t>
      </w:r>
    </w:p>
    <w:p w:rsidR="005624E3" w:rsidRPr="00DB7D1E" w:rsidRDefault="005624E3" w:rsidP="005624E3">
      <w:pPr>
        <w:pStyle w:val="ESlet"/>
        <w:rPr>
          <w:rFonts w:eastAsia="Calibri" w:cs="Arial"/>
          <w:szCs w:val="18"/>
          <w:lang w:val="es-ES"/>
        </w:rPr>
      </w:pPr>
      <w:r w:rsidRPr="00DB7D1E">
        <w:rPr>
          <w:lang w:val="es-ES"/>
        </w:rPr>
        <w:t>d)</w:t>
      </w:r>
      <w:r w:rsidRPr="00DB7D1E">
        <w:rPr>
          <w:lang w:val="es-ES"/>
        </w:rPr>
        <w:tab/>
        <w:t>a hajó vezetője és a berendezésért felelős személy között megfelelő kommunikációt kell biztosítani.</w:t>
      </w:r>
    </w:p>
    <w:p w:rsidR="005624E3" w:rsidRPr="00DB7D1E" w:rsidRDefault="005624E3" w:rsidP="005624E3">
      <w:pPr>
        <w:pStyle w:val="ESch"/>
        <w:rPr>
          <w:rFonts w:eastAsia="Calibri"/>
          <w:noProof/>
          <w:lang w:val="es-ES"/>
        </w:rPr>
      </w:pPr>
      <w:r w:rsidRPr="00DB7D1E">
        <w:rPr>
          <w:lang w:val="es-ES"/>
        </w:rPr>
        <w:br w:type="page"/>
      </w:r>
    </w:p>
    <w:p w:rsidR="005624E3" w:rsidRPr="00DB7D1E" w:rsidRDefault="005624E3" w:rsidP="005624E3">
      <w:pPr>
        <w:pStyle w:val="ESch"/>
        <w:rPr>
          <w:rFonts w:eastAsia="Calibri" w:cs="Arial"/>
          <w:szCs w:val="18"/>
          <w:lang w:val="es-ES"/>
        </w:rPr>
      </w:pPr>
      <w:r w:rsidRPr="00DB7D1E">
        <w:rPr>
          <w:lang w:val="es-ES"/>
        </w:rPr>
        <w:t>5.</w:t>
      </w:r>
      <w:r w:rsidRPr="00DB7D1E">
        <w:rPr>
          <w:lang w:val="es-ES"/>
        </w:rPr>
        <w:tab/>
        <w:t>Az ellenőrző szerv mentességet adhat a 13.07. cikk alkalmazása alól olyan személyhajók esetében, amelyek legfeljebb 600 utast szállíthatnak, és hosszúságuk (</w:t>
      </w:r>
      <m:oMath>
        <m:r>
          <w:rPr>
            <w:rFonts w:ascii="Cambria Math" w:eastAsia="Calibri" w:hAnsi="Cambria Math"/>
            <w:noProof/>
          </w:rPr>
          <m:t>L</m:t>
        </m:r>
      </m:oMath>
      <w:r w:rsidRPr="00DB7D1E">
        <w:rPr>
          <w:lang w:val="es-ES"/>
        </w:rPr>
        <w:t>) nem haladja meg a 45 m-t, feltéve, hogy a hajó fel van szerelve a 4. bekezdés első mondatában említett platformmal vagy a 4. bekezdés második mondata szerinti, azzal egyenértékű berendezéssel. Ezenkívül a személyhajónak rendelkeznie kell az alábbiakkal:</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fő propulziós rendszerként kormánypropeller, cikloidálpropeller vagy vízsugárhajtás; vagy</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egy két propulziós egységből álló fő propulziós rendszer; vagy</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egy fő propulziós rendszer és egy orrsugárkormány.</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6.</w:t>
      </w:r>
      <w:r w:rsidRPr="00DB7D1E">
        <w:rPr>
          <w:lang w:val="es-ES"/>
        </w:rPr>
        <w:tab/>
        <w:t>A 19.02. cikk 9. bekezdésétől eltérve, a legfeljebb 45 m hosszúságú (</w:t>
      </w:r>
      <m:oMath>
        <m:r>
          <w:rPr>
            <w:rFonts w:ascii="Cambria Math" w:eastAsia="Calibri" w:hAnsi="Cambria Math"/>
            <w:noProof/>
          </w:rPr>
          <m:t>L</m:t>
        </m:r>
      </m:oMath>
      <w:r w:rsidRPr="00DB7D1E">
        <w:rPr>
          <w:lang w:val="es-ES"/>
        </w:rPr>
        <w:t>) hajók, amelyek legfeljebb a méterben mért hosszúságuknak megfelelő számú utast szállíthatnak, az utasok által használt területeken rendelkezhetnek a 19.02. cikk 5. bekezdése szerinti, táv</w:t>
      </w:r>
      <w:r w:rsidR="000855F0">
        <w:rPr>
          <w:lang w:val="es-ES"/>
        </w:rPr>
        <w:t>vezérlés</w:t>
      </w:r>
      <w:r w:rsidRPr="00DB7D1E">
        <w:rPr>
          <w:lang w:val="es-ES"/>
        </w:rPr>
        <w:t xml:space="preserve"> nélküli, kézzel működtetett válaszfalajtóval, amennyiben:</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a hajónak csak egy fedélzete van;</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ez az ajtó a fedélzetről közvetlenül megközelíthető, és a fedélzettől legfeljebb 10 m-re van;</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az ajtónyílás alsó széle az utasok által használt terület padlószintje felett legalább 30 cm-rel van; és</w:t>
      </w:r>
    </w:p>
    <w:p w:rsidR="005624E3" w:rsidRPr="00DB7D1E" w:rsidRDefault="005624E3" w:rsidP="005624E3">
      <w:pPr>
        <w:pStyle w:val="ESlet"/>
        <w:rPr>
          <w:rFonts w:eastAsia="Calibri" w:cs="Arial"/>
          <w:szCs w:val="18"/>
          <w:lang w:val="es-ES"/>
        </w:rPr>
      </w:pPr>
      <w:r w:rsidRPr="00DB7D1E">
        <w:rPr>
          <w:lang w:val="es-ES"/>
        </w:rPr>
        <w:t>d)</w:t>
      </w:r>
      <w:r w:rsidRPr="00DB7D1E">
        <w:rPr>
          <w:lang w:val="es-ES"/>
        </w:rPr>
        <w:tab/>
        <w:t>az ajtó által elválasztott rekeszek fel vannak szerelve fenékvízszint-riasztóval.</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7.</w:t>
      </w:r>
      <w:r w:rsidRPr="00DB7D1E">
        <w:rPr>
          <w:lang w:val="es-ES"/>
        </w:rPr>
        <w:tab/>
        <w:t>A 6. bekezdés szerinti személyhajókon – a 19.06. cikk 6. bekezdésének c) pontjától eltérve – a menekülési útvonal keresztülvezethet egy konyhán, amennyiben rendelkezésre áll második menekülési útvonal is.</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noProof/>
          <w:lang w:val="es-ES"/>
        </w:rPr>
      </w:pPr>
      <w:r w:rsidRPr="00DB7D1E">
        <w:rPr>
          <w:lang w:val="es-ES"/>
        </w:rPr>
        <w:t>8.</w:t>
      </w:r>
      <w:r w:rsidRPr="00DB7D1E">
        <w:rPr>
          <w:lang w:val="es-ES"/>
        </w:rPr>
        <w:tab/>
        <w:t>A legfeljebb 45 m hosszúságú (</w:t>
      </w:r>
      <m:oMath>
        <m:r>
          <w:rPr>
            <w:rFonts w:ascii="Cambria Math" w:eastAsia="Calibri" w:hAnsi="Cambria Math"/>
            <w:noProof/>
          </w:rPr>
          <m:t>L</m:t>
        </m:r>
      </m:oMath>
      <w:r w:rsidRPr="00DB7D1E">
        <w:rPr>
          <w:lang w:val="es-ES"/>
        </w:rPr>
        <w:t>) személyhajóknak nem kell megfelelniük a következőnek: a 19.01. cikk 2. bekezdésének e) pontja, ha a cseppfolyósított gázzal üzemelő berendezések megfelelő gázriasztó berendezéssel vannak felszerelve az egészségre veszélyt jelentő CO-koncentráció és a potenciálisan robbanásveszélyes gáz-levegő elegyek jelzésére.</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cs="Arial"/>
          <w:szCs w:val="18"/>
          <w:lang w:val="es-ES"/>
        </w:rPr>
      </w:pPr>
      <w:r w:rsidRPr="00DB7D1E">
        <w:rPr>
          <w:lang w:val="es-ES"/>
        </w:rPr>
        <w:t>9.</w:t>
      </w:r>
      <w:r w:rsidRPr="00DB7D1E">
        <w:rPr>
          <w:lang w:val="es-ES"/>
        </w:rPr>
        <w:tab/>
        <w:t>A legfeljebb 25 m hosszúságú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DB7D1E">
        <w:rPr>
          <w:lang w:val="es-ES"/>
        </w:rPr>
        <w:t>)</w:t>
      </w:r>
      <w:r w:rsidRPr="00DB7D1E">
        <w:rPr>
          <w:noProof/>
          <w:sz w:val="18"/>
          <w:lang w:val="es-ES"/>
        </w:rPr>
        <w:t xml:space="preserve"> </w:t>
      </w:r>
      <w:r w:rsidRPr="00DB7D1E">
        <w:rPr>
          <w:lang w:val="es-ES"/>
        </w:rPr>
        <w:t>személyhajókra nem vonatkoznak az alábbi előírások:</w:t>
      </w:r>
    </w:p>
    <w:p w:rsidR="005624E3" w:rsidRPr="00DB7D1E" w:rsidRDefault="005624E3" w:rsidP="005624E3">
      <w:pPr>
        <w:pStyle w:val="ESlet"/>
        <w:rPr>
          <w:rFonts w:eastAsia="Calibri" w:cs="Arial"/>
          <w:szCs w:val="18"/>
          <w:lang w:val="es-ES"/>
        </w:rPr>
      </w:pPr>
      <w:r w:rsidRPr="00DB7D1E">
        <w:rPr>
          <w:lang w:val="es-ES"/>
        </w:rPr>
        <w:t>a)</w:t>
      </w:r>
      <w:r w:rsidRPr="00DB7D1E">
        <w:rPr>
          <w:lang w:val="es-ES"/>
        </w:rPr>
        <w:tab/>
        <w:t>a 19.04. cikk 1. bekezdésének utolsó mondata;</w:t>
      </w:r>
    </w:p>
    <w:p w:rsidR="005624E3" w:rsidRPr="00DB7D1E" w:rsidRDefault="005624E3" w:rsidP="005624E3">
      <w:pPr>
        <w:pStyle w:val="ESlet"/>
        <w:rPr>
          <w:rFonts w:eastAsia="Calibri" w:cs="Arial"/>
          <w:szCs w:val="18"/>
          <w:lang w:val="es-ES"/>
        </w:rPr>
      </w:pPr>
      <w:r w:rsidRPr="00DB7D1E">
        <w:rPr>
          <w:lang w:val="es-ES"/>
        </w:rPr>
        <w:t>b)</w:t>
      </w:r>
      <w:r w:rsidRPr="00DB7D1E">
        <w:rPr>
          <w:lang w:val="es-ES"/>
        </w:rPr>
        <w:tab/>
        <w:t>a 19.06. cikk 6. bekezdésének c) pontja a konyhákra vonatkozóan, amennyiben van második menekülési útvonal;</w:t>
      </w:r>
    </w:p>
    <w:p w:rsidR="005624E3" w:rsidRPr="00DB7D1E" w:rsidRDefault="005624E3" w:rsidP="005624E3">
      <w:pPr>
        <w:pStyle w:val="ESlet"/>
        <w:rPr>
          <w:rFonts w:eastAsia="Calibri" w:cs="Arial"/>
          <w:szCs w:val="18"/>
          <w:lang w:val="es-ES"/>
        </w:rPr>
      </w:pPr>
      <w:r w:rsidRPr="00DB7D1E">
        <w:rPr>
          <w:lang w:val="es-ES"/>
        </w:rPr>
        <w:t>c)</w:t>
      </w:r>
      <w:r w:rsidRPr="00DB7D1E">
        <w:rPr>
          <w:lang w:val="es-ES"/>
        </w:rPr>
        <w:tab/>
        <w:t>a 19.07. cikk.</w:t>
      </w:r>
    </w:p>
    <w:p w:rsidR="005624E3" w:rsidRPr="00DB7D1E" w:rsidRDefault="005624E3" w:rsidP="005624E3">
      <w:pPr>
        <w:pStyle w:val="ESch"/>
        <w:rPr>
          <w:rFonts w:eastAsia="Calibri"/>
          <w:noProof/>
          <w:lang w:val="es-ES"/>
        </w:rPr>
      </w:pPr>
    </w:p>
    <w:p w:rsidR="005624E3" w:rsidRPr="00DB7D1E" w:rsidRDefault="005624E3" w:rsidP="005624E3">
      <w:pPr>
        <w:pStyle w:val="ESch"/>
        <w:rPr>
          <w:rFonts w:eastAsia="Calibri"/>
          <w:noProof/>
          <w:lang w:val="es-ES"/>
        </w:rPr>
      </w:pPr>
      <w:r w:rsidRPr="00DB7D1E">
        <w:rPr>
          <w:lang w:val="es-ES"/>
        </w:rPr>
        <w:t>10.</w:t>
      </w:r>
      <w:r w:rsidRPr="00DB7D1E">
        <w:rPr>
          <w:lang w:val="es-ES"/>
        </w:rPr>
        <w:tab/>
        <w:t>A legfeljebb 45 m hosszúságú (</w:t>
      </w:r>
      <m:oMath>
        <m:r>
          <w:rPr>
            <w:rFonts w:ascii="Cambria Math" w:eastAsia="Calibri" w:hAnsi="Cambria Math"/>
            <w:noProof/>
          </w:rPr>
          <m:t>L</m:t>
        </m:r>
      </m:oMath>
      <w:r w:rsidRPr="00DB7D1E">
        <w:rPr>
          <w:lang w:val="es-ES"/>
        </w:rPr>
        <w:t>) kabinos hajókra a 19.12. cikk 10. bekezdése nem alkalmazandó, feltéve, hogy minden kabinban könnyen hozzáférhető a fekhelyek számával egyező számú menekülőkámzsa.</w:t>
      </w:r>
    </w:p>
    <w:p w:rsidR="005624E3" w:rsidRPr="00DB7D1E" w:rsidRDefault="005624E3" w:rsidP="005624E3">
      <w:pPr>
        <w:pStyle w:val="ESch"/>
        <w:rPr>
          <w:lang w:val="es-ES"/>
        </w:rPr>
      </w:pPr>
    </w:p>
    <w:p w:rsidR="005624E3" w:rsidRPr="00DB7D1E" w:rsidRDefault="005624E3" w:rsidP="005624E3">
      <w:pPr>
        <w:pStyle w:val="ESch"/>
        <w:rPr>
          <w:lang w:val="es-ES"/>
        </w:rPr>
      </w:pPr>
    </w:p>
    <w:p w:rsidR="005624E3" w:rsidRPr="00166EA9" w:rsidRDefault="005624E3" w:rsidP="005624E3">
      <w:pPr>
        <w:pStyle w:val="ES-Titre2"/>
        <w:rPr>
          <w:lang w:val="es-ES"/>
        </w:rPr>
      </w:pPr>
      <w:bookmarkStart w:id="376" w:name="_Toc491854185"/>
      <w:bookmarkStart w:id="377" w:name="_Toc535853964"/>
      <w:r w:rsidRPr="00166EA9">
        <w:rPr>
          <w:lang w:val="es-ES"/>
        </w:rPr>
        <w:t>20. fejezet</w:t>
      </w:r>
      <w:r w:rsidRPr="00166EA9">
        <w:rPr>
          <w:lang w:val="es-ES"/>
        </w:rPr>
        <w:br/>
        <w:t>A Rajnán (R zóna) nem közlekedő vitorlás személyhajókra vonatkozó külön rendelkezések</w:t>
      </w:r>
      <w:bookmarkEnd w:id="376"/>
      <w:bookmarkEnd w:id="377"/>
    </w:p>
    <w:p w:rsidR="005624E3" w:rsidRPr="00DB7D1E" w:rsidRDefault="005624E3" w:rsidP="005624E3">
      <w:pPr>
        <w:rPr>
          <w:lang w:val="es-ES"/>
        </w:rPr>
      </w:pPr>
    </w:p>
    <w:p w:rsidR="005624E3" w:rsidRPr="00DB7D1E" w:rsidRDefault="005624E3" w:rsidP="005624E3">
      <w:pPr>
        <w:pStyle w:val="ES-Titre3"/>
        <w:rPr>
          <w:i/>
          <w:lang w:val="es-ES"/>
        </w:rPr>
      </w:pPr>
      <w:bookmarkStart w:id="378" w:name="_Toc491854186"/>
      <w:bookmarkStart w:id="379" w:name="_Toc535853965"/>
      <w:r w:rsidRPr="00DB7D1E">
        <w:rPr>
          <w:lang w:val="es-ES"/>
        </w:rPr>
        <w:t>20.01. cikk</w:t>
      </w:r>
      <w:r w:rsidRPr="00DB7D1E">
        <w:rPr>
          <w:lang w:val="es-ES"/>
        </w:rPr>
        <w:br/>
      </w:r>
      <w:r w:rsidRPr="00DB7D1E">
        <w:rPr>
          <w:i/>
          <w:lang w:val="es-ES"/>
        </w:rPr>
        <w:t>A II. és III. rész alkalmazása</w:t>
      </w:r>
      <w:bookmarkEnd w:id="378"/>
      <w:bookmarkEnd w:id="379"/>
    </w:p>
    <w:p w:rsidR="005624E3" w:rsidRPr="00DB7D1E" w:rsidRDefault="005624E3" w:rsidP="005624E3">
      <w:pPr>
        <w:pStyle w:val="ESch"/>
        <w:rPr>
          <w:lang w:val="es-ES"/>
        </w:rPr>
      </w:pPr>
    </w:p>
    <w:p w:rsidR="005624E3" w:rsidRPr="00DB7D1E" w:rsidRDefault="005624E3" w:rsidP="005624E3">
      <w:pPr>
        <w:pStyle w:val="ESgauche"/>
        <w:rPr>
          <w:rFonts w:cs="Arial"/>
          <w:lang w:val="es-ES"/>
        </w:rPr>
      </w:pPr>
      <w:r w:rsidRPr="00DB7D1E">
        <w:rPr>
          <w:lang w:val="es-ES"/>
        </w:rPr>
        <w:t>A Rajnán (R zóna) nem közlekedő vitorlás személyhajókra a II. és III. rész rendelkezésein túlmenően e fejezet követelményeit is alkalmazni kell.</w:t>
      </w:r>
    </w:p>
    <w:p w:rsidR="005624E3" w:rsidRPr="00DB7D1E" w:rsidRDefault="005624E3" w:rsidP="005624E3">
      <w:pPr>
        <w:pStyle w:val="ESch"/>
        <w:rPr>
          <w:i/>
          <w:noProof/>
          <w:szCs w:val="20"/>
          <w:lang w:val="es-ES"/>
        </w:rPr>
      </w:pPr>
    </w:p>
    <w:p w:rsidR="005624E3" w:rsidRPr="00DB7D1E" w:rsidRDefault="005624E3" w:rsidP="005624E3">
      <w:pPr>
        <w:pStyle w:val="ESch"/>
        <w:rPr>
          <w:i/>
          <w:noProof/>
          <w:szCs w:val="20"/>
          <w:lang w:val="es-ES"/>
        </w:rPr>
      </w:pPr>
    </w:p>
    <w:p w:rsidR="005624E3" w:rsidRPr="00DB7D1E" w:rsidRDefault="005624E3" w:rsidP="005624E3">
      <w:pPr>
        <w:pStyle w:val="ES-Titre3"/>
        <w:rPr>
          <w:rFonts w:cs="Arial"/>
          <w:i/>
          <w:lang w:val="es-ES"/>
        </w:rPr>
      </w:pPr>
      <w:bookmarkStart w:id="380" w:name="_Toc491854187"/>
      <w:bookmarkStart w:id="381" w:name="_Toc535853966"/>
      <w:r w:rsidRPr="00DB7D1E">
        <w:rPr>
          <w:lang w:val="es-ES"/>
        </w:rPr>
        <w:t>20.02. cikk</w:t>
      </w:r>
      <w:r w:rsidRPr="00DB7D1E">
        <w:rPr>
          <w:lang w:val="es-ES"/>
        </w:rPr>
        <w:br/>
      </w:r>
      <w:r w:rsidRPr="00DB7D1E">
        <w:rPr>
          <w:i/>
          <w:noProof/>
          <w:lang w:val="es-ES"/>
        </w:rPr>
        <w:t>Bizonyos vitorlás személyhajókra vonatkozó kivételek</w:t>
      </w:r>
      <w:bookmarkEnd w:id="380"/>
      <w:bookmarkEnd w:id="381"/>
    </w:p>
    <w:p w:rsidR="005624E3" w:rsidRPr="00DB7D1E" w:rsidRDefault="005624E3" w:rsidP="005624E3">
      <w:pPr>
        <w:pStyle w:val="ESch"/>
        <w:rPr>
          <w:noProof/>
          <w:szCs w:val="20"/>
          <w:lang w:val="es-ES"/>
        </w:rPr>
      </w:pPr>
    </w:p>
    <w:p w:rsidR="005624E3" w:rsidRPr="00DB7D1E" w:rsidRDefault="005624E3" w:rsidP="005624E3">
      <w:pPr>
        <w:pStyle w:val="ESch"/>
        <w:rPr>
          <w:rFonts w:cs="Arial"/>
          <w:szCs w:val="20"/>
          <w:lang w:val="es-ES"/>
        </w:rPr>
      </w:pPr>
      <w:r w:rsidRPr="00DB7D1E">
        <w:rPr>
          <w:lang w:val="es-ES"/>
        </w:rPr>
        <w:t xml:space="preserve">1. </w:t>
      </w:r>
      <w:r w:rsidRPr="00DB7D1E">
        <w:rPr>
          <w:lang w:val="es-ES"/>
        </w:rPr>
        <w:tab/>
        <w:t>A legfeljebb 45 m hosszúságú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rsidRPr="00DB7D1E">
        <w:rPr>
          <w:lang w:val="es-ES"/>
        </w:rPr>
        <w:t>), és legfeljebb a teljes méterben mért hosszúságának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rsidRPr="00DB7D1E">
        <w:rPr>
          <w:lang w:val="es-ES"/>
        </w:rPr>
        <w:t>) megfelelő számú utas szállítására szolgáló vitorlás személyhajókra nem vonatkoznak az alábbi előírások:</w:t>
      </w:r>
    </w:p>
    <w:p w:rsidR="005624E3" w:rsidRPr="00DB7D1E" w:rsidRDefault="005624E3" w:rsidP="005624E3">
      <w:pPr>
        <w:pStyle w:val="ESlet"/>
        <w:rPr>
          <w:rFonts w:cs="Arial"/>
          <w:lang w:val="es-ES"/>
        </w:rPr>
      </w:pPr>
      <w:r w:rsidRPr="00DB7D1E">
        <w:rPr>
          <w:lang w:val="es-ES"/>
        </w:rPr>
        <w:t>a)</w:t>
      </w:r>
      <w:r w:rsidRPr="00DB7D1E">
        <w:rPr>
          <w:lang w:val="es-ES"/>
        </w:rPr>
        <w:tab/>
        <w:t>a 3.03. cikk 7. bekezdése, feltéve, hogy a horgonyokat nem horgonyláncvezető csőben tárolják;</w:t>
      </w:r>
    </w:p>
    <w:p w:rsidR="005624E3" w:rsidRPr="00DB7D1E" w:rsidRDefault="005624E3" w:rsidP="005624E3">
      <w:pPr>
        <w:pStyle w:val="ESlet"/>
        <w:rPr>
          <w:rFonts w:cs="Arial"/>
          <w:lang w:val="es-ES"/>
        </w:rPr>
      </w:pPr>
      <w:r w:rsidRPr="00DB7D1E">
        <w:rPr>
          <w:lang w:val="es-ES"/>
        </w:rPr>
        <w:t>b)</w:t>
      </w:r>
      <w:r w:rsidRPr="00DB7D1E">
        <w:rPr>
          <w:lang w:val="es-ES"/>
        </w:rPr>
        <w:tab/>
        <w:t>a 13.02. cikk 2. bekezdésének d) pontja a hosszúság tekintetében;</w:t>
      </w:r>
    </w:p>
    <w:p w:rsidR="005624E3" w:rsidRPr="00DB7D1E" w:rsidRDefault="005624E3" w:rsidP="005624E3">
      <w:pPr>
        <w:pStyle w:val="ESlet"/>
        <w:rPr>
          <w:rFonts w:cs="Arial"/>
          <w:lang w:val="pt-PT"/>
        </w:rPr>
      </w:pPr>
      <w:r w:rsidRPr="00DB7D1E">
        <w:rPr>
          <w:lang w:val="pt-PT"/>
        </w:rPr>
        <w:t>c)</w:t>
      </w:r>
      <w:r w:rsidRPr="00DB7D1E">
        <w:rPr>
          <w:lang w:val="pt-PT"/>
        </w:rPr>
        <w:tab/>
        <w:t>a 19.08. cikk 3. bekezdésének a) pontja;</w:t>
      </w:r>
    </w:p>
    <w:p w:rsidR="005624E3" w:rsidRPr="00DB7D1E" w:rsidRDefault="005624E3" w:rsidP="005624E3">
      <w:pPr>
        <w:pStyle w:val="ESlet"/>
        <w:rPr>
          <w:rFonts w:cs="Arial"/>
          <w:lang w:val="pt-PT"/>
        </w:rPr>
      </w:pPr>
      <w:r w:rsidRPr="00DB7D1E">
        <w:rPr>
          <w:lang w:val="pt-PT"/>
        </w:rPr>
        <w:t>d)</w:t>
      </w:r>
      <w:r w:rsidRPr="00DB7D1E">
        <w:rPr>
          <w:lang w:val="pt-PT"/>
        </w:rPr>
        <w:tab/>
        <w:t>a 19.15. cikk 8. bekezdése.</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2.</w:t>
      </w:r>
      <w:r w:rsidRPr="00DB7D1E">
        <w:rPr>
          <w:lang w:val="pt-PT"/>
        </w:rPr>
        <w:tab/>
        <w:t>Az 1. bekezdéstől eltérve, ha a vitorlázat, a kötélzet és a fedélzeti szerelvények megengedik, az utasok száma a teljes méterben mért hosszúságnak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rsidRPr="00DB7D1E">
        <w:rPr>
          <w:lang w:val="pt-PT"/>
        </w:rPr>
        <w:t>) megfelelő szám 1,5-szeresére növelhető.</w:t>
      </w:r>
    </w:p>
    <w:p w:rsidR="005624E3" w:rsidRPr="00DB7D1E" w:rsidRDefault="005624E3" w:rsidP="005624E3">
      <w:pPr>
        <w:pStyle w:val="ESch"/>
        <w:rPr>
          <w:rFonts w:cs="Arial"/>
          <w:szCs w:val="20"/>
          <w:lang w:val="pt-PT"/>
        </w:rPr>
      </w:pPr>
    </w:p>
    <w:p w:rsidR="005624E3" w:rsidRPr="00DB7D1E" w:rsidRDefault="005624E3" w:rsidP="005624E3">
      <w:pPr>
        <w:pStyle w:val="ESch"/>
        <w:rPr>
          <w:rFonts w:cs="Arial"/>
          <w:szCs w:val="20"/>
          <w:lang w:val="pt-PT"/>
        </w:rPr>
      </w:pPr>
    </w:p>
    <w:p w:rsidR="005624E3" w:rsidRPr="00DB7D1E" w:rsidRDefault="005624E3" w:rsidP="005624E3">
      <w:pPr>
        <w:pStyle w:val="ES-Titre3"/>
        <w:rPr>
          <w:rFonts w:cs="Arial"/>
          <w:i/>
          <w:lang w:val="pt-PT"/>
        </w:rPr>
      </w:pPr>
      <w:bookmarkStart w:id="382" w:name="_Toc491854188"/>
      <w:bookmarkStart w:id="383" w:name="_Toc535853967"/>
      <w:r w:rsidRPr="00DB7D1E">
        <w:rPr>
          <w:lang w:val="pt-PT"/>
        </w:rPr>
        <w:t>20.03. cikk</w:t>
      </w:r>
      <w:r w:rsidRPr="00DB7D1E">
        <w:rPr>
          <w:lang w:val="pt-PT"/>
        </w:rPr>
        <w:br/>
      </w:r>
      <w:r w:rsidRPr="00DB7D1E">
        <w:rPr>
          <w:i/>
          <w:noProof/>
          <w:lang w:val="pt-PT"/>
        </w:rPr>
        <w:t>A vitorláshajókra vonatkozó stabilitási követelmények</w:t>
      </w:r>
      <w:bookmarkEnd w:id="382"/>
      <w:bookmarkEnd w:id="383"/>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 xml:space="preserve">1. </w:t>
      </w:r>
      <w:r w:rsidRPr="00DB7D1E">
        <w:rPr>
          <w:lang w:val="pt-PT"/>
        </w:rPr>
        <w:tab/>
        <w:t>A 19.03. cikk 3. bekezdése szerinti billenőnyomaték kiszámításánál a hajó tömegközéppontjának meghatározásához a bevont vitorlákat kell figyelembe venni.</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 xml:space="preserve">2. </w:t>
      </w:r>
      <w:r w:rsidRPr="00DB7D1E">
        <w:rPr>
          <w:lang w:val="pt-PT"/>
        </w:rPr>
        <w:tab/>
        <w:t>A 19.03. cikk 2. bekezdése szerinti valamennyi terhelési körülmény figyelembevételével, továbbá standard vitorlarend mellett a szélnyomás által okozott billenőnyomaték nem lehet olyan nagy, hogy a dőlésszög meghaladja a 20°-ot. Ugyanakkor:</w:t>
      </w:r>
    </w:p>
    <w:p w:rsidR="005624E3" w:rsidRPr="00DB7D1E" w:rsidRDefault="005624E3" w:rsidP="005624E3">
      <w:pPr>
        <w:pStyle w:val="ESlet"/>
        <w:rPr>
          <w:rFonts w:cs="Arial"/>
          <w:lang w:val="pt-PT"/>
        </w:rPr>
      </w:pPr>
      <w:r w:rsidRPr="00DB7D1E">
        <w:rPr>
          <w:lang w:val="pt-PT"/>
        </w:rPr>
        <w:t>a)</w:t>
      </w:r>
      <w:r w:rsidRPr="00DB7D1E">
        <w:rPr>
          <w:lang w:val="pt-PT"/>
        </w:rPr>
        <w:tab/>
        <w:t>a számításhoz 0,07 kN/m</w:t>
      </w:r>
      <w:r w:rsidRPr="00DB7D1E">
        <w:rPr>
          <w:noProof/>
          <w:vertAlign w:val="superscript"/>
          <w:lang w:val="pt-PT"/>
        </w:rPr>
        <w:t>2</w:t>
      </w:r>
      <w:r w:rsidRPr="00DB7D1E">
        <w:rPr>
          <w:lang w:val="pt-PT"/>
        </w:rPr>
        <w:t>-es állandó szélerőt kell venni;</w:t>
      </w:r>
    </w:p>
    <w:p w:rsidR="005624E3" w:rsidRPr="00DB7D1E" w:rsidRDefault="005624E3" w:rsidP="005624E3">
      <w:pPr>
        <w:pStyle w:val="ESlet"/>
        <w:rPr>
          <w:rFonts w:cs="Arial"/>
          <w:lang w:val="pt-PT"/>
        </w:rPr>
      </w:pPr>
      <w:r w:rsidRPr="00DB7D1E">
        <w:rPr>
          <w:lang w:val="pt-PT"/>
        </w:rPr>
        <w:t>b)</w:t>
      </w:r>
      <w:r w:rsidRPr="00DB7D1E">
        <w:rPr>
          <w:lang w:val="pt-PT"/>
        </w:rPr>
        <w:tab/>
        <w:t>a fennmaradó biztonsági távolságnak legalább 100 mm-nek kell lennie; és</w:t>
      </w:r>
    </w:p>
    <w:p w:rsidR="005624E3" w:rsidRPr="00DB7D1E" w:rsidRDefault="005624E3" w:rsidP="005624E3">
      <w:pPr>
        <w:pStyle w:val="ESlet"/>
        <w:rPr>
          <w:rFonts w:cs="Arial"/>
          <w:lang w:val="pt-PT"/>
        </w:rPr>
      </w:pPr>
      <w:r w:rsidRPr="00DB7D1E">
        <w:rPr>
          <w:lang w:val="pt-PT"/>
        </w:rPr>
        <w:t>c)</w:t>
      </w:r>
      <w:r w:rsidRPr="00DB7D1E">
        <w:rPr>
          <w:lang w:val="pt-PT"/>
        </w:rPr>
        <w:tab/>
        <w:t>a fennmaradó szabadoldal nem lehet negatív.</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 xml:space="preserve">3. </w:t>
      </w:r>
      <w:r w:rsidRPr="00DB7D1E">
        <w:rPr>
          <w:lang w:val="pt-PT"/>
        </w:rPr>
        <w:tab/>
        <w:t>A statikus stabilitás stabilizáló karjának:</w:t>
      </w:r>
    </w:p>
    <w:p w:rsidR="005624E3" w:rsidRPr="00DB7D1E" w:rsidRDefault="005624E3" w:rsidP="005624E3">
      <w:pPr>
        <w:pStyle w:val="ESlet"/>
        <w:rPr>
          <w:rFonts w:cs="Arial"/>
          <w:lang w:val="pt-PT"/>
        </w:rPr>
      </w:pPr>
      <w:r w:rsidRPr="00DB7D1E">
        <w:rPr>
          <w:lang w:val="pt-PT"/>
        </w:rPr>
        <w:t>a)</w:t>
      </w:r>
      <w:r w:rsidRPr="00DB7D1E">
        <w:rPr>
          <w:lang w:val="pt-PT"/>
        </w:rPr>
        <w:tab/>
        <w:t xml:space="preserve">25°-os vagy a feletti </w:t>
      </w:r>
      <m:oMath>
        <m:sSub>
          <m:sSubPr>
            <m:ctrlPr>
              <w:rPr>
                <w:rFonts w:ascii="Cambria Math" w:hAnsi="Cambria Math"/>
                <w:i/>
                <w:noProof/>
              </w:rPr>
            </m:ctrlPr>
          </m:sSubPr>
          <m:e>
            <m:r>
              <w:rPr>
                <w:rFonts w:ascii="Cambria Math" w:hAnsi="Cambria Math"/>
                <w:noProof/>
              </w:rPr>
              <m:t>φ</m:t>
            </m:r>
          </m:e>
          <m:sub>
            <m:r>
              <w:rPr>
                <w:rFonts w:ascii="Cambria Math" w:hAnsi="Cambria Math"/>
                <w:noProof/>
              </w:rPr>
              <m:t>max</m:t>
            </m:r>
          </m:sub>
        </m:sSub>
      </m:oMath>
      <w:r w:rsidRPr="00DB7D1E">
        <w:rPr>
          <w:lang w:val="pt-PT"/>
        </w:rPr>
        <w:t xml:space="preserve"> dőlésszögnél kell elérnie a </w:t>
      </w:r>
      <m:oMath>
        <m:sSub>
          <m:sSubPr>
            <m:ctrlPr>
              <w:rPr>
                <w:rFonts w:ascii="Cambria Math" w:hAnsi="Cambria Math"/>
                <w:i/>
                <w:noProof/>
                <w:szCs w:val="20"/>
              </w:rPr>
            </m:ctrlPr>
          </m:sSubPr>
          <m:e>
            <m:r>
              <w:rPr>
                <w:rFonts w:ascii="Cambria Math" w:hAnsi="Cambria Math"/>
                <w:noProof/>
                <w:szCs w:val="20"/>
                <w:lang w:val="pt-PT"/>
              </w:rPr>
              <m:t>h</m:t>
            </m:r>
          </m:e>
          <m:sub>
            <m:r>
              <w:rPr>
                <w:rFonts w:ascii="Cambria Math" w:hAnsi="Cambria Math"/>
                <w:noProof/>
                <w:szCs w:val="20"/>
              </w:rPr>
              <m:t>max</m:t>
            </m:r>
          </m:sub>
        </m:sSub>
      </m:oMath>
      <w:r w:rsidRPr="00DB7D1E">
        <w:rPr>
          <w:lang w:val="pt-PT"/>
        </w:rPr>
        <w:t xml:space="preserve"> maximális értéket;</w:t>
      </w:r>
    </w:p>
    <w:p w:rsidR="005624E3" w:rsidRPr="00DB7D1E" w:rsidRDefault="005624E3" w:rsidP="005624E3">
      <w:pPr>
        <w:pStyle w:val="ESlet"/>
        <w:rPr>
          <w:rFonts w:cs="Arial"/>
          <w:lang w:val="pt-PT"/>
        </w:rPr>
      </w:pPr>
      <w:r w:rsidRPr="00DB7D1E">
        <w:rPr>
          <w:lang w:val="pt-PT"/>
        </w:rPr>
        <w:t>b)</w:t>
      </w:r>
      <w:r w:rsidRPr="00DB7D1E">
        <w:rPr>
          <w:lang w:val="pt-PT"/>
        </w:rPr>
        <w:tab/>
        <w:t>30°-os vagy a feletti dőlésszögnél legalább 0,20 m-nek kell lennie;</w:t>
      </w:r>
    </w:p>
    <w:p w:rsidR="005624E3" w:rsidRPr="00DB7D1E" w:rsidRDefault="005624E3" w:rsidP="005624E3">
      <w:pPr>
        <w:pStyle w:val="ESlet"/>
        <w:rPr>
          <w:rFonts w:cs="Arial"/>
          <w:lang w:val="pt-PT"/>
        </w:rPr>
      </w:pPr>
      <w:r w:rsidRPr="00DB7D1E">
        <w:rPr>
          <w:lang w:val="pt-PT"/>
        </w:rPr>
        <w:t xml:space="preserve">c) </w:t>
      </w:r>
      <w:r w:rsidRPr="00DB7D1E">
        <w:rPr>
          <w:lang w:val="pt-PT"/>
        </w:rPr>
        <w:tab/>
        <w:t>60°-os dőlésszögig pozitívnak kell lennie.</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sv-SE"/>
        </w:rPr>
      </w:pPr>
      <w:r w:rsidRPr="00DB7D1E">
        <w:rPr>
          <w:lang w:val="sv-SE"/>
        </w:rPr>
        <w:t xml:space="preserve">4. </w:t>
      </w:r>
      <w:r w:rsidRPr="00DB7D1E">
        <w:rPr>
          <w:lang w:val="sv-SE"/>
        </w:rPr>
        <w:tab/>
        <w:t>A stabilitási kar görbéje alatti A terület nem lehet kisebb, mint:</w:t>
      </w:r>
    </w:p>
    <w:p w:rsidR="005624E3" w:rsidRPr="00DB7D1E" w:rsidRDefault="005624E3" w:rsidP="005624E3">
      <w:pPr>
        <w:pStyle w:val="ESlet"/>
        <w:rPr>
          <w:rFonts w:cs="Arial"/>
          <w:lang w:val="sv-SE"/>
        </w:rPr>
      </w:pPr>
      <w:r w:rsidRPr="00DB7D1E">
        <w:rPr>
          <w:lang w:val="sv-SE"/>
        </w:rPr>
        <w:t>a)</w:t>
      </w:r>
      <w:r w:rsidRPr="00DB7D1E">
        <w:rPr>
          <w:lang w:val="sv-SE"/>
        </w:rPr>
        <w:tab/>
      </w:r>
      <m:oMath>
        <m:r>
          <w:rPr>
            <w:rFonts w:ascii="Cambria Math" w:hAnsi="Cambria Math"/>
            <w:noProof/>
            <w:lang w:val="sv-SE"/>
          </w:rPr>
          <m:t xml:space="preserve">0,055 </m:t>
        </m:r>
        <m:r>
          <w:rPr>
            <w:rFonts w:ascii="Cambria Math" w:hAnsi="Cambria Math"/>
            <w:noProof/>
          </w:rPr>
          <m:t>m</m:t>
        </m:r>
        <m:r>
          <w:rPr>
            <w:rFonts w:ascii="Cambria Math" w:hAnsi="Cambria Math"/>
            <w:noProof/>
            <w:lang w:val="sv-SE"/>
          </w:rPr>
          <m:t xml:space="preserve"> ∙</m:t>
        </m:r>
        <m:r>
          <w:rPr>
            <w:rFonts w:ascii="Cambria Math" w:hAnsi="Cambria Math"/>
            <w:noProof/>
          </w:rPr>
          <m:t>rad</m:t>
        </m:r>
      </m:oMath>
      <w:r w:rsidRPr="00DB7D1E">
        <w:rPr>
          <w:lang w:val="sv-SE"/>
        </w:rPr>
        <w:t xml:space="preserve"> 30°-ig;</w:t>
      </w:r>
    </w:p>
    <w:p w:rsidR="005624E3" w:rsidRPr="00DB7D1E" w:rsidRDefault="005624E3" w:rsidP="005624E3">
      <w:pPr>
        <w:pStyle w:val="ESlet"/>
        <w:rPr>
          <w:rFonts w:cs="Arial"/>
          <w:lang w:val="sv-SE"/>
        </w:rPr>
      </w:pPr>
      <w:r w:rsidRPr="00DB7D1E">
        <w:rPr>
          <w:lang w:val="sv-SE"/>
        </w:rPr>
        <w:t>b)</w:t>
      </w:r>
      <w:r w:rsidRPr="00DB7D1E">
        <w:rPr>
          <w:lang w:val="sv-SE"/>
        </w:rPr>
        <w:tab/>
      </w:r>
      <m:oMath>
        <m:r>
          <w:rPr>
            <w:rFonts w:ascii="Cambria Math" w:hAnsi="Cambria Math"/>
            <w:noProof/>
            <w:lang w:val="sv-SE"/>
          </w:rPr>
          <m:t xml:space="preserve">0,09 </m:t>
        </m:r>
        <m:r>
          <w:rPr>
            <w:rFonts w:ascii="Cambria Math" w:hAnsi="Cambria Math"/>
            <w:noProof/>
          </w:rPr>
          <m:t>m</m:t>
        </m:r>
        <m:r>
          <w:rPr>
            <w:rFonts w:ascii="Cambria Math" w:hAnsi="Cambria Math"/>
            <w:noProof/>
            <w:lang w:val="sv-SE"/>
          </w:rPr>
          <m:t xml:space="preserve"> ∙</m:t>
        </m:r>
        <m:r>
          <w:rPr>
            <w:rFonts w:ascii="Cambria Math" w:hAnsi="Cambria Math"/>
            <w:noProof/>
          </w:rPr>
          <m:t>rad</m:t>
        </m:r>
      </m:oMath>
      <w:r w:rsidRPr="00DB7D1E">
        <w:rPr>
          <w:lang w:val="sv-SE"/>
        </w:rPr>
        <w:t xml:space="preserve"> 40°-ig vagy addig a 40°-nál kisebb </w:t>
      </w:r>
      <m:oMath>
        <m:sSub>
          <m:sSubPr>
            <m:ctrlPr>
              <w:rPr>
                <w:rFonts w:ascii="Cambria Math" w:hAnsi="Cambria Math"/>
                <w:i/>
                <w:noProof/>
              </w:rPr>
            </m:ctrlPr>
          </m:sSubPr>
          <m:e>
            <m:r>
              <w:rPr>
                <w:rFonts w:ascii="Cambria Math" w:hAnsi="Cambria Math"/>
                <w:noProof/>
              </w:rPr>
              <m:t>φ</m:t>
            </m:r>
          </m:e>
          <m:sub>
            <m:r>
              <w:rPr>
                <w:rFonts w:ascii="Cambria Math" w:hAnsi="Cambria Math"/>
                <w:noProof/>
              </w:rPr>
              <m:t>f</m:t>
            </m:r>
          </m:sub>
        </m:sSub>
      </m:oMath>
      <w:r w:rsidRPr="00DB7D1E">
        <w:rPr>
          <w:lang w:val="sv-SE"/>
        </w:rPr>
        <w:t xml:space="preserve"> szögig, ahol egy védelem nélküli nyílás eléri a vízfelszínt.</w:t>
      </w:r>
    </w:p>
    <w:p w:rsidR="005624E3" w:rsidRPr="00DB7D1E" w:rsidRDefault="005624E3" w:rsidP="005624E3">
      <w:pPr>
        <w:pStyle w:val="ESlet"/>
        <w:rPr>
          <w:noProof/>
          <w:lang w:val="sv-SE"/>
        </w:rPr>
      </w:pPr>
    </w:p>
    <w:p w:rsidR="005624E3" w:rsidRPr="00DB7D1E" w:rsidRDefault="005624E3" w:rsidP="005624E3">
      <w:pPr>
        <w:rPr>
          <w:noProof/>
          <w:lang w:val="sv-SE"/>
        </w:rPr>
      </w:pPr>
      <w:r w:rsidRPr="00DB7D1E">
        <w:rPr>
          <w:lang w:val="sv-SE"/>
        </w:rPr>
        <w:br w:type="page"/>
      </w:r>
    </w:p>
    <w:p w:rsidR="005624E3" w:rsidRPr="00DB7D1E" w:rsidRDefault="005624E3" w:rsidP="005624E3">
      <w:pPr>
        <w:pStyle w:val="ESlet"/>
        <w:rPr>
          <w:noProof/>
          <w:lang w:val="sv-SE"/>
        </w:rPr>
      </w:pPr>
    </w:p>
    <w:p w:rsidR="005624E3" w:rsidRPr="00DB7D1E" w:rsidRDefault="005624E3" w:rsidP="005624E3">
      <w:pPr>
        <w:pStyle w:val="ESlet"/>
        <w:rPr>
          <w:rFonts w:cs="Arial"/>
          <w:lang w:val="sv-SE"/>
        </w:rPr>
      </w:pPr>
      <w:r w:rsidRPr="00DB7D1E">
        <w:rPr>
          <w:lang w:val="sv-SE"/>
        </w:rPr>
        <w:t>A következők között:</w:t>
      </w:r>
    </w:p>
    <w:p w:rsidR="005624E3" w:rsidRPr="00DB7D1E" w:rsidRDefault="005624E3" w:rsidP="005624E3">
      <w:pPr>
        <w:pStyle w:val="ESlet"/>
        <w:rPr>
          <w:rFonts w:cs="Arial"/>
          <w:lang w:val="sv-SE"/>
        </w:rPr>
      </w:pPr>
      <w:r w:rsidRPr="00DB7D1E">
        <w:rPr>
          <w:lang w:val="sv-SE"/>
        </w:rPr>
        <w:t>c)</w:t>
      </w:r>
      <w:r w:rsidRPr="00DB7D1E">
        <w:rPr>
          <w:lang w:val="sv-SE"/>
        </w:rPr>
        <w:tab/>
        <w:t>30° és 40°, vagy</w:t>
      </w:r>
    </w:p>
    <w:p w:rsidR="005624E3" w:rsidRPr="00DB7D1E" w:rsidRDefault="005624E3" w:rsidP="005624E3">
      <w:pPr>
        <w:pStyle w:val="ESlet"/>
        <w:rPr>
          <w:rFonts w:cs="Arial"/>
          <w:lang w:val="sv-SE"/>
        </w:rPr>
      </w:pPr>
      <w:r w:rsidRPr="00DB7D1E">
        <w:rPr>
          <w:lang w:val="sv-SE"/>
        </w:rPr>
        <w:t>d)</w:t>
      </w:r>
      <w:r w:rsidRPr="00DB7D1E">
        <w:rPr>
          <w:lang w:val="sv-SE"/>
        </w:rPr>
        <w:tab/>
        <w:t xml:space="preserve">30° és az a 40°-nál kisebb </w:t>
      </w:r>
      <m:oMath>
        <m:sSub>
          <m:sSubPr>
            <m:ctrlPr>
              <w:rPr>
                <w:rFonts w:ascii="Cambria Math" w:hAnsi="Cambria Math"/>
                <w:i/>
                <w:noProof/>
              </w:rPr>
            </m:ctrlPr>
          </m:sSubPr>
          <m:e>
            <m:r>
              <w:rPr>
                <w:rFonts w:ascii="Cambria Math" w:hAnsi="Cambria Math"/>
                <w:noProof/>
              </w:rPr>
              <m:t>φ</m:t>
            </m:r>
          </m:e>
          <m:sub>
            <m:r>
              <w:rPr>
                <w:rFonts w:ascii="Cambria Math" w:hAnsi="Cambria Math"/>
                <w:noProof/>
              </w:rPr>
              <m:t>f</m:t>
            </m:r>
          </m:sub>
        </m:sSub>
      </m:oMath>
      <w:r w:rsidRPr="00DB7D1E">
        <w:rPr>
          <w:lang w:val="sv-SE"/>
        </w:rPr>
        <w:t xml:space="preserve"> szög, ahol egy védelem nélküli nyílás eléri a vízfelszínt,</w:t>
      </w:r>
    </w:p>
    <w:p w:rsidR="005624E3" w:rsidRPr="00166EA9" w:rsidRDefault="005624E3" w:rsidP="005624E3">
      <w:pPr>
        <w:pStyle w:val="Esletgauchepar"/>
        <w:rPr>
          <w:rFonts w:cs="Arial"/>
          <w:lang w:val="pt-PT"/>
        </w:rPr>
      </w:pPr>
      <w:r w:rsidRPr="00166EA9">
        <w:rPr>
          <w:lang w:val="pt-PT"/>
        </w:rPr>
        <w:t xml:space="preserve">ez a terület nem lehet </w:t>
      </w:r>
      <m:oMath>
        <m:r>
          <w:rPr>
            <w:rFonts w:ascii="Cambria Math" w:hAnsi="Cambria Math"/>
            <w:noProof/>
            <w:lang w:val="pt-PT"/>
          </w:rPr>
          <m:t xml:space="preserve">0,03 </m:t>
        </m:r>
        <m:r>
          <w:rPr>
            <w:rFonts w:ascii="Cambria Math" w:hAnsi="Cambria Math"/>
            <w:noProof/>
          </w:rPr>
          <m:t>m</m:t>
        </m:r>
        <m:r>
          <w:rPr>
            <w:rFonts w:ascii="Cambria Math" w:hAnsi="Cambria Math"/>
            <w:noProof/>
            <w:lang w:val="pt-PT"/>
          </w:rPr>
          <m:t xml:space="preserve"> ∙</m:t>
        </m:r>
        <m:r>
          <w:rPr>
            <w:rFonts w:ascii="Cambria Math" w:hAnsi="Cambria Math"/>
            <w:noProof/>
          </w:rPr>
          <m:t>rad</m:t>
        </m:r>
      </m:oMath>
      <w:r w:rsidRPr="00166EA9">
        <w:rPr>
          <w:lang w:val="pt-PT"/>
        </w:rPr>
        <w:t>-nál kisebb.</w:t>
      </w:r>
    </w:p>
    <w:p w:rsidR="005624E3" w:rsidRPr="00DB7D1E" w:rsidRDefault="005624E3" w:rsidP="005624E3">
      <w:pPr>
        <w:pStyle w:val="ESch"/>
        <w:rPr>
          <w:rFonts w:cs="Arial"/>
          <w:szCs w:val="20"/>
          <w:lang w:val="pt-PT"/>
        </w:rPr>
      </w:pPr>
    </w:p>
    <w:p w:rsidR="005624E3" w:rsidRPr="00DB7D1E" w:rsidRDefault="005624E3" w:rsidP="005624E3">
      <w:pPr>
        <w:pStyle w:val="ESch"/>
        <w:rPr>
          <w:rFonts w:cs="Arial"/>
          <w:szCs w:val="20"/>
          <w:lang w:val="pt-PT"/>
        </w:rPr>
      </w:pPr>
    </w:p>
    <w:p w:rsidR="005624E3" w:rsidRPr="00DB7D1E" w:rsidRDefault="005624E3" w:rsidP="005624E3">
      <w:pPr>
        <w:pStyle w:val="ES-Titre3"/>
        <w:rPr>
          <w:rFonts w:cs="Arial"/>
          <w:i/>
          <w:lang w:val="pt-PT"/>
        </w:rPr>
      </w:pPr>
      <w:bookmarkStart w:id="384" w:name="_Toc491854189"/>
      <w:bookmarkStart w:id="385" w:name="_Toc535853968"/>
      <w:r w:rsidRPr="00DB7D1E">
        <w:rPr>
          <w:lang w:val="pt-PT"/>
        </w:rPr>
        <w:t>20.04. cikk</w:t>
      </w:r>
      <w:r w:rsidRPr="00DB7D1E">
        <w:rPr>
          <w:lang w:val="pt-PT"/>
        </w:rPr>
        <w:br/>
      </w:r>
      <w:r w:rsidRPr="00DB7D1E">
        <w:rPr>
          <w:i/>
          <w:noProof/>
          <w:lang w:val="pt-PT"/>
        </w:rPr>
        <w:t>Hajóépítési és gépészeti követelmények</w:t>
      </w:r>
      <w:bookmarkEnd w:id="384"/>
      <w:bookmarkEnd w:id="385"/>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 xml:space="preserve">1. </w:t>
      </w:r>
      <w:r w:rsidRPr="00DB7D1E">
        <w:rPr>
          <w:lang w:val="pt-PT"/>
        </w:rPr>
        <w:tab/>
        <w:t xml:space="preserve">A 6.01. cikk 3. bekezdésétől és a 10.01. cikk 3. bekezdésétől eltérve, a berendezéseket 20°-ig terjedő </w:t>
      </w:r>
      <w:r w:rsidR="00166EA9" w:rsidRPr="00166EA9">
        <w:rPr>
          <w:lang w:val="pt-PT"/>
        </w:rPr>
        <w:t>állandó dőlésszög</w:t>
      </w:r>
      <w:r w:rsidRPr="00DB7D1E">
        <w:rPr>
          <w:lang w:val="pt-PT"/>
        </w:rPr>
        <w:t>re kell tervezni.</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2.</w:t>
      </w:r>
      <w:r w:rsidRPr="00DB7D1E">
        <w:rPr>
          <w:lang w:val="pt-PT"/>
        </w:rPr>
        <w:tab/>
        <w:t>A 19.06. cikk 5. bekezdésének a) pontjától és a 19.06. cikk 9. bekezdésének b) pontjától eltérve, a legfeljebb 25 m hosszúságú vitorlás személyhajók esetében az ellenőrző szerv engedélyezhet 0,80 m-nél kisebb szabad szélességgel rendelkező összekötő folyosókat és lépcsőket. A szabad szélesség azonban nem lehet kisebb 0,60 m-nél.</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3.</w:t>
      </w:r>
      <w:r w:rsidRPr="00DB7D1E">
        <w:rPr>
          <w:lang w:val="pt-PT"/>
        </w:rPr>
        <w:tab/>
        <w:t>A 19.06. cikk 10. bekezdésének a) pontjától eltérve, különleges esetekben az ellenőrző szerv engedélyezheti leszerelhető védőkorlátok használatát olyan helyeken, ahol erre szükség van a vitorlázat kezeléséhez.</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4.</w:t>
      </w:r>
      <w:r w:rsidRPr="00DB7D1E">
        <w:rPr>
          <w:lang w:val="pt-PT"/>
        </w:rPr>
        <w:tab/>
        <w:t>A 19.07. cikk értelmében a vitorlázat fő propulziós rendszernek minősül.</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5.</w:t>
      </w:r>
      <w:r w:rsidRPr="00DB7D1E">
        <w:rPr>
          <w:lang w:val="pt-PT"/>
        </w:rPr>
        <w:tab/>
        <w:t>A 19.15. cikk 6. bekezdésének c) pontjától eltérve, az ajtónyílás alsó szélének magassága lecsökkenthető az utasok által használt terület padlószintjétől számított 0,20 m-ig. Nyitás után az ajtónak önműködően csukódnia és záródnia kell.</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6.</w:t>
      </w:r>
      <w:r w:rsidRPr="00DB7D1E">
        <w:rPr>
          <w:lang w:val="pt-PT"/>
        </w:rPr>
        <w:tab/>
        <w:t>Ha a vitorláshajó propulziós műve üresjáratban lehet, a propulziós rendszer veszélyeztetett részeit védeni kell a lehetséges sérülések ellen.</w:t>
      </w:r>
    </w:p>
    <w:p w:rsidR="005624E3" w:rsidRPr="00DB7D1E" w:rsidRDefault="005624E3" w:rsidP="005624E3">
      <w:pPr>
        <w:pStyle w:val="ESch"/>
        <w:rPr>
          <w:rFonts w:cs="Arial"/>
          <w:szCs w:val="20"/>
          <w:lang w:val="pt-PT"/>
        </w:rPr>
      </w:pPr>
    </w:p>
    <w:p w:rsidR="005624E3" w:rsidRPr="00DB7D1E" w:rsidRDefault="005624E3" w:rsidP="005624E3">
      <w:pPr>
        <w:pStyle w:val="ESch"/>
        <w:rPr>
          <w:rFonts w:cs="Arial"/>
          <w:szCs w:val="20"/>
          <w:lang w:val="pt-PT"/>
        </w:rPr>
      </w:pPr>
    </w:p>
    <w:p w:rsidR="005624E3" w:rsidRPr="00DB7D1E" w:rsidRDefault="005624E3" w:rsidP="005624E3">
      <w:pPr>
        <w:pStyle w:val="ES-Titre3"/>
        <w:rPr>
          <w:rFonts w:cs="Arial"/>
          <w:i/>
          <w:lang w:val="pt-PT"/>
        </w:rPr>
      </w:pPr>
      <w:bookmarkStart w:id="386" w:name="_Toc491854190"/>
      <w:bookmarkStart w:id="387" w:name="_Toc535853969"/>
      <w:r w:rsidRPr="00DB7D1E">
        <w:rPr>
          <w:lang w:val="pt-PT"/>
        </w:rPr>
        <w:t>20.05. cikk</w:t>
      </w:r>
      <w:r w:rsidRPr="00DB7D1E">
        <w:rPr>
          <w:lang w:val="pt-PT"/>
        </w:rPr>
        <w:br/>
      </w:r>
      <w:r w:rsidRPr="00DB7D1E">
        <w:rPr>
          <w:i/>
          <w:noProof/>
          <w:lang w:val="pt-PT"/>
        </w:rPr>
        <w:t>A kötélzetre vonatkozó általános rendelkezések</w:t>
      </w:r>
      <w:bookmarkEnd w:id="386"/>
      <w:bookmarkEnd w:id="387"/>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1.</w:t>
      </w:r>
      <w:r w:rsidRPr="00DB7D1E">
        <w:rPr>
          <w:lang w:val="pt-PT"/>
        </w:rPr>
        <w:tab/>
        <w:t>A kötélzet részeit úgy kell elrendezni, hogy az elfogadhatatlan mértékű kopás megakadályozható legyen.</w:t>
      </w:r>
    </w:p>
    <w:p w:rsidR="005624E3" w:rsidRPr="00DB7D1E" w:rsidRDefault="005624E3" w:rsidP="005624E3">
      <w:pPr>
        <w:pStyle w:val="ESch"/>
        <w:rPr>
          <w:noProof/>
          <w:szCs w:val="20"/>
          <w:lang w:val="pt-PT"/>
        </w:rPr>
      </w:pPr>
    </w:p>
    <w:p w:rsidR="005624E3" w:rsidRPr="00DB7D1E" w:rsidRDefault="005624E3" w:rsidP="005624E3">
      <w:pPr>
        <w:pStyle w:val="ESch"/>
        <w:rPr>
          <w:noProof/>
          <w:szCs w:val="20"/>
          <w:lang w:val="pt-PT"/>
        </w:rPr>
      </w:pPr>
      <w:r w:rsidRPr="00DB7D1E">
        <w:rPr>
          <w:lang w:val="pt-PT"/>
        </w:rPr>
        <w:t>2.</w:t>
      </w:r>
      <w:r w:rsidRPr="00DB7D1E">
        <w:rPr>
          <w:lang w:val="pt-PT"/>
        </w:rPr>
        <w:tab/>
        <w:t xml:space="preserve">Amennyiben fától eltérő anyagot, illetve különleges típusú kötélzetet használnak, az ilyen szerkezetnek az e fejezetben megállapított méretezési és szilárdsági értékekkel egyenlő biztonsági szintet kell biztosítania. </w:t>
      </w:r>
    </w:p>
    <w:p w:rsidR="005624E3" w:rsidRPr="00DB7D1E" w:rsidRDefault="005624E3" w:rsidP="005624E3">
      <w:pPr>
        <w:pStyle w:val="ESchpar"/>
        <w:rPr>
          <w:noProof/>
          <w:lang w:val="pt-PT"/>
        </w:rPr>
      </w:pPr>
    </w:p>
    <w:p w:rsidR="005624E3" w:rsidRPr="00DB7D1E" w:rsidRDefault="005624E3" w:rsidP="005624E3">
      <w:pPr>
        <w:pStyle w:val="ESchpar"/>
        <w:rPr>
          <w:rFonts w:cs="Arial"/>
          <w:lang w:val="pt-PT"/>
        </w:rPr>
      </w:pPr>
      <w:r w:rsidRPr="00DB7D1E">
        <w:rPr>
          <w:lang w:val="pt-PT"/>
        </w:rPr>
        <w:t>A megfelelő szilárdság igazolásához:</w:t>
      </w:r>
    </w:p>
    <w:p w:rsidR="005624E3" w:rsidRPr="00DB7D1E" w:rsidRDefault="005624E3" w:rsidP="005624E3">
      <w:pPr>
        <w:pStyle w:val="ESlet"/>
        <w:rPr>
          <w:rFonts w:cs="Arial"/>
          <w:lang w:val="pt-PT"/>
        </w:rPr>
      </w:pPr>
      <w:r w:rsidRPr="00DB7D1E">
        <w:rPr>
          <w:lang w:val="pt-PT"/>
        </w:rPr>
        <w:t>a)</w:t>
      </w:r>
      <w:r w:rsidRPr="00DB7D1E">
        <w:rPr>
          <w:lang w:val="pt-PT"/>
        </w:rPr>
        <w:tab/>
        <w:t>szilárdságra vonatkozó számítást kell végezni; vagy</w:t>
      </w:r>
    </w:p>
    <w:p w:rsidR="005624E3" w:rsidRPr="00DB7D1E" w:rsidRDefault="005624E3" w:rsidP="005624E3">
      <w:pPr>
        <w:pStyle w:val="ESlet"/>
        <w:rPr>
          <w:rFonts w:cs="Arial"/>
          <w:lang w:val="pt-PT"/>
        </w:rPr>
      </w:pPr>
      <w:r w:rsidRPr="00DB7D1E">
        <w:rPr>
          <w:lang w:val="pt-PT"/>
        </w:rPr>
        <w:t>b)</w:t>
      </w:r>
      <w:r w:rsidRPr="00DB7D1E">
        <w:rPr>
          <w:lang w:val="pt-PT"/>
        </w:rPr>
        <w:tab/>
        <w:t>egy elismert hajóosztályozó társaság által kiadott bizonyítvánnyal kell rendelkezni; vagy</w:t>
      </w:r>
    </w:p>
    <w:p w:rsidR="005624E3" w:rsidRPr="00DB7D1E" w:rsidRDefault="005624E3" w:rsidP="005624E3">
      <w:pPr>
        <w:pStyle w:val="ESlet"/>
        <w:rPr>
          <w:rFonts w:cs="Arial"/>
          <w:lang w:val="pt-PT"/>
        </w:rPr>
      </w:pPr>
      <w:r w:rsidRPr="00DB7D1E">
        <w:rPr>
          <w:lang w:val="pt-PT"/>
        </w:rPr>
        <w:t>c)</w:t>
      </w:r>
      <w:r w:rsidRPr="00DB7D1E">
        <w:rPr>
          <w:lang w:val="pt-PT"/>
        </w:rPr>
        <w:tab/>
        <w:t>a méretezésnek egy elismert szabályozó keretrendszer (pl. Middendorf, Kusk-Jensen) által meghatározott eljárásokon kell alapulnia.</w:t>
      </w:r>
    </w:p>
    <w:p w:rsidR="005624E3" w:rsidRPr="00DB7D1E" w:rsidRDefault="005624E3" w:rsidP="005624E3">
      <w:pPr>
        <w:pStyle w:val="ESch"/>
        <w:rPr>
          <w:noProof/>
          <w:szCs w:val="20"/>
          <w:lang w:val="pt-PT"/>
        </w:rPr>
      </w:pPr>
    </w:p>
    <w:p w:rsidR="005624E3" w:rsidRPr="00DB7D1E" w:rsidRDefault="005624E3" w:rsidP="005624E3">
      <w:pPr>
        <w:pStyle w:val="ESchpar"/>
        <w:rPr>
          <w:noProof/>
          <w:lang w:val="pt-PT"/>
        </w:rPr>
      </w:pPr>
      <w:r w:rsidRPr="00DB7D1E">
        <w:rPr>
          <w:lang w:val="pt-PT"/>
        </w:rPr>
        <w:t>Az igazolást be kell mutatni az ellenőrző szervnek.</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p>
    <w:p w:rsidR="005624E3" w:rsidRPr="00DB7D1E" w:rsidRDefault="005624E3" w:rsidP="005624E3">
      <w:pPr>
        <w:rPr>
          <w:rFonts w:cs="Arial"/>
          <w:szCs w:val="20"/>
          <w:lang w:val="pt-PT"/>
        </w:rPr>
      </w:pPr>
      <w:r w:rsidRPr="00DB7D1E">
        <w:rPr>
          <w:lang w:val="pt-PT"/>
        </w:rPr>
        <w:br w:type="page"/>
      </w:r>
    </w:p>
    <w:p w:rsidR="005624E3" w:rsidRPr="00DB7D1E" w:rsidRDefault="005624E3" w:rsidP="005624E3">
      <w:pPr>
        <w:pStyle w:val="ES-Titre3"/>
        <w:rPr>
          <w:rFonts w:cs="Arial"/>
          <w:i/>
          <w:lang w:val="pt-PT"/>
        </w:rPr>
      </w:pPr>
      <w:bookmarkStart w:id="388" w:name="_Toc491854191"/>
      <w:bookmarkStart w:id="389" w:name="_Toc535853970"/>
      <w:r w:rsidRPr="00DB7D1E">
        <w:rPr>
          <w:lang w:val="pt-PT"/>
        </w:rPr>
        <w:t>20.06. cikk</w:t>
      </w:r>
      <w:r w:rsidRPr="00DB7D1E">
        <w:rPr>
          <w:lang w:val="pt-PT"/>
        </w:rPr>
        <w:br/>
      </w:r>
      <w:r w:rsidRPr="00DB7D1E">
        <w:rPr>
          <w:i/>
          <w:noProof/>
          <w:lang w:val="pt-PT"/>
        </w:rPr>
        <w:t>Árbócokra és vitorlarudakra vonatkozó általános rendelkezések</w:t>
      </w:r>
      <w:bookmarkEnd w:id="388"/>
      <w:bookmarkEnd w:id="389"/>
    </w:p>
    <w:p w:rsidR="005624E3" w:rsidRPr="00DB7D1E" w:rsidRDefault="005624E3" w:rsidP="005624E3">
      <w:pPr>
        <w:pStyle w:val="ESch"/>
        <w:rPr>
          <w:i/>
          <w:noProof/>
          <w:szCs w:val="20"/>
          <w:lang w:val="pt-PT"/>
        </w:rPr>
      </w:pPr>
    </w:p>
    <w:p w:rsidR="005624E3" w:rsidRPr="00DB7D1E" w:rsidRDefault="005624E3" w:rsidP="005624E3">
      <w:pPr>
        <w:pStyle w:val="ESch"/>
        <w:rPr>
          <w:rFonts w:cs="Arial"/>
          <w:szCs w:val="20"/>
          <w:lang w:val="pt-PT"/>
        </w:rPr>
      </w:pPr>
      <w:r w:rsidRPr="00DB7D1E">
        <w:rPr>
          <w:lang w:val="pt-PT"/>
        </w:rPr>
        <w:t xml:space="preserve">1. </w:t>
      </w:r>
      <w:r w:rsidRPr="00DB7D1E">
        <w:rPr>
          <w:lang w:val="pt-PT"/>
        </w:rPr>
        <w:tab/>
        <w:t>Minden vitorlarudat jó minőségű anyagból kell készíteni.</w:t>
      </w:r>
    </w:p>
    <w:p w:rsidR="005624E3" w:rsidRPr="00DB7D1E" w:rsidRDefault="005624E3" w:rsidP="005624E3">
      <w:pPr>
        <w:pStyle w:val="ESch"/>
        <w:rPr>
          <w:noProof/>
          <w:szCs w:val="20"/>
          <w:lang w:val="pt-PT"/>
        </w:rPr>
      </w:pPr>
    </w:p>
    <w:p w:rsidR="005624E3" w:rsidRPr="00DB7D1E" w:rsidRDefault="005624E3" w:rsidP="005624E3">
      <w:pPr>
        <w:pStyle w:val="ESch"/>
        <w:rPr>
          <w:rFonts w:cs="Arial"/>
          <w:szCs w:val="20"/>
          <w:lang w:val="pt-PT"/>
        </w:rPr>
      </w:pPr>
      <w:r w:rsidRPr="00DB7D1E">
        <w:rPr>
          <w:lang w:val="pt-PT"/>
        </w:rPr>
        <w:t xml:space="preserve">2. </w:t>
      </w:r>
      <w:r w:rsidRPr="00DB7D1E">
        <w:rPr>
          <w:lang w:val="pt-PT"/>
        </w:rPr>
        <w:tab/>
        <w:t>Az árbóc fájára vonatkozó követelmények:</w:t>
      </w:r>
    </w:p>
    <w:p w:rsidR="005624E3" w:rsidRPr="00DB7D1E" w:rsidRDefault="005624E3" w:rsidP="005624E3">
      <w:pPr>
        <w:pStyle w:val="ESlet"/>
        <w:rPr>
          <w:rFonts w:cs="Arial"/>
          <w:lang w:val="pt-PT"/>
        </w:rPr>
      </w:pPr>
      <w:r w:rsidRPr="00DB7D1E">
        <w:rPr>
          <w:lang w:val="pt-PT"/>
        </w:rPr>
        <w:t>a)</w:t>
      </w:r>
      <w:r w:rsidRPr="00DB7D1E">
        <w:rPr>
          <w:lang w:val="pt-PT"/>
        </w:rPr>
        <w:tab/>
        <w:t>csomómentesnek kell lennie;</w:t>
      </w:r>
    </w:p>
    <w:p w:rsidR="005624E3" w:rsidRPr="00DB7D1E" w:rsidRDefault="005624E3" w:rsidP="005624E3">
      <w:pPr>
        <w:pStyle w:val="ESlet"/>
        <w:rPr>
          <w:rFonts w:cs="Arial"/>
          <w:lang w:val="pt-PT"/>
        </w:rPr>
      </w:pPr>
      <w:r w:rsidRPr="00DB7D1E">
        <w:rPr>
          <w:lang w:val="pt-PT"/>
        </w:rPr>
        <w:t>b)</w:t>
      </w:r>
      <w:r w:rsidRPr="00DB7D1E">
        <w:rPr>
          <w:lang w:val="pt-PT"/>
        </w:rPr>
        <w:tab/>
        <w:t>az előírt méreteken belül szijácsmentesnek kell lennie;</w:t>
      </w:r>
    </w:p>
    <w:p w:rsidR="005624E3" w:rsidRPr="00DB7D1E" w:rsidRDefault="005624E3" w:rsidP="005624E3">
      <w:pPr>
        <w:pStyle w:val="ESlet"/>
        <w:rPr>
          <w:rFonts w:cs="Arial"/>
          <w:lang w:val="nb-NO"/>
        </w:rPr>
      </w:pPr>
      <w:r w:rsidRPr="00DB7D1E">
        <w:rPr>
          <w:lang w:val="nb-NO"/>
        </w:rPr>
        <w:t xml:space="preserve">c) </w:t>
      </w:r>
      <w:r w:rsidRPr="00DB7D1E">
        <w:rPr>
          <w:lang w:val="nb-NO"/>
        </w:rPr>
        <w:tab/>
        <w:t>amennyire lehet, egyenes rostúnak kell lennie;</w:t>
      </w:r>
    </w:p>
    <w:p w:rsidR="005624E3" w:rsidRPr="00DB7D1E" w:rsidRDefault="005624E3" w:rsidP="005624E3">
      <w:pPr>
        <w:pStyle w:val="ESlet"/>
        <w:rPr>
          <w:rFonts w:cs="Arial"/>
          <w:lang w:val="nb-NO"/>
        </w:rPr>
      </w:pPr>
      <w:r w:rsidRPr="00DB7D1E">
        <w:rPr>
          <w:lang w:val="nb-NO"/>
        </w:rPr>
        <w:t>d)</w:t>
      </w:r>
      <w:r w:rsidRPr="00DB7D1E">
        <w:rPr>
          <w:lang w:val="nb-NO"/>
        </w:rPr>
        <w:tab/>
        <w:t>a lehető legkevésbé csavarodottnak kell lennie.</w:t>
      </w:r>
    </w:p>
    <w:p w:rsidR="005624E3" w:rsidRPr="00DB7D1E" w:rsidRDefault="005624E3" w:rsidP="005624E3">
      <w:pPr>
        <w:pStyle w:val="ESch"/>
        <w:rPr>
          <w:noProof/>
          <w:szCs w:val="20"/>
          <w:lang w:val="nb-NO"/>
        </w:rPr>
      </w:pPr>
    </w:p>
    <w:p w:rsidR="005624E3" w:rsidRPr="00DB7D1E" w:rsidRDefault="005624E3" w:rsidP="005624E3">
      <w:pPr>
        <w:pStyle w:val="ESch"/>
        <w:rPr>
          <w:rFonts w:cs="Arial"/>
          <w:szCs w:val="20"/>
          <w:lang w:val="nb-NO"/>
        </w:rPr>
      </w:pPr>
      <w:r w:rsidRPr="00DB7D1E">
        <w:rPr>
          <w:lang w:val="nb-NO"/>
        </w:rPr>
        <w:t>3.</w:t>
      </w:r>
      <w:r w:rsidRPr="00DB7D1E">
        <w:rPr>
          <w:lang w:val="nb-NO"/>
        </w:rPr>
        <w:tab/>
        <w:t>Ha a kiválasztott fa „tiszta és jobb” minőségű szurokfenyő vagy oregoni fenyő, a 20.07–20.12. cikkben foglalt táblázatokban szereplő átmérőértékek 5 %-kal csökkenthetők.</w:t>
      </w:r>
    </w:p>
    <w:p w:rsidR="005624E3" w:rsidRPr="00DB7D1E" w:rsidRDefault="005624E3" w:rsidP="005624E3">
      <w:pPr>
        <w:pStyle w:val="ESch"/>
        <w:rPr>
          <w:noProof/>
          <w:szCs w:val="20"/>
          <w:lang w:val="nb-NO"/>
        </w:rPr>
      </w:pPr>
    </w:p>
    <w:p w:rsidR="005624E3" w:rsidRPr="00DB7D1E" w:rsidRDefault="005624E3" w:rsidP="005624E3">
      <w:pPr>
        <w:pStyle w:val="ESch"/>
        <w:rPr>
          <w:rFonts w:cs="Arial"/>
          <w:szCs w:val="20"/>
          <w:lang w:val="nb-NO"/>
        </w:rPr>
      </w:pPr>
      <w:r w:rsidRPr="00DB7D1E">
        <w:rPr>
          <w:lang w:val="nb-NO"/>
        </w:rPr>
        <w:t>4.</w:t>
      </w:r>
      <w:r w:rsidRPr="00DB7D1E">
        <w:rPr>
          <w:lang w:val="nb-NO"/>
        </w:rPr>
        <w:tab/>
        <w:t>Ha az árbóchoz, árbócsudárhoz, keresztárbóchoz, vitorlarúdhoz és orrárbóchoz használt szálfa keresztmetszete nem kerek, az ilyen faanyagoknak egyenértékű szilárdsággal kell rendelkezniük.</w:t>
      </w:r>
    </w:p>
    <w:p w:rsidR="005624E3" w:rsidRPr="00DB7D1E" w:rsidRDefault="005624E3" w:rsidP="005624E3">
      <w:pPr>
        <w:pStyle w:val="ESch"/>
        <w:rPr>
          <w:noProof/>
          <w:szCs w:val="20"/>
          <w:lang w:val="nb-NO"/>
        </w:rPr>
      </w:pPr>
    </w:p>
    <w:p w:rsidR="005624E3" w:rsidRPr="00DB7D1E" w:rsidRDefault="005624E3" w:rsidP="005624E3">
      <w:pPr>
        <w:pStyle w:val="ESch"/>
        <w:rPr>
          <w:rFonts w:cs="Arial"/>
          <w:szCs w:val="20"/>
          <w:lang w:val="nb-NO"/>
        </w:rPr>
      </w:pPr>
      <w:r w:rsidRPr="00DB7D1E">
        <w:rPr>
          <w:lang w:val="nb-NO"/>
        </w:rPr>
        <w:t>5.</w:t>
      </w:r>
      <w:r w:rsidRPr="00DB7D1E">
        <w:rPr>
          <w:lang w:val="nb-NO"/>
        </w:rPr>
        <w:tab/>
        <w:t>Az árbóc talpát, törzsét és a fedélzethez, a padlólapokhoz, az orrhoz és a tathoz való rögzítését úgy kell kialakítani, hogy a rá ható erőket vagy elnyelje, vagy átadja a szerkezet egyéb kapcsolódó részeinek.</w:t>
      </w:r>
    </w:p>
    <w:p w:rsidR="005624E3" w:rsidRPr="00DB7D1E" w:rsidRDefault="005624E3" w:rsidP="005624E3">
      <w:pPr>
        <w:pStyle w:val="ESch"/>
        <w:rPr>
          <w:noProof/>
          <w:szCs w:val="20"/>
          <w:lang w:val="nb-NO"/>
        </w:rPr>
      </w:pPr>
    </w:p>
    <w:p w:rsidR="005624E3" w:rsidRPr="00DB7D1E" w:rsidRDefault="005624E3" w:rsidP="005624E3">
      <w:pPr>
        <w:pStyle w:val="ESch"/>
        <w:rPr>
          <w:rFonts w:cs="Arial"/>
          <w:szCs w:val="20"/>
          <w:lang w:val="nb-NO"/>
        </w:rPr>
      </w:pPr>
      <w:r w:rsidRPr="00DB7D1E">
        <w:rPr>
          <w:lang w:val="nb-NO"/>
        </w:rPr>
        <w:t xml:space="preserve">6. </w:t>
      </w:r>
      <w:r w:rsidRPr="00DB7D1E">
        <w:rPr>
          <w:lang w:val="nb-NO"/>
        </w:rPr>
        <w:tab/>
        <w:t>A hajó stabilitásától és a rá ható külső erőktől, valamint a rendelkezésre álló vitorlafelület elosztásától függően az ellenőrző szerv a 20.07–20.12. cikkben megállapított méretek alapján csökkentéseket engedélyezhet a vitorlarudak keresztmetszetére, továbbá, indokolt esetben a kötélzetre vonatkozóan. Az igazolást a 20.05. cikk 2. bekezdésének megfelelően kell benyújtani.</w:t>
      </w:r>
    </w:p>
    <w:p w:rsidR="005624E3" w:rsidRPr="00DB7D1E" w:rsidRDefault="005624E3" w:rsidP="005624E3">
      <w:pPr>
        <w:pStyle w:val="ESch"/>
        <w:rPr>
          <w:noProof/>
          <w:szCs w:val="20"/>
          <w:lang w:val="nb-NO"/>
        </w:rPr>
      </w:pPr>
    </w:p>
    <w:p w:rsidR="005624E3" w:rsidRPr="00DB7D1E" w:rsidRDefault="005624E3" w:rsidP="005624E3">
      <w:pPr>
        <w:pStyle w:val="ESch"/>
        <w:rPr>
          <w:rFonts w:cs="Arial"/>
          <w:szCs w:val="20"/>
          <w:lang w:val="nb-NO"/>
        </w:rPr>
      </w:pPr>
      <w:r w:rsidRPr="00DB7D1E">
        <w:rPr>
          <w:lang w:val="nb-NO"/>
        </w:rPr>
        <w:t>7.</w:t>
      </w:r>
      <w:r w:rsidRPr="00DB7D1E">
        <w:rPr>
          <w:lang w:val="nb-NO"/>
        </w:rPr>
        <w:tab/>
        <w:t>Ha a hajó billegési/dülöngélési periódusa másodpercben mérve kevesebb, mint méterben mért szélességének háromnegyede, növelni kell a 20.07–20.12. cikkben megállapított méreteket. Az igazolást a 20.05. cikk 2. bekezdésének megfelelően kell benyújtani.</w:t>
      </w:r>
    </w:p>
    <w:p w:rsidR="005624E3" w:rsidRPr="00DB7D1E" w:rsidRDefault="005624E3" w:rsidP="005624E3">
      <w:pPr>
        <w:pStyle w:val="ESch"/>
        <w:rPr>
          <w:noProof/>
          <w:szCs w:val="20"/>
          <w:lang w:val="nb-NO"/>
        </w:rPr>
      </w:pPr>
    </w:p>
    <w:p w:rsidR="005624E3" w:rsidRPr="00DB7D1E" w:rsidRDefault="005624E3" w:rsidP="005624E3">
      <w:pPr>
        <w:pStyle w:val="ESch"/>
        <w:rPr>
          <w:rFonts w:cs="Arial"/>
          <w:szCs w:val="20"/>
          <w:lang w:val="nb-NO"/>
        </w:rPr>
      </w:pPr>
      <w:r w:rsidRPr="00DB7D1E">
        <w:rPr>
          <w:lang w:val="nb-NO"/>
        </w:rPr>
        <w:t xml:space="preserve">8. </w:t>
      </w:r>
      <w:r w:rsidRPr="00DB7D1E">
        <w:rPr>
          <w:lang w:val="nb-NO"/>
        </w:rPr>
        <w:tab/>
        <w:t>A 20.07–20.12. és 20.14. cikkben szereplő táblázatokban a lehetséges közbenső értékeket interpolálással kell meghatározni.</w:t>
      </w:r>
    </w:p>
    <w:p w:rsidR="005624E3" w:rsidRPr="00DB7D1E" w:rsidRDefault="005624E3" w:rsidP="005624E3">
      <w:pPr>
        <w:pStyle w:val="ESch"/>
        <w:rPr>
          <w:rFonts w:cs="Arial"/>
          <w:szCs w:val="20"/>
          <w:lang w:val="nb-NO"/>
        </w:rPr>
      </w:pPr>
    </w:p>
    <w:p w:rsidR="005624E3" w:rsidRPr="00DB7D1E" w:rsidRDefault="005624E3" w:rsidP="005624E3">
      <w:pPr>
        <w:pStyle w:val="ESch"/>
        <w:rPr>
          <w:rFonts w:cs="Arial"/>
          <w:szCs w:val="20"/>
          <w:lang w:val="nb-NO"/>
        </w:rPr>
      </w:pPr>
    </w:p>
    <w:p w:rsidR="005624E3" w:rsidRPr="00DB7D1E" w:rsidRDefault="005624E3" w:rsidP="005624E3">
      <w:pPr>
        <w:pStyle w:val="ES-Titre3"/>
        <w:rPr>
          <w:rFonts w:cs="Arial"/>
          <w:i/>
          <w:lang w:val="nb-NO"/>
        </w:rPr>
      </w:pPr>
      <w:bookmarkStart w:id="390" w:name="_Toc491854192"/>
      <w:bookmarkStart w:id="391" w:name="_Toc535853971"/>
      <w:r w:rsidRPr="00DB7D1E">
        <w:rPr>
          <w:lang w:val="nb-NO"/>
        </w:rPr>
        <w:t>20.07. cikk</w:t>
      </w:r>
      <w:r w:rsidRPr="00DB7D1E">
        <w:rPr>
          <w:lang w:val="nb-NO"/>
        </w:rPr>
        <w:br/>
      </w:r>
      <w:r w:rsidRPr="00DB7D1E">
        <w:rPr>
          <w:i/>
          <w:noProof/>
          <w:lang w:val="nb-NO"/>
        </w:rPr>
        <w:t>Az árbócokra vonatkozó külön rendelkezések</w:t>
      </w:r>
      <w:bookmarkEnd w:id="390"/>
      <w:bookmarkEnd w:id="391"/>
    </w:p>
    <w:p w:rsidR="005624E3" w:rsidRPr="00DB7D1E" w:rsidRDefault="005624E3" w:rsidP="005624E3">
      <w:pPr>
        <w:pStyle w:val="ESch"/>
        <w:rPr>
          <w:noProof/>
          <w:szCs w:val="20"/>
          <w:lang w:val="nb-NO"/>
        </w:rPr>
      </w:pPr>
    </w:p>
    <w:p w:rsidR="005624E3" w:rsidRPr="00DB7D1E" w:rsidRDefault="005624E3" w:rsidP="005624E3">
      <w:pPr>
        <w:pStyle w:val="ESch"/>
        <w:rPr>
          <w:rFonts w:cs="Arial"/>
          <w:szCs w:val="20"/>
          <w:lang w:val="nb-NO"/>
        </w:rPr>
      </w:pPr>
      <w:r w:rsidRPr="00DB7D1E">
        <w:rPr>
          <w:lang w:val="nb-NO"/>
        </w:rPr>
        <w:t xml:space="preserve">1. </w:t>
      </w:r>
      <w:r w:rsidRPr="00DB7D1E">
        <w:rPr>
          <w:lang w:val="nb-NO"/>
        </w:rPr>
        <w:tab/>
        <w:t>A fából készült árbócnak az alábbi minimumkövetelményeknek kell megfelelnie:</w:t>
      </w:r>
    </w:p>
    <w:p w:rsidR="005624E3" w:rsidRPr="00DB7D1E" w:rsidRDefault="005624E3" w:rsidP="005624E3">
      <w:pPr>
        <w:pStyle w:val="ESch"/>
        <w:rPr>
          <w:szCs w:val="20"/>
          <w:lang w:val="nb-NO"/>
        </w:rPr>
      </w:pPr>
    </w:p>
    <w:tbl>
      <w:tblPr>
        <w:tblW w:w="0" w:type="auto"/>
        <w:jc w:val="center"/>
        <w:tblLayout w:type="fixed"/>
        <w:tblLook w:val="0000" w:firstRow="0" w:lastRow="0" w:firstColumn="0" w:lastColumn="0" w:noHBand="0" w:noVBand="0"/>
      </w:tblPr>
      <w:tblGrid>
        <w:gridCol w:w="1871"/>
        <w:gridCol w:w="1871"/>
        <w:gridCol w:w="1871"/>
        <w:gridCol w:w="1871"/>
      </w:tblGrid>
      <w:tr w:rsidR="005624E3" w:rsidRPr="00A0619C" w:rsidTr="00101A80">
        <w:trPr>
          <w:cantSplit/>
          <w:tblHeader/>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20" w:after="20" w:line="240" w:lineRule="atLeast"/>
              <w:rPr>
                <w:rFonts w:cs="Arial"/>
                <w:noProof/>
                <w:sz w:val="18"/>
                <w:szCs w:val="18"/>
              </w:rPr>
            </w:pPr>
            <w:r>
              <w:rPr>
                <w:noProof/>
                <w:sz w:val="18"/>
              </w:rPr>
              <w:t>Hosszúság</w:t>
            </w:r>
            <w:r>
              <w:rPr>
                <w:rStyle w:val="FootnoteReference"/>
                <w:noProof/>
                <w:sz w:val="18"/>
              </w:rPr>
              <w:footnoteReference w:id="12"/>
            </w:r>
            <w:r>
              <w:rPr>
                <w:rFonts w:cs="Arial"/>
                <w:noProof/>
                <w:sz w:val="18"/>
                <w:szCs w:val="18"/>
              </w:rPr>
              <w:br/>
            </w:r>
            <w:r>
              <w:rPr>
                <w:noProof/>
                <w:sz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20" w:after="20" w:line="240" w:lineRule="atLeast"/>
              <w:rPr>
                <w:rFonts w:cs="Arial"/>
                <w:noProof/>
                <w:sz w:val="18"/>
                <w:szCs w:val="18"/>
              </w:rPr>
            </w:pPr>
            <w:r>
              <w:rPr>
                <w:noProof/>
                <w:sz w:val="18"/>
              </w:rPr>
              <w:t>Átmérő a fedélzetnél</w:t>
            </w:r>
            <w:r>
              <w:rPr>
                <w:rFonts w:cs="Arial"/>
                <w:noProof/>
                <w:sz w:val="18"/>
                <w:szCs w:val="18"/>
              </w:rPr>
              <w:br/>
            </w:r>
            <w:r>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20" w:after="20" w:line="240" w:lineRule="atLeast"/>
              <w:rPr>
                <w:rFonts w:cs="Arial"/>
                <w:noProof/>
                <w:sz w:val="18"/>
                <w:szCs w:val="18"/>
              </w:rPr>
            </w:pPr>
            <w:r>
              <w:rPr>
                <w:noProof/>
                <w:sz w:val="18"/>
              </w:rPr>
              <w:t>Átmérő a keresztrúdnál</w:t>
            </w:r>
            <w:r>
              <w:rPr>
                <w:rFonts w:cs="Arial"/>
                <w:noProof/>
                <w:sz w:val="18"/>
                <w:szCs w:val="18"/>
              </w:rPr>
              <w:br/>
            </w:r>
            <w:r>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20" w:after="20" w:line="240" w:lineRule="atLeast"/>
              <w:rPr>
                <w:rFonts w:cs="Arial"/>
                <w:noProof/>
                <w:sz w:val="18"/>
                <w:szCs w:val="18"/>
              </w:rPr>
            </w:pPr>
            <w:r>
              <w:rPr>
                <w:noProof/>
                <w:sz w:val="18"/>
              </w:rPr>
              <w:t>Átmérő az árbócsüvegnél</w:t>
            </w:r>
            <w:r>
              <w:rPr>
                <w:rFonts w:cs="Arial"/>
                <w:noProof/>
                <w:sz w:val="18"/>
                <w:szCs w:val="18"/>
              </w:rPr>
              <w:br/>
            </w:r>
            <w:r>
              <w:rPr>
                <w:noProof/>
                <w:sz w:val="18"/>
              </w:rPr>
              <w:t>[cm]</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15</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15</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17</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18</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19</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30</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21</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32</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40" w:after="20" w:line="240" w:lineRule="atLeast"/>
              <w:jc w:val="center"/>
              <w:rPr>
                <w:rFonts w:cs="Arial"/>
                <w:noProof/>
                <w:sz w:val="18"/>
                <w:szCs w:val="18"/>
              </w:rPr>
            </w:pPr>
            <w:r>
              <w:rPr>
                <w:noProof/>
                <w:sz w:val="18"/>
              </w:rPr>
              <w:t>22</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23</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24</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19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25</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41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33</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26</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43</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28</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44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29</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46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37</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30</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49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32</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51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41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20" w:after="20" w:line="240" w:lineRule="atLeast"/>
              <w:jc w:val="center"/>
              <w:rPr>
                <w:rFonts w:cs="Arial"/>
                <w:noProof/>
                <w:sz w:val="18"/>
                <w:szCs w:val="18"/>
              </w:rPr>
            </w:pPr>
            <w:r>
              <w:rPr>
                <w:noProof/>
                <w:sz w:val="18"/>
              </w:rPr>
              <w:t>33</w:t>
            </w:r>
          </w:p>
        </w:tc>
      </w:tr>
    </w:tbl>
    <w:p w:rsidR="005624E3" w:rsidRPr="00C903F8" w:rsidRDefault="005624E3" w:rsidP="005624E3">
      <w:pPr>
        <w:pStyle w:val="ESchpar"/>
        <w:rPr>
          <w:noProof/>
        </w:rPr>
      </w:pPr>
    </w:p>
    <w:p w:rsidR="005624E3" w:rsidRPr="00C903F8" w:rsidRDefault="005624E3" w:rsidP="005624E3">
      <w:pPr>
        <w:pStyle w:val="ESchpar"/>
        <w:rPr>
          <w:rFonts w:cs="Arial"/>
        </w:rPr>
      </w:pPr>
      <w:r>
        <w:t>Ha az árbócnak két keresztárbóca van, az átmérőket legalább 10 %-kal növelni kell.</w:t>
      </w:r>
    </w:p>
    <w:p w:rsidR="005624E3" w:rsidRPr="00C903F8" w:rsidRDefault="005624E3" w:rsidP="005624E3">
      <w:pPr>
        <w:pStyle w:val="ESchpar"/>
        <w:rPr>
          <w:noProof/>
        </w:rPr>
      </w:pPr>
    </w:p>
    <w:p w:rsidR="005624E3" w:rsidRPr="00C903F8" w:rsidRDefault="005624E3" w:rsidP="005624E3">
      <w:pPr>
        <w:pStyle w:val="ESchpar"/>
        <w:rPr>
          <w:rFonts w:cs="Arial"/>
        </w:rPr>
      </w:pPr>
      <w:r>
        <w:t>Ha az árbócnak kettőnél több keresztárbóca van, az átmérőket legalább 15 %-kal növelni kell.</w:t>
      </w:r>
    </w:p>
    <w:p w:rsidR="005624E3" w:rsidRPr="00C903F8" w:rsidRDefault="005624E3" w:rsidP="005624E3">
      <w:pPr>
        <w:pStyle w:val="ESchpar"/>
        <w:rPr>
          <w:noProof/>
        </w:rPr>
      </w:pPr>
    </w:p>
    <w:p w:rsidR="005624E3" w:rsidRPr="00C903F8" w:rsidRDefault="005624E3" w:rsidP="005624E3">
      <w:pPr>
        <w:pStyle w:val="ESchpar"/>
        <w:rPr>
          <w:rFonts w:cs="Arial"/>
        </w:rPr>
      </w:pPr>
      <w:r>
        <w:t>A fedélzeten áthaladó árbóc esetében a lábazatnál lévő keresztmetszetnek a fedélzetnél lévő keresztmetszet legalább 75 %-ának kell lennie.</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 xml:space="preserve">2. </w:t>
      </w:r>
      <w:r>
        <w:tab/>
        <w:t>Az árbóc szerelékeit, abroncsait, keresztrúdjait és süvegeit megfelelően szilárdra kell méretezni és rögzíteni.</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rFonts w:cs="Arial"/>
          <w:i/>
        </w:rPr>
      </w:pPr>
      <w:bookmarkStart w:id="392" w:name="_Toc491854193"/>
      <w:bookmarkStart w:id="393" w:name="_Toc535853972"/>
      <w:r>
        <w:t>20.08. cikk</w:t>
      </w:r>
      <w:r>
        <w:br/>
      </w:r>
      <w:r>
        <w:rPr>
          <w:i/>
          <w:noProof/>
        </w:rPr>
        <w:t>Az árbócsudárra vonatkozó külön rendelkezések</w:t>
      </w:r>
      <w:bookmarkEnd w:id="392"/>
      <w:bookmarkEnd w:id="393"/>
    </w:p>
    <w:p w:rsidR="005624E3" w:rsidRPr="00C903F8" w:rsidRDefault="005624E3" w:rsidP="005624E3">
      <w:pPr>
        <w:pStyle w:val="ESch"/>
        <w:rPr>
          <w:noProof/>
          <w:szCs w:val="20"/>
        </w:rPr>
      </w:pPr>
    </w:p>
    <w:p w:rsidR="005624E3" w:rsidRPr="00C903F8" w:rsidRDefault="005624E3" w:rsidP="005624E3">
      <w:pPr>
        <w:pStyle w:val="ESch"/>
        <w:rPr>
          <w:noProof/>
          <w:szCs w:val="20"/>
        </w:rPr>
      </w:pPr>
      <w:r>
        <w:t>1.</w:t>
      </w:r>
      <w:r>
        <w:tab/>
        <w:t>A fából készült árbócsudárnak az alábbi minimumkövetelményeknek kell megfelelnie:</w:t>
      </w:r>
    </w:p>
    <w:p w:rsidR="005624E3" w:rsidRPr="00C903F8" w:rsidRDefault="005624E3" w:rsidP="005624E3">
      <w:pPr>
        <w:pStyle w:val="ESch"/>
        <w:rPr>
          <w:rFonts w:cs="Arial"/>
          <w:szCs w:val="20"/>
        </w:rPr>
      </w:pPr>
    </w:p>
    <w:tbl>
      <w:tblPr>
        <w:tblW w:w="0" w:type="auto"/>
        <w:jc w:val="center"/>
        <w:tblLayout w:type="fixed"/>
        <w:tblLook w:val="0000" w:firstRow="0" w:lastRow="0" w:firstColumn="0" w:lastColumn="0" w:noHBand="0" w:noVBand="0"/>
      </w:tblPr>
      <w:tblGrid>
        <w:gridCol w:w="1871"/>
        <w:gridCol w:w="1871"/>
        <w:gridCol w:w="1871"/>
        <w:gridCol w:w="1871"/>
      </w:tblGrid>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Hosszúság</w:t>
            </w:r>
            <w:r>
              <w:rPr>
                <w:rStyle w:val="FootnoteReference"/>
                <w:noProof/>
                <w:sz w:val="18"/>
              </w:rPr>
              <w:footnoteReference w:id="13"/>
            </w:r>
            <w:r>
              <w:rPr>
                <w:rFonts w:cs="Arial"/>
                <w:noProof/>
                <w:sz w:val="18"/>
                <w:szCs w:val="18"/>
              </w:rPr>
              <w:br/>
            </w:r>
            <w:r>
              <w:rPr>
                <w:noProof/>
                <w:sz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Átmérő a lábazatnál</w:t>
            </w:r>
            <w:r>
              <w:rPr>
                <w:rFonts w:cs="Arial"/>
                <w:noProof/>
                <w:sz w:val="18"/>
                <w:szCs w:val="18"/>
              </w:rPr>
              <w:br/>
            </w:r>
            <w:r>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Átmérő félhossznál</w:t>
            </w:r>
            <w:r>
              <w:rPr>
                <w:rFonts w:cs="Arial"/>
                <w:noProof/>
                <w:sz w:val="18"/>
                <w:szCs w:val="18"/>
              </w:rPr>
              <w:br/>
            </w:r>
            <w:r>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Átmérő a szereléknél</w:t>
            </w:r>
            <w:r>
              <w:rPr>
                <w:rStyle w:val="FootnoteReference"/>
                <w:noProof/>
                <w:sz w:val="18"/>
              </w:rPr>
              <w:footnoteReference w:id="14"/>
            </w:r>
            <w:r>
              <w:rPr>
                <w:rFonts w:cs="Arial"/>
                <w:noProof/>
                <w:sz w:val="18"/>
                <w:szCs w:val="18"/>
              </w:rPr>
              <w:br/>
            </w:r>
            <w:r>
              <w:rPr>
                <w:noProof/>
                <w:sz w:val="18"/>
              </w:rPr>
              <w:t>[cm]</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6</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7</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8</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10</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11</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13</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15</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16</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17</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18</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20</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31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27</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21</w:t>
            </w:r>
          </w:p>
        </w:tc>
      </w:tr>
    </w:tbl>
    <w:p w:rsidR="005624E3" w:rsidRPr="00C903F8" w:rsidRDefault="005624E3" w:rsidP="005624E3">
      <w:pPr>
        <w:pStyle w:val="ESch"/>
        <w:rPr>
          <w:noProof/>
          <w:szCs w:val="20"/>
        </w:rPr>
      </w:pPr>
    </w:p>
    <w:p w:rsidR="005624E3" w:rsidRPr="00C903F8" w:rsidRDefault="005624E3" w:rsidP="005624E3">
      <w:pPr>
        <w:pStyle w:val="ESchpar"/>
        <w:rPr>
          <w:rFonts w:cs="Arial"/>
        </w:rPr>
      </w:pPr>
      <w:r>
        <w:t>Ha az árbócsudárhoz négyzet alakú vitorlákat szerelnek fel, a táblázatban megadott méreteket 10 %-kal növelni kell.</w:t>
      </w:r>
    </w:p>
    <w:p w:rsidR="005624E3" w:rsidRPr="00C903F8" w:rsidRDefault="005624E3" w:rsidP="005624E3">
      <w:pPr>
        <w:pStyle w:val="ESch"/>
        <w:rPr>
          <w:noProof/>
          <w:szCs w:val="20"/>
        </w:rPr>
      </w:pPr>
    </w:p>
    <w:p w:rsidR="005624E3" w:rsidRPr="00C903F8" w:rsidRDefault="005624E3" w:rsidP="005624E3">
      <w:pPr>
        <w:rPr>
          <w:noProof/>
          <w:szCs w:val="20"/>
        </w:rPr>
      </w:pPr>
      <w:r>
        <w:br w:type="page"/>
      </w:r>
    </w:p>
    <w:p w:rsidR="005624E3" w:rsidRPr="00C903F8" w:rsidRDefault="005624E3" w:rsidP="005624E3">
      <w:pPr>
        <w:pStyle w:val="ESch"/>
        <w:rPr>
          <w:rFonts w:cs="Arial"/>
          <w:szCs w:val="20"/>
        </w:rPr>
      </w:pPr>
      <w:r>
        <w:t>2.</w:t>
      </w:r>
      <w:r>
        <w:tab/>
        <w:t>Az árbócsudár és az árbóc közötti átfedésnek az árbócsudár előírt lábazati átmérője legalább tízszeresének kell lennie.</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rFonts w:cs="Arial"/>
          <w:i/>
        </w:rPr>
      </w:pPr>
      <w:bookmarkStart w:id="394" w:name="_Toc491854194"/>
      <w:bookmarkStart w:id="395" w:name="_Toc535853973"/>
      <w:r>
        <w:t>20.09. cikk</w:t>
      </w:r>
      <w:r>
        <w:br/>
      </w:r>
      <w:r>
        <w:rPr>
          <w:i/>
          <w:noProof/>
        </w:rPr>
        <w:t>Az orrárbócokra vonatkozó külön rendelkezések</w:t>
      </w:r>
      <w:bookmarkEnd w:id="394"/>
      <w:bookmarkEnd w:id="395"/>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 xml:space="preserve">1. </w:t>
      </w:r>
      <w:r>
        <w:tab/>
        <w:t>A fából készült orrárbócnak az alábbi minimumkövetelményeknek kell megfelelnie:</w:t>
      </w:r>
    </w:p>
    <w:p w:rsidR="005624E3" w:rsidRPr="00C903F8" w:rsidRDefault="005624E3" w:rsidP="005624E3">
      <w:pPr>
        <w:pStyle w:val="ESch"/>
        <w:rPr>
          <w:szCs w:val="20"/>
        </w:rPr>
      </w:pPr>
    </w:p>
    <w:tbl>
      <w:tblPr>
        <w:tblW w:w="0" w:type="auto"/>
        <w:jc w:val="center"/>
        <w:tblLayout w:type="fixed"/>
        <w:tblLook w:val="0000" w:firstRow="0" w:lastRow="0" w:firstColumn="0" w:lastColumn="0" w:noHBand="0" w:noVBand="0"/>
      </w:tblPr>
      <w:tblGrid>
        <w:gridCol w:w="1871"/>
        <w:gridCol w:w="1871"/>
        <w:gridCol w:w="1871"/>
      </w:tblGrid>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Hosszúság</w:t>
            </w:r>
            <w:r>
              <w:rPr>
                <w:rStyle w:val="FootnoteReference"/>
                <w:noProof/>
                <w:sz w:val="18"/>
              </w:rPr>
              <w:footnoteReference w:id="15"/>
            </w:r>
            <w:r>
              <w:rPr>
                <w:rFonts w:cs="Arial"/>
                <w:noProof/>
                <w:sz w:val="18"/>
                <w:szCs w:val="18"/>
              </w:rPr>
              <w:br/>
            </w:r>
            <w:r>
              <w:rPr>
                <w:noProof/>
                <w:sz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Átmérő az orrnál</w:t>
            </w:r>
            <w:r>
              <w:rPr>
                <w:rFonts w:cs="Arial"/>
                <w:noProof/>
                <w:sz w:val="18"/>
                <w:szCs w:val="18"/>
              </w:rPr>
              <w:br/>
            </w:r>
            <w:r>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Átmérő félhossznál</w:t>
            </w:r>
            <w:r>
              <w:rPr>
                <w:rFonts w:cs="Arial"/>
                <w:noProof/>
                <w:sz w:val="18"/>
                <w:szCs w:val="18"/>
              </w:rPr>
              <w:br/>
            </w:r>
            <w:r>
              <w:rPr>
                <w:noProof/>
                <w:sz w:val="18"/>
              </w:rPr>
              <w:t>[cm]</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4</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14,5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12,5</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16</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19</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23</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25</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32</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29</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36</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32</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35</w:t>
            </w:r>
          </w:p>
        </w:tc>
      </w:tr>
      <w:tr w:rsidR="005624E3" w:rsidRPr="00C903F8" w:rsidTr="00101A80">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43</w:t>
            </w:r>
          </w:p>
        </w:tc>
        <w:tc>
          <w:tcPr>
            <w:tcW w:w="1871"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39</w:t>
            </w:r>
          </w:p>
        </w:tc>
      </w:tr>
    </w:tbl>
    <w:p w:rsidR="005624E3" w:rsidRPr="00C903F8" w:rsidRDefault="005624E3" w:rsidP="005624E3">
      <w:pPr>
        <w:pStyle w:val="ESch"/>
        <w:rPr>
          <w:noProof/>
          <w:szCs w:val="20"/>
        </w:rPr>
      </w:pPr>
    </w:p>
    <w:p w:rsidR="005624E3" w:rsidRPr="00C903F8" w:rsidRDefault="005624E3" w:rsidP="005624E3">
      <w:pPr>
        <w:pStyle w:val="ESch"/>
        <w:rPr>
          <w:rFonts w:cs="Arial"/>
          <w:szCs w:val="20"/>
        </w:rPr>
      </w:pPr>
      <w:r>
        <w:t xml:space="preserve">2. </w:t>
      </w:r>
      <w:r>
        <w:tab/>
        <w:t>Az orrárbóc fedélzeti szakasza hosszának az orrárbóc orrnál lévő átmérője legalább négyszeresének kell lennie.</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 xml:space="preserve">3. </w:t>
      </w:r>
      <w:r>
        <w:tab/>
        <w:t>Az orrárbóc csúcsnál lévő átmérőjének az orrnál lévő átmérője legalább 60 %-ának kell lennie.</w:t>
      </w:r>
    </w:p>
    <w:p w:rsidR="005624E3"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rFonts w:cs="Arial"/>
          <w:i/>
        </w:rPr>
      </w:pPr>
      <w:bookmarkStart w:id="396" w:name="_Toc491854195"/>
      <w:bookmarkStart w:id="397" w:name="_Toc535853974"/>
      <w:r>
        <w:t>20.10. cikk</w:t>
      </w:r>
      <w:r>
        <w:br/>
      </w:r>
      <w:r>
        <w:rPr>
          <w:i/>
          <w:noProof/>
        </w:rPr>
        <w:t>Az orrvitorlarúdra vonatkozó külön rendelkezések</w:t>
      </w:r>
      <w:bookmarkEnd w:id="396"/>
      <w:bookmarkEnd w:id="397"/>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 xml:space="preserve">1. </w:t>
      </w:r>
      <w:r>
        <w:tab/>
        <w:t>A fából készült orrvitorlarúdnak az alábbi minimumkövetelményeknek kell megfelelnie:</w:t>
      </w:r>
    </w:p>
    <w:p w:rsidR="005624E3" w:rsidRPr="00C903F8" w:rsidRDefault="005624E3" w:rsidP="005624E3">
      <w:pPr>
        <w:pStyle w:val="ESch"/>
        <w:rPr>
          <w:szCs w:val="20"/>
        </w:rPr>
      </w:pPr>
    </w:p>
    <w:tbl>
      <w:tblPr>
        <w:tblW w:w="0" w:type="auto"/>
        <w:jc w:val="center"/>
        <w:tblLayout w:type="fixed"/>
        <w:tblLook w:val="0000" w:firstRow="0" w:lastRow="0" w:firstColumn="0" w:lastColumn="0" w:noHBand="0" w:noVBand="0"/>
      </w:tblPr>
      <w:tblGrid>
        <w:gridCol w:w="2835"/>
        <w:gridCol w:w="510"/>
        <w:gridCol w:w="510"/>
        <w:gridCol w:w="510"/>
        <w:gridCol w:w="510"/>
        <w:gridCol w:w="510"/>
        <w:gridCol w:w="510"/>
        <w:gridCol w:w="510"/>
        <w:gridCol w:w="510"/>
        <w:gridCol w:w="510"/>
      </w:tblGrid>
      <w:tr w:rsidR="005624E3" w:rsidRPr="00C903F8" w:rsidTr="00101A80">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Hosszúság</w:t>
            </w:r>
            <w:r>
              <w:rPr>
                <w:rStyle w:val="FootnoteReference"/>
                <w:noProof/>
                <w:sz w:val="18"/>
              </w:rPr>
              <w:footnoteReference w:id="16"/>
            </w:r>
            <w:r>
              <w:rPr>
                <w:noProof/>
                <w:sz w:val="18"/>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3</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4</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10</w:t>
            </w:r>
          </w:p>
        </w:tc>
      </w:tr>
      <w:tr w:rsidR="005624E3" w:rsidRPr="00C903F8" w:rsidTr="00101A80">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Átmérő az orrnál [cm]</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21</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24</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28</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31</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35</w:t>
            </w:r>
          </w:p>
        </w:tc>
      </w:tr>
    </w:tbl>
    <w:p w:rsidR="005624E3" w:rsidRPr="00C903F8" w:rsidRDefault="005624E3" w:rsidP="005624E3">
      <w:pPr>
        <w:pStyle w:val="ESch"/>
        <w:rPr>
          <w:noProof/>
          <w:szCs w:val="20"/>
        </w:rPr>
      </w:pPr>
    </w:p>
    <w:p w:rsidR="005624E3" w:rsidRPr="00C903F8" w:rsidRDefault="005624E3" w:rsidP="005624E3">
      <w:pPr>
        <w:pStyle w:val="ESch"/>
        <w:rPr>
          <w:rFonts w:cs="Arial"/>
          <w:szCs w:val="20"/>
        </w:rPr>
      </w:pPr>
      <w:r>
        <w:t>2.</w:t>
      </w:r>
      <w:r>
        <w:tab/>
        <w:t>Az orrvitorlarúd csúcsnál lévő átmérőjének az orrnál lévő átmérője legalább 60 %-ának kell lennie.</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r>
        <w:br w:type="page"/>
      </w:r>
    </w:p>
    <w:p w:rsidR="005624E3" w:rsidRPr="00C903F8" w:rsidRDefault="005624E3" w:rsidP="005624E3">
      <w:pPr>
        <w:pStyle w:val="ES-Titre3"/>
        <w:rPr>
          <w:rFonts w:cs="Arial"/>
          <w:i/>
        </w:rPr>
      </w:pPr>
      <w:bookmarkStart w:id="398" w:name="_Toc491854196"/>
      <w:bookmarkStart w:id="399" w:name="_Toc535853975"/>
      <w:r>
        <w:t>20.11. cikk</w:t>
      </w:r>
      <w:r>
        <w:br/>
      </w:r>
      <w:r>
        <w:rPr>
          <w:i/>
          <w:noProof/>
        </w:rPr>
        <w:t>A fővitorla keresztrúdjaira vonatkozó külön rendelkezések</w:t>
      </w:r>
      <w:bookmarkEnd w:id="398"/>
      <w:bookmarkEnd w:id="399"/>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 xml:space="preserve">1. </w:t>
      </w:r>
      <w:r>
        <w:tab/>
        <w:t>A fővitorla fából készült keresztrúdjainak az alábbi minimumkövetelményeknek kell megfelelniük:</w:t>
      </w:r>
    </w:p>
    <w:p w:rsidR="005624E3" w:rsidRPr="00C903F8" w:rsidRDefault="005624E3" w:rsidP="005624E3">
      <w:pPr>
        <w:pStyle w:val="ESch"/>
        <w:rPr>
          <w:szCs w:val="20"/>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gridCol w:w="510"/>
        <w:gridCol w:w="510"/>
        <w:gridCol w:w="510"/>
        <w:gridCol w:w="510"/>
        <w:gridCol w:w="510"/>
      </w:tblGrid>
      <w:tr w:rsidR="005624E3" w:rsidRPr="00C903F8" w:rsidTr="00101A80">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Hosszúság</w:t>
            </w:r>
            <w:r>
              <w:rPr>
                <w:rStyle w:val="FootnoteReference"/>
                <w:noProof/>
                <w:sz w:val="18"/>
              </w:rPr>
              <w:footnoteReference w:id="17"/>
            </w:r>
            <w:r>
              <w:rPr>
                <w:noProof/>
                <w:sz w:val="18"/>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11</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12</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13</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15</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16</w:t>
            </w:r>
          </w:p>
        </w:tc>
      </w:tr>
      <w:tr w:rsidR="005624E3" w:rsidRPr="00C903F8" w:rsidTr="00101A80">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Átmérő [cm]</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15</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16</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18</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20</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21</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23</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24</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25</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26</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27</w:t>
            </w:r>
          </w:p>
        </w:tc>
      </w:tr>
    </w:tbl>
    <w:p w:rsidR="005624E3" w:rsidRPr="00C903F8" w:rsidRDefault="005624E3" w:rsidP="005624E3">
      <w:pPr>
        <w:pStyle w:val="ESch"/>
        <w:rPr>
          <w:noProof/>
          <w:szCs w:val="20"/>
        </w:rPr>
      </w:pPr>
    </w:p>
    <w:p w:rsidR="005624E3" w:rsidRPr="00C903F8" w:rsidRDefault="005624E3" w:rsidP="005624E3">
      <w:pPr>
        <w:pStyle w:val="ESch"/>
        <w:rPr>
          <w:rFonts w:cs="Arial"/>
          <w:szCs w:val="20"/>
        </w:rPr>
      </w:pPr>
      <w:r>
        <w:t>2.</w:t>
      </w:r>
      <w:r>
        <w:tab/>
        <w:t>A forgócsapnál lévő átmérőjének a táblázatban meghatározott átmérő legalább 72 %-ának kell lennie.</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3.</w:t>
      </w:r>
      <w:r>
        <w:tab/>
        <w:t>Az átmérőnek a vitorla alsó csücskénél a táblázatban meghatározott átmérő legalább 85 %-ának kell lennie.</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4.</w:t>
      </w:r>
      <w:r>
        <w:tab/>
        <w:t>Az árbóctól mérve a legnagyobb átmérőnek a hosszúság kétharmadánál kell lennie.</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5.</w:t>
      </w:r>
      <w:r>
        <w:tab/>
        <w:t>Amennyiben:</w:t>
      </w:r>
    </w:p>
    <w:p w:rsidR="005624E3" w:rsidRPr="00C903F8" w:rsidRDefault="005624E3" w:rsidP="005624E3">
      <w:pPr>
        <w:pStyle w:val="ESlet"/>
        <w:rPr>
          <w:rFonts w:cs="Arial"/>
        </w:rPr>
      </w:pPr>
      <w:r>
        <w:t>a)</w:t>
      </w:r>
      <w:r>
        <w:tab/>
        <w:t>a fővitorla-keresztrúd és a vitorla hátsó szegélye közötti szög 65°-nál kisebb, és a fővitorla-kivonókötél a vitorlakeresztrúd végéhez van erősítve; vagy</w:t>
      </w:r>
    </w:p>
    <w:p w:rsidR="005624E3" w:rsidRPr="00C903F8" w:rsidRDefault="005624E3" w:rsidP="005624E3">
      <w:pPr>
        <w:pStyle w:val="ESlet"/>
        <w:rPr>
          <w:rFonts w:cs="Arial"/>
        </w:rPr>
      </w:pPr>
      <w:r>
        <w:t>b)</w:t>
      </w:r>
      <w:r>
        <w:tab/>
        <w:t>a kivonókötél rögzítési pontja nem a vitorla alsó csücskével egy vonalban van,</w:t>
      </w:r>
    </w:p>
    <w:p w:rsidR="005624E3" w:rsidRPr="00C903F8" w:rsidRDefault="005624E3" w:rsidP="005624E3">
      <w:pPr>
        <w:pStyle w:val="ESch"/>
        <w:rPr>
          <w:noProof/>
          <w:szCs w:val="20"/>
        </w:rPr>
      </w:pPr>
    </w:p>
    <w:p w:rsidR="005624E3" w:rsidRPr="00C903F8" w:rsidRDefault="005624E3" w:rsidP="005624E3">
      <w:pPr>
        <w:pStyle w:val="ESchpar"/>
        <w:rPr>
          <w:rFonts w:cs="Arial"/>
        </w:rPr>
      </w:pPr>
      <w:r>
        <w:t>az ellenőrző szerv a 20.05. cikk 2. bekezdése szerint nagyobb átmérőt írhat elő.</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6.</w:t>
      </w:r>
      <w:r>
        <w:tab/>
        <w:t>50 m</w:t>
      </w:r>
      <w:r>
        <w:rPr>
          <w:noProof/>
          <w:vertAlign w:val="superscript"/>
        </w:rPr>
        <w:t>2</w:t>
      </w:r>
      <w:r>
        <w:t>-nél kisebb vitorlafelületek esetében az ellenőrző szerv engedélyezheti a táblázatban meghatározott méretek csökkentését.</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rFonts w:cs="Arial"/>
          <w:i/>
        </w:rPr>
      </w:pPr>
      <w:bookmarkStart w:id="400" w:name="_Toc491854197"/>
      <w:bookmarkStart w:id="401" w:name="_Toc535853976"/>
      <w:r>
        <w:t>20.12. cikk</w:t>
      </w:r>
      <w:r>
        <w:br/>
      </w:r>
      <w:r>
        <w:rPr>
          <w:i/>
          <w:noProof/>
        </w:rPr>
        <w:t>A gaffokra vonatkozó külön rendelkezések</w:t>
      </w:r>
      <w:bookmarkEnd w:id="400"/>
      <w:bookmarkEnd w:id="401"/>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1.</w:t>
      </w:r>
      <w:r>
        <w:tab/>
        <w:t>A fából készült gaffnak az alábbi minimumkövetelményeknek kell megfelelnie:</w:t>
      </w:r>
    </w:p>
    <w:p w:rsidR="005624E3" w:rsidRPr="00C903F8" w:rsidRDefault="005624E3" w:rsidP="005624E3">
      <w:pPr>
        <w:pStyle w:val="ESch"/>
        <w:rPr>
          <w:szCs w:val="20"/>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tblGrid>
      <w:tr w:rsidR="005624E3" w:rsidRPr="00C903F8" w:rsidTr="00101A80">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Hosszúság</w:t>
            </w:r>
            <w:r>
              <w:rPr>
                <w:rStyle w:val="FootnoteReference"/>
                <w:noProof/>
                <w:sz w:val="18"/>
              </w:rPr>
              <w:footnoteReference w:id="18"/>
            </w:r>
            <w:r>
              <w:rPr>
                <w:noProof/>
                <w:sz w:val="18"/>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4</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10</w:t>
            </w:r>
          </w:p>
        </w:tc>
      </w:tr>
      <w:tr w:rsidR="005624E3" w:rsidRPr="00C903F8" w:rsidTr="00101A80">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Átmérő [cm]</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12</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16</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18</w:t>
            </w:r>
          </w:p>
        </w:tc>
        <w:tc>
          <w:tcPr>
            <w:tcW w:w="51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20</w:t>
            </w:r>
          </w:p>
        </w:tc>
      </w:tr>
    </w:tbl>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r>
        <w:t>2.</w:t>
      </w:r>
      <w:r>
        <w:tab/>
        <w:t>A gaff támaszték nélküli hossza nem lehet több 75 %-nál.</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3.</w:t>
      </w:r>
      <w:r>
        <w:tab/>
        <w:t>A gaffcsukló törőszilárdságának a csúcskötél szakítószilárdságának legalább 1,2-szeresével kell egyenlőnek lennie.</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4.</w:t>
      </w:r>
      <w:r>
        <w:tab/>
        <w:t>A gaffcsukló felső szöge legfeljebb 60° lehet.</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5.</w:t>
      </w:r>
      <w:r>
        <w:tab/>
        <w:t>Ha a 4. bekezdéstől eltérve, a gaffcsukló felső szöge 60°-nál nagyobb, a szakítószilárdságot úgy kell beállítani, hogy felvegye az ilyenkor keletkező erőket.</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6.</w:t>
      </w:r>
      <w:r>
        <w:tab/>
        <w:t>50 m</w:t>
      </w:r>
      <w:r>
        <w:rPr>
          <w:noProof/>
          <w:vertAlign w:val="superscript"/>
        </w:rPr>
        <w:t>2</w:t>
      </w:r>
      <w:r>
        <w:t>-nél kisebb vitorlafelületek esetében az ellenőrző szerv engedélyezheti a táblázatban meghatározott méretek csökkentését.</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r>
        <w:br w:type="page"/>
      </w:r>
    </w:p>
    <w:p w:rsidR="005624E3" w:rsidRPr="00C903F8" w:rsidRDefault="005624E3" w:rsidP="005624E3">
      <w:pPr>
        <w:pStyle w:val="ES-Titre3"/>
        <w:rPr>
          <w:rFonts w:cs="Arial"/>
          <w:i/>
        </w:rPr>
      </w:pPr>
      <w:bookmarkStart w:id="402" w:name="_Toc491854198"/>
      <w:bookmarkStart w:id="403" w:name="_Toc535853977"/>
      <w:r>
        <w:t>20.13. cikk</w:t>
      </w:r>
      <w:r>
        <w:br/>
      </w:r>
      <w:r>
        <w:rPr>
          <w:i/>
          <w:noProof/>
        </w:rPr>
        <w:t>Az álló- és futókötélzetre vonatkozó általános rendelkezések</w:t>
      </w:r>
      <w:bookmarkEnd w:id="402"/>
      <w:bookmarkEnd w:id="403"/>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 xml:space="preserve">1. </w:t>
      </w:r>
      <w:r>
        <w:tab/>
        <w:t>Az álló- és futókötélzetnek meg kell felelnie a 20.14. és 20.15. cikkben meghatározott szilárdsági követelményeknek.</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 xml:space="preserve">2. </w:t>
      </w:r>
      <w:r>
        <w:tab/>
        <w:t>A drótkötél-kapcsolódások a következő formákat ölthetik:</w:t>
      </w:r>
    </w:p>
    <w:p w:rsidR="005624E3" w:rsidRPr="00C903F8" w:rsidRDefault="005624E3" w:rsidP="005624E3">
      <w:pPr>
        <w:pStyle w:val="ESlet"/>
        <w:rPr>
          <w:rFonts w:cs="Arial"/>
        </w:rPr>
      </w:pPr>
      <w:r>
        <w:t>a)</w:t>
      </w:r>
      <w:r>
        <w:tab/>
        <w:t>összefonás;</w:t>
      </w:r>
    </w:p>
    <w:p w:rsidR="005624E3" w:rsidRPr="00C903F8" w:rsidRDefault="005624E3" w:rsidP="005624E3">
      <w:pPr>
        <w:pStyle w:val="ESlet"/>
        <w:rPr>
          <w:rFonts w:cs="Arial"/>
        </w:rPr>
      </w:pPr>
      <w:r>
        <w:t>b)</w:t>
      </w:r>
      <w:r>
        <w:tab/>
        <w:t>sajtolt hüvelyek; vagy</w:t>
      </w:r>
    </w:p>
    <w:p w:rsidR="005624E3" w:rsidRPr="00C903F8" w:rsidRDefault="005624E3" w:rsidP="005624E3">
      <w:pPr>
        <w:pStyle w:val="ESlet"/>
        <w:rPr>
          <w:rFonts w:cs="Arial"/>
        </w:rPr>
      </w:pPr>
      <w:r>
        <w:t>c)</w:t>
      </w:r>
      <w:r>
        <w:tab/>
        <w:t>záróhüvelyek.</w:t>
      </w:r>
    </w:p>
    <w:p w:rsidR="005624E3" w:rsidRPr="00C903F8" w:rsidRDefault="005624E3" w:rsidP="005624E3">
      <w:pPr>
        <w:pStyle w:val="ESlet"/>
        <w:rPr>
          <w:rFonts w:cs="Arial"/>
        </w:rPr>
      </w:pPr>
      <w:r>
        <w:t>Az összefonásokat pólyázózsineggel körbe kell hurkolni, a végeket pedig át kell kötözni.</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3.</w:t>
      </w:r>
      <w:r>
        <w:tab/>
        <w:t>A csatfonásokat el kell látni kötélszívekkel.</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4.</w:t>
      </w:r>
      <w:r>
        <w:tab/>
        <w:t>A köteleket úgy kell megvezetni, hogy ne képezzenek akadályt a bejáratoknál és lépcsőknél.</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rFonts w:cs="Arial"/>
          <w:i/>
        </w:rPr>
      </w:pPr>
      <w:bookmarkStart w:id="404" w:name="_Toc491854199"/>
      <w:bookmarkStart w:id="405" w:name="_Toc535853978"/>
      <w:r>
        <w:t>20.14. cikk</w:t>
      </w:r>
      <w:r>
        <w:br/>
      </w:r>
      <w:r>
        <w:rPr>
          <w:i/>
          <w:noProof/>
        </w:rPr>
        <w:t>Az állókötélzetre vonatkozó külön rendelkezések</w:t>
      </w:r>
      <w:bookmarkEnd w:id="404"/>
      <w:bookmarkEnd w:id="405"/>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1.</w:t>
      </w:r>
      <w:r>
        <w:tab/>
        <w:t>Az előárbóc-merevítőknek és a csarnakoknak az alábbi minimumkövetelményeknek kell megfelelniük:</w:t>
      </w:r>
    </w:p>
    <w:p w:rsidR="005624E3" w:rsidRPr="00C903F8" w:rsidRDefault="005624E3" w:rsidP="005624E3">
      <w:pPr>
        <w:pStyle w:val="ESch"/>
        <w:rPr>
          <w:szCs w:val="20"/>
        </w:rPr>
      </w:pPr>
    </w:p>
    <w:tbl>
      <w:tblPr>
        <w:tblW w:w="0" w:type="auto"/>
        <w:jc w:val="center"/>
        <w:tblLayout w:type="fixed"/>
        <w:tblLook w:val="0000" w:firstRow="0" w:lastRow="0" w:firstColumn="0" w:lastColumn="0" w:noHBand="0" w:noVBand="0"/>
      </w:tblPr>
      <w:tblGrid>
        <w:gridCol w:w="3343"/>
        <w:gridCol w:w="567"/>
        <w:gridCol w:w="567"/>
        <w:gridCol w:w="567"/>
        <w:gridCol w:w="567"/>
        <w:gridCol w:w="567"/>
        <w:gridCol w:w="567"/>
        <w:gridCol w:w="567"/>
        <w:gridCol w:w="567"/>
      </w:tblGrid>
      <w:tr w:rsidR="005624E3" w:rsidRPr="00C903F8" w:rsidTr="00101A80">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Árbóchosszúság</w:t>
            </w:r>
            <w:r>
              <w:rPr>
                <w:rStyle w:val="FootnoteReference"/>
                <w:noProof/>
                <w:sz w:val="18"/>
              </w:rPr>
              <w:footnoteReference w:id="19"/>
            </w:r>
            <w:r>
              <w:rPr>
                <w:noProof/>
                <w:sz w:val="18"/>
              </w:rPr>
              <w:t xml:space="preserve"> [m]</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11</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12</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13</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14</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15</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16</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17</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18</w:t>
            </w:r>
          </w:p>
        </w:tc>
      </w:tr>
      <w:tr w:rsidR="005624E3" w:rsidRPr="00C903F8" w:rsidTr="00101A80">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 xml:space="preserve">Az előárbóc-merevítő </w:t>
            </w:r>
            <w:r w:rsidR="007558CC">
              <w:rPr>
                <w:noProof/>
                <w:sz w:val="18"/>
              </w:rPr>
              <w:t>szakítószilárdság</w:t>
            </w:r>
            <w:r>
              <w:rPr>
                <w:noProof/>
                <w:sz w:val="18"/>
              </w:rPr>
              <w:t>a [kN]</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160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172</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185</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200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220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244</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269</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294</w:t>
            </w:r>
          </w:p>
        </w:tc>
      </w:tr>
      <w:tr w:rsidR="005624E3" w:rsidRPr="00C903F8" w:rsidTr="00101A80">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 xml:space="preserve">A csarnakok </w:t>
            </w:r>
            <w:r w:rsidR="007558CC">
              <w:rPr>
                <w:noProof/>
                <w:sz w:val="18"/>
              </w:rPr>
              <w:t>szakítószilárdság</w:t>
            </w:r>
            <w:r>
              <w:rPr>
                <w:noProof/>
                <w:sz w:val="18"/>
              </w:rPr>
              <w:t>a [kN]</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355</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415</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450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485</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525</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540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630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720</w:t>
            </w:r>
          </w:p>
        </w:tc>
      </w:tr>
      <w:tr w:rsidR="005624E3" w:rsidRPr="00C903F8" w:rsidTr="00101A80">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A csarnakkábelek és -kötelek száma oldalanként</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4</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4</w:t>
            </w:r>
          </w:p>
        </w:tc>
      </w:tr>
    </w:tbl>
    <w:p w:rsidR="005624E3" w:rsidRPr="00C903F8" w:rsidRDefault="005624E3" w:rsidP="005624E3">
      <w:pPr>
        <w:pStyle w:val="ESch"/>
        <w:rPr>
          <w:noProof/>
          <w:szCs w:val="20"/>
        </w:rPr>
      </w:pPr>
    </w:p>
    <w:p w:rsidR="005624E3" w:rsidRPr="00C903F8" w:rsidRDefault="005624E3" w:rsidP="005624E3">
      <w:pPr>
        <w:pStyle w:val="ESch"/>
        <w:rPr>
          <w:rFonts w:cs="Arial"/>
          <w:szCs w:val="20"/>
        </w:rPr>
      </w:pPr>
      <w:r>
        <w:t>2.</w:t>
      </w:r>
      <w:r>
        <w:tab/>
        <w:t>A hátsó árbócmerevítőknek, árbócsudár-merevítőknek, segéd-orrvitorlafeszítőknek, orrvitorlarúd-merevítőknek és orrárbóccsarnakoknak az alábbi minimumkövetelményeknek kell megfelelniük:</w:t>
      </w:r>
    </w:p>
    <w:p w:rsidR="005624E3" w:rsidRPr="00C903F8" w:rsidRDefault="005624E3" w:rsidP="005624E3">
      <w:pPr>
        <w:pStyle w:val="ESch"/>
        <w:rPr>
          <w:szCs w:val="20"/>
        </w:rPr>
      </w:pPr>
    </w:p>
    <w:tbl>
      <w:tblPr>
        <w:tblW w:w="0" w:type="auto"/>
        <w:jc w:val="center"/>
        <w:tblLayout w:type="fixed"/>
        <w:tblLook w:val="0000" w:firstRow="0" w:lastRow="0" w:firstColumn="0" w:lastColumn="0" w:noHBand="0" w:noVBand="0"/>
      </w:tblPr>
      <w:tblGrid>
        <w:gridCol w:w="4736"/>
        <w:gridCol w:w="737"/>
        <w:gridCol w:w="737"/>
        <w:gridCol w:w="737"/>
      </w:tblGrid>
      <w:tr w:rsidR="005624E3" w:rsidRPr="00C903F8" w:rsidTr="00101A80">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Árbóchosszúság</w:t>
            </w:r>
            <w:r>
              <w:rPr>
                <w:rStyle w:val="FootnoteReference"/>
                <w:noProof/>
                <w:sz w:val="18"/>
              </w:rPr>
              <w:footnoteReference w:id="20"/>
            </w:r>
            <w:r>
              <w:rPr>
                <w:noProof/>
                <w:sz w:val="18"/>
              </w:rPr>
              <w:t xml:space="preserve"> [m]</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&lt;13</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13–18</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&gt;18</w:t>
            </w:r>
          </w:p>
        </w:tc>
      </w:tr>
      <w:tr w:rsidR="005624E3" w:rsidRPr="00C903F8" w:rsidTr="00101A80">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 xml:space="preserve">Hátsó árbócmerevítő </w:t>
            </w:r>
            <w:r w:rsidR="007558CC">
              <w:rPr>
                <w:noProof/>
                <w:sz w:val="18"/>
              </w:rPr>
              <w:t>szakítószilárdság</w:t>
            </w:r>
            <w:r>
              <w:rPr>
                <w:noProof/>
                <w:sz w:val="18"/>
              </w:rPr>
              <w:t>a [kN]</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119</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159</w:t>
            </w:r>
          </w:p>
        </w:tc>
      </w:tr>
      <w:tr w:rsidR="005624E3" w:rsidRPr="00C903F8" w:rsidTr="00101A80">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 xml:space="preserve">Árbócsudár </w:t>
            </w:r>
            <w:r w:rsidR="007558CC">
              <w:rPr>
                <w:noProof/>
                <w:sz w:val="18"/>
              </w:rPr>
              <w:t>szakítószilárdság</w:t>
            </w:r>
            <w:r>
              <w:rPr>
                <w:noProof/>
                <w:sz w:val="18"/>
              </w:rPr>
              <w:t>a [kN]</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119</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159</w:t>
            </w:r>
          </w:p>
        </w:tc>
      </w:tr>
      <w:tr w:rsidR="005624E3" w:rsidRPr="00C903F8" w:rsidTr="00101A80">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Árbócsudár hossza [m]</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&lt;6</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6–8</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&gt;8</w:t>
            </w:r>
          </w:p>
        </w:tc>
      </w:tr>
      <w:tr w:rsidR="005624E3" w:rsidRPr="00C903F8" w:rsidTr="00101A80">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 xml:space="preserve">Segéd-orrvitorlafeszítő </w:t>
            </w:r>
            <w:r w:rsidR="007558CC">
              <w:rPr>
                <w:noProof/>
                <w:sz w:val="18"/>
              </w:rPr>
              <w:t>szakítószilárdság</w:t>
            </w:r>
            <w:r>
              <w:rPr>
                <w:noProof/>
                <w:sz w:val="18"/>
              </w:rPr>
              <w:t>a [kN]</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58</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119</w:t>
            </w:r>
          </w:p>
        </w:tc>
      </w:tr>
      <w:tr w:rsidR="005624E3" w:rsidRPr="00C903F8" w:rsidTr="00101A80">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Orrvitorlatrúd hosszúsága [m]</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&lt;5</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5–7</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&gt;7</w:t>
            </w:r>
          </w:p>
        </w:tc>
      </w:tr>
      <w:tr w:rsidR="005624E3" w:rsidRPr="00C903F8" w:rsidTr="00101A80">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 xml:space="preserve">Orrárbóccsarnak </w:t>
            </w:r>
            <w:r w:rsidR="007558CC">
              <w:rPr>
                <w:noProof/>
                <w:sz w:val="18"/>
              </w:rPr>
              <w:t>szakítószilárdság</w:t>
            </w:r>
            <w:r>
              <w:rPr>
                <w:noProof/>
                <w:sz w:val="18"/>
              </w:rPr>
              <w:t>a [kN]</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58</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tabs>
                <w:tab w:val="decimal" w:pos="332"/>
              </w:tabs>
              <w:spacing w:before="60" w:after="60" w:line="240" w:lineRule="atLeast"/>
              <w:rPr>
                <w:rFonts w:cs="Arial"/>
                <w:noProof/>
                <w:sz w:val="18"/>
                <w:szCs w:val="18"/>
              </w:rPr>
            </w:pPr>
            <w:r>
              <w:rPr>
                <w:noProof/>
                <w:sz w:val="18"/>
              </w:rPr>
              <w:t>119</w:t>
            </w:r>
          </w:p>
        </w:tc>
      </w:tr>
    </w:tbl>
    <w:p w:rsidR="005624E3" w:rsidRPr="00C903F8" w:rsidRDefault="005624E3" w:rsidP="005624E3">
      <w:pPr>
        <w:pStyle w:val="ESch"/>
        <w:rPr>
          <w:noProof/>
          <w:szCs w:val="20"/>
        </w:rPr>
      </w:pPr>
    </w:p>
    <w:p w:rsidR="005624E3" w:rsidRPr="00C903F8" w:rsidRDefault="005624E3" w:rsidP="005624E3">
      <w:pPr>
        <w:pStyle w:val="ESch"/>
        <w:rPr>
          <w:noProof/>
          <w:szCs w:val="20"/>
        </w:rPr>
      </w:pPr>
      <w:r>
        <w:br w:type="page"/>
      </w:r>
    </w:p>
    <w:p w:rsidR="005624E3" w:rsidRPr="00C903F8" w:rsidRDefault="005624E3" w:rsidP="005624E3">
      <w:pPr>
        <w:pStyle w:val="ESch"/>
        <w:rPr>
          <w:rFonts w:cs="Arial"/>
          <w:szCs w:val="20"/>
        </w:rPr>
      </w:pPr>
      <w:r>
        <w:t>3.</w:t>
      </w:r>
      <w:r>
        <w:tab/>
        <w:t>Az előnyben részesített kötélfajta kialakításának az 1550 N/mm</w:t>
      </w:r>
      <w:r>
        <w:rPr>
          <w:noProof/>
          <w:vertAlign w:val="superscript"/>
        </w:rPr>
        <w:t>2</w:t>
      </w:r>
      <w:r>
        <w:t xml:space="preserve">-es szilárdsági osztályra vonatkozó 6 × 7 FE kötélgyártási módszeren kell alapulnia. Alternatívaként alkalmazható ugyanebben a szilárdsági osztályra vonatkozó a 6 × 36 SE vagy 6 × 19 FE gyártási módszer is. A 6 × 19 gyártási módszer nagyobb elasztikussága miatt a táblázatban megadott </w:t>
      </w:r>
      <w:r w:rsidR="007558CC">
        <w:t>szakítószilárdság</w:t>
      </w:r>
      <w:r>
        <w:t>okat 10 %-kal növelni kell. Más kialakítású kötél használata megengedett, feltéve, hogy tulajdonságai hasonlóak.</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4.</w:t>
      </w:r>
      <w:r>
        <w:tab/>
        <w:t xml:space="preserve">Ha merev kötélzetet használnak, a táblázatban megadott </w:t>
      </w:r>
      <w:r w:rsidR="007558CC">
        <w:t>szakítószilárdság</w:t>
      </w:r>
      <w:r>
        <w:t>ot 30 %-kal növelni kell.</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5.</w:t>
      </w:r>
      <w:r>
        <w:tab/>
        <w:t>A kötélzethez csak jóváhagyott villákat, szemescsavarokat és csavarokat lehet használni.</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6.</w:t>
      </w:r>
      <w:r>
        <w:tab/>
        <w:t>A csavaroknak, villáknak, szemescsavaroknak és kötélcsatoknak megfelelően rögzíthetőknek kell lenniük.</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7.</w:t>
      </w:r>
      <w:r>
        <w:tab/>
        <w:t xml:space="preserve">Az élkötél </w:t>
      </w:r>
      <w:r w:rsidR="007558CC">
        <w:t>szakítószilárdság</w:t>
      </w:r>
      <w:r>
        <w:t xml:space="preserve">ának a hozzá tartozó orrárbócsudár-merevítő és segéd-orrvitorlafeszítő </w:t>
      </w:r>
      <w:r w:rsidR="007558CC">
        <w:t>szakítószilárdság</w:t>
      </w:r>
      <w:r>
        <w:t>a legalább 1,2-szeresének kell lennie.</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8.</w:t>
      </w:r>
      <w:r>
        <w:tab/>
        <w:t>30 m</w:t>
      </w:r>
      <w:r>
        <w:rPr>
          <w:noProof/>
          <w:vertAlign w:val="superscript"/>
        </w:rPr>
        <w:t>3</w:t>
      </w:r>
      <w:r>
        <w:t xml:space="preserve">-nél kisebb vízkiszorítási térfogatú hajók esetében az ellenőrző szerv engedélyezheti a </w:t>
      </w:r>
      <w:r w:rsidR="007558CC">
        <w:t>szakítószilárdság</w:t>
      </w:r>
      <w:r>
        <w:t xml:space="preserve"> alábbi táblázatban meghatározott csökkentését:</w:t>
      </w:r>
    </w:p>
    <w:p w:rsidR="005624E3" w:rsidRPr="00C903F8" w:rsidRDefault="005624E3" w:rsidP="005624E3">
      <w:pPr>
        <w:pStyle w:val="ESch"/>
        <w:rPr>
          <w:rFonts w:cs="Arial"/>
          <w:szCs w:val="20"/>
        </w:rPr>
      </w:pPr>
    </w:p>
    <w:tbl>
      <w:tblPr>
        <w:tblW w:w="0" w:type="auto"/>
        <w:jc w:val="center"/>
        <w:tblLayout w:type="fixed"/>
        <w:tblLook w:val="0000" w:firstRow="0" w:lastRow="0" w:firstColumn="0" w:lastColumn="0" w:noHBand="0" w:noVBand="0"/>
      </w:tblPr>
      <w:tblGrid>
        <w:gridCol w:w="5863"/>
        <w:gridCol w:w="1752"/>
      </w:tblGrid>
      <w:tr w:rsidR="005624E3" w:rsidRPr="00C903F8" w:rsidTr="00101A80">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 xml:space="preserve">Vízkiszorítási térfogat osztva az árbócok számával </w:t>
            </w:r>
            <w:r>
              <w:rPr>
                <w:noProof/>
                <w:color w:val="000000"/>
                <w:sz w:val="18"/>
              </w:rPr>
              <w:t>[m</w:t>
            </w:r>
            <w:r>
              <w:rPr>
                <w:noProof/>
                <w:color w:val="000000"/>
                <w:sz w:val="18"/>
                <w:vertAlign w:val="superscript"/>
              </w:rPr>
              <w:t>3</w:t>
            </w:r>
            <w:r>
              <w:rPr>
                <w:noProof/>
                <w:color w:val="000000"/>
                <w:sz w:val="18"/>
              </w:rPr>
              <w:t>]</w:t>
            </w:r>
          </w:p>
        </w:tc>
        <w:tc>
          <w:tcPr>
            <w:tcW w:w="1752"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Csökkentés [%]</w:t>
            </w:r>
          </w:p>
        </w:tc>
      </w:tr>
      <w:tr w:rsidR="005624E3" w:rsidRPr="00C903F8" w:rsidTr="00101A80">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&gt;20, 30-ig</w:t>
            </w:r>
          </w:p>
        </w:tc>
        <w:tc>
          <w:tcPr>
            <w:tcW w:w="1752"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20</w:t>
            </w:r>
          </w:p>
        </w:tc>
      </w:tr>
      <w:tr w:rsidR="005624E3" w:rsidRPr="00C903F8" w:rsidTr="00101A80">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10–20</w:t>
            </w:r>
          </w:p>
        </w:tc>
        <w:tc>
          <w:tcPr>
            <w:tcW w:w="1752"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35</w:t>
            </w:r>
          </w:p>
        </w:tc>
      </w:tr>
      <w:tr w:rsidR="005624E3" w:rsidRPr="00C903F8" w:rsidTr="00101A80">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&lt;10</w:t>
            </w:r>
          </w:p>
        </w:tc>
        <w:tc>
          <w:tcPr>
            <w:tcW w:w="1752"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60</w:t>
            </w:r>
          </w:p>
        </w:tc>
      </w:tr>
    </w:tbl>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rFonts w:cs="Arial"/>
          <w:i/>
        </w:rPr>
      </w:pPr>
      <w:bookmarkStart w:id="406" w:name="_Toc491854200"/>
      <w:bookmarkStart w:id="407" w:name="_Toc535853979"/>
      <w:r>
        <w:t>20.15. cikk</w:t>
      </w:r>
      <w:r>
        <w:br/>
      </w:r>
      <w:r>
        <w:rPr>
          <w:i/>
          <w:noProof/>
        </w:rPr>
        <w:t>A futókötélzetre vonatkozó külön rendelkezések</w:t>
      </w:r>
      <w:bookmarkEnd w:id="406"/>
      <w:bookmarkEnd w:id="407"/>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1.</w:t>
      </w:r>
      <w:r>
        <w:tab/>
        <w:t xml:space="preserve">A futókötélzethez rostköteleket vagy acélsodronyköteleket kell használni. A futókötélzet minimális </w:t>
      </w:r>
      <w:r w:rsidR="007558CC">
        <w:t>szakítószilárdság</w:t>
      </w:r>
      <w:r>
        <w:t>ának és átmérőjének a vitorlafelülethez viszonyítva az alábbi minimumkövetelményeknek kell megfelelnie:</w:t>
      </w:r>
    </w:p>
    <w:p w:rsidR="005624E3" w:rsidRPr="00C903F8" w:rsidRDefault="005624E3" w:rsidP="005624E3">
      <w:pPr>
        <w:pStyle w:val="ESch"/>
        <w:rPr>
          <w:noProof/>
          <w:szCs w:val="20"/>
        </w:rPr>
      </w:pPr>
    </w:p>
    <w:tbl>
      <w:tblPr>
        <w:tblW w:w="0" w:type="auto"/>
        <w:jc w:val="center"/>
        <w:tblLayout w:type="fixed"/>
        <w:tblLook w:val="0000" w:firstRow="0" w:lastRow="0" w:firstColumn="0" w:lastColumn="0" w:noHBand="0" w:noVBand="0"/>
      </w:tblPr>
      <w:tblGrid>
        <w:gridCol w:w="2229"/>
        <w:gridCol w:w="1393"/>
        <w:gridCol w:w="1578"/>
        <w:gridCol w:w="2136"/>
        <w:gridCol w:w="1950"/>
      </w:tblGrid>
      <w:tr w:rsidR="005624E3" w:rsidRPr="00C903F8" w:rsidTr="00101A80">
        <w:trPr>
          <w:cantSplit/>
          <w:tblHeader/>
          <w:jc w:val="center"/>
        </w:trPr>
        <w:tc>
          <w:tcPr>
            <w:tcW w:w="2229"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Futókötélzet típusa</w:t>
            </w:r>
          </w:p>
        </w:tc>
        <w:tc>
          <w:tcPr>
            <w:tcW w:w="139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Kötél anyaga</w:t>
            </w: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 xml:space="preserve">Vitorlafelület </w:t>
            </w:r>
            <w:r>
              <w:rPr>
                <w:noProof/>
                <w:color w:val="000000"/>
                <w:sz w:val="18"/>
              </w:rPr>
              <w:t>[m</w:t>
            </w:r>
            <w:r>
              <w:rPr>
                <w:noProof/>
                <w:color w:val="000000"/>
                <w:sz w:val="18"/>
                <w:vertAlign w:val="superscript"/>
              </w:rPr>
              <w:t>2</w:t>
            </w:r>
            <w:r>
              <w:rPr>
                <w:noProof/>
                <w:color w:val="000000"/>
                <w:sz w:val="18"/>
              </w:rPr>
              <w:t>]</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 xml:space="preserve">Minimális </w:t>
            </w:r>
            <w:r w:rsidR="007558CC">
              <w:rPr>
                <w:noProof/>
                <w:sz w:val="18"/>
              </w:rPr>
              <w:t>szakítószilárdság</w:t>
            </w:r>
            <w:r>
              <w:rPr>
                <w:noProof/>
                <w:sz w:val="18"/>
              </w:rPr>
              <w:t xml:space="preserve"> [kN]</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Centered"/>
              <w:spacing w:before="60" w:after="60" w:line="240" w:lineRule="atLeast"/>
              <w:rPr>
                <w:rFonts w:cs="Arial"/>
                <w:noProof/>
                <w:sz w:val="18"/>
                <w:szCs w:val="18"/>
              </w:rPr>
            </w:pPr>
            <w:r>
              <w:rPr>
                <w:noProof/>
                <w:sz w:val="18"/>
              </w:rPr>
              <w:t>Kötél átmérője [mm]</w:t>
            </w:r>
          </w:p>
        </w:tc>
      </w:tr>
      <w:tr w:rsidR="005624E3" w:rsidRPr="00C903F8" w:rsidTr="00101A80">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60" w:line="240" w:lineRule="atLeast"/>
              <w:rPr>
                <w:rFonts w:cs="Arial"/>
                <w:noProof/>
                <w:sz w:val="18"/>
                <w:szCs w:val="18"/>
              </w:rPr>
            </w:pPr>
            <w:r>
              <w:rPr>
                <w:noProof/>
                <w:sz w:val="18"/>
              </w:rPr>
              <w:t>Tarcsvitorla-felhúzókötél</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60" w:line="240" w:lineRule="atLeast"/>
              <w:rPr>
                <w:rFonts w:cs="Arial"/>
                <w:noProof/>
                <w:sz w:val="18"/>
                <w:szCs w:val="18"/>
              </w:rPr>
            </w:pPr>
            <w:r>
              <w:rPr>
                <w:noProof/>
                <w:sz w:val="18"/>
              </w:rPr>
              <w:t>Acélsodrony</w:t>
            </w: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60" w:line="240" w:lineRule="atLeast"/>
              <w:jc w:val="center"/>
              <w:rPr>
                <w:rFonts w:cs="Arial"/>
                <w:noProof/>
                <w:sz w:val="18"/>
                <w:szCs w:val="18"/>
              </w:rPr>
            </w:pPr>
            <w:r>
              <w:rPr>
                <w:noProof/>
                <w:sz w:val="18"/>
              </w:rPr>
              <w:t>legfeljebb 35</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60" w:line="240" w:lineRule="atLeast"/>
              <w:jc w:val="center"/>
              <w:rPr>
                <w:rFonts w:cs="Arial"/>
                <w:noProof/>
                <w:sz w:val="18"/>
                <w:szCs w:val="18"/>
              </w:rPr>
            </w:pPr>
            <w:r>
              <w:rPr>
                <w:noProof/>
                <w:sz w:val="18"/>
              </w:rPr>
              <w:t>20</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60" w:line="240" w:lineRule="atLeast"/>
              <w:jc w:val="center"/>
              <w:rPr>
                <w:rFonts w:cs="Arial"/>
                <w:noProof/>
                <w:sz w:val="18"/>
                <w:szCs w:val="18"/>
              </w:rPr>
            </w:pPr>
            <w:r>
              <w:rPr>
                <w:noProof/>
                <w:sz w:val="18"/>
              </w:rPr>
              <w:t>6</w:t>
            </w:r>
          </w:p>
        </w:tc>
      </w:tr>
      <w:tr w:rsidR="005624E3" w:rsidRPr="00C903F8"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160" w:after="16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160" w:after="16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60" w:line="240" w:lineRule="atLeast"/>
              <w:jc w:val="center"/>
              <w:rPr>
                <w:rFonts w:cs="Arial"/>
                <w:noProof/>
                <w:sz w:val="18"/>
                <w:szCs w:val="18"/>
              </w:rPr>
            </w:pPr>
            <w:r>
              <w:rPr>
                <w:noProof/>
                <w:sz w:val="18"/>
              </w:rPr>
              <w:t>&gt;35</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60" w:line="240" w:lineRule="atLeast"/>
              <w:jc w:val="center"/>
              <w:rPr>
                <w:rFonts w:cs="Arial"/>
                <w:noProof/>
                <w:sz w:val="18"/>
                <w:szCs w:val="18"/>
              </w:rPr>
            </w:pPr>
            <w:r>
              <w:rPr>
                <w:noProof/>
                <w:sz w:val="18"/>
              </w:rPr>
              <w:t>38</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60" w:line="240" w:lineRule="atLeast"/>
              <w:jc w:val="center"/>
              <w:rPr>
                <w:rFonts w:cs="Arial"/>
                <w:noProof/>
                <w:sz w:val="18"/>
                <w:szCs w:val="18"/>
              </w:rPr>
            </w:pPr>
            <w:r>
              <w:rPr>
                <w:noProof/>
                <w:sz w:val="18"/>
              </w:rPr>
              <w:t>8</w:t>
            </w:r>
          </w:p>
        </w:tc>
      </w:tr>
      <w:tr w:rsidR="005624E3" w:rsidRPr="00A0619C"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160" w:after="160" w:line="240" w:lineRule="atLeast"/>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60" w:line="240" w:lineRule="atLeast"/>
              <w:rPr>
                <w:rFonts w:cs="Arial"/>
                <w:noProof/>
                <w:sz w:val="18"/>
                <w:szCs w:val="18"/>
              </w:rPr>
            </w:pPr>
            <w:r>
              <w:rPr>
                <w:noProof/>
                <w:sz w:val="18"/>
              </w:rPr>
              <w:t>Rost (polipropilén –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60" w:line="240" w:lineRule="atLeast"/>
              <w:jc w:val="both"/>
              <w:rPr>
                <w:rFonts w:cs="Arial"/>
                <w:noProof/>
                <w:sz w:val="18"/>
                <w:szCs w:val="18"/>
              </w:rPr>
            </w:pPr>
            <w:r>
              <w:rPr>
                <w:noProof/>
                <w:sz w:val="18"/>
              </w:rPr>
              <w:t>Legalább 14 mm átmérőjű kötél és egy kötéltárcsa 25 m</w:t>
            </w:r>
            <w:r>
              <w:rPr>
                <w:noProof/>
                <w:sz w:val="18"/>
                <w:vertAlign w:val="superscript"/>
              </w:rPr>
              <w:t>2</w:t>
            </w:r>
            <w:r>
              <w:rPr>
                <w:noProof/>
                <w:sz w:val="18"/>
              </w:rPr>
              <w:t>-ként</w:t>
            </w:r>
          </w:p>
        </w:tc>
      </w:tr>
      <w:tr w:rsidR="005624E3" w:rsidRPr="00C903F8" w:rsidTr="00101A80">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rPr>
                <w:rFonts w:cs="Arial"/>
                <w:noProof/>
                <w:sz w:val="18"/>
                <w:szCs w:val="18"/>
              </w:rPr>
            </w:pPr>
            <w:r>
              <w:rPr>
                <w:noProof/>
                <w:sz w:val="18"/>
              </w:rPr>
              <w:t>Gaffvitorla-felhúzókötél</w:t>
            </w:r>
            <w:r>
              <w:rPr>
                <w:rFonts w:cs="Arial"/>
                <w:noProof/>
                <w:sz w:val="18"/>
                <w:szCs w:val="18"/>
              </w:rPr>
              <w:br/>
            </w:r>
            <w:r>
              <w:rPr>
                <w:noProof/>
                <w:sz w:val="18"/>
              </w:rPr>
              <w:t>Csúcsvitorla-felhúzókötél</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rPr>
                <w:rFonts w:cs="Arial"/>
                <w:noProof/>
                <w:sz w:val="18"/>
                <w:szCs w:val="18"/>
              </w:rPr>
            </w:pPr>
            <w:r>
              <w:rPr>
                <w:noProof/>
                <w:sz w:val="18"/>
              </w:rPr>
              <w:t>Acélsodrony</w:t>
            </w: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legfeljebb 50</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20</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6</w:t>
            </w:r>
          </w:p>
        </w:tc>
      </w:tr>
      <w:tr w:rsidR="005624E3" w:rsidRPr="00C903F8"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160" w:after="14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160" w:after="14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&gt;50, 80-ig</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30</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8</w:t>
            </w:r>
          </w:p>
        </w:tc>
      </w:tr>
      <w:tr w:rsidR="005624E3" w:rsidRPr="00C903F8"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160" w:after="14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160" w:after="14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&gt;80, 120-ig</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60</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10</w:t>
            </w:r>
          </w:p>
        </w:tc>
      </w:tr>
      <w:tr w:rsidR="005624E3" w:rsidRPr="00C903F8"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160" w:after="14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160" w:after="14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&gt;120, 160-ig</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80</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center"/>
              <w:rPr>
                <w:rFonts w:cs="Arial"/>
                <w:noProof/>
                <w:sz w:val="18"/>
                <w:szCs w:val="18"/>
              </w:rPr>
            </w:pPr>
            <w:r>
              <w:rPr>
                <w:noProof/>
                <w:sz w:val="18"/>
              </w:rPr>
              <w:t>12</w:t>
            </w:r>
          </w:p>
        </w:tc>
      </w:tr>
      <w:tr w:rsidR="005624E3" w:rsidRPr="00A0619C"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160" w:after="140" w:line="240" w:lineRule="atLeast"/>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rPr>
                <w:rFonts w:cs="Arial"/>
                <w:noProof/>
                <w:sz w:val="18"/>
                <w:szCs w:val="18"/>
              </w:rPr>
            </w:pPr>
            <w:r>
              <w:rPr>
                <w:noProof/>
                <w:sz w:val="18"/>
              </w:rPr>
              <w:t>Rost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160" w:after="140" w:line="240" w:lineRule="atLeast"/>
              <w:jc w:val="both"/>
              <w:rPr>
                <w:rFonts w:cs="Arial"/>
                <w:noProof/>
                <w:sz w:val="18"/>
                <w:szCs w:val="18"/>
              </w:rPr>
            </w:pPr>
            <w:r>
              <w:rPr>
                <w:noProof/>
                <w:sz w:val="18"/>
              </w:rPr>
              <w:t>Legalább 18 mm átmérőjű kötél és egy kötéltárcsa 30 m</w:t>
            </w:r>
            <w:r>
              <w:rPr>
                <w:noProof/>
                <w:sz w:val="18"/>
                <w:vertAlign w:val="superscript"/>
              </w:rPr>
              <w:t>2</w:t>
            </w:r>
            <w:r>
              <w:rPr>
                <w:noProof/>
                <w:sz w:val="18"/>
              </w:rPr>
              <w:t>-ként</w:t>
            </w:r>
          </w:p>
        </w:tc>
      </w:tr>
      <w:tr w:rsidR="005624E3" w:rsidRPr="00C903F8" w:rsidTr="00101A80">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Tarcsvitorla-kivonókötelek</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Rost (PP)</w:t>
            </w: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legfeljebb 40</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14</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p>
        </w:tc>
      </w:tr>
      <w:tr w:rsidR="005624E3" w:rsidRPr="00C903F8"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60" w:after="6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60" w:after="6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&gt;40</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r>
              <w:rPr>
                <w:noProof/>
                <w:sz w:val="18"/>
              </w:rPr>
              <w:t>18</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center"/>
              <w:rPr>
                <w:rFonts w:cs="Arial"/>
                <w:noProof/>
                <w:sz w:val="18"/>
                <w:szCs w:val="18"/>
              </w:rPr>
            </w:pPr>
          </w:p>
        </w:tc>
      </w:tr>
      <w:tr w:rsidR="005624E3" w:rsidRPr="00A0619C"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60" w:after="60" w:line="240" w:lineRule="atLeast"/>
              <w:rPr>
                <w:rFonts w:cs="Arial"/>
                <w:noProof/>
                <w:sz w:val="18"/>
                <w:szCs w:val="18"/>
              </w:rPr>
            </w:pPr>
          </w:p>
        </w:tc>
        <w:tc>
          <w:tcPr>
            <w:tcW w:w="7057" w:type="dxa"/>
            <w:gridSpan w:val="4"/>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both"/>
              <w:rPr>
                <w:rFonts w:cs="Arial"/>
                <w:noProof/>
                <w:sz w:val="18"/>
                <w:szCs w:val="18"/>
              </w:rPr>
            </w:pPr>
            <w:r>
              <w:rPr>
                <w:noProof/>
                <w:sz w:val="18"/>
              </w:rPr>
              <w:t>30 m</w:t>
            </w:r>
            <w:r>
              <w:rPr>
                <w:noProof/>
                <w:sz w:val="18"/>
                <w:vertAlign w:val="superscript"/>
              </w:rPr>
              <w:t>2</w:t>
            </w:r>
            <w:r>
              <w:rPr>
                <w:noProof/>
                <w:sz w:val="18"/>
              </w:rPr>
              <w:t>-nél nagyobb vitorlafelületeknél a szárakat kötélzet formájában kell kialakítani vagy azoknak csörlővel kezelhetőknek kell lenniük</w:t>
            </w:r>
          </w:p>
        </w:tc>
      </w:tr>
      <w:tr w:rsidR="005624E3" w:rsidRPr="00C903F8" w:rsidTr="00101A80">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Gaff-/csúcsvitorla-kivonókötelek</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Acélsodrony</w:t>
            </w: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&lt;100</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60</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10</w:t>
            </w:r>
          </w:p>
        </w:tc>
      </w:tr>
      <w:tr w:rsidR="005624E3" w:rsidRPr="00C903F8"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60" w:after="6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60" w:after="6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100–150</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85</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12</w:t>
            </w:r>
          </w:p>
        </w:tc>
      </w:tr>
      <w:tr w:rsidR="005624E3" w:rsidRPr="00C903F8"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60" w:after="6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60" w:after="6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&gt;150</w:t>
            </w:r>
          </w:p>
        </w:tc>
        <w:tc>
          <w:tcPr>
            <w:tcW w:w="2136"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116</w:t>
            </w:r>
          </w:p>
        </w:tc>
        <w:tc>
          <w:tcPr>
            <w:tcW w:w="1950"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14</w:t>
            </w:r>
          </w:p>
        </w:tc>
      </w:tr>
      <w:tr w:rsidR="005624E3" w:rsidRPr="00A0619C"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60" w:after="6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60" w:after="60" w:line="240" w:lineRule="atLeast"/>
              <w:rPr>
                <w:rFonts w:cs="Arial"/>
                <w:noProof/>
                <w:sz w:val="18"/>
                <w:szCs w:val="18"/>
              </w:rPr>
            </w:pP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both"/>
              <w:rPr>
                <w:rFonts w:cs="Arial"/>
                <w:noProof/>
                <w:sz w:val="18"/>
                <w:szCs w:val="18"/>
              </w:rPr>
            </w:pPr>
            <w:r>
              <w:rPr>
                <w:noProof/>
                <w:sz w:val="18"/>
              </w:rPr>
              <w:t>A csúcsvitorla-kivonóköteleknél rugalmas csatlakozások (előmegvezetők) szükségesek.</w:t>
            </w:r>
          </w:p>
        </w:tc>
      </w:tr>
      <w:tr w:rsidR="005624E3" w:rsidRPr="00A0619C" w:rsidTr="00101A80">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adjustRightInd w:val="0"/>
              <w:spacing w:before="60" w:after="60" w:line="240" w:lineRule="atLeast"/>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Rost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both"/>
              <w:rPr>
                <w:rFonts w:cs="Arial"/>
                <w:noProof/>
                <w:sz w:val="18"/>
                <w:szCs w:val="18"/>
              </w:rPr>
            </w:pPr>
            <w:r>
              <w:rPr>
                <w:noProof/>
                <w:sz w:val="18"/>
              </w:rPr>
              <w:t>Legalább 18 mm átmérőjű kötél, és legalább három kötéltárcsa. Ha a vitorlafelület 60 m</w:t>
            </w:r>
            <w:r>
              <w:rPr>
                <w:noProof/>
                <w:sz w:val="18"/>
                <w:vertAlign w:val="superscript"/>
              </w:rPr>
              <w:t>2</w:t>
            </w:r>
            <w:r>
              <w:rPr>
                <w:noProof/>
                <w:sz w:val="18"/>
              </w:rPr>
              <w:t>-nél nagyobb, akkor 20 m</w:t>
            </w:r>
            <w:r>
              <w:rPr>
                <w:noProof/>
                <w:sz w:val="18"/>
                <w:vertAlign w:val="superscript"/>
              </w:rPr>
              <w:t>2</w:t>
            </w:r>
            <w:r>
              <w:rPr>
                <w:noProof/>
                <w:sz w:val="18"/>
              </w:rPr>
              <w:t>-ként egy kötéltárcsa.</w:t>
            </w:r>
          </w:p>
        </w:tc>
      </w:tr>
    </w:tbl>
    <w:p w:rsidR="005624E3" w:rsidRPr="00C903F8" w:rsidRDefault="005624E3" w:rsidP="005624E3">
      <w:pPr>
        <w:pStyle w:val="ESch"/>
        <w:rPr>
          <w:noProof/>
          <w:szCs w:val="20"/>
        </w:rPr>
      </w:pPr>
    </w:p>
    <w:p w:rsidR="005624E3" w:rsidRPr="00C903F8" w:rsidRDefault="005624E3" w:rsidP="005624E3">
      <w:pPr>
        <w:pStyle w:val="ESch"/>
        <w:rPr>
          <w:rFonts w:cs="Arial"/>
          <w:szCs w:val="20"/>
        </w:rPr>
      </w:pPr>
      <w:r>
        <w:t>2.</w:t>
      </w:r>
      <w:r>
        <w:tab/>
        <w:t xml:space="preserve">A merevítés részét képező futókötélzet </w:t>
      </w:r>
      <w:r w:rsidR="007558CC">
        <w:t>szakítószilárdság</w:t>
      </w:r>
      <w:r>
        <w:t xml:space="preserve">ának meg kell felelnie a hozzá tartozó merevítők és csarnakok </w:t>
      </w:r>
      <w:r w:rsidR="007558CC">
        <w:t>szakítószilárdság</w:t>
      </w:r>
      <w:r>
        <w:t>ának.</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3.</w:t>
      </w:r>
      <w:r>
        <w:tab/>
        <w:t>Ha az 1. bekezdésben meghatározottaktól eltérő anyagokat használnak, biztosítani kell az 1. bekezdés táblázatában megadott szilárdsági értékeknek való megfelelést.</w:t>
      </w:r>
    </w:p>
    <w:p w:rsidR="005624E3" w:rsidRPr="00C903F8" w:rsidRDefault="005624E3" w:rsidP="005624E3">
      <w:pPr>
        <w:pStyle w:val="ESch"/>
        <w:rPr>
          <w:noProof/>
          <w:szCs w:val="20"/>
        </w:rPr>
      </w:pPr>
    </w:p>
    <w:p w:rsidR="005624E3" w:rsidRPr="00C903F8" w:rsidRDefault="005624E3" w:rsidP="005624E3">
      <w:pPr>
        <w:pStyle w:val="ESchpar"/>
        <w:rPr>
          <w:rFonts w:cs="Arial"/>
        </w:rPr>
      </w:pPr>
      <w:r>
        <w:t>Polietilén rostkötelek nem használhatók.</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rFonts w:cs="Arial"/>
          <w:i/>
        </w:rPr>
      </w:pPr>
      <w:bookmarkStart w:id="408" w:name="_Toc491854201"/>
      <w:bookmarkStart w:id="409" w:name="_Toc535853980"/>
      <w:r>
        <w:t>20.16. cikk</w:t>
      </w:r>
      <w:r>
        <w:br/>
      </w:r>
      <w:r>
        <w:rPr>
          <w:i/>
          <w:noProof/>
        </w:rPr>
        <w:t>A kötélzet szerelékei és részei</w:t>
      </w:r>
      <w:bookmarkEnd w:id="408"/>
      <w:bookmarkEnd w:id="409"/>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1.</w:t>
      </w:r>
      <w:r>
        <w:tab/>
        <w:t>Acélsodrony kötelek vagy rostkötelek használata esetén a kötéltárcsák átmérőinek (kötélközéptől kötélközépig mérve) az alábbi minimumkövetelményeknek kell megfelelniük:</w:t>
      </w:r>
    </w:p>
    <w:p w:rsidR="005624E3" w:rsidRPr="00C903F8" w:rsidRDefault="005624E3" w:rsidP="005624E3">
      <w:pPr>
        <w:pStyle w:val="ESch"/>
        <w:rPr>
          <w:noProof/>
          <w:szCs w:val="20"/>
        </w:rPr>
      </w:pPr>
    </w:p>
    <w:tbl>
      <w:tblPr>
        <w:tblW w:w="0" w:type="auto"/>
        <w:jc w:val="center"/>
        <w:tblLayout w:type="fixed"/>
        <w:tblLook w:val="0000" w:firstRow="0" w:lastRow="0" w:firstColumn="0" w:lastColumn="0" w:noHBand="0" w:noVBand="0"/>
      </w:tblPr>
      <w:tblGrid>
        <w:gridCol w:w="2268"/>
        <w:gridCol w:w="567"/>
        <w:gridCol w:w="567"/>
        <w:gridCol w:w="567"/>
        <w:gridCol w:w="567"/>
        <w:gridCol w:w="567"/>
        <w:gridCol w:w="567"/>
        <w:gridCol w:w="567"/>
      </w:tblGrid>
      <w:tr w:rsidR="005624E3" w:rsidRPr="00C903F8" w:rsidTr="00101A80">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Acélsodrony [mm]</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6</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7</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8</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9</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11</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12</w:t>
            </w:r>
          </w:p>
        </w:tc>
      </w:tr>
      <w:tr w:rsidR="005624E3" w:rsidRPr="00C903F8" w:rsidTr="00101A80">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Rost [mm]</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16</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18</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22</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24</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26</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28</w:t>
            </w:r>
          </w:p>
        </w:tc>
      </w:tr>
      <w:tr w:rsidR="005624E3" w:rsidRPr="00C903F8" w:rsidTr="00101A80">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rPr>
                <w:rFonts w:cs="Arial"/>
                <w:noProof/>
                <w:sz w:val="18"/>
                <w:szCs w:val="18"/>
              </w:rPr>
            </w:pPr>
            <w:r>
              <w:rPr>
                <w:noProof/>
                <w:sz w:val="18"/>
              </w:rPr>
              <w:t>Kötéltárcsa [mm]</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100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110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120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130</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145</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155</w:t>
            </w:r>
          </w:p>
        </w:tc>
        <w:tc>
          <w:tcPr>
            <w:tcW w:w="567" w:type="dxa"/>
            <w:tcBorders>
              <w:top w:val="single" w:sz="2" w:space="0" w:color="auto"/>
              <w:left w:val="single" w:sz="2" w:space="0" w:color="auto"/>
              <w:bottom w:val="single" w:sz="2" w:space="0" w:color="auto"/>
              <w:right w:val="single" w:sz="2" w:space="0" w:color="auto"/>
            </w:tcBorders>
            <w:vAlign w:val="center"/>
          </w:tcPr>
          <w:p w:rsidR="005624E3" w:rsidRPr="00C903F8" w:rsidRDefault="005624E3" w:rsidP="00101A80">
            <w:pPr>
              <w:pStyle w:val="NormalLeft"/>
              <w:spacing w:before="60" w:after="60" w:line="240" w:lineRule="atLeast"/>
              <w:jc w:val="right"/>
              <w:rPr>
                <w:rFonts w:cs="Arial"/>
                <w:noProof/>
                <w:sz w:val="18"/>
                <w:szCs w:val="18"/>
              </w:rPr>
            </w:pPr>
            <w:r>
              <w:rPr>
                <w:noProof/>
                <w:sz w:val="18"/>
              </w:rPr>
              <w:t>165</w:t>
            </w:r>
          </w:p>
        </w:tc>
      </w:tr>
    </w:tbl>
    <w:p w:rsidR="005624E3" w:rsidRPr="00C903F8" w:rsidRDefault="005624E3" w:rsidP="005624E3">
      <w:pPr>
        <w:pStyle w:val="ESch"/>
        <w:rPr>
          <w:noProof/>
          <w:szCs w:val="20"/>
        </w:rPr>
      </w:pPr>
    </w:p>
    <w:p w:rsidR="005624E3" w:rsidRPr="00C903F8" w:rsidRDefault="005624E3" w:rsidP="005624E3">
      <w:pPr>
        <w:pStyle w:val="ESch"/>
        <w:rPr>
          <w:rFonts w:cs="Arial"/>
          <w:szCs w:val="20"/>
        </w:rPr>
      </w:pPr>
      <w:r>
        <w:t>2.</w:t>
      </w:r>
      <w:r>
        <w:tab/>
        <w:t>Az 1. bekezdéstől eltérve, a kötéltárcsák átmérője az acélsodrony átmérőjének hatszorosa lehet, feltéve, hogy az acélsodrony nem fut állandóan a tárcsákon.</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 xml:space="preserve">3. </w:t>
      </w:r>
      <w:r>
        <w:tab/>
        <w:t xml:space="preserve">A szerelékek (pl. villák, szemescsavarok, kötélcsatok, dekkszemek, csavarok, gyűrűk és bilincsek) </w:t>
      </w:r>
      <w:r w:rsidR="007558CC">
        <w:t>szakítószilárdság</w:t>
      </w:r>
      <w:r>
        <w:t xml:space="preserve">ának meg kell felelnie a hozzájuk kapcsolt álló- vagy futókötélzet </w:t>
      </w:r>
      <w:r w:rsidR="007558CC">
        <w:t>szakítószilárdság</w:t>
      </w:r>
      <w:r>
        <w:t>ának.</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4.</w:t>
      </w:r>
      <w:r>
        <w:tab/>
        <w:t>A merevítők és csarnakok rögzítését a fenékbordarészen úgy kell kialakítani, hogy azok a rájuk ható erőket felvegyék.</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5.</w:t>
      </w:r>
      <w:r>
        <w:tab/>
        <w:t>Minden szemhez csak egy bilincs erősíthető a hozzá tartozó merevítő vagy csarnak mentén.</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6.</w:t>
      </w:r>
      <w:r>
        <w:tab/>
        <w:t>A felhúzókötelek és a rúdtartó kötelek csigáit szilárdan rögzíteni kell az árbóchoz, és az erre a célra szolgáló forgószemeknek jó állapotban kell lenniük.</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7.</w:t>
      </w:r>
      <w:r>
        <w:tab/>
        <w:t>A gyűrűs csapszegek, kötélbakok, kötélrögzítő szarvak és kötélzetrögzítő sínveretek rögzítését úgy kell megtervezni, hogy ellenálljanak a rájuk ható erőknek.</w:t>
      </w:r>
    </w:p>
    <w:p w:rsidR="005624E3" w:rsidRPr="00C903F8" w:rsidRDefault="005624E3" w:rsidP="005624E3">
      <w:pPr>
        <w:pStyle w:val="ESch"/>
        <w:rPr>
          <w:rFonts w:cs="Arial"/>
          <w:szCs w:val="20"/>
        </w:rPr>
      </w:pPr>
      <w:r>
        <w:br w:type="page"/>
      </w:r>
    </w:p>
    <w:p w:rsidR="005624E3" w:rsidRPr="00C903F8" w:rsidRDefault="005624E3" w:rsidP="005624E3">
      <w:pPr>
        <w:pStyle w:val="ES-Titre3"/>
        <w:rPr>
          <w:rFonts w:cs="Arial"/>
          <w:i/>
        </w:rPr>
      </w:pPr>
      <w:bookmarkStart w:id="410" w:name="_Toc491854202"/>
      <w:bookmarkStart w:id="411" w:name="_Toc535853981"/>
      <w:r>
        <w:t>20.17. cikk</w:t>
      </w:r>
      <w:r>
        <w:br/>
      </w:r>
      <w:r>
        <w:rPr>
          <w:i/>
          <w:noProof/>
        </w:rPr>
        <w:t>Vitorlák</w:t>
      </w:r>
      <w:bookmarkEnd w:id="410"/>
      <w:bookmarkEnd w:id="411"/>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1.</w:t>
      </w:r>
      <w:r>
        <w:tab/>
        <w:t>Biztosítani kell, hogy a vitorlák egyszerűen, gyorsan és biztonságosan bevonhatók legyenek.</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2.</w:t>
      </w:r>
      <w:r>
        <w:tab/>
        <w:t>A vitorlafelületnek meg kell felelnie a hajó típusának és vízkiszorítási térfogatának.</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rFonts w:cs="Arial"/>
          <w:i/>
        </w:rPr>
      </w:pPr>
      <w:bookmarkStart w:id="412" w:name="_Toc491854203"/>
      <w:bookmarkStart w:id="413" w:name="_Toc535853982"/>
      <w:r>
        <w:t>20.18. cikk</w:t>
      </w:r>
      <w:r>
        <w:br/>
      </w:r>
      <w:r>
        <w:rPr>
          <w:i/>
          <w:noProof/>
        </w:rPr>
        <w:t>Felszerelések</w:t>
      </w:r>
      <w:bookmarkEnd w:id="412"/>
      <w:bookmarkEnd w:id="413"/>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 xml:space="preserve">1. </w:t>
      </w:r>
      <w:r>
        <w:tab/>
        <w:t>Az orrvitorlarúddal vagy orrárbóccal felszerelt hajóknak rendelkezniük kell orrvitorlahálóval és kellő számú megfelelő tartó- és feszítőeszközzel.</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2.</w:t>
      </w:r>
      <w:r>
        <w:tab/>
        <w:t>Az 1. bekezdés szerinti felszereléstől el lehet tekinteni, ha az orrvitorlarúd vagy az orrárbóc fel van szerelve megfelelő méretű kézi hámmal és talpallókötéllel, amelyek lehetővé teszik a fedélzeten tartandó biztonsági heveder rögzítését.</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3.</w:t>
      </w:r>
      <w:r>
        <w:tab/>
        <w:t>A kötélzeten való munkavégzéshez vitorlamesteri ülést kell biztosítani.</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rFonts w:cs="Arial"/>
          <w:i/>
        </w:rPr>
      </w:pPr>
      <w:bookmarkStart w:id="414" w:name="_Toc491854204"/>
      <w:bookmarkStart w:id="415" w:name="_Toc535853983"/>
      <w:r>
        <w:t>20.19. cikk</w:t>
      </w:r>
      <w:r>
        <w:br/>
      </w:r>
      <w:r>
        <w:rPr>
          <w:i/>
          <w:noProof/>
        </w:rPr>
        <w:t>Vizsgálatok</w:t>
      </w:r>
      <w:bookmarkEnd w:id="414"/>
      <w:bookmarkEnd w:id="415"/>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1.</w:t>
      </w:r>
      <w:r>
        <w:tab/>
        <w:t>Az ellenőrző szerv 2 és fél évente ellenőrzi a kötélzetet. A vizsgálat kiterjed legalább az alábbiakra:</w:t>
      </w:r>
    </w:p>
    <w:p w:rsidR="005624E3" w:rsidRPr="00C903F8" w:rsidRDefault="005624E3" w:rsidP="005624E3">
      <w:pPr>
        <w:pStyle w:val="ESlet"/>
        <w:rPr>
          <w:rFonts w:cs="Arial"/>
        </w:rPr>
      </w:pPr>
      <w:r>
        <w:t>a)</w:t>
      </w:r>
      <w:r>
        <w:tab/>
        <w:t>a vitorlák, beleértve a vitorlák hátsó szegélyét, alsó csücskét és a vitorlakurtító (reffelő) szemeket;</w:t>
      </w:r>
    </w:p>
    <w:p w:rsidR="005624E3" w:rsidRPr="00C903F8" w:rsidRDefault="005624E3" w:rsidP="005624E3">
      <w:pPr>
        <w:pStyle w:val="ESlet"/>
        <w:rPr>
          <w:rFonts w:cs="Arial"/>
        </w:rPr>
      </w:pPr>
      <w:r>
        <w:t>b)</w:t>
      </w:r>
      <w:r>
        <w:tab/>
        <w:t>az árbócok és vitorlarudak állapota;</w:t>
      </w:r>
    </w:p>
    <w:p w:rsidR="005624E3" w:rsidRPr="00C903F8" w:rsidRDefault="005624E3" w:rsidP="005624E3">
      <w:pPr>
        <w:pStyle w:val="ESlet"/>
        <w:rPr>
          <w:rFonts w:cs="Arial"/>
        </w:rPr>
      </w:pPr>
      <w:r>
        <w:t>c)</w:t>
      </w:r>
      <w:r>
        <w:tab/>
        <w:t>az álló- és futókötélzet állapota, valamint a sodronyok csatlakozásai;</w:t>
      </w:r>
    </w:p>
    <w:p w:rsidR="005624E3" w:rsidRPr="00C903F8" w:rsidRDefault="005624E3" w:rsidP="005624E3">
      <w:pPr>
        <w:pStyle w:val="ESlet"/>
        <w:rPr>
          <w:rFonts w:cs="Arial"/>
        </w:rPr>
      </w:pPr>
      <w:r>
        <w:t>d)</w:t>
      </w:r>
      <w:r>
        <w:tab/>
        <w:t>a vitorlák gyors és biztonságos bevonására szolgáló szerkezetek;</w:t>
      </w:r>
    </w:p>
    <w:p w:rsidR="005624E3" w:rsidRPr="00C903F8" w:rsidRDefault="005624E3" w:rsidP="005624E3">
      <w:pPr>
        <w:pStyle w:val="ESlet"/>
        <w:rPr>
          <w:rFonts w:cs="Arial"/>
        </w:rPr>
      </w:pPr>
      <w:r>
        <w:t>e)</w:t>
      </w:r>
      <w:r>
        <w:tab/>
        <w:t>a felhúzókötelek és a rúdtartó kötelek csigáinak szilárd rögzítése;</w:t>
      </w:r>
    </w:p>
    <w:p w:rsidR="005624E3" w:rsidRPr="00C903F8" w:rsidRDefault="005624E3" w:rsidP="005624E3">
      <w:pPr>
        <w:pStyle w:val="ESlet"/>
        <w:rPr>
          <w:rFonts w:cs="Arial"/>
        </w:rPr>
      </w:pPr>
      <w:r>
        <w:t>f)</w:t>
      </w:r>
      <w:r>
        <w:tab/>
        <w:t>az árbóctörzsek rögzítése és az álló- és futókötélzet egyéb rögzítési pontjai, amelyek a hajóhoz kapcsolódnak;</w:t>
      </w:r>
    </w:p>
    <w:p w:rsidR="005624E3" w:rsidRPr="00C903F8" w:rsidRDefault="005624E3" w:rsidP="005624E3">
      <w:pPr>
        <w:pStyle w:val="ESlet"/>
        <w:rPr>
          <w:rFonts w:cs="Arial"/>
        </w:rPr>
      </w:pPr>
      <w:r>
        <w:t>g)</w:t>
      </w:r>
      <w:r>
        <w:tab/>
        <w:t>a vitorlák működtetéséhez szolgáló csörlők;</w:t>
      </w:r>
    </w:p>
    <w:p w:rsidR="005624E3" w:rsidRPr="00C903F8" w:rsidRDefault="005624E3" w:rsidP="005624E3">
      <w:pPr>
        <w:pStyle w:val="ESlet"/>
        <w:rPr>
          <w:rFonts w:cs="Arial"/>
        </w:rPr>
      </w:pPr>
      <w:r>
        <w:t>h)</w:t>
      </w:r>
      <w:r>
        <w:tab/>
        <w:t>egyéb, a vitorlázás célját szolgáló szerkezetek, például oldalsvert és a működtetéséhez szükséges szerelékek;</w:t>
      </w:r>
    </w:p>
    <w:p w:rsidR="005624E3" w:rsidRPr="00C903F8" w:rsidRDefault="005624E3" w:rsidP="005624E3">
      <w:pPr>
        <w:pStyle w:val="ESlet"/>
        <w:rPr>
          <w:rFonts w:cs="Arial"/>
        </w:rPr>
      </w:pPr>
      <w:r>
        <w:t>i)</w:t>
      </w:r>
      <w:r>
        <w:tab/>
        <w:t>a vitorlarudak, a futó- és állókötélzet, valamint a vitorlák kopásának megelőzésére tett intézkedések;</w:t>
      </w:r>
    </w:p>
    <w:p w:rsidR="005624E3" w:rsidRPr="00C903F8" w:rsidRDefault="005624E3" w:rsidP="005624E3">
      <w:pPr>
        <w:pStyle w:val="ESlet"/>
        <w:rPr>
          <w:rFonts w:cs="Arial"/>
        </w:rPr>
      </w:pPr>
      <w:r>
        <w:t>j)</w:t>
      </w:r>
      <w:r>
        <w:tab/>
        <w:t>a 20.18. cikk szerinti felszerelések.</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2.</w:t>
      </w:r>
      <w:r>
        <w:tab/>
        <w:t xml:space="preserve">A faárbóc fedélzeten keresztülhaladó és fedélzet alatti részét az ellenőrző szerv által meghatározott időközökben, de legalább minden egyes időszakos </w:t>
      </w:r>
      <w:r w:rsidR="0092642D">
        <w:t xml:space="preserve">vizsgálat </w:t>
      </w:r>
      <w:r>
        <w:t>alkalmával újra kell ellenőrizni. E célból az árbócot ki kell venni.</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3.</w:t>
      </w:r>
      <w:r>
        <w:tab/>
        <w:t>Az 1. bekezdés szerint elvégzett utolsó ellenőrzés tanúsítványát, amelyet az azt kibocsátó ellenőrző szerv dátummal és aláírással látott el, a fedélzeten kell tartani.</w:t>
      </w:r>
    </w:p>
    <w:p w:rsidR="005624E3" w:rsidRPr="00C903F8" w:rsidRDefault="005624E3" w:rsidP="005624E3">
      <w:pPr>
        <w:pStyle w:val="ESch"/>
      </w:pPr>
    </w:p>
    <w:p w:rsidR="005624E3" w:rsidRPr="00C903F8" w:rsidRDefault="005624E3" w:rsidP="005624E3">
      <w:pPr>
        <w:pStyle w:val="ESch"/>
      </w:pPr>
    </w:p>
    <w:p w:rsidR="005624E3" w:rsidRPr="00C903F8" w:rsidRDefault="005624E3" w:rsidP="005624E3">
      <w:pPr>
        <w:pStyle w:val="ES-Titre2"/>
      </w:pPr>
      <w:bookmarkStart w:id="416" w:name="_Toc491854205"/>
      <w:bookmarkStart w:id="417" w:name="_Toc535853984"/>
      <w:r>
        <w:t>21. fejezet</w:t>
      </w:r>
      <w:r>
        <w:br/>
      </w:r>
      <w:r>
        <w:rPr>
          <w:noProof/>
        </w:rPr>
        <w:t>Tolt vagy vontatott kötelék, illetve mellévett alakzat kialakítására szolgáló vízi járművekre vonatkozó külön rendelkezések</w:t>
      </w:r>
      <w:bookmarkEnd w:id="416"/>
      <w:bookmarkEnd w:id="417"/>
    </w:p>
    <w:p w:rsidR="005624E3" w:rsidRPr="00C903F8" w:rsidRDefault="005624E3" w:rsidP="005624E3"/>
    <w:p w:rsidR="005624E3" w:rsidRPr="00C903F8" w:rsidRDefault="005624E3" w:rsidP="005624E3">
      <w:pPr>
        <w:pStyle w:val="ES-Titre3"/>
      </w:pPr>
      <w:bookmarkStart w:id="418" w:name="_Toc491854206"/>
      <w:bookmarkStart w:id="419" w:name="_Toc535853985"/>
      <w:r>
        <w:t>21.01. cikk</w:t>
      </w:r>
      <w:r>
        <w:br/>
      </w:r>
      <w:r>
        <w:rPr>
          <w:i/>
          <w:noProof/>
        </w:rPr>
        <w:t>Tolóhajók</w:t>
      </w:r>
      <w:bookmarkEnd w:id="418"/>
      <w:bookmarkEnd w:id="419"/>
    </w:p>
    <w:p w:rsidR="005624E3" w:rsidRPr="00C903F8" w:rsidRDefault="005624E3" w:rsidP="005624E3">
      <w:pPr>
        <w:pStyle w:val="ESch"/>
        <w:rPr>
          <w:noProof/>
        </w:rPr>
      </w:pPr>
    </w:p>
    <w:p w:rsidR="005624E3" w:rsidRPr="00C903F8" w:rsidRDefault="005624E3" w:rsidP="005624E3">
      <w:pPr>
        <w:pStyle w:val="ESch"/>
        <w:rPr>
          <w:rFonts w:eastAsia="Calibri" w:cs="Arial"/>
          <w:szCs w:val="18"/>
        </w:rPr>
      </w:pPr>
      <w:r>
        <w:t xml:space="preserve">1. </w:t>
      </w:r>
      <w:r>
        <w:tab/>
        <w:t>A tolásra használt vízi járműnek rendelkeznie kell megfelelő tolóberendezéssel. Az ilyen vízi járművet úgy kell kialakítani és felszerelni, hogy:</w:t>
      </w:r>
    </w:p>
    <w:p w:rsidR="005624E3" w:rsidRPr="00C903F8" w:rsidRDefault="005624E3" w:rsidP="005624E3">
      <w:pPr>
        <w:pStyle w:val="ESlet"/>
        <w:rPr>
          <w:rFonts w:eastAsia="Calibri" w:cs="Arial"/>
          <w:szCs w:val="18"/>
        </w:rPr>
      </w:pPr>
      <w:r>
        <w:t>a)</w:t>
      </w:r>
      <w:r>
        <w:tab/>
        <w:t>biztosított legyen a legénység könnyű és biztonságos átjutása a tolt vízi járműre a csatolóeszköz összekapcsolt állapotában;</w:t>
      </w:r>
    </w:p>
    <w:p w:rsidR="005624E3" w:rsidRPr="00C903F8" w:rsidRDefault="005624E3" w:rsidP="005624E3">
      <w:pPr>
        <w:pStyle w:val="ESlet"/>
        <w:rPr>
          <w:rFonts w:eastAsia="Calibri" w:cs="Arial"/>
          <w:szCs w:val="18"/>
        </w:rPr>
      </w:pPr>
      <w:r>
        <w:t>b)</w:t>
      </w:r>
      <w:r>
        <w:tab/>
        <w:t>biztosított legyen a vízi jármű rögzített helyzete a hozzá csatolt vízi járműhöz képest;</w:t>
      </w:r>
    </w:p>
    <w:p w:rsidR="005624E3" w:rsidRPr="00C903F8" w:rsidRDefault="005624E3" w:rsidP="005624E3">
      <w:pPr>
        <w:pStyle w:val="ESlet"/>
        <w:rPr>
          <w:rFonts w:eastAsia="Calibri" w:cs="Arial"/>
          <w:szCs w:val="18"/>
        </w:rPr>
      </w:pPr>
      <w:r>
        <w:t>c)</w:t>
      </w:r>
      <w:r>
        <w:tab/>
        <w:t>megelőzhető legyen a vízi járművek egymáshoz képest való viszonylagos elmozdulása.</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2.</w:t>
      </w:r>
      <w:r>
        <w:tab/>
        <w:t>Ha a vízi járművek kötelekkel vannak összekötve, a toló vízi járművet fel kell szerelni legalább két speciális csörlővel vagy azzal egyenértékű csatolóeszközzel, amely lehetővé teszi a kötelek megfeszítését.</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 xml:space="preserve">3. </w:t>
      </w:r>
      <w:r>
        <w:tab/>
        <w:t>A csatolóeszköznek lehetővé kell tennie merev összeállítás létrehozását a tolt vízi járművel.</w:t>
      </w:r>
    </w:p>
    <w:p w:rsidR="005624E3" w:rsidRPr="00C903F8" w:rsidRDefault="005624E3" w:rsidP="005624E3">
      <w:pPr>
        <w:pStyle w:val="ESch"/>
        <w:rPr>
          <w:rFonts w:eastAsia="Calibri"/>
          <w:noProof/>
        </w:rPr>
      </w:pPr>
    </w:p>
    <w:p w:rsidR="005624E3" w:rsidRPr="00C903F8" w:rsidRDefault="005624E3" w:rsidP="005624E3">
      <w:pPr>
        <w:pStyle w:val="ESchpar"/>
        <w:rPr>
          <w:rFonts w:eastAsia="Calibri" w:cs="Arial"/>
          <w:szCs w:val="18"/>
        </w:rPr>
      </w:pPr>
      <w:r>
        <w:t>Ha a kötelék egy toló vízi járműből és egyetlen tolt vízi járműből áll, a csatolóeszköznek lehetővé kell tennie a vezérelt kihajlást. A szükséges meghajtóegységeknek könnyen fel kell venniük az átadandó erőket, valamint könnyen és biztonságosan vezérelhetőknek kell lenniük. A 6.02–6.04. cikk ezekre a meghajtóegységekre értelemszerűen alkalmazandó.</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 xml:space="preserve">4. </w:t>
      </w:r>
      <w:r>
        <w:tab/>
        <w:t>A 3.03. cikk 1. bekezdésének a) pontjában említett ütközési válaszfal tolóhajók esetében nélkülözhető.</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p>
    <w:p w:rsidR="005624E3" w:rsidRPr="00C903F8" w:rsidRDefault="005624E3" w:rsidP="005624E3">
      <w:pPr>
        <w:pStyle w:val="ES-Titre3"/>
        <w:rPr>
          <w:rFonts w:cs="Arial"/>
          <w:i/>
          <w:szCs w:val="18"/>
        </w:rPr>
      </w:pPr>
      <w:bookmarkStart w:id="420" w:name="_Toc491854207"/>
      <w:bookmarkStart w:id="421" w:name="_Toc535853986"/>
      <w:r>
        <w:t>21.02. cikk</w:t>
      </w:r>
      <w:r>
        <w:br/>
      </w:r>
      <w:r>
        <w:rPr>
          <w:i/>
          <w:noProof/>
        </w:rPr>
        <w:t>Tolt vízi járművek</w:t>
      </w:r>
      <w:bookmarkEnd w:id="420"/>
      <w:bookmarkEnd w:id="421"/>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 xml:space="preserve">1. </w:t>
      </w:r>
      <w:r>
        <w:tab/>
        <w:t>Az alábbiak nem vonatkoznak a kormányberendezés, lakótér, géptér vagy kazántér nélküli bárkákra:</w:t>
      </w:r>
    </w:p>
    <w:p w:rsidR="005624E3" w:rsidRPr="00C903F8" w:rsidRDefault="005624E3" w:rsidP="005624E3">
      <w:pPr>
        <w:pStyle w:val="ESlet"/>
        <w:rPr>
          <w:rFonts w:eastAsia="Calibri" w:cs="Arial"/>
          <w:szCs w:val="18"/>
        </w:rPr>
      </w:pPr>
      <w:r>
        <w:t>a)</w:t>
      </w:r>
      <w:r>
        <w:tab/>
        <w:t>5–7. és 15. fejezet;</w:t>
      </w:r>
    </w:p>
    <w:p w:rsidR="005624E3" w:rsidRPr="00C903F8" w:rsidRDefault="005624E3" w:rsidP="005624E3">
      <w:pPr>
        <w:pStyle w:val="ESlet"/>
        <w:rPr>
          <w:rFonts w:eastAsia="Calibri" w:cs="Arial"/>
          <w:szCs w:val="18"/>
        </w:rPr>
      </w:pPr>
      <w:r>
        <w:t>b)</w:t>
      </w:r>
      <w:r>
        <w:tab/>
        <w:t>a 8.08. cikk 2–8. bekezdése, a 13.02. cikk és a 13.08. cikk 1. bekezdése.</w:t>
      </w:r>
    </w:p>
    <w:p w:rsidR="005624E3" w:rsidRPr="00C903F8" w:rsidRDefault="005624E3" w:rsidP="005624E3">
      <w:pPr>
        <w:pStyle w:val="ESch"/>
        <w:rPr>
          <w:rFonts w:eastAsia="Calibri"/>
          <w:noProof/>
        </w:rPr>
      </w:pPr>
    </w:p>
    <w:p w:rsidR="005624E3" w:rsidRPr="00C903F8" w:rsidRDefault="005624E3" w:rsidP="005624E3">
      <w:pPr>
        <w:pStyle w:val="ESchpar"/>
        <w:rPr>
          <w:rFonts w:eastAsia="Calibri" w:cs="Arial"/>
          <w:szCs w:val="18"/>
        </w:rPr>
      </w:pPr>
      <w:r>
        <w:t>Kormányberendezés, lakótér, géptér vagy kazántér megléte esetén azokra e szabvány vonatkozó követelményei érvényesek.</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2.</w:t>
      </w:r>
      <w:r>
        <w:tab/>
        <w:t>Ezenkívül a legfeljebb 40 m hosszúságú (</w:t>
      </w:r>
      <m:oMath>
        <m:r>
          <w:rPr>
            <w:rFonts w:ascii="Cambria Math" w:eastAsia="Calibri" w:hAnsi="Cambria Math"/>
            <w:noProof/>
          </w:rPr>
          <m:t>L</m:t>
        </m:r>
      </m:oMath>
      <w:r>
        <w:t>), hajón szállítható bárkáknak meg kell felelniük az alábbi követelményeknek:</w:t>
      </w:r>
    </w:p>
    <w:p w:rsidR="005624E3" w:rsidRPr="00C903F8" w:rsidRDefault="005624E3" w:rsidP="005624E3">
      <w:pPr>
        <w:pStyle w:val="ESlet"/>
        <w:rPr>
          <w:rFonts w:eastAsia="Calibri" w:cs="Arial"/>
          <w:szCs w:val="18"/>
        </w:rPr>
      </w:pPr>
      <w:r>
        <w:t>a)</w:t>
      </w:r>
      <w:r>
        <w:tab/>
        <w:t>a 3.03. cikk 1. bekezdésében említett ütközési válaszfalra nincs szükség, ha a bárka eleje elbírja az ugyanolyan merüléssel rendelkező és egy elismert hajóosztályozó társaság követelményei szerint megépített belvízi hajók ütközési válaszfalaira meghatározott terhelés legalább 2,5-szeresét;</w:t>
      </w:r>
    </w:p>
    <w:p w:rsidR="005624E3" w:rsidRPr="00C903F8" w:rsidRDefault="005624E3" w:rsidP="005624E3">
      <w:pPr>
        <w:pStyle w:val="ESlet"/>
        <w:rPr>
          <w:rFonts w:eastAsia="Calibri" w:cs="Arial"/>
          <w:szCs w:val="18"/>
        </w:rPr>
      </w:pPr>
      <w:r>
        <w:t>b)</w:t>
      </w:r>
      <w:r>
        <w:tab/>
        <w:t>a 8.08. cikk 1. bekezdésétől eltérve, a duplafenék nehezen megközelíthető rekeszeinek nem kell vízteleníthetőnek lenniük, kivéve ha térfogatuk meghaladja a hajón szállítható bárka legnagyobb engedélyezett terhelt merüléséhez tartozó vízkiszorítási térfogatának 5 %-át.</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 xml:space="preserve">3. </w:t>
      </w:r>
      <w:r>
        <w:tab/>
        <w:t>A tolni szándékozott vízi járművet olyan csatolóeszközzel kell felszerelni, amely biztosítja a másik vízi járműhöz való biztonságos kapcsolódást.</w:t>
      </w:r>
    </w:p>
    <w:p w:rsidR="005624E3" w:rsidRPr="00C903F8" w:rsidRDefault="005624E3" w:rsidP="005624E3">
      <w:pPr>
        <w:pStyle w:val="ESch"/>
        <w:rPr>
          <w:rFonts w:eastAsia="Calibri" w:cs="Arial"/>
          <w:szCs w:val="18"/>
        </w:rPr>
      </w:pPr>
    </w:p>
    <w:p w:rsidR="005624E3" w:rsidRDefault="005624E3" w:rsidP="005624E3">
      <w:pPr>
        <w:pStyle w:val="ESch"/>
        <w:rPr>
          <w:rFonts w:eastAsia="Calibri" w:cs="Arial"/>
          <w:szCs w:val="18"/>
        </w:rPr>
      </w:pPr>
    </w:p>
    <w:p w:rsidR="005624E3" w:rsidRDefault="005624E3" w:rsidP="005624E3">
      <w:pPr>
        <w:rPr>
          <w:rFonts w:eastAsia="Calibri" w:cs="Arial"/>
          <w:szCs w:val="18"/>
        </w:rPr>
      </w:pPr>
      <w:r>
        <w:br w:type="page"/>
      </w:r>
    </w:p>
    <w:p w:rsidR="005624E3" w:rsidRPr="00C903F8" w:rsidRDefault="005624E3" w:rsidP="005624E3">
      <w:pPr>
        <w:pStyle w:val="ES-Titre3"/>
        <w:rPr>
          <w:rFonts w:cs="Arial"/>
          <w:i/>
          <w:szCs w:val="18"/>
        </w:rPr>
      </w:pPr>
      <w:bookmarkStart w:id="422" w:name="_Toc491854208"/>
      <w:bookmarkStart w:id="423" w:name="_Toc535853987"/>
      <w:r>
        <w:t>21.03. cikk</w:t>
      </w:r>
      <w:r>
        <w:br/>
      </w:r>
      <w:r>
        <w:rPr>
          <w:i/>
          <w:noProof/>
        </w:rPr>
        <w:t>Mellévett alakzatokat meghajtó vízi járművek</w:t>
      </w:r>
      <w:bookmarkEnd w:id="422"/>
      <w:bookmarkEnd w:id="423"/>
    </w:p>
    <w:p w:rsidR="005624E3" w:rsidRPr="00C903F8" w:rsidRDefault="005624E3" w:rsidP="005624E3">
      <w:pPr>
        <w:pStyle w:val="ESch"/>
        <w:rPr>
          <w:rFonts w:eastAsia="Calibri"/>
          <w:noProof/>
        </w:rPr>
      </w:pPr>
    </w:p>
    <w:p w:rsidR="005624E3" w:rsidRPr="00C903F8" w:rsidRDefault="005624E3" w:rsidP="005624E3">
      <w:pPr>
        <w:pStyle w:val="ESgauche"/>
        <w:rPr>
          <w:rFonts w:eastAsia="Calibri" w:cs="Arial"/>
          <w:szCs w:val="18"/>
        </w:rPr>
      </w:pPr>
      <w:r>
        <w:t>A mellévett alakzatok meghajtására szolgáló vízi járműveket fel kell szerelni kikötőbakokkal vagy azzal egyenértékű eszközökkel, amelyek számukból és elrendezésükből adódóan lehetővé teszik az alakzat biztonságos összecsatolását.</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p>
    <w:p w:rsidR="005624E3" w:rsidRPr="00C903F8" w:rsidRDefault="005624E3" w:rsidP="005624E3">
      <w:pPr>
        <w:pStyle w:val="ES-Titre3"/>
        <w:rPr>
          <w:rFonts w:cs="Arial"/>
          <w:i/>
          <w:szCs w:val="18"/>
        </w:rPr>
      </w:pPr>
      <w:bookmarkStart w:id="424" w:name="_Toc491854209"/>
      <w:bookmarkStart w:id="425" w:name="_Toc535853988"/>
      <w:r>
        <w:t>21.04. cikk</w:t>
      </w:r>
      <w:r>
        <w:br/>
      </w:r>
      <w:r>
        <w:rPr>
          <w:i/>
          <w:noProof/>
        </w:rPr>
        <w:t>Kötelékben meghajtott vízi járművek</w:t>
      </w:r>
      <w:bookmarkEnd w:id="424"/>
      <w:bookmarkEnd w:id="425"/>
    </w:p>
    <w:p w:rsidR="005624E3" w:rsidRPr="00C903F8" w:rsidRDefault="005624E3" w:rsidP="005624E3">
      <w:pPr>
        <w:pStyle w:val="ESch"/>
        <w:rPr>
          <w:rFonts w:eastAsia="Calibri"/>
          <w:noProof/>
        </w:rPr>
      </w:pPr>
    </w:p>
    <w:p w:rsidR="005624E3" w:rsidRPr="00C903F8" w:rsidRDefault="005624E3" w:rsidP="005624E3">
      <w:pPr>
        <w:pStyle w:val="ESgauche"/>
        <w:rPr>
          <w:rFonts w:eastAsia="Calibri" w:cs="Arial"/>
          <w:szCs w:val="18"/>
        </w:rPr>
      </w:pPr>
      <w:r>
        <w:t>A kötelékben meghajtani szándékozott vízi járműveket fel kell szerelni csatolóeszközzel, kikötőbakokkal vagy azokkal egyenértékű eszközökkel, amelyek számukból és elrendezésükből adódóan lehetővé teszik a vízi járműnek a kötelékben lévő másik vízi járművel való biztonságos összekapcsolódását.</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p>
    <w:p w:rsidR="005624E3" w:rsidRPr="00C903F8" w:rsidRDefault="005624E3" w:rsidP="005624E3">
      <w:pPr>
        <w:pStyle w:val="ES-Titre3"/>
        <w:rPr>
          <w:rFonts w:cs="Arial"/>
          <w:i/>
          <w:szCs w:val="18"/>
        </w:rPr>
      </w:pPr>
      <w:bookmarkStart w:id="426" w:name="_Toc491854210"/>
      <w:bookmarkStart w:id="427" w:name="_Toc535853989"/>
      <w:r>
        <w:t>21.05. cikk</w:t>
      </w:r>
      <w:r>
        <w:br/>
      </w:r>
      <w:r>
        <w:rPr>
          <w:i/>
          <w:noProof/>
        </w:rPr>
        <w:t>Vontató vízi járművek</w:t>
      </w:r>
      <w:bookmarkEnd w:id="426"/>
      <w:bookmarkEnd w:id="427"/>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1.</w:t>
      </w:r>
      <w:r>
        <w:tab/>
        <w:t>A vontatásra szolgáló vízi járműveknek az alábbi követelményeknek kell megfelelniük:</w:t>
      </w:r>
    </w:p>
    <w:p w:rsidR="005624E3" w:rsidRPr="00C903F8" w:rsidRDefault="005624E3" w:rsidP="005624E3">
      <w:pPr>
        <w:pStyle w:val="ESlet"/>
        <w:rPr>
          <w:rFonts w:eastAsia="Calibri" w:cs="Arial"/>
          <w:szCs w:val="18"/>
        </w:rPr>
      </w:pPr>
      <w:r>
        <w:t>a)</w:t>
      </w:r>
      <w:r>
        <w:tab/>
        <w:t>A vontatóberendezéseket úgy kell elrendezni, hogy használatuk ne veszélyeztesse a vízi jármű, a legénység vagy a rakomány biztonságát.</w:t>
      </w:r>
    </w:p>
    <w:p w:rsidR="005624E3" w:rsidRPr="00C903F8" w:rsidRDefault="005624E3" w:rsidP="005624E3">
      <w:pPr>
        <w:pStyle w:val="ESlet"/>
        <w:rPr>
          <w:rFonts w:eastAsia="Calibri" w:cs="Arial"/>
          <w:szCs w:val="18"/>
        </w:rPr>
      </w:pPr>
      <w:r>
        <w:t>b)</w:t>
      </w:r>
      <w:r>
        <w:tab/>
        <w:t>A vontató vízi járműveket fel kell szerelni vonóhoroggal, amely a kormányállásból biztonságosan kioldható; ez nem alkalmazandó akkor, ha a kialakítás vagy egyéb eszközök megakadályozzák a felborulást.</w:t>
      </w:r>
    </w:p>
    <w:p w:rsidR="005624E3" w:rsidRPr="00C903F8" w:rsidRDefault="005624E3" w:rsidP="005624E3">
      <w:pPr>
        <w:pStyle w:val="ESlet"/>
        <w:rPr>
          <w:rFonts w:eastAsia="Calibri" w:cs="Arial"/>
          <w:szCs w:val="18"/>
        </w:rPr>
      </w:pPr>
      <w:r>
        <w:t>c)</w:t>
      </w:r>
      <w:r>
        <w:tab/>
        <w:t>A vontatóberendezések csörlőkből vagy vonóhorogból állnak. A vontatóberendezést a propeller síkja előtt kell elhelyezni. Ez a követelmény nem vonatkozik azokra a vízi járművekre, amelyeket olyan propulziós egységek kormányoznak, mint a kormánypropeller vagy a cikloidálpropeller.</w:t>
      </w:r>
    </w:p>
    <w:p w:rsidR="005624E3" w:rsidRPr="00C903F8" w:rsidRDefault="005624E3" w:rsidP="005624E3">
      <w:pPr>
        <w:pStyle w:val="ESlet"/>
        <w:rPr>
          <w:rFonts w:eastAsia="Calibri" w:cs="Arial"/>
          <w:szCs w:val="18"/>
        </w:rPr>
      </w:pPr>
      <w:r>
        <w:t>d)</w:t>
      </w:r>
      <w:r>
        <w:tab/>
        <w:t>A c) ponttól eltérve, olyan vízi járművek esetében, amelyek – a tagállamok hivatalos hajózási szabályzatai értelmében – csak vontatási segítséget nyújtanak önjáró vízi járműveknek, elegendő olyan vontatóberendezés, mint a kikötőbak vagy az azzal egyenértékű berendezés. A b) pont értelemszerűen alkalmazandó.</w:t>
      </w:r>
    </w:p>
    <w:p w:rsidR="005624E3" w:rsidRPr="00C903F8" w:rsidRDefault="005624E3" w:rsidP="005624E3">
      <w:pPr>
        <w:pStyle w:val="ESlet"/>
        <w:rPr>
          <w:rFonts w:eastAsia="Calibri" w:cs="Arial"/>
          <w:szCs w:val="18"/>
        </w:rPr>
      </w:pPr>
      <w:r>
        <w:t>e)</w:t>
      </w:r>
      <w:r>
        <w:tab/>
        <w:t>Amennyiben a vontatókötelek megakadhatnak a hajó farán, kötélfogó terelőgyűrűket kell felszerelni.</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2.</w:t>
      </w:r>
      <w:r>
        <w:tab/>
        <w:t>A 86 m hosszúságot (</w:t>
      </w:r>
      <m:oMath>
        <m:r>
          <w:rPr>
            <w:rFonts w:ascii="Cambria Math" w:eastAsia="Calibri" w:hAnsi="Cambria Math"/>
            <w:noProof/>
          </w:rPr>
          <m:t>L</m:t>
        </m:r>
      </m:oMath>
      <w:r>
        <w:t xml:space="preserve">) meghaladó vízi járművek nem kaphatnak engedélyt </w:t>
      </w:r>
      <w:r w:rsidR="007558CC">
        <w:t>folyásirán</w:t>
      </w:r>
      <w:r>
        <w:t>yú vontatásra.</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p>
    <w:p w:rsidR="005624E3" w:rsidRPr="00C903F8" w:rsidRDefault="005624E3" w:rsidP="005624E3">
      <w:pPr>
        <w:pStyle w:val="ES-Titre3"/>
        <w:rPr>
          <w:rFonts w:cs="Arial"/>
          <w:i/>
          <w:szCs w:val="18"/>
        </w:rPr>
      </w:pPr>
      <w:bookmarkStart w:id="428" w:name="_Toc491854211"/>
      <w:bookmarkStart w:id="429" w:name="_Toc535853990"/>
      <w:r>
        <w:t>21.06. cikk</w:t>
      </w:r>
      <w:r>
        <w:br/>
      </w:r>
      <w:r>
        <w:rPr>
          <w:i/>
          <w:noProof/>
        </w:rPr>
        <w:t>Kötelékek próbaútjai</w:t>
      </w:r>
      <w:bookmarkEnd w:id="428"/>
      <w:bookmarkEnd w:id="429"/>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1</w:t>
      </w:r>
      <w:r>
        <w:tab/>
        <w:t>Egy tolóhajó vagy önjáró hajó merev kötelék meghajtásához szükséges engedélyének megadása és ennek a belvízi hajóbizonyítványba való bejegyzése érdekében az ellenőrző szerv eldönti, mely alakzatokat kell bemutatni, és lebonyolítja az 5.02. cikkben említett próbautakat azon kérelmezett alakzat(ok)ban lévő kötelékkel, amely(ek)et a legkedvezőtlenebbnek tart. A köteléknek meg kell felelnie az 5.02–5.10. cikkben foglalt követelményeknek.</w:t>
      </w:r>
    </w:p>
    <w:p w:rsidR="005624E3" w:rsidRPr="00C903F8" w:rsidRDefault="005624E3" w:rsidP="005624E3">
      <w:pPr>
        <w:pStyle w:val="ESch"/>
        <w:rPr>
          <w:rFonts w:eastAsia="Calibri"/>
          <w:noProof/>
        </w:rPr>
      </w:pPr>
    </w:p>
    <w:p w:rsidR="005624E3" w:rsidRPr="00C903F8" w:rsidRDefault="005624E3" w:rsidP="005624E3">
      <w:pPr>
        <w:pStyle w:val="ESchpar"/>
        <w:rPr>
          <w:rFonts w:eastAsia="Calibri" w:cs="Arial"/>
          <w:szCs w:val="18"/>
        </w:rPr>
      </w:pPr>
      <w:r>
        <w:t>Az ellenőrző szerv ellenőrzi, hogy az 5. fejezetben előírt manőverek során a kötelék részét alkotó valamennyi vízi jármű merev kapcsolódása fennmarad-e.</w:t>
      </w:r>
    </w:p>
    <w:p w:rsidR="005624E3" w:rsidRPr="00C903F8" w:rsidRDefault="005624E3" w:rsidP="005624E3">
      <w:pPr>
        <w:pStyle w:val="ESch"/>
        <w:rPr>
          <w:rFonts w:eastAsia="Calibri"/>
          <w:noProof/>
        </w:rPr>
      </w:pPr>
    </w:p>
    <w:p w:rsidR="005624E3" w:rsidRDefault="005624E3" w:rsidP="005624E3">
      <w:pPr>
        <w:rPr>
          <w:rFonts w:eastAsia="Calibri"/>
          <w:noProof/>
        </w:rPr>
      </w:pPr>
      <w:r>
        <w:br w:type="page"/>
      </w:r>
    </w:p>
    <w:p w:rsidR="005624E3" w:rsidRPr="00C903F8" w:rsidRDefault="005624E3" w:rsidP="005624E3">
      <w:pPr>
        <w:pStyle w:val="ESch"/>
        <w:rPr>
          <w:rFonts w:eastAsia="Calibri" w:cs="Arial"/>
          <w:szCs w:val="18"/>
        </w:rPr>
      </w:pPr>
      <w:r>
        <w:t xml:space="preserve">2 </w:t>
      </w:r>
      <w:r>
        <w:tab/>
        <w:t>Ha az 1. bekezdésben említett próbautak során a tolt vagy mellévett alakzatban közlekedő vízi jármű fedélzetén az 5.02–5.10. cikkben foglalt követelményeknek való megfelelés céljából olyan speciális berendezések vannak, mint kormányberendezés, propulziós egységek, manőverezési apparátus vagy csuklós rendszerű csatolóeszközök, a köteléket meghajtó vízi jármű belvízi hajóbizonyítványába be kell jegyezni a következőket: az alkalmazott speciális berendezésekkel felszerelt vízi járművek alakzata, alakzatbeli helye, neve és egyedi európai hajóazonosító száma.</w:t>
      </w:r>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p>
    <w:p w:rsidR="005624E3" w:rsidRPr="00C903F8" w:rsidRDefault="005624E3" w:rsidP="005624E3">
      <w:pPr>
        <w:pStyle w:val="ES-Titre3"/>
        <w:rPr>
          <w:rFonts w:cs="Arial"/>
          <w:i/>
          <w:szCs w:val="18"/>
        </w:rPr>
      </w:pPr>
      <w:bookmarkStart w:id="430" w:name="_Toc491854212"/>
      <w:bookmarkStart w:id="431" w:name="_Toc535853991"/>
      <w:r>
        <w:t>21.07. cikk</w:t>
      </w:r>
      <w:r>
        <w:br/>
      </w:r>
      <w:r>
        <w:rPr>
          <w:i/>
          <w:noProof/>
        </w:rPr>
        <w:t>Bejegyzések a belvízi hajóbizonyítványba</w:t>
      </w:r>
      <w:bookmarkEnd w:id="430"/>
      <w:bookmarkEnd w:id="431"/>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 xml:space="preserve">1 </w:t>
      </w:r>
      <w:r>
        <w:tab/>
        <w:t>Ha egy vízi jármű kötelék meghajtására vagy kötelékben való meghajtásra szolgál, a belvízi hajóbizonyítványba be kell jegyezni a 21.01–21.06. cikkben foglalt vonatkozó követelményeknek való megfelelését.</w:t>
      </w:r>
    </w:p>
    <w:p w:rsidR="005624E3" w:rsidRPr="00C903F8" w:rsidRDefault="005624E3" w:rsidP="005624E3">
      <w:pPr>
        <w:pStyle w:val="ESch"/>
        <w:rPr>
          <w:rFonts w:eastAsia="Calibri"/>
          <w:noProof/>
        </w:rPr>
      </w:pPr>
    </w:p>
    <w:p w:rsidR="005624E3" w:rsidRPr="00C903F8" w:rsidRDefault="005624E3" w:rsidP="005624E3">
      <w:pPr>
        <w:pStyle w:val="ESch"/>
        <w:rPr>
          <w:rFonts w:eastAsia="Calibri" w:cs="Arial"/>
          <w:szCs w:val="18"/>
        </w:rPr>
      </w:pPr>
      <w:r>
        <w:t xml:space="preserve">2 </w:t>
      </w:r>
      <w:r>
        <w:tab/>
        <w:t>A meghajtó vízi jármű esetében a belvízi hajóbizonyítványban fel kell tüntetni a következő adatokat:</w:t>
      </w:r>
    </w:p>
    <w:p w:rsidR="005624E3" w:rsidRPr="00C903F8" w:rsidRDefault="005624E3" w:rsidP="005624E3">
      <w:pPr>
        <w:pStyle w:val="ESlet"/>
        <w:rPr>
          <w:rFonts w:eastAsia="Calibri" w:cs="Arial"/>
          <w:szCs w:val="18"/>
        </w:rPr>
      </w:pPr>
      <w:r>
        <w:t>a)</w:t>
      </w:r>
      <w:r>
        <w:tab/>
        <w:t>az elfogadott kötelékek és alakzatok;</w:t>
      </w:r>
    </w:p>
    <w:p w:rsidR="005624E3" w:rsidRPr="00C903F8" w:rsidRDefault="005624E3" w:rsidP="005624E3">
      <w:pPr>
        <w:pStyle w:val="ESlet"/>
        <w:rPr>
          <w:rFonts w:eastAsia="Calibri" w:cs="Arial"/>
          <w:szCs w:val="18"/>
        </w:rPr>
      </w:pPr>
      <w:r>
        <w:t>b)</w:t>
      </w:r>
      <w:r>
        <w:tab/>
        <w:t>az összecsatolás típusa;</w:t>
      </w:r>
    </w:p>
    <w:p w:rsidR="005624E3" w:rsidRPr="00C903F8" w:rsidRDefault="005624E3" w:rsidP="005624E3">
      <w:pPr>
        <w:pStyle w:val="ESlet"/>
        <w:rPr>
          <w:rFonts w:eastAsia="Calibri" w:cs="Arial"/>
          <w:szCs w:val="18"/>
        </w:rPr>
      </w:pPr>
      <w:r>
        <w:t>c)</w:t>
      </w:r>
      <w:r>
        <w:tab/>
        <w:t>a meghatározott legnagyobb csatolási erő; és</w:t>
      </w:r>
    </w:p>
    <w:p w:rsidR="005624E3" w:rsidRPr="00C903F8" w:rsidRDefault="005624E3" w:rsidP="005624E3">
      <w:pPr>
        <w:pStyle w:val="ESlet"/>
        <w:rPr>
          <w:rFonts w:eastAsia="Calibri" w:cs="Arial"/>
          <w:szCs w:val="18"/>
        </w:rPr>
      </w:pPr>
      <w:r>
        <w:t>d)</w:t>
      </w:r>
      <w:r>
        <w:tab/>
        <w:t>adott esetben a hosszanti csatolókötelek minimális szakítószilárdsága és a kötélmenetek száma.</w:t>
      </w:r>
    </w:p>
    <w:p w:rsidR="005624E3" w:rsidRPr="00C903F8" w:rsidRDefault="005624E3" w:rsidP="005624E3">
      <w:pPr>
        <w:pStyle w:val="ESch"/>
      </w:pPr>
    </w:p>
    <w:p w:rsidR="005624E3" w:rsidRPr="00C903F8" w:rsidRDefault="005624E3" w:rsidP="005624E3">
      <w:pPr>
        <w:pStyle w:val="ESch"/>
      </w:pPr>
    </w:p>
    <w:p w:rsidR="005624E3" w:rsidRPr="00C903F8" w:rsidRDefault="005624E3" w:rsidP="005624E3">
      <w:pPr>
        <w:pStyle w:val="ESch"/>
      </w:pPr>
    </w:p>
    <w:p w:rsidR="005624E3" w:rsidRPr="00C903F8" w:rsidRDefault="005624E3" w:rsidP="005624E3">
      <w:pPr>
        <w:pStyle w:val="ESch"/>
      </w:pPr>
      <w:r>
        <w:br w:type="page"/>
      </w:r>
    </w:p>
    <w:p w:rsidR="005624E3" w:rsidRPr="00C903F8" w:rsidRDefault="005624E3" w:rsidP="005624E3">
      <w:pPr>
        <w:pStyle w:val="ESch"/>
      </w:pPr>
    </w:p>
    <w:p w:rsidR="005624E3" w:rsidRPr="00C903F8" w:rsidRDefault="005624E3" w:rsidP="005624E3">
      <w:pPr>
        <w:pStyle w:val="ES-Titre2"/>
      </w:pPr>
      <w:bookmarkStart w:id="432" w:name="_Toc491854213"/>
      <w:bookmarkStart w:id="433" w:name="_Toc535853992"/>
      <w:r>
        <w:t>22. fejezet</w:t>
      </w:r>
      <w:r>
        <w:br/>
      </w:r>
      <w:r>
        <w:rPr>
          <w:noProof/>
        </w:rPr>
        <w:t>Az úszó munkagépekre alkalmazandó külön rendelkezések</w:t>
      </w:r>
      <w:bookmarkEnd w:id="432"/>
      <w:bookmarkEnd w:id="433"/>
    </w:p>
    <w:p w:rsidR="005624E3" w:rsidRPr="00C903F8" w:rsidRDefault="005624E3" w:rsidP="005624E3"/>
    <w:p w:rsidR="005624E3" w:rsidRPr="00C903F8" w:rsidRDefault="005624E3" w:rsidP="005624E3">
      <w:pPr>
        <w:pStyle w:val="ES-Titre3"/>
      </w:pPr>
      <w:bookmarkStart w:id="434" w:name="_Toc491854214"/>
      <w:bookmarkStart w:id="435" w:name="_Toc535853993"/>
      <w:r>
        <w:t>22.01. cikk</w:t>
      </w:r>
      <w:r>
        <w:br/>
      </w:r>
      <w:r>
        <w:rPr>
          <w:i/>
          <w:noProof/>
        </w:rPr>
        <w:t>Általános rendelkezések</w:t>
      </w:r>
      <w:bookmarkEnd w:id="434"/>
      <w:bookmarkEnd w:id="435"/>
    </w:p>
    <w:p w:rsidR="005624E3" w:rsidRPr="00C903F8" w:rsidRDefault="005624E3" w:rsidP="005624E3">
      <w:pPr>
        <w:pStyle w:val="ESch"/>
        <w:rPr>
          <w:noProof/>
        </w:rPr>
      </w:pPr>
    </w:p>
    <w:p w:rsidR="005624E3" w:rsidRPr="00C903F8" w:rsidRDefault="005624E3" w:rsidP="005624E3">
      <w:pPr>
        <w:pStyle w:val="ESgauche"/>
        <w:rPr>
          <w:rFonts w:cs="Arial"/>
          <w:szCs w:val="18"/>
        </w:rPr>
      </w:pPr>
      <w:r>
        <w:t>Az úszó munkagépek megépítésére és felszerelésére a 3., 7–17. és 21. fejezet alkalmazandó. A saját meghajtással rendelkező úszó munkagépeknek meg kell felelniük továbbá az 5. és 6. fejezetekben foglalt követelményeknek. Nem számít saját meghajtásnak, ha a propulziós egységek csak rövid idejű meghajtást tesznek lehetővé.</w:t>
      </w:r>
    </w:p>
    <w:p w:rsidR="005624E3" w:rsidRPr="00C903F8" w:rsidRDefault="005624E3" w:rsidP="005624E3">
      <w:pPr>
        <w:pStyle w:val="ESch"/>
        <w:rPr>
          <w:rFonts w:cs="Arial"/>
          <w:szCs w:val="18"/>
        </w:rPr>
      </w:pPr>
    </w:p>
    <w:p w:rsidR="005624E3" w:rsidRPr="00C903F8" w:rsidRDefault="005624E3" w:rsidP="005624E3">
      <w:pPr>
        <w:pStyle w:val="ESch"/>
        <w:rPr>
          <w:rFonts w:cs="Arial"/>
          <w:szCs w:val="18"/>
        </w:rPr>
      </w:pPr>
    </w:p>
    <w:p w:rsidR="005624E3" w:rsidRPr="00C903F8" w:rsidRDefault="005624E3" w:rsidP="005624E3">
      <w:pPr>
        <w:pStyle w:val="ES-Titre3"/>
        <w:rPr>
          <w:rFonts w:cs="Arial"/>
          <w:i/>
          <w:szCs w:val="18"/>
        </w:rPr>
      </w:pPr>
      <w:bookmarkStart w:id="436" w:name="_Toc491854215"/>
      <w:bookmarkStart w:id="437" w:name="_Toc535853994"/>
      <w:r>
        <w:t>22.02. cikk</w:t>
      </w:r>
      <w:r>
        <w:br/>
      </w:r>
      <w:r>
        <w:rPr>
          <w:i/>
          <w:noProof/>
        </w:rPr>
        <w:t>Eltérések</w:t>
      </w:r>
      <w:bookmarkEnd w:id="436"/>
      <w:bookmarkEnd w:id="437"/>
    </w:p>
    <w:p w:rsidR="005624E3" w:rsidRPr="00C903F8" w:rsidRDefault="005624E3" w:rsidP="005624E3">
      <w:pPr>
        <w:pStyle w:val="ESch"/>
        <w:rPr>
          <w:noProof/>
        </w:rPr>
      </w:pPr>
    </w:p>
    <w:p w:rsidR="005624E3" w:rsidRPr="00C903F8" w:rsidRDefault="005624E3" w:rsidP="005624E3">
      <w:pPr>
        <w:pStyle w:val="ESch"/>
        <w:rPr>
          <w:rFonts w:cs="Arial"/>
          <w:szCs w:val="18"/>
        </w:rPr>
      </w:pPr>
      <w:r>
        <w:t xml:space="preserve">1. </w:t>
      </w:r>
      <w:r>
        <w:tab/>
      </w:r>
    </w:p>
    <w:p w:rsidR="005624E3" w:rsidRPr="00C903F8" w:rsidRDefault="005624E3" w:rsidP="005624E3">
      <w:pPr>
        <w:pStyle w:val="ESlet"/>
        <w:rPr>
          <w:rFonts w:cs="Arial"/>
          <w:szCs w:val="18"/>
        </w:rPr>
      </w:pPr>
      <w:r>
        <w:t>a)</w:t>
      </w:r>
      <w:r>
        <w:tab/>
        <w:t>A 3.03. cikk 1. és 2. bekezdését értelemszerűen kell alkalmazni;</w:t>
      </w:r>
    </w:p>
    <w:p w:rsidR="005624E3" w:rsidRPr="00C903F8" w:rsidRDefault="005624E3" w:rsidP="005624E3">
      <w:pPr>
        <w:pStyle w:val="ESlet"/>
        <w:rPr>
          <w:rFonts w:cs="Arial"/>
          <w:szCs w:val="18"/>
        </w:rPr>
      </w:pPr>
      <w:r>
        <w:t>b)</w:t>
      </w:r>
      <w:r>
        <w:tab/>
        <w:t>a 7.02. cikket értelemszerűen kell alkalmazni;</w:t>
      </w:r>
    </w:p>
    <w:p w:rsidR="005624E3" w:rsidRPr="00C903F8" w:rsidRDefault="005624E3" w:rsidP="005624E3">
      <w:pPr>
        <w:pStyle w:val="ESlet"/>
        <w:rPr>
          <w:rFonts w:cs="Arial"/>
          <w:szCs w:val="18"/>
        </w:rPr>
      </w:pPr>
      <w:r>
        <w:t>c)</w:t>
      </w:r>
      <w:r>
        <w:tab/>
        <w:t>a 15.02. cikk 5. bekezdésének második mondata által előírt maximális hangnyomásszinteket túl lehet lépni, amíg az úszó munkagép munkagépei működésben vannak, feltéve, hogy az üzemelés ideje alatt éjszaka senki sem alszik a fedélzeten;</w:t>
      </w:r>
    </w:p>
    <w:p w:rsidR="005624E3" w:rsidRPr="00C903F8" w:rsidRDefault="005624E3" w:rsidP="005624E3">
      <w:pPr>
        <w:pStyle w:val="ESlet"/>
        <w:rPr>
          <w:rFonts w:cs="Arial"/>
          <w:szCs w:val="18"/>
        </w:rPr>
      </w:pPr>
      <w:r>
        <w:t>d)</w:t>
      </w:r>
      <w:r>
        <w:tab/>
        <w:t xml:space="preserve">az </w:t>
      </w:r>
      <w:r w:rsidR="00EA3F15">
        <w:t>ellenőrző szerv</w:t>
      </w:r>
      <w:r>
        <w:t xml:space="preserve"> mentességeket engedélyezhet a megépítésre, felszerelésre és berendezésekre vonatkozó egyéb követelmények alól, feltéve, hogy az egyenértékű biztonság minden esetben igazolható.</w:t>
      </w:r>
    </w:p>
    <w:p w:rsidR="005624E3" w:rsidRPr="00C903F8" w:rsidRDefault="005624E3" w:rsidP="005624E3">
      <w:pPr>
        <w:pStyle w:val="ESch"/>
        <w:rPr>
          <w:noProof/>
        </w:rPr>
      </w:pPr>
    </w:p>
    <w:p w:rsidR="005624E3" w:rsidRPr="00C903F8" w:rsidRDefault="005624E3" w:rsidP="005624E3">
      <w:pPr>
        <w:pStyle w:val="ESch"/>
        <w:rPr>
          <w:rFonts w:cs="Arial"/>
          <w:szCs w:val="18"/>
        </w:rPr>
      </w:pPr>
      <w:r>
        <w:t>2.</w:t>
      </w:r>
      <w:r>
        <w:tab/>
        <w:t xml:space="preserve">Az </w:t>
      </w:r>
      <w:r w:rsidR="00EA3F15">
        <w:t>ellenőrző szerv</w:t>
      </w:r>
      <w:r>
        <w:t xml:space="preserve"> eltekinthet az alábbi követelmények alkalmazásától:</w:t>
      </w:r>
    </w:p>
    <w:p w:rsidR="005624E3" w:rsidRPr="00C903F8" w:rsidRDefault="005624E3" w:rsidP="005624E3">
      <w:pPr>
        <w:pStyle w:val="ESlet"/>
        <w:rPr>
          <w:rFonts w:cs="Arial"/>
          <w:szCs w:val="18"/>
        </w:rPr>
      </w:pPr>
      <w:r>
        <w:t>a)</w:t>
      </w:r>
      <w:r>
        <w:tab/>
        <w:t xml:space="preserve">a 13.01. cikk 1. bekezdése, ha az úszó munkagép működés közben biztonságosan lehorgonyozható üzemi horgonnyal vagy cölöpökkel. A saját meghajtással rendelkező úszó munkagépeknek azonban rendelkezniük kell legalább egy, a 13.01. cikk 1. bekezdésében foglalt követelményeknek megfelelő horgonnyal, ahol a </w:t>
      </w:r>
      <m:oMath>
        <m:r>
          <w:rPr>
            <w:rFonts w:ascii="Cambria Math" w:hAnsi="Cambria Math"/>
            <w:noProof/>
          </w:rPr>
          <m:t>k</m:t>
        </m:r>
      </m:oMath>
      <w:r>
        <w:t xml:space="preserve"> empirikus tényezőt 45-nek, </w:t>
      </w:r>
      <m:oMath>
        <m:r>
          <w:rPr>
            <w:rFonts w:ascii="Cambria Math" w:hAnsi="Cambria Math"/>
            <w:noProof/>
          </w:rPr>
          <m:t>T</m:t>
        </m:r>
      </m:oMath>
      <w:r>
        <w:t xml:space="preserve">-t pedig a </w:t>
      </w:r>
      <m:oMath>
        <m:r>
          <w:rPr>
            <w:rFonts w:ascii="Cambria Math" w:hAnsi="Cambria Math"/>
            <w:noProof/>
          </w:rPr>
          <m:t>H</m:t>
        </m:r>
      </m:oMath>
      <w:r>
        <w:t xml:space="preserve"> magassággal egyenlőnek kell venni;</w:t>
      </w:r>
    </w:p>
    <w:p w:rsidR="005624E3" w:rsidRPr="00C903F8" w:rsidRDefault="005624E3" w:rsidP="005624E3">
      <w:pPr>
        <w:pStyle w:val="ESlet"/>
        <w:rPr>
          <w:rFonts w:cs="Arial"/>
          <w:szCs w:val="18"/>
        </w:rPr>
      </w:pPr>
      <w:r>
        <w:t>b)</w:t>
      </w:r>
      <w:r>
        <w:tab/>
        <w:t>a 15.02. cikk 1. bekezdésében a mondat második fele, ha a lakóteret villamos áram segítségével megfelelően meg lehet világítani.</w:t>
      </w:r>
    </w:p>
    <w:p w:rsidR="005624E3" w:rsidRPr="00C903F8" w:rsidRDefault="005624E3" w:rsidP="005624E3">
      <w:pPr>
        <w:pStyle w:val="ESch"/>
        <w:rPr>
          <w:noProof/>
        </w:rPr>
      </w:pPr>
    </w:p>
    <w:p w:rsidR="005624E3" w:rsidRPr="00C903F8" w:rsidRDefault="005624E3" w:rsidP="005624E3">
      <w:pPr>
        <w:pStyle w:val="ESch"/>
        <w:rPr>
          <w:rFonts w:cs="Arial"/>
          <w:szCs w:val="18"/>
        </w:rPr>
      </w:pPr>
      <w:r>
        <w:t>3.</w:t>
      </w:r>
      <w:r>
        <w:tab/>
        <w:t>Ezenkívül az alábbiakat kell alkalmazni:</w:t>
      </w:r>
    </w:p>
    <w:p w:rsidR="005624E3" w:rsidRPr="00C903F8" w:rsidRDefault="005624E3" w:rsidP="005624E3">
      <w:pPr>
        <w:pStyle w:val="ESlet"/>
        <w:rPr>
          <w:rFonts w:cs="Arial"/>
          <w:szCs w:val="18"/>
        </w:rPr>
      </w:pPr>
      <w:r>
        <w:t>a)</w:t>
      </w:r>
      <w:r>
        <w:tab/>
        <w:t>a 8.08. cikk 2. bekezdésének második mondatára vonatkozóan: a fenékvízszivattyúnak motormeghajtásúnak kell lennie;</w:t>
      </w:r>
    </w:p>
    <w:p w:rsidR="005624E3" w:rsidRPr="00C903F8" w:rsidRDefault="005624E3" w:rsidP="005624E3">
      <w:pPr>
        <w:pStyle w:val="ESlet"/>
        <w:rPr>
          <w:rFonts w:cs="Arial"/>
          <w:szCs w:val="18"/>
        </w:rPr>
      </w:pPr>
      <w:r>
        <w:t>b)</w:t>
      </w:r>
      <w:r>
        <w:tab/>
        <w:t>a 8.10. cikk 3. bekezdésére vonatkozóan: az álló helyzetben lévő úszó munkagép oldalától mért 25 m-es távolságban a zaj túllépheti a 65 dB(A)-t, amikor az úszó munkagép munkagépei működésben vannak;</w:t>
      </w:r>
    </w:p>
    <w:p w:rsidR="005624E3" w:rsidRPr="00C903F8" w:rsidRDefault="005624E3" w:rsidP="005624E3">
      <w:pPr>
        <w:pStyle w:val="ESlet"/>
        <w:rPr>
          <w:rFonts w:cs="Arial"/>
          <w:szCs w:val="18"/>
        </w:rPr>
      </w:pPr>
      <w:r>
        <w:t>c)</w:t>
      </w:r>
      <w:r>
        <w:tab/>
        <w:t>a 13.03. cikk 1. bekezdésére vonatkozóan: legalább további egy hordozható tűzoltó készülékre van szükség, ha a vízi járműhöz nem tartósan kapcsolódó munkagép van a fedélzeten;</w:t>
      </w:r>
    </w:p>
    <w:p w:rsidR="005624E3" w:rsidRPr="00C903F8" w:rsidRDefault="005624E3" w:rsidP="005624E3">
      <w:pPr>
        <w:pStyle w:val="ESlet"/>
        <w:rPr>
          <w:rFonts w:cs="Arial"/>
          <w:szCs w:val="18"/>
        </w:rPr>
      </w:pPr>
      <w:r>
        <w:t>d)</w:t>
      </w:r>
      <w:r>
        <w:tab/>
        <w:t>a 17.02. cikk 2. bekezdésére vonatkozóan: a cseppfolyósított gázzal üzemelő háztartási berendezéseken kívül lehetnek más, cseppfolyósított gázzal működő készülékek is. E készülékeknek és tartozékaiknak meg kell felelniük az egyik tagállam követelményeinek.</w:t>
      </w:r>
    </w:p>
    <w:p w:rsidR="005624E3" w:rsidRPr="00C903F8" w:rsidRDefault="005624E3" w:rsidP="005624E3">
      <w:pPr>
        <w:pStyle w:val="ESch"/>
        <w:rPr>
          <w:rFonts w:cs="Arial"/>
          <w:szCs w:val="18"/>
        </w:rPr>
      </w:pPr>
    </w:p>
    <w:p w:rsidR="005624E3" w:rsidRPr="00C903F8" w:rsidRDefault="005624E3" w:rsidP="005624E3">
      <w:pPr>
        <w:pStyle w:val="ESch"/>
        <w:rPr>
          <w:rFonts w:cs="Arial"/>
          <w:szCs w:val="18"/>
        </w:rPr>
      </w:pPr>
      <w:r>
        <w:br w:type="page"/>
      </w:r>
    </w:p>
    <w:p w:rsidR="005624E3" w:rsidRPr="00C903F8" w:rsidRDefault="005624E3" w:rsidP="005624E3">
      <w:pPr>
        <w:pStyle w:val="ES-Titre3"/>
        <w:rPr>
          <w:rFonts w:cs="Arial"/>
          <w:i/>
          <w:szCs w:val="18"/>
        </w:rPr>
      </w:pPr>
      <w:bookmarkStart w:id="438" w:name="_Toc491854216"/>
      <w:bookmarkStart w:id="439" w:name="_Toc535853995"/>
      <w:r>
        <w:t>22.03. cikk</w:t>
      </w:r>
      <w:r>
        <w:br/>
      </w:r>
      <w:r>
        <w:rPr>
          <w:i/>
          <w:noProof/>
        </w:rPr>
        <w:t>További követelmények</w:t>
      </w:r>
      <w:bookmarkEnd w:id="438"/>
      <w:bookmarkEnd w:id="439"/>
    </w:p>
    <w:p w:rsidR="005624E3" w:rsidRPr="00C903F8" w:rsidRDefault="005624E3" w:rsidP="005624E3">
      <w:pPr>
        <w:pStyle w:val="ESch"/>
        <w:rPr>
          <w:noProof/>
        </w:rPr>
      </w:pPr>
    </w:p>
    <w:p w:rsidR="005624E3" w:rsidRPr="00C903F8" w:rsidRDefault="005624E3" w:rsidP="005624E3">
      <w:pPr>
        <w:pStyle w:val="ESch"/>
        <w:rPr>
          <w:rFonts w:cs="Arial"/>
          <w:szCs w:val="18"/>
        </w:rPr>
      </w:pPr>
      <w:r>
        <w:t>1.</w:t>
      </w:r>
      <w:r>
        <w:tab/>
        <w:t>Azokat az úszó munkagépeket, amelyeken működés közben személyek tartózkodnak, fel kell szerelni általános riasztórendszerrel. A vészjelzésnek egyértelműen megkülönböztethetőnek kell lennie más jelzésektől, a lakóterekben és a munkaállomásokon pedig a maximális helyi hangnyomásszintnél legalább 5 dB(A)-lel magasabb hangnyomásszintet kell elérnie. Biztosítani kell, hogy a riasztórendszer a kormányállásból és a fő kezelőállásokból működtethető legyen.</w:t>
      </w:r>
    </w:p>
    <w:p w:rsidR="005624E3" w:rsidRPr="00C903F8" w:rsidRDefault="005624E3" w:rsidP="005624E3">
      <w:pPr>
        <w:pStyle w:val="ESch"/>
        <w:rPr>
          <w:noProof/>
        </w:rPr>
      </w:pPr>
    </w:p>
    <w:p w:rsidR="005624E3" w:rsidRPr="00C903F8" w:rsidRDefault="005624E3" w:rsidP="005624E3">
      <w:pPr>
        <w:pStyle w:val="ESch"/>
        <w:rPr>
          <w:rFonts w:cs="Arial"/>
          <w:szCs w:val="18"/>
        </w:rPr>
      </w:pPr>
      <w:r>
        <w:t>2.</w:t>
      </w:r>
      <w:r>
        <w:tab/>
        <w:t>A munkagépeknek elég szilárdaknak kell lenniük ahhoz, hogy ellenálljanak az őket érő terhelésnek, valamint meg kell felelniük a CCNR egyik tagállama előírásainak vagy a módosított 2006/42/EK irányelv</w:t>
      </w:r>
      <w:r>
        <w:rPr>
          <w:rStyle w:val="FootnoteReference"/>
          <w:noProof/>
        </w:rPr>
        <w:footnoteReference w:id="21"/>
      </w:r>
      <w:r>
        <w:t xml:space="preserve"> követelményeinek.</w:t>
      </w:r>
    </w:p>
    <w:p w:rsidR="005624E3" w:rsidRPr="00C903F8" w:rsidRDefault="005624E3" w:rsidP="005624E3">
      <w:pPr>
        <w:pStyle w:val="ESch"/>
        <w:rPr>
          <w:noProof/>
        </w:rPr>
      </w:pPr>
    </w:p>
    <w:p w:rsidR="005624E3" w:rsidRPr="00C903F8" w:rsidRDefault="005624E3" w:rsidP="005624E3">
      <w:pPr>
        <w:pStyle w:val="ESch"/>
        <w:rPr>
          <w:rFonts w:cs="Arial"/>
          <w:szCs w:val="18"/>
        </w:rPr>
      </w:pPr>
      <w:r>
        <w:t>3.</w:t>
      </w:r>
      <w:r>
        <w:tab/>
        <w:t>A munkagép és – adott esetben – tartozékai stabilitásának és szilárdságának elegendőnek kell lennie ahhoz, hogy ellenálljon az úszó munkagép várható dőléséből, billenéséből és mozgásából eredő erőknek.</w:t>
      </w:r>
    </w:p>
    <w:p w:rsidR="005624E3" w:rsidRPr="00C903F8" w:rsidRDefault="005624E3" w:rsidP="005624E3">
      <w:pPr>
        <w:pStyle w:val="ESch"/>
        <w:rPr>
          <w:rFonts w:cs="Arial"/>
          <w:szCs w:val="18"/>
        </w:rPr>
      </w:pPr>
    </w:p>
    <w:p w:rsidR="005624E3" w:rsidRPr="00C903F8" w:rsidRDefault="005624E3" w:rsidP="005624E3">
      <w:pPr>
        <w:pStyle w:val="ESch"/>
        <w:rPr>
          <w:rFonts w:cs="Arial"/>
          <w:szCs w:val="18"/>
        </w:rPr>
      </w:pPr>
      <w:r>
        <w:t>4.</w:t>
      </w:r>
      <w:r>
        <w:tab/>
        <w:t>Amennyiben a rakományt emelőszerkezettel emelik, a stabilitás és a szilárdság alapján meghatározott legnagyobb megengedett terhelést a fedélzeten és a kezelőállásokban jól látható módon, táblákon fel kell tüntetni. Ha az emelőteljesítményt növelni lehet további úszók csatolásával, az úszóval és az úszó nélkül engedélyezett értékeket is egyértelműen fel kell tüntetni.</w:t>
      </w:r>
    </w:p>
    <w:p w:rsidR="005624E3" w:rsidRPr="00C903F8" w:rsidRDefault="005624E3" w:rsidP="005624E3">
      <w:pPr>
        <w:pStyle w:val="ESch"/>
        <w:rPr>
          <w:rFonts w:cs="Arial"/>
          <w:szCs w:val="18"/>
        </w:rPr>
      </w:pPr>
    </w:p>
    <w:p w:rsidR="005624E3" w:rsidRPr="00C903F8" w:rsidRDefault="005624E3" w:rsidP="005624E3">
      <w:pPr>
        <w:pStyle w:val="ESch"/>
        <w:rPr>
          <w:rFonts w:cs="Arial"/>
          <w:szCs w:val="18"/>
        </w:rPr>
      </w:pPr>
    </w:p>
    <w:p w:rsidR="005624E3" w:rsidRPr="00C903F8" w:rsidRDefault="005624E3" w:rsidP="005624E3">
      <w:pPr>
        <w:pStyle w:val="ES-Titre3"/>
        <w:rPr>
          <w:rFonts w:cs="Arial"/>
          <w:i/>
          <w:szCs w:val="18"/>
        </w:rPr>
      </w:pPr>
      <w:bookmarkStart w:id="440" w:name="_Toc491854217"/>
      <w:bookmarkStart w:id="441" w:name="_Toc535853996"/>
      <w:r>
        <w:t>22.04. cikk</w:t>
      </w:r>
      <w:r>
        <w:br/>
      </w:r>
      <w:r>
        <w:rPr>
          <w:i/>
          <w:noProof/>
        </w:rPr>
        <w:t>Fennmaradó biztonsági távolság</w:t>
      </w:r>
      <w:bookmarkEnd w:id="440"/>
      <w:bookmarkEnd w:id="441"/>
    </w:p>
    <w:p w:rsidR="005624E3" w:rsidRPr="00C903F8" w:rsidRDefault="005624E3" w:rsidP="005624E3">
      <w:pPr>
        <w:pStyle w:val="ESch"/>
        <w:rPr>
          <w:noProof/>
        </w:rPr>
      </w:pPr>
    </w:p>
    <w:p w:rsidR="005624E3" w:rsidRPr="00C903F8" w:rsidRDefault="005624E3" w:rsidP="005624E3">
      <w:pPr>
        <w:pStyle w:val="ESch"/>
        <w:rPr>
          <w:rFonts w:cs="Arial"/>
          <w:szCs w:val="18"/>
        </w:rPr>
      </w:pPr>
      <w:r>
        <w:t>1.</w:t>
      </w:r>
      <w:r>
        <w:tab/>
        <w:t>E fejezet alkalmazásában és az 1.01. cikktől eltérve, a fennmaradó biztonsági távolság a vízfelszín és az úszó munkagép azon legalacsonyabb pontja közötti legrövidebb függőleges távolság, amelyen túl a munkagép már nem vízmentes, figyelembe véve a 22.07. cikk 4–9. bekezdésében említett nyomatékokból eredő billenést és dőlést.</w:t>
      </w:r>
    </w:p>
    <w:p w:rsidR="005624E3" w:rsidRPr="00C903F8" w:rsidRDefault="005624E3" w:rsidP="005624E3">
      <w:pPr>
        <w:pStyle w:val="ESch"/>
        <w:rPr>
          <w:noProof/>
        </w:rPr>
      </w:pPr>
    </w:p>
    <w:p w:rsidR="005624E3" w:rsidRPr="00C903F8" w:rsidRDefault="005624E3" w:rsidP="005624E3">
      <w:pPr>
        <w:pStyle w:val="ESch"/>
        <w:rPr>
          <w:rFonts w:cs="Arial"/>
          <w:szCs w:val="18"/>
        </w:rPr>
      </w:pPr>
      <w:r>
        <w:t>2.</w:t>
      </w:r>
      <w:r>
        <w:tab/>
        <w:t>A fennmaradó biztonsági távolság a 22.07. cikk 1. bekezdése szerint minden fröccsenővíz- és időjárásálló nyílásra vonatkozóan kielégítő, ha legalább 300 mm.</w:t>
      </w:r>
    </w:p>
    <w:p w:rsidR="005624E3" w:rsidRPr="00C903F8" w:rsidRDefault="005624E3" w:rsidP="005624E3">
      <w:pPr>
        <w:pStyle w:val="ESch"/>
        <w:rPr>
          <w:noProof/>
        </w:rPr>
      </w:pPr>
    </w:p>
    <w:p w:rsidR="005624E3" w:rsidRPr="00C903F8" w:rsidRDefault="005624E3" w:rsidP="005624E3">
      <w:pPr>
        <w:pStyle w:val="ESch"/>
        <w:rPr>
          <w:rFonts w:cs="Arial"/>
          <w:szCs w:val="18"/>
        </w:rPr>
      </w:pPr>
      <w:r>
        <w:t>3.</w:t>
      </w:r>
      <w:r>
        <w:tab/>
        <w:t>A nem fröccsenővíz- és időjárásálló nyílások esetében a fennmaradó biztonsági távolságnak legalább 400 mm-nek kell lennie.</w:t>
      </w:r>
    </w:p>
    <w:p w:rsidR="005624E3" w:rsidRPr="00C903F8" w:rsidRDefault="005624E3" w:rsidP="005624E3">
      <w:pPr>
        <w:pStyle w:val="ESch"/>
        <w:rPr>
          <w:rFonts w:cs="Arial"/>
          <w:szCs w:val="18"/>
        </w:rPr>
      </w:pPr>
    </w:p>
    <w:p w:rsidR="005624E3" w:rsidRPr="00C903F8" w:rsidRDefault="005624E3" w:rsidP="005624E3">
      <w:pPr>
        <w:pStyle w:val="ESch"/>
        <w:rPr>
          <w:rFonts w:cs="Arial"/>
          <w:szCs w:val="18"/>
        </w:rPr>
      </w:pPr>
    </w:p>
    <w:p w:rsidR="005624E3" w:rsidRPr="00C903F8" w:rsidRDefault="005624E3" w:rsidP="005624E3">
      <w:pPr>
        <w:pStyle w:val="ES-Titre3"/>
        <w:rPr>
          <w:i/>
          <w:noProof/>
        </w:rPr>
      </w:pPr>
      <w:bookmarkStart w:id="442" w:name="_Toc491854218"/>
      <w:bookmarkStart w:id="443" w:name="_Toc535853997"/>
      <w:r>
        <w:t>22.05. cikk</w:t>
      </w:r>
      <w:r>
        <w:br/>
      </w:r>
      <w:r>
        <w:rPr>
          <w:i/>
          <w:noProof/>
        </w:rPr>
        <w:t>Fennmaradó szabadoldal</w:t>
      </w:r>
      <w:bookmarkEnd w:id="442"/>
      <w:bookmarkEnd w:id="443"/>
    </w:p>
    <w:p w:rsidR="005624E3" w:rsidRPr="00C903F8" w:rsidRDefault="005624E3" w:rsidP="005624E3">
      <w:pPr>
        <w:pStyle w:val="ESch"/>
        <w:rPr>
          <w:noProof/>
        </w:rPr>
      </w:pPr>
    </w:p>
    <w:p w:rsidR="005624E3" w:rsidRPr="00C903F8" w:rsidRDefault="005624E3" w:rsidP="005624E3">
      <w:pPr>
        <w:pStyle w:val="ESch"/>
        <w:rPr>
          <w:noProof/>
        </w:rPr>
      </w:pPr>
      <w:r>
        <w:t>1.</w:t>
      </w:r>
      <w:r>
        <w:tab/>
        <w:t>E fejezet alkalmazásában és az 1.01. cikktől eltérve, a fennmaradó szabadoldal a vízfelszín és a fedélzet felső szélének síkja közötti legrövidebb függőleges távolság, figyelembe véve a 22.07. cikk 4–9. bekezdésében említett nyomatékokból eredő billenést és dőlést.</w:t>
      </w:r>
    </w:p>
    <w:p w:rsidR="005624E3" w:rsidRPr="00C903F8" w:rsidRDefault="005624E3" w:rsidP="005624E3">
      <w:pPr>
        <w:pStyle w:val="ESch"/>
        <w:rPr>
          <w:noProof/>
        </w:rPr>
      </w:pPr>
    </w:p>
    <w:p w:rsidR="005624E3" w:rsidRPr="00C903F8" w:rsidRDefault="005624E3" w:rsidP="005624E3">
      <w:pPr>
        <w:pStyle w:val="ESch"/>
        <w:rPr>
          <w:noProof/>
        </w:rPr>
      </w:pPr>
      <w:r>
        <w:t>2.</w:t>
      </w:r>
      <w:r>
        <w:tab/>
        <w:t>A fennmaradó szabadoldal a 22.07. cikk 1. bekezdése szerint kielégítő, ha legalább 300 mm.</w:t>
      </w:r>
    </w:p>
    <w:p w:rsidR="005624E3" w:rsidRPr="00C903F8" w:rsidRDefault="005624E3" w:rsidP="005624E3">
      <w:pPr>
        <w:pStyle w:val="ESch"/>
        <w:rPr>
          <w:noProof/>
        </w:rPr>
      </w:pPr>
    </w:p>
    <w:p w:rsidR="005624E3" w:rsidRPr="00C903F8" w:rsidRDefault="005624E3" w:rsidP="005624E3">
      <w:pPr>
        <w:pStyle w:val="ESch"/>
        <w:rPr>
          <w:noProof/>
        </w:rPr>
      </w:pPr>
      <w:r>
        <w:t>3.</w:t>
      </w:r>
      <w:r>
        <w:tab/>
        <w:t>A fennmaradó szabadoldal csökkenthető, ha a 22.08. cikk követelményei igazolhatóan teljesültek.</w:t>
      </w:r>
    </w:p>
    <w:p w:rsidR="005624E3" w:rsidRPr="00C903F8" w:rsidRDefault="005624E3" w:rsidP="005624E3">
      <w:pPr>
        <w:pStyle w:val="ESch"/>
        <w:rPr>
          <w:noProof/>
        </w:rPr>
      </w:pPr>
    </w:p>
    <w:p w:rsidR="005624E3" w:rsidRPr="00C903F8" w:rsidRDefault="005624E3" w:rsidP="005624E3">
      <w:pPr>
        <w:pStyle w:val="ESch"/>
        <w:rPr>
          <w:noProof/>
        </w:rPr>
      </w:pPr>
      <w:r>
        <w:br w:type="page"/>
      </w:r>
    </w:p>
    <w:p w:rsidR="005624E3" w:rsidRPr="00C903F8" w:rsidRDefault="005624E3" w:rsidP="005624E3">
      <w:pPr>
        <w:pStyle w:val="ESch"/>
        <w:rPr>
          <w:noProof/>
        </w:rPr>
      </w:pPr>
      <w:r>
        <w:t>4.</w:t>
      </w:r>
      <w:r>
        <w:tab/>
        <w:t>Ha az egyéb úszólétesítmény alakja szemmel láthatóan eltér egy pontonétól, mint a hengeres egyéb úszólétesítmények esetében, vagy ha az egyéb úszólétesítmény keresztmetszetének négynél több oldala van, az ellenőrző szerv a 2. bekezdéstől eltérő szabadoldalt írhat elő vagy engedélyezhet. Ez vonatkozik a több egyéb úszólétesítményből álló úszó munkagépekre is.</w:t>
      </w:r>
    </w:p>
    <w:p w:rsidR="005624E3" w:rsidRPr="00C903F8" w:rsidRDefault="005624E3" w:rsidP="005624E3">
      <w:pPr>
        <w:pStyle w:val="ESch"/>
        <w:rPr>
          <w:rFonts w:cs="Arial"/>
          <w:szCs w:val="18"/>
        </w:rPr>
      </w:pPr>
    </w:p>
    <w:p w:rsidR="005624E3" w:rsidRPr="00C903F8" w:rsidRDefault="005624E3" w:rsidP="005624E3">
      <w:pPr>
        <w:pStyle w:val="ESch"/>
        <w:rPr>
          <w:rFonts w:cs="Arial"/>
          <w:szCs w:val="18"/>
        </w:rPr>
      </w:pPr>
    </w:p>
    <w:p w:rsidR="005624E3" w:rsidRPr="00C903F8" w:rsidRDefault="005624E3" w:rsidP="005624E3">
      <w:pPr>
        <w:pStyle w:val="ES-Titre3"/>
        <w:rPr>
          <w:rFonts w:cs="Arial"/>
          <w:i/>
          <w:szCs w:val="18"/>
        </w:rPr>
      </w:pPr>
      <w:bookmarkStart w:id="444" w:name="_Toc491854219"/>
      <w:bookmarkStart w:id="445" w:name="_Toc535853998"/>
      <w:r>
        <w:t>22.06. cikk</w:t>
      </w:r>
      <w:r>
        <w:br/>
      </w:r>
      <w:r>
        <w:rPr>
          <w:i/>
          <w:noProof/>
        </w:rPr>
        <w:t>Dőléspróba</w:t>
      </w:r>
      <w:bookmarkEnd w:id="444"/>
      <w:bookmarkEnd w:id="445"/>
    </w:p>
    <w:p w:rsidR="005624E3" w:rsidRPr="00C903F8" w:rsidRDefault="005624E3" w:rsidP="005624E3">
      <w:pPr>
        <w:pStyle w:val="ESch"/>
        <w:rPr>
          <w:noProof/>
        </w:rPr>
      </w:pPr>
    </w:p>
    <w:p w:rsidR="005624E3" w:rsidRPr="00C903F8" w:rsidRDefault="005624E3" w:rsidP="005624E3">
      <w:pPr>
        <w:pStyle w:val="ESch"/>
        <w:rPr>
          <w:rFonts w:cs="Arial"/>
          <w:szCs w:val="18"/>
        </w:rPr>
      </w:pPr>
      <w:r>
        <w:t>1.</w:t>
      </w:r>
      <w:r>
        <w:tab/>
        <w:t>A stabilitás 22.07. és 22.08. cikk szerinti igazolásának szakszerű módon elvégzett dőléspróbán kell alapulnia.</w:t>
      </w:r>
    </w:p>
    <w:p w:rsidR="005624E3" w:rsidRPr="00C903F8" w:rsidRDefault="005624E3" w:rsidP="005624E3">
      <w:pPr>
        <w:pStyle w:val="ESch"/>
        <w:rPr>
          <w:noProof/>
        </w:rPr>
      </w:pPr>
    </w:p>
    <w:p w:rsidR="005624E3" w:rsidRPr="00C903F8" w:rsidRDefault="005624E3" w:rsidP="005624E3">
      <w:pPr>
        <w:pStyle w:val="ESch"/>
        <w:rPr>
          <w:rFonts w:cs="Arial"/>
          <w:szCs w:val="18"/>
        </w:rPr>
      </w:pPr>
      <w:r>
        <w:t>2.</w:t>
      </w:r>
      <w:r>
        <w:tab/>
        <w:t>Amennyiben a dőléspróba során nem lehet megfelelő dőlésszöget elérni, vagy ha a dőléspróba aránytalanul nagy műszaki nehézségeket okoz, a dőléspróba a vízi jármű tömegközéppontjának és tömegének kiszámításával helyettesíthető. A tömegszámítás eredményét merülésméréssel kell ellenőrizni, és az eltérés nem lehet nagyobb ±5 %-nál.</w:t>
      </w:r>
    </w:p>
    <w:p w:rsidR="005624E3" w:rsidRPr="00C903F8" w:rsidRDefault="005624E3" w:rsidP="005624E3">
      <w:pPr>
        <w:pStyle w:val="ESch"/>
        <w:rPr>
          <w:rFonts w:cs="Arial"/>
          <w:szCs w:val="18"/>
        </w:rPr>
      </w:pPr>
    </w:p>
    <w:p w:rsidR="005624E3" w:rsidRPr="00C903F8" w:rsidRDefault="005624E3" w:rsidP="005624E3">
      <w:pPr>
        <w:pStyle w:val="ESch"/>
        <w:rPr>
          <w:rFonts w:cs="Arial"/>
          <w:szCs w:val="18"/>
        </w:rPr>
      </w:pPr>
    </w:p>
    <w:p w:rsidR="005624E3" w:rsidRPr="00C903F8" w:rsidRDefault="005624E3" w:rsidP="005624E3">
      <w:pPr>
        <w:pStyle w:val="ES-Titre3"/>
        <w:rPr>
          <w:rFonts w:cs="Arial"/>
          <w:i/>
          <w:szCs w:val="18"/>
        </w:rPr>
      </w:pPr>
      <w:bookmarkStart w:id="446" w:name="_Toc491854220"/>
      <w:bookmarkStart w:id="447" w:name="_Toc535853999"/>
      <w:r>
        <w:t>22.07. cikk</w:t>
      </w:r>
      <w:r>
        <w:br/>
      </w:r>
      <w:r>
        <w:rPr>
          <w:i/>
          <w:noProof/>
        </w:rPr>
        <w:t>A stabilitás igazolása</w:t>
      </w:r>
      <w:bookmarkEnd w:id="446"/>
      <w:bookmarkEnd w:id="447"/>
    </w:p>
    <w:p w:rsidR="005624E3" w:rsidRPr="00C903F8" w:rsidRDefault="005624E3" w:rsidP="005624E3">
      <w:pPr>
        <w:pStyle w:val="ESch"/>
        <w:rPr>
          <w:noProof/>
        </w:rPr>
      </w:pPr>
    </w:p>
    <w:p w:rsidR="005624E3" w:rsidRPr="00C903F8" w:rsidRDefault="005624E3" w:rsidP="005624E3">
      <w:pPr>
        <w:pStyle w:val="ESch"/>
        <w:rPr>
          <w:rFonts w:cs="Arial"/>
          <w:szCs w:val="18"/>
        </w:rPr>
      </w:pPr>
      <w:r>
        <w:t xml:space="preserve">1. </w:t>
      </w:r>
      <w:r>
        <w:tab/>
        <w:t>Meg kell erősíteni, hogy a fennmaradó szabadoldal és a fennmaradó biztonsági távolság – a munkagépek működése közben és a menetben alkalmazott terhelés figyelembevételével – kielégítő. E célból a billenés és a dőlés szögének összege nem haladhatja meg a 10°-ot, és az úszólétesítmény alja nem emelkedhet ki a vízből.</w:t>
      </w:r>
    </w:p>
    <w:p w:rsidR="005624E3" w:rsidRPr="00C903F8" w:rsidRDefault="005624E3" w:rsidP="005624E3">
      <w:pPr>
        <w:pStyle w:val="ESch"/>
        <w:rPr>
          <w:noProof/>
        </w:rPr>
      </w:pPr>
    </w:p>
    <w:p w:rsidR="005624E3" w:rsidRPr="00C903F8" w:rsidRDefault="005624E3" w:rsidP="005624E3">
      <w:pPr>
        <w:pStyle w:val="ESch"/>
        <w:rPr>
          <w:rFonts w:cs="Arial"/>
          <w:szCs w:val="18"/>
        </w:rPr>
      </w:pPr>
      <w:r>
        <w:t>2.</w:t>
      </w:r>
      <w:r>
        <w:tab/>
        <w:t>A stabilitás igazolásának a következő adatokat és dokumentációkat kell tartalmaznia:</w:t>
      </w:r>
    </w:p>
    <w:p w:rsidR="005624E3" w:rsidRPr="00C903F8" w:rsidRDefault="005624E3" w:rsidP="005624E3">
      <w:pPr>
        <w:pStyle w:val="ESlet"/>
        <w:rPr>
          <w:noProof/>
        </w:rPr>
      </w:pPr>
      <w:r>
        <w:t>a)</w:t>
      </w:r>
      <w:r>
        <w:tab/>
        <w:t>az egyéb úszólétesítmények és a munkagépek méretarányos rajzai, valamint az ezekre vonatkozó részletes adatok, amelyek a stabilitás igazolásához szükségesek, például a tartályok tartalma, a hajó belsejébe való bejutást biztosító nyílások;</w:t>
      </w:r>
    </w:p>
    <w:p w:rsidR="005624E3" w:rsidRPr="00C903F8" w:rsidRDefault="005624E3" w:rsidP="005624E3">
      <w:pPr>
        <w:pStyle w:val="ESlet"/>
        <w:rPr>
          <w:noProof/>
        </w:rPr>
      </w:pPr>
      <w:r>
        <w:t>b)</w:t>
      </w:r>
      <w:r>
        <w:tab/>
        <w:t>hidrosztatikai adatok vagy diagramok;</w:t>
      </w:r>
    </w:p>
    <w:p w:rsidR="005624E3" w:rsidRPr="00C903F8" w:rsidRDefault="005624E3" w:rsidP="005624E3">
      <w:pPr>
        <w:pStyle w:val="ESlet"/>
        <w:rPr>
          <w:noProof/>
        </w:rPr>
      </w:pPr>
      <w:r>
        <w:t>c)</w:t>
      </w:r>
      <w:r>
        <w:tab/>
        <w:t>a statikus stabilitás stabilizáló karjának görbéi az alábbi 5. bekezdés vagy a 22.08. cikk szerint előírt mértékben;</w:t>
      </w:r>
    </w:p>
    <w:p w:rsidR="005624E3" w:rsidRPr="00C903F8" w:rsidRDefault="005624E3" w:rsidP="005624E3">
      <w:pPr>
        <w:pStyle w:val="ESlet"/>
        <w:rPr>
          <w:noProof/>
        </w:rPr>
      </w:pPr>
      <w:r>
        <w:t>d)</w:t>
      </w:r>
      <w:r>
        <w:tab/>
        <w:t>az üzemi körülmények leírása, valamint a tömegre és a tömegközéppontra vonatkozó megfelelő adatok, beleértve az üres állapotot és a felszerelés állapotát a szállítás tekintetében;</w:t>
      </w:r>
    </w:p>
    <w:p w:rsidR="005624E3" w:rsidRPr="00C903F8" w:rsidRDefault="005624E3" w:rsidP="005624E3">
      <w:pPr>
        <w:pStyle w:val="ESlet"/>
        <w:rPr>
          <w:noProof/>
        </w:rPr>
      </w:pPr>
      <w:r>
        <w:t>e)</w:t>
      </w:r>
      <w:r>
        <w:tab/>
        <w:t>a dőlési, billenő- és stabilizáló nyomaték kiszámítása a billenő- és a dőlési szögek, továbbá az ezeknek megfelelő fennmaradó szabadoldal és fennmaradó biztonsági távolságok meghatározásával;</w:t>
      </w:r>
    </w:p>
    <w:p w:rsidR="005624E3" w:rsidRPr="00C903F8" w:rsidRDefault="005624E3" w:rsidP="005624E3">
      <w:pPr>
        <w:pStyle w:val="ESlet"/>
        <w:rPr>
          <w:noProof/>
        </w:rPr>
      </w:pPr>
      <w:r>
        <w:t>f)</w:t>
      </w:r>
      <w:r>
        <w:tab/>
        <w:t>a számítások eredményeinek összeállítása, valamint a működési és legnagyobb terhelési határértékek meghatározása.</w:t>
      </w:r>
    </w:p>
    <w:p w:rsidR="005624E3" w:rsidRPr="00C903F8" w:rsidRDefault="005624E3" w:rsidP="005624E3">
      <w:pPr>
        <w:pStyle w:val="ESch"/>
        <w:rPr>
          <w:noProof/>
        </w:rPr>
      </w:pPr>
    </w:p>
    <w:p w:rsidR="005624E3" w:rsidRPr="00C903F8" w:rsidRDefault="005624E3" w:rsidP="005624E3">
      <w:pPr>
        <w:pStyle w:val="ESch"/>
        <w:rPr>
          <w:noProof/>
        </w:rPr>
      </w:pPr>
      <w:r>
        <w:t>3.</w:t>
      </w:r>
      <w:r>
        <w:tab/>
        <w:t>A stabilitás igazolásának a terhelés tekintetében legalább az alábbi feltételezéseken kell alapulnia:</w:t>
      </w:r>
    </w:p>
    <w:p w:rsidR="005624E3" w:rsidRPr="00C903F8" w:rsidRDefault="005624E3" w:rsidP="005624E3">
      <w:pPr>
        <w:pStyle w:val="ESlet"/>
        <w:rPr>
          <w:rFonts w:cs="Arial"/>
          <w:szCs w:val="18"/>
        </w:rPr>
      </w:pPr>
      <w:r>
        <w:t>a)</w:t>
      </w:r>
      <w:r>
        <w:tab/>
        <w:t>kotróhajók esetében a kotort anyag fajlagos tömege:</w:t>
      </w:r>
    </w:p>
    <w:p w:rsidR="005624E3" w:rsidRPr="00DB7D1E" w:rsidRDefault="005624E3" w:rsidP="005624E3">
      <w:pPr>
        <w:pStyle w:val="ESletpar"/>
        <w:rPr>
          <w:rFonts w:cs="Arial"/>
          <w:szCs w:val="18"/>
          <w:lang w:val="fr-FR"/>
        </w:rPr>
      </w:pPr>
      <w:r w:rsidRPr="00DB7D1E">
        <w:rPr>
          <w:lang w:val="fr-FR"/>
        </w:rPr>
        <w:t>homok és kavics: 1,5 t/m</w:t>
      </w:r>
      <w:r w:rsidRPr="00DB7D1E">
        <w:rPr>
          <w:noProof/>
          <w:vertAlign w:val="superscript"/>
          <w:lang w:val="fr-FR"/>
        </w:rPr>
        <w:t>3</w:t>
      </w:r>
      <w:r w:rsidRPr="00DB7D1E">
        <w:rPr>
          <w:lang w:val="fr-FR"/>
        </w:rPr>
        <w:t>,</w:t>
      </w:r>
    </w:p>
    <w:p w:rsidR="005624E3" w:rsidRPr="00DB7D1E" w:rsidRDefault="005624E3" w:rsidP="005624E3">
      <w:pPr>
        <w:pStyle w:val="ESletpar"/>
        <w:rPr>
          <w:rFonts w:cs="Arial"/>
          <w:szCs w:val="18"/>
          <w:lang w:val="fr-FR"/>
        </w:rPr>
      </w:pPr>
      <w:r w:rsidRPr="00DB7D1E">
        <w:rPr>
          <w:lang w:val="fr-FR"/>
        </w:rPr>
        <w:t>nagyon nedves homok: 2,0 t/m</w:t>
      </w:r>
      <w:r w:rsidRPr="00DB7D1E">
        <w:rPr>
          <w:noProof/>
          <w:vertAlign w:val="superscript"/>
          <w:lang w:val="fr-FR"/>
        </w:rPr>
        <w:t>3</w:t>
      </w:r>
      <w:r w:rsidRPr="00DB7D1E">
        <w:rPr>
          <w:lang w:val="fr-FR"/>
        </w:rPr>
        <w:t>,</w:t>
      </w:r>
    </w:p>
    <w:p w:rsidR="005624E3" w:rsidRPr="00DB7D1E" w:rsidRDefault="005624E3" w:rsidP="005624E3">
      <w:pPr>
        <w:pStyle w:val="ESletpar"/>
        <w:rPr>
          <w:rFonts w:cs="Arial"/>
          <w:szCs w:val="18"/>
          <w:lang w:val="es-ES"/>
        </w:rPr>
      </w:pPr>
      <w:r w:rsidRPr="00DB7D1E">
        <w:rPr>
          <w:lang w:val="es-ES"/>
        </w:rPr>
        <w:t>talaj, átlagosan: 1,8 t/m</w:t>
      </w:r>
      <w:r w:rsidRPr="00DB7D1E">
        <w:rPr>
          <w:noProof/>
          <w:vertAlign w:val="superscript"/>
          <w:lang w:val="es-ES"/>
        </w:rPr>
        <w:t>3</w:t>
      </w:r>
      <w:r w:rsidRPr="00DB7D1E">
        <w:rPr>
          <w:lang w:val="es-ES"/>
        </w:rPr>
        <w:t>,</w:t>
      </w:r>
    </w:p>
    <w:p w:rsidR="005624E3" w:rsidRPr="00DB7D1E" w:rsidRDefault="005624E3" w:rsidP="005624E3">
      <w:pPr>
        <w:pStyle w:val="ESletpar"/>
        <w:rPr>
          <w:rFonts w:cs="Arial"/>
          <w:szCs w:val="18"/>
          <w:lang w:val="es-ES"/>
        </w:rPr>
      </w:pPr>
      <w:r w:rsidRPr="00DB7D1E">
        <w:rPr>
          <w:lang w:val="es-ES"/>
        </w:rPr>
        <w:t>homok és víz elegye a csövekben: 1,3 t/m</w:t>
      </w:r>
      <w:r w:rsidRPr="00DB7D1E">
        <w:rPr>
          <w:noProof/>
          <w:vertAlign w:val="superscript"/>
          <w:lang w:val="es-ES"/>
        </w:rPr>
        <w:t>3</w:t>
      </w:r>
      <w:r w:rsidRPr="00DB7D1E">
        <w:rPr>
          <w:lang w:val="es-ES"/>
        </w:rPr>
        <w:t>;</w:t>
      </w:r>
    </w:p>
    <w:p w:rsidR="005624E3" w:rsidRPr="00DB7D1E" w:rsidRDefault="005624E3" w:rsidP="005624E3">
      <w:pPr>
        <w:pStyle w:val="ESlet"/>
        <w:rPr>
          <w:noProof/>
          <w:lang w:val="es-ES"/>
        </w:rPr>
      </w:pPr>
      <w:r w:rsidRPr="00DB7D1E">
        <w:rPr>
          <w:lang w:val="es-ES"/>
        </w:rPr>
        <w:br w:type="page"/>
      </w:r>
    </w:p>
    <w:p w:rsidR="005624E3" w:rsidRPr="00DB7D1E" w:rsidRDefault="005624E3" w:rsidP="005624E3">
      <w:pPr>
        <w:pStyle w:val="ESlet"/>
        <w:rPr>
          <w:noProof/>
          <w:lang w:val="es-ES"/>
        </w:rPr>
      </w:pPr>
      <w:r w:rsidRPr="00DB7D1E">
        <w:rPr>
          <w:lang w:val="es-ES"/>
        </w:rPr>
        <w:t>b)</w:t>
      </w:r>
      <w:r w:rsidRPr="00DB7D1E">
        <w:rPr>
          <w:lang w:val="es-ES"/>
        </w:rPr>
        <w:tab/>
        <w:t>markolós kotróhajók esetében az a) pontban megadott értékeket 15 %-kal meg kell emelni;</w:t>
      </w:r>
    </w:p>
    <w:p w:rsidR="005624E3" w:rsidRPr="00DB7D1E" w:rsidRDefault="005624E3" w:rsidP="005624E3">
      <w:pPr>
        <w:pStyle w:val="ESlet"/>
        <w:rPr>
          <w:noProof/>
          <w:lang w:val="es-ES"/>
        </w:rPr>
      </w:pPr>
      <w:r w:rsidRPr="00DB7D1E">
        <w:rPr>
          <w:lang w:val="es-ES"/>
        </w:rPr>
        <w:t>c)</w:t>
      </w:r>
      <w:r w:rsidRPr="00DB7D1E">
        <w:rPr>
          <w:lang w:val="es-ES"/>
        </w:rPr>
        <w:tab/>
        <w:t>hidraulikus kotróhajóknál a maximális emelőerőt kell figyelembe venni.</w:t>
      </w:r>
    </w:p>
    <w:p w:rsidR="005624E3" w:rsidRPr="00DB7D1E" w:rsidRDefault="005624E3" w:rsidP="005624E3">
      <w:pPr>
        <w:pStyle w:val="ESch"/>
        <w:rPr>
          <w:noProof/>
          <w:lang w:val="es-ES"/>
        </w:rPr>
      </w:pPr>
    </w:p>
    <w:p w:rsidR="005624E3" w:rsidRPr="00DB7D1E" w:rsidRDefault="005624E3" w:rsidP="005624E3">
      <w:pPr>
        <w:pStyle w:val="ESch"/>
        <w:rPr>
          <w:noProof/>
          <w:lang w:val="es-ES"/>
        </w:rPr>
      </w:pPr>
      <w:r w:rsidRPr="00DB7D1E">
        <w:rPr>
          <w:lang w:val="es-ES"/>
        </w:rPr>
        <w:t>4.</w:t>
      </w:r>
      <w:r w:rsidRPr="00DB7D1E">
        <w:rPr>
          <w:lang w:val="es-ES"/>
        </w:rPr>
        <w:tab/>
        <w:t>A stabilitás igazolásának figyelembe kell vennie az alábbiakból eredő nyomatékokat:</w:t>
      </w:r>
    </w:p>
    <w:p w:rsidR="005624E3" w:rsidRPr="00DB7D1E" w:rsidRDefault="005624E3" w:rsidP="005624E3">
      <w:pPr>
        <w:pStyle w:val="ESlet"/>
        <w:rPr>
          <w:noProof/>
          <w:lang w:val="es-ES"/>
        </w:rPr>
      </w:pPr>
      <w:r w:rsidRPr="00DB7D1E">
        <w:rPr>
          <w:lang w:val="es-ES"/>
        </w:rPr>
        <w:t>a)</w:t>
      </w:r>
      <w:r w:rsidRPr="00DB7D1E">
        <w:rPr>
          <w:lang w:val="es-ES"/>
        </w:rPr>
        <w:tab/>
        <w:t>terhelés;</w:t>
      </w:r>
    </w:p>
    <w:p w:rsidR="005624E3" w:rsidRPr="00DB7D1E" w:rsidRDefault="005624E3" w:rsidP="005624E3">
      <w:pPr>
        <w:pStyle w:val="ESlet"/>
        <w:rPr>
          <w:noProof/>
          <w:lang w:val="es-ES"/>
        </w:rPr>
      </w:pPr>
      <w:r w:rsidRPr="00DB7D1E">
        <w:rPr>
          <w:lang w:val="es-ES"/>
        </w:rPr>
        <w:t>b)</w:t>
      </w:r>
      <w:r w:rsidRPr="00DB7D1E">
        <w:rPr>
          <w:lang w:val="es-ES"/>
        </w:rPr>
        <w:tab/>
        <w:t>aszimmetrikus szerkezet;</w:t>
      </w:r>
    </w:p>
    <w:p w:rsidR="005624E3" w:rsidRPr="00DB7D1E" w:rsidRDefault="005624E3" w:rsidP="005624E3">
      <w:pPr>
        <w:pStyle w:val="ESlet"/>
        <w:rPr>
          <w:noProof/>
          <w:lang w:val="es-ES"/>
        </w:rPr>
      </w:pPr>
      <w:r w:rsidRPr="00DB7D1E">
        <w:rPr>
          <w:lang w:val="es-ES"/>
        </w:rPr>
        <w:t>c)</w:t>
      </w:r>
      <w:r w:rsidRPr="00DB7D1E">
        <w:rPr>
          <w:lang w:val="es-ES"/>
        </w:rPr>
        <w:tab/>
        <w:t>szélnyomás;</w:t>
      </w:r>
    </w:p>
    <w:p w:rsidR="005624E3" w:rsidRPr="00DB7D1E" w:rsidRDefault="005624E3" w:rsidP="005624E3">
      <w:pPr>
        <w:pStyle w:val="ESlet"/>
        <w:rPr>
          <w:noProof/>
          <w:lang w:val="es-ES"/>
        </w:rPr>
      </w:pPr>
      <w:r w:rsidRPr="00DB7D1E">
        <w:rPr>
          <w:lang w:val="es-ES"/>
        </w:rPr>
        <w:t>d)</w:t>
      </w:r>
      <w:r w:rsidRPr="00DB7D1E">
        <w:rPr>
          <w:lang w:val="es-ES"/>
        </w:rPr>
        <w:tab/>
        <w:t>menetben lévő önjáró úszó munkagép fordulása;</w:t>
      </w:r>
    </w:p>
    <w:p w:rsidR="005624E3" w:rsidRPr="00DB7D1E" w:rsidRDefault="005624E3" w:rsidP="005624E3">
      <w:pPr>
        <w:pStyle w:val="ESlet"/>
        <w:rPr>
          <w:noProof/>
          <w:lang w:val="es-ES"/>
        </w:rPr>
      </w:pPr>
      <w:r w:rsidRPr="00DB7D1E">
        <w:rPr>
          <w:lang w:val="es-ES"/>
        </w:rPr>
        <w:t>e)</w:t>
      </w:r>
      <w:r w:rsidRPr="00DB7D1E">
        <w:rPr>
          <w:lang w:val="es-ES"/>
        </w:rPr>
        <w:tab/>
        <w:t>keresztáramlás, szükség esetén;</w:t>
      </w:r>
    </w:p>
    <w:p w:rsidR="005624E3" w:rsidRPr="00DB7D1E" w:rsidRDefault="005624E3" w:rsidP="005624E3">
      <w:pPr>
        <w:pStyle w:val="ESlet"/>
        <w:rPr>
          <w:noProof/>
          <w:lang w:val="es-ES"/>
        </w:rPr>
      </w:pPr>
      <w:r w:rsidRPr="00DB7D1E">
        <w:rPr>
          <w:lang w:val="es-ES"/>
        </w:rPr>
        <w:t>f)</w:t>
      </w:r>
      <w:r w:rsidRPr="00DB7D1E">
        <w:rPr>
          <w:lang w:val="es-ES"/>
        </w:rPr>
        <w:tab/>
        <w:t>ballaszt és ellátmányok;</w:t>
      </w:r>
    </w:p>
    <w:p w:rsidR="005624E3" w:rsidRPr="00DB7D1E" w:rsidRDefault="005624E3" w:rsidP="005624E3">
      <w:pPr>
        <w:pStyle w:val="ESlet"/>
        <w:rPr>
          <w:noProof/>
          <w:lang w:val="es-ES"/>
        </w:rPr>
      </w:pPr>
      <w:r w:rsidRPr="00DB7D1E">
        <w:rPr>
          <w:lang w:val="es-ES"/>
        </w:rPr>
        <w:t>g)</w:t>
      </w:r>
      <w:r w:rsidRPr="00DB7D1E">
        <w:rPr>
          <w:lang w:val="es-ES"/>
        </w:rPr>
        <w:tab/>
        <w:t>fedélzeti terhelés és – indokolt esetben – rakomány;</w:t>
      </w:r>
    </w:p>
    <w:p w:rsidR="005624E3" w:rsidRPr="00DB7D1E" w:rsidRDefault="005624E3" w:rsidP="005624E3">
      <w:pPr>
        <w:pStyle w:val="ESlet"/>
        <w:rPr>
          <w:rFonts w:cs="Arial"/>
          <w:szCs w:val="18"/>
          <w:lang w:val="es-ES"/>
        </w:rPr>
      </w:pPr>
      <w:r w:rsidRPr="00DB7D1E">
        <w:rPr>
          <w:lang w:val="es-ES"/>
        </w:rPr>
        <w:t>h)</w:t>
      </w:r>
      <w:r w:rsidRPr="00DB7D1E">
        <w:rPr>
          <w:lang w:val="es-ES"/>
        </w:rPr>
        <w:tab/>
        <w:t>szabad folyadékfelületek;</w:t>
      </w:r>
    </w:p>
    <w:p w:rsidR="005624E3" w:rsidRPr="00DB7D1E" w:rsidRDefault="005624E3" w:rsidP="005624E3">
      <w:pPr>
        <w:pStyle w:val="ESlet"/>
        <w:rPr>
          <w:rFonts w:cs="Arial"/>
          <w:szCs w:val="18"/>
          <w:lang w:val="es-ES"/>
        </w:rPr>
      </w:pPr>
      <w:r w:rsidRPr="00DB7D1E">
        <w:rPr>
          <w:lang w:val="es-ES"/>
        </w:rPr>
        <w:t>i)</w:t>
      </w:r>
      <w:r w:rsidRPr="00DB7D1E">
        <w:rPr>
          <w:lang w:val="es-ES"/>
        </w:rPr>
        <w:tab/>
        <w:t>tehetetlenségi erők;</w:t>
      </w:r>
    </w:p>
    <w:p w:rsidR="005624E3" w:rsidRPr="00DB7D1E" w:rsidRDefault="005624E3" w:rsidP="005624E3">
      <w:pPr>
        <w:pStyle w:val="ESlet"/>
        <w:rPr>
          <w:rFonts w:cs="Arial"/>
          <w:szCs w:val="18"/>
          <w:lang w:val="es-ES"/>
        </w:rPr>
      </w:pPr>
      <w:r w:rsidRPr="00DB7D1E">
        <w:rPr>
          <w:lang w:val="es-ES"/>
        </w:rPr>
        <w:t>j)</w:t>
      </w:r>
      <w:r w:rsidRPr="00DB7D1E">
        <w:rPr>
          <w:lang w:val="es-ES"/>
        </w:rPr>
        <w:tab/>
        <w:t>egyéb gépészeti berendezések.</w:t>
      </w:r>
    </w:p>
    <w:p w:rsidR="005624E3" w:rsidRPr="00DB7D1E" w:rsidRDefault="005624E3" w:rsidP="005624E3">
      <w:pPr>
        <w:pStyle w:val="ESch"/>
        <w:rPr>
          <w:noProof/>
          <w:lang w:val="es-ES"/>
        </w:rPr>
      </w:pPr>
    </w:p>
    <w:p w:rsidR="005624E3" w:rsidRPr="00DB7D1E" w:rsidRDefault="005624E3" w:rsidP="005624E3">
      <w:pPr>
        <w:pStyle w:val="ESchpar"/>
        <w:rPr>
          <w:rFonts w:cs="Arial"/>
          <w:szCs w:val="18"/>
          <w:lang w:val="es-ES"/>
        </w:rPr>
      </w:pPr>
      <w:r w:rsidRPr="00DB7D1E">
        <w:rPr>
          <w:lang w:val="es-ES"/>
        </w:rPr>
        <w:t>Az adott esetben egy időben ható nyomatékokat össze kell adni.</w:t>
      </w:r>
    </w:p>
    <w:p w:rsidR="005624E3" w:rsidRPr="00DB7D1E" w:rsidRDefault="005624E3" w:rsidP="005624E3">
      <w:pPr>
        <w:pStyle w:val="ESch"/>
        <w:rPr>
          <w:lang w:val="es-ES"/>
        </w:rPr>
      </w:pPr>
    </w:p>
    <w:p w:rsidR="005624E3" w:rsidRPr="00DB7D1E" w:rsidRDefault="005624E3" w:rsidP="005624E3">
      <w:pPr>
        <w:pStyle w:val="ESch"/>
        <w:rPr>
          <w:lang w:val="es-ES"/>
        </w:rPr>
      </w:pPr>
      <w:r w:rsidRPr="00DB7D1E">
        <w:rPr>
          <w:lang w:val="es-ES"/>
        </w:rPr>
        <w:t>5.</w:t>
      </w:r>
      <w:r w:rsidRPr="00DB7D1E">
        <w:rPr>
          <w:lang w:val="es-ES"/>
        </w:rPr>
        <w:tab/>
        <w:t>A szélnyomás miatt fellépő nyomatékot a következő képlet szerint kell kiszámítani:</w:t>
      </w:r>
    </w:p>
    <w:p w:rsidR="005624E3" w:rsidRPr="00DB7D1E" w:rsidRDefault="005624E3" w:rsidP="005624E3">
      <w:pPr>
        <w:pStyle w:val="ESch"/>
        <w:rPr>
          <w:lang w:val="es-ES"/>
        </w:rPr>
      </w:pPr>
    </w:p>
    <w:p w:rsidR="005624E3" w:rsidRPr="00C903F8" w:rsidRDefault="003142CA" w:rsidP="005624E3">
      <w:pPr>
        <w:pStyle w:val="ESch"/>
      </w:pPr>
      <m:oMathPara>
        <m:oMath>
          <m:sSub>
            <m:sSubPr>
              <m:ctrlPr>
                <w:rPr>
                  <w:rFonts w:ascii="Cambria Math" w:hAnsi="Cambria Math"/>
                  <w:i/>
                </w:rPr>
              </m:ctrlPr>
            </m:sSubPr>
            <m:e>
              <m:r>
                <w:rPr>
                  <w:rFonts w:ascii="Cambria Math" w:hAnsi="Cambria Math"/>
                </w:rPr>
                <m:t>M</m:t>
              </m:r>
            </m:e>
            <m:sub>
              <m:r>
                <w:rPr>
                  <w:rFonts w:ascii="Cambria Math" w:hAnsi="Cambria Math"/>
                </w:rPr>
                <m:t>W</m:t>
              </m:r>
            </m:sub>
          </m:sSub>
          <m:r>
            <w:rPr>
              <w:rFonts w:ascii="Cambria Math" w:hAnsi="Cambria Math"/>
            </w:rPr>
            <m:t xml:space="preserve">=c ∙ </m:t>
          </m:r>
          <m:sSub>
            <m:sSubPr>
              <m:ctrlPr>
                <w:rPr>
                  <w:rFonts w:ascii="Cambria Math" w:hAnsi="Cambria Math"/>
                  <w:i/>
                </w:rPr>
              </m:ctrlPr>
            </m:sSubPr>
            <m:e>
              <m:r>
                <w:rPr>
                  <w:rFonts w:ascii="Cambria Math" w:hAnsi="Cambria Math"/>
                </w:rPr>
                <m:t>P</m:t>
              </m:r>
            </m:e>
            <m:sub>
              <m:r>
                <w:rPr>
                  <w:rFonts w:ascii="Cambria Math" w:hAnsi="Cambria Math"/>
                </w:rPr>
                <m:t>W</m:t>
              </m:r>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w</m:t>
              </m:r>
            </m:sub>
          </m:sSub>
          <m: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W</m:t>
                  </m:r>
                </m:sub>
              </m:sSub>
              <m:r>
                <w:rPr>
                  <w:rFonts w:ascii="Cambria Math" w:hAnsi="Cambria Math"/>
                </w:rPr>
                <m:t>+</m:t>
              </m:r>
              <m:f>
                <m:fPr>
                  <m:ctrlPr>
                    <w:rPr>
                      <w:rFonts w:ascii="Cambria Math" w:hAnsi="Cambria Math"/>
                      <w:i/>
                    </w:rPr>
                  </m:ctrlPr>
                </m:fPr>
                <m:num>
                  <m:r>
                    <w:rPr>
                      <w:rFonts w:ascii="Cambria Math" w:hAnsi="Cambria Math"/>
                    </w:rPr>
                    <m:t>T</m:t>
                  </m:r>
                </m:num>
                <m:den>
                  <m:r>
                    <w:rPr>
                      <w:rFonts w:ascii="Cambria Math" w:hAnsi="Cambria Math"/>
                    </w:rPr>
                    <m:t>2</m:t>
                  </m:r>
                </m:den>
              </m:f>
            </m:e>
          </m:d>
          <m:r>
            <w:rPr>
              <w:rFonts w:ascii="Cambria Math" w:hAnsi="Cambria Math"/>
            </w:rPr>
            <m:t xml:space="preserve"> </m:t>
          </m:r>
          <m:d>
            <m:dPr>
              <m:begChr m:val="["/>
              <m:endChr m:val="]"/>
              <m:ctrlPr>
                <w:rPr>
                  <w:rFonts w:ascii="Cambria Math" w:hAnsi="Cambria Math"/>
                  <w:i/>
                </w:rPr>
              </m:ctrlPr>
            </m:dPr>
            <m:e>
              <m:r>
                <w:rPr>
                  <w:rFonts w:ascii="Cambria Math" w:hAnsi="Cambria Math"/>
                </w:rPr>
                <m:t>kNm</m:t>
              </m:r>
            </m:e>
          </m:d>
        </m:oMath>
      </m:oMathPara>
    </w:p>
    <w:p w:rsidR="005624E3" w:rsidRPr="00C903F8" w:rsidRDefault="005624E3" w:rsidP="005624E3">
      <w:pPr>
        <w:pStyle w:val="ESch"/>
      </w:pPr>
    </w:p>
    <w:p w:rsidR="005624E3" w:rsidRPr="00C903F8" w:rsidRDefault="005624E3" w:rsidP="005624E3">
      <w:pPr>
        <w:pStyle w:val="ESlet"/>
      </w:pPr>
      <w:r>
        <w:t>ahol:</w:t>
      </w:r>
    </w:p>
    <w:p w:rsidR="005624E3" w:rsidRPr="00C903F8" w:rsidRDefault="005624E3" w:rsidP="005624E3">
      <w:pPr>
        <w:pStyle w:val="ESlet"/>
      </w:pPr>
      <m:oMath>
        <m:r>
          <w:rPr>
            <w:rFonts w:ascii="Cambria Math" w:hAnsi="Cambria Math"/>
          </w:rPr>
          <m:t>c</m:t>
        </m:r>
      </m:oMath>
      <w:r>
        <w:tab/>
        <w:t xml:space="preserve"> =</w:t>
      </w:r>
      <w:r>
        <w:tab/>
        <w:t>alakfüggő közegellenállási tényező;</w:t>
      </w:r>
    </w:p>
    <w:p w:rsidR="005624E3" w:rsidRPr="00C903F8" w:rsidRDefault="005624E3" w:rsidP="005624E3">
      <w:pPr>
        <w:pStyle w:val="EStiretpar"/>
      </w:pPr>
      <m:oMath>
        <m:r>
          <w:rPr>
            <w:rFonts w:ascii="Cambria Math" w:hAnsi="Cambria Math"/>
          </w:rPr>
          <m:t>c=1,2</m:t>
        </m:r>
      </m:oMath>
      <w:r>
        <w:t xml:space="preserve"> szerkezeteknél és </w:t>
      </w:r>
      <m:oMath>
        <m:r>
          <w:rPr>
            <w:rFonts w:ascii="Cambria Math" w:hAnsi="Cambria Math"/>
          </w:rPr>
          <m:t>c=1,6</m:t>
        </m:r>
      </m:oMath>
      <w:r>
        <w:t xml:space="preserve"> tömörszelvényű gerendáknál. Mindkét érték figyelembe veszi a széllökéseket.</w:t>
      </w:r>
    </w:p>
    <w:p w:rsidR="005624E3" w:rsidRPr="00C903F8" w:rsidRDefault="005624E3" w:rsidP="005624E3">
      <w:pPr>
        <w:pStyle w:val="EStiretpar"/>
      </w:pPr>
      <w:r>
        <w:t>A szerkezet körvonala által körülvett teljes területet a szélnek kitett felületként kell kezelni;</w:t>
      </w:r>
    </w:p>
    <w:p w:rsidR="005624E3" w:rsidRPr="00C903F8" w:rsidRDefault="003142CA" w:rsidP="005624E3">
      <w:pPr>
        <w:pStyle w:val="ESlet"/>
      </w:pPr>
      <m:oMath>
        <m:sSub>
          <m:sSubPr>
            <m:ctrlPr>
              <w:rPr>
                <w:rFonts w:ascii="Cambria Math" w:hAnsi="Cambria Math"/>
                <w:i/>
              </w:rPr>
            </m:ctrlPr>
          </m:sSubPr>
          <m:e>
            <m:r>
              <w:rPr>
                <w:rFonts w:ascii="Cambria Math" w:hAnsi="Cambria Math"/>
              </w:rPr>
              <m:t>P</m:t>
            </m:r>
          </m:e>
          <m:sub>
            <m:r>
              <w:rPr>
                <w:rFonts w:ascii="Cambria Math" w:hAnsi="Cambria Math"/>
              </w:rPr>
              <m:t>W</m:t>
            </m:r>
          </m:sub>
        </m:sSub>
      </m:oMath>
      <w:r w:rsidR="005624E3">
        <w:tab/>
        <w:t>=</w:t>
      </w:r>
      <w:r w:rsidR="005624E3">
        <w:tab/>
        <w:t>fajlagos szélnyomás; ezt egységesen 0,25 kN/m</w:t>
      </w:r>
      <w:r w:rsidR="005624E3">
        <w:rPr>
          <w:vertAlign w:val="superscript"/>
        </w:rPr>
        <w:t>2</w:t>
      </w:r>
      <w:r w:rsidR="005624E3">
        <w:t>-nek kell venni;</w:t>
      </w:r>
    </w:p>
    <w:p w:rsidR="005624E3" w:rsidRPr="00C903F8" w:rsidRDefault="003142CA" w:rsidP="005624E3">
      <w:pPr>
        <w:pStyle w:val="ESlet"/>
        <w:tabs>
          <w:tab w:val="left" w:pos="993"/>
        </w:tabs>
        <w:ind w:left="1418" w:hanging="851"/>
      </w:pPr>
      <m:oMath>
        <m:sSub>
          <m:sSubPr>
            <m:ctrlPr>
              <w:rPr>
                <w:rFonts w:ascii="Cambria Math" w:hAnsi="Cambria Math"/>
                <w:i/>
              </w:rPr>
            </m:ctrlPr>
          </m:sSubPr>
          <m:e>
            <m:r>
              <w:rPr>
                <w:rFonts w:ascii="Cambria Math" w:hAnsi="Cambria Math"/>
              </w:rPr>
              <m:t>A</m:t>
            </m:r>
          </m:e>
          <m:sub>
            <m:r>
              <w:rPr>
                <w:rFonts w:ascii="Cambria Math" w:hAnsi="Cambria Math"/>
              </w:rPr>
              <m:t>W</m:t>
            </m:r>
          </m:sub>
        </m:sSub>
      </m:oMath>
      <w:r w:rsidR="005624E3">
        <w:tab/>
        <w:t>=</w:t>
      </w:r>
      <w:r w:rsidR="005624E3">
        <w:tab/>
        <w:t>a hajó merülési síkja feletti laterális síkja a figyelembe vett terhelési körülmény szerint [m²-ben];</w:t>
      </w:r>
    </w:p>
    <w:p w:rsidR="005624E3" w:rsidRPr="00C903F8" w:rsidRDefault="003142CA" w:rsidP="005624E3">
      <w:pPr>
        <w:pStyle w:val="ESlet"/>
        <w:tabs>
          <w:tab w:val="left" w:pos="993"/>
        </w:tabs>
        <w:ind w:left="1418" w:hanging="851"/>
      </w:pPr>
      <m:oMath>
        <m:sSub>
          <m:sSubPr>
            <m:ctrlPr>
              <w:rPr>
                <w:rFonts w:ascii="Cambria Math" w:hAnsi="Cambria Math"/>
                <w:i/>
              </w:rPr>
            </m:ctrlPr>
          </m:sSubPr>
          <m:e>
            <m:r>
              <w:rPr>
                <w:rFonts w:ascii="Cambria Math" w:hAnsi="Cambria Math"/>
              </w:rPr>
              <m:t>l</m:t>
            </m:r>
          </m:e>
          <m:sub>
            <m:r>
              <w:rPr>
                <w:rFonts w:ascii="Cambria Math" w:hAnsi="Cambria Math"/>
              </w:rPr>
              <m:t>W</m:t>
            </m:r>
          </m:sub>
        </m:sSub>
      </m:oMath>
      <w:r w:rsidR="005624E3">
        <w:t xml:space="preserve"> </w:t>
      </w:r>
      <w:r w:rsidR="005624E3">
        <w:tab/>
        <w:t>=</w:t>
      </w:r>
      <w:r w:rsidR="005624E3">
        <w:tab/>
        <w:t>a szélnek kitett oldalfelület (</w:t>
      </w:r>
      <m:oMath>
        <m:sSub>
          <m:sSubPr>
            <m:ctrlPr>
              <w:rPr>
                <w:rFonts w:ascii="Cambria Math" w:hAnsi="Cambria Math"/>
                <w:i/>
              </w:rPr>
            </m:ctrlPr>
          </m:sSubPr>
          <m:e>
            <m:r>
              <w:rPr>
                <w:rFonts w:ascii="Cambria Math" w:hAnsi="Cambria Math"/>
              </w:rPr>
              <m:t>A</m:t>
            </m:r>
          </m:e>
          <m:sub>
            <m:r>
              <w:rPr>
                <w:rFonts w:ascii="Cambria Math" w:hAnsi="Cambria Math"/>
              </w:rPr>
              <m:t>W</m:t>
            </m:r>
          </m:sub>
        </m:sSub>
      </m:oMath>
      <w:r w:rsidR="005624E3">
        <w:t>) tömegközéppontjának távolsága a vizsgált terhelési körülménynek megfelelő merülési síktól [m]-ben.</w:t>
      </w:r>
    </w:p>
    <w:p w:rsidR="005624E3" w:rsidRPr="00C903F8" w:rsidRDefault="005624E3" w:rsidP="005624E3">
      <w:pPr>
        <w:pStyle w:val="ESch"/>
      </w:pPr>
    </w:p>
    <w:p w:rsidR="005624E3" w:rsidRPr="00C903F8" w:rsidRDefault="005624E3" w:rsidP="005624E3">
      <w:pPr>
        <w:pStyle w:val="ESch"/>
      </w:pPr>
      <w:r>
        <w:t>6.</w:t>
      </w:r>
      <w:r>
        <w:tab/>
        <w:t>A 4. bekezdés d) pontja szerinti fordulásból eredő nyomatékok menetben lévő önjáró úszó munkagépek esetében történő meghatározásához a 19.03. cikk 6. bekezdése szerinti képletet kell alkalmazni.</w:t>
      </w:r>
    </w:p>
    <w:p w:rsidR="005624E3" w:rsidRPr="00C903F8" w:rsidRDefault="005624E3" w:rsidP="005624E3">
      <w:pPr>
        <w:pStyle w:val="ESch"/>
      </w:pPr>
    </w:p>
    <w:p w:rsidR="005624E3" w:rsidRPr="00C903F8" w:rsidRDefault="005624E3" w:rsidP="005624E3">
      <w:pPr>
        <w:pStyle w:val="ESch"/>
      </w:pPr>
      <w:r>
        <w:t>7.</w:t>
      </w:r>
      <w:r>
        <w:tab/>
        <w:t>A 4. bekezdés e) pontja szerinti keresztáramlás miatti nyomatékot csak akkor kell figyelembe venni, ha az úszó munkagép működés közben az áramlatban van lehorgonyozva vagy kikötve.</w:t>
      </w:r>
    </w:p>
    <w:p w:rsidR="005624E3" w:rsidRPr="00C903F8" w:rsidRDefault="005624E3" w:rsidP="005624E3">
      <w:pPr>
        <w:pStyle w:val="ESch"/>
      </w:pPr>
    </w:p>
    <w:p w:rsidR="005624E3" w:rsidRPr="00C903F8" w:rsidRDefault="005624E3" w:rsidP="005624E3">
      <w:pPr>
        <w:pStyle w:val="ESch"/>
      </w:pPr>
      <w:r>
        <w:t>8.</w:t>
      </w:r>
      <w:r>
        <w:tab/>
        <w:t>A 4. bekezdés f) pontja szerinti folyékony ballasztból és folyékony ellátmányból eredő nyomaték kiszámításakor a stabilitás szempontjából legkedvezőtlenebb tartálytartalmat kell meghatározni, és a számításba az ennek megfelelő nyomatékot kell belevenni.</w:t>
      </w:r>
    </w:p>
    <w:p w:rsidR="005624E3" w:rsidRPr="00C903F8" w:rsidRDefault="005624E3" w:rsidP="005624E3">
      <w:pPr>
        <w:pStyle w:val="ESch"/>
      </w:pPr>
    </w:p>
    <w:p w:rsidR="005624E3" w:rsidRPr="00C903F8" w:rsidRDefault="005624E3" w:rsidP="005624E3">
      <w:pPr>
        <w:pStyle w:val="ESch"/>
      </w:pPr>
      <w:r>
        <w:t>9.</w:t>
      </w:r>
      <w:r>
        <w:tab/>
        <w:t>A 4. bekezdés i) pontja szerinti tehetetlenségi erők miatti nyomatékot kellőképpen figyelembe kell venni, ha a terhelés és a munkagépek mozgása befolyásolhatja a stabilitást.</w:t>
      </w:r>
    </w:p>
    <w:p w:rsidR="005624E3" w:rsidRPr="00C903F8" w:rsidRDefault="005624E3" w:rsidP="005624E3">
      <w:pPr>
        <w:pStyle w:val="ESch"/>
      </w:pPr>
    </w:p>
    <w:p w:rsidR="005624E3" w:rsidRPr="00C903F8" w:rsidRDefault="005624E3" w:rsidP="005624E3">
      <w:pPr>
        <w:pStyle w:val="ESch"/>
      </w:pPr>
      <w:r>
        <w:br w:type="page"/>
      </w:r>
    </w:p>
    <w:p w:rsidR="005624E3" w:rsidRPr="00C903F8" w:rsidRDefault="005624E3" w:rsidP="005624E3">
      <w:pPr>
        <w:pStyle w:val="ESch"/>
      </w:pPr>
      <w:r>
        <w:t>10.</w:t>
      </w:r>
      <w:r>
        <w:tab/>
        <w:t>A függőleges oldalfalú egyéb úszólétesítmények stabilizáló nyomatéka a következő képlettel számítható ki:</w:t>
      </w:r>
    </w:p>
    <w:p w:rsidR="005624E3" w:rsidRPr="00C903F8" w:rsidRDefault="005624E3" w:rsidP="005624E3">
      <w:pPr>
        <w:pStyle w:val="ESch"/>
      </w:pPr>
    </w:p>
    <w:p w:rsidR="005624E3" w:rsidRPr="00C903F8" w:rsidRDefault="003142CA" w:rsidP="005624E3">
      <w:pPr>
        <w:pStyle w:val="ESch"/>
      </w:pPr>
      <m:oMathPara>
        <m:oMath>
          <m:sSub>
            <m:sSubPr>
              <m:ctrlPr>
                <w:rPr>
                  <w:rFonts w:ascii="Cambria Math" w:hAnsi="Cambria Math"/>
                  <w:i/>
                </w:rPr>
              </m:ctrlPr>
            </m:sSubPr>
            <m:e>
              <m:r>
                <w:rPr>
                  <w:rFonts w:ascii="Cambria Math" w:hAnsi="Cambria Math"/>
                </w:rPr>
                <m:t>M</m:t>
              </m:r>
            </m:e>
            <m:sub>
              <m:r>
                <w:rPr>
                  <w:rFonts w:ascii="Cambria Math" w:hAnsi="Cambria Math"/>
                </w:rPr>
                <m:t>R</m:t>
              </m:r>
            </m:sub>
          </m:sSub>
          <m:r>
            <w:rPr>
              <w:rFonts w:ascii="Cambria Math" w:hAnsi="Cambria Math"/>
            </w:rPr>
            <m:t xml:space="preserve">=10 ∙D ∙ </m:t>
          </m:r>
          <m:acc>
            <m:accPr>
              <m:chr m:val="̅"/>
              <m:ctrlPr>
                <w:rPr>
                  <w:rFonts w:ascii="Cambria Math" w:hAnsi="Cambria Math"/>
                  <w:i/>
                </w:rPr>
              </m:ctrlPr>
            </m:accPr>
            <m:e>
              <m:r>
                <w:rPr>
                  <w:rFonts w:ascii="Cambria Math" w:hAnsi="Cambria Math"/>
                </w:rPr>
                <m:t>MG</m:t>
              </m:r>
            </m:e>
          </m:acc>
          <m:r>
            <w:rPr>
              <w:rFonts w:ascii="Cambria Math" w:hAnsi="Cambria Math"/>
            </w:rPr>
            <m:t xml:space="preserve"> ∙ </m:t>
          </m:r>
          <m:func>
            <m:funcPr>
              <m:ctrlPr>
                <w:rPr>
                  <w:rFonts w:ascii="Cambria Math" w:hAnsi="Cambria Math"/>
                  <w:i/>
                </w:rPr>
              </m:ctrlPr>
            </m:funcPr>
            <m:fName>
              <m:r>
                <m:rPr>
                  <m:sty m:val="p"/>
                </m:rPr>
                <w:rPr>
                  <w:rFonts w:ascii="Cambria Math" w:hAnsi="Cambria Math"/>
                </w:rPr>
                <m:t>sin</m:t>
              </m:r>
            </m:fName>
            <m:e>
              <m:r>
                <w:rPr>
                  <w:rFonts w:ascii="Cambria Math" w:hAnsi="Cambria Math"/>
                </w:rPr>
                <m:t>φ</m:t>
              </m:r>
            </m:e>
          </m:func>
          <m:r>
            <w:rPr>
              <w:rFonts w:ascii="Cambria Math" w:hAnsi="Cambria Math"/>
            </w:rPr>
            <m:t xml:space="preserve"> </m:t>
          </m:r>
          <m:d>
            <m:dPr>
              <m:begChr m:val="["/>
              <m:endChr m:val="]"/>
              <m:ctrlPr>
                <w:rPr>
                  <w:rFonts w:ascii="Cambria Math" w:hAnsi="Cambria Math"/>
                  <w:i/>
                </w:rPr>
              </m:ctrlPr>
            </m:dPr>
            <m:e>
              <m:r>
                <w:rPr>
                  <w:rFonts w:ascii="Cambria Math" w:hAnsi="Cambria Math"/>
                </w:rPr>
                <m:t>kNm</m:t>
              </m:r>
            </m:e>
          </m:d>
        </m:oMath>
      </m:oMathPara>
    </w:p>
    <w:p w:rsidR="005624E3" w:rsidRPr="00C903F8" w:rsidRDefault="005624E3" w:rsidP="005624E3">
      <w:pPr>
        <w:pStyle w:val="ESch"/>
        <w:rPr>
          <w:noProof/>
        </w:rPr>
      </w:pPr>
    </w:p>
    <w:p w:rsidR="005624E3" w:rsidRPr="00C903F8" w:rsidRDefault="005624E3" w:rsidP="005624E3">
      <w:pPr>
        <w:pStyle w:val="ESchpar"/>
        <w:rPr>
          <w:rFonts w:cs="Arial"/>
          <w:szCs w:val="18"/>
        </w:rPr>
      </w:pPr>
      <w:r>
        <w:t>ahol:</w:t>
      </w:r>
    </w:p>
    <w:p w:rsidR="005624E3" w:rsidRPr="00C903F8" w:rsidRDefault="003142CA" w:rsidP="005624E3">
      <w:pPr>
        <w:pStyle w:val="ESlet"/>
        <w:tabs>
          <w:tab w:val="left" w:pos="1134"/>
        </w:tabs>
        <w:ind w:left="1560" w:hanging="993"/>
      </w:pPr>
      <m:oMath>
        <m:acc>
          <m:accPr>
            <m:chr m:val="̅"/>
            <m:ctrlPr>
              <w:rPr>
                <w:rFonts w:ascii="Cambria Math" w:hAnsi="Cambria Math"/>
                <w:i/>
              </w:rPr>
            </m:ctrlPr>
          </m:accPr>
          <m:e>
            <m:r>
              <w:rPr>
                <w:rFonts w:ascii="Cambria Math" w:hAnsi="Cambria Math"/>
              </w:rPr>
              <m:t>MG</m:t>
            </m:r>
          </m:e>
        </m:acc>
      </m:oMath>
      <w:r w:rsidR="005624E3">
        <w:tab/>
      </w:r>
      <w:r w:rsidR="005624E3">
        <w:rPr>
          <w:noProof/>
          <w:vertAlign w:val="superscript"/>
        </w:rPr>
        <w:t xml:space="preserve"> </w:t>
      </w:r>
      <w:r w:rsidR="005624E3">
        <w:t>=</w:t>
      </w:r>
      <w:r w:rsidR="005624E3">
        <w:tab/>
        <w:t>a metacentrikus magasság m-ben;</w:t>
      </w:r>
    </w:p>
    <w:p w:rsidR="005624E3" w:rsidRPr="00C903F8" w:rsidRDefault="005624E3" w:rsidP="005624E3">
      <w:pPr>
        <w:pStyle w:val="ESlet"/>
        <w:tabs>
          <w:tab w:val="left" w:pos="1134"/>
        </w:tabs>
        <w:ind w:left="1560" w:hanging="993"/>
      </w:pPr>
      <m:oMath>
        <m:r>
          <w:rPr>
            <w:rFonts w:ascii="Cambria Math" w:hAnsi="Cambria Math"/>
            <w:i/>
          </w:rPr>
          <w:sym w:font="Symbol" w:char="F06A"/>
        </m:r>
      </m:oMath>
      <w:r>
        <w:tab/>
        <w:t>=</w:t>
      </w:r>
      <w:r>
        <w:tab/>
        <w:t>a dőlésszög fokban.</w:t>
      </w:r>
    </w:p>
    <w:p w:rsidR="005624E3" w:rsidRPr="00C903F8" w:rsidRDefault="005624E3" w:rsidP="005624E3">
      <w:pPr>
        <w:pStyle w:val="ESchpar"/>
        <w:rPr>
          <w:noProof/>
        </w:rPr>
      </w:pPr>
    </w:p>
    <w:p w:rsidR="005624E3" w:rsidRPr="00C903F8" w:rsidRDefault="005624E3" w:rsidP="005624E3">
      <w:pPr>
        <w:pStyle w:val="ESchpar"/>
        <w:rPr>
          <w:rFonts w:cs="Arial"/>
          <w:szCs w:val="18"/>
        </w:rPr>
      </w:pPr>
      <w:r>
        <w:t>Ez a képlet 10°-os dőlésszögig érvényes, vagy addig a dőlésszögig, amely megfelel a fedélzet széle bemerülésének vagy a fenék széle kiemelkedésének; ezek közül a kisebbik szög a mérvadó. A képlet legfeljebb 5°-os dőlésszögű ferde oldalfalakra alkalmazható; továbbá a 3– 9. bekezdésben meghatározott határérték-feltételek ugyancsak alkalmazandók.</w:t>
      </w:r>
    </w:p>
    <w:p w:rsidR="005624E3" w:rsidRPr="00C903F8" w:rsidRDefault="005624E3" w:rsidP="005624E3">
      <w:pPr>
        <w:pStyle w:val="ESchpar"/>
        <w:rPr>
          <w:noProof/>
        </w:rPr>
      </w:pPr>
    </w:p>
    <w:p w:rsidR="005624E3" w:rsidRPr="00C903F8" w:rsidRDefault="005624E3" w:rsidP="005624E3">
      <w:pPr>
        <w:pStyle w:val="ESchpar"/>
        <w:rPr>
          <w:rFonts w:cs="Arial"/>
          <w:szCs w:val="18"/>
        </w:rPr>
      </w:pPr>
      <w:r>
        <w:t>Amennyiben az egyéb úszólétesítmény(ek) adott alakja nem tesz lehetővé ilyen egyszerűsítést, szükség van a 2. bekezdés c) pontja szerinti stabilizálókar-görbékre.</w:t>
      </w:r>
    </w:p>
    <w:p w:rsidR="005624E3" w:rsidRPr="00C903F8" w:rsidRDefault="005624E3" w:rsidP="005624E3">
      <w:pPr>
        <w:pStyle w:val="ESch"/>
      </w:pPr>
    </w:p>
    <w:p w:rsidR="005624E3" w:rsidRPr="00C903F8" w:rsidRDefault="005624E3" w:rsidP="005624E3">
      <w:pPr>
        <w:pStyle w:val="ESch"/>
      </w:pPr>
    </w:p>
    <w:p w:rsidR="005624E3" w:rsidRPr="00C903F8" w:rsidRDefault="005624E3" w:rsidP="005624E3">
      <w:pPr>
        <w:pStyle w:val="ES-Titre3"/>
        <w:rPr>
          <w:rFonts w:cs="Arial"/>
          <w:i/>
          <w:szCs w:val="18"/>
        </w:rPr>
      </w:pPr>
      <w:bookmarkStart w:id="448" w:name="_Toc491854221"/>
      <w:bookmarkStart w:id="449" w:name="_Toc535854000"/>
      <w:r>
        <w:t>22.08. cikk</w:t>
      </w:r>
      <w:r>
        <w:br/>
      </w:r>
      <w:r>
        <w:rPr>
          <w:i/>
          <w:noProof/>
        </w:rPr>
        <w:t>A stabilitás igazolása csökkentett fennmaradó szabadoldal esetén</w:t>
      </w:r>
      <w:bookmarkEnd w:id="448"/>
      <w:bookmarkEnd w:id="449"/>
    </w:p>
    <w:p w:rsidR="005624E3" w:rsidRPr="00C903F8" w:rsidRDefault="005624E3" w:rsidP="005624E3">
      <w:pPr>
        <w:pStyle w:val="ESch"/>
        <w:rPr>
          <w:noProof/>
        </w:rPr>
      </w:pPr>
    </w:p>
    <w:p w:rsidR="005624E3" w:rsidRPr="00C903F8" w:rsidRDefault="005624E3" w:rsidP="005624E3">
      <w:pPr>
        <w:pStyle w:val="ESgauche"/>
        <w:rPr>
          <w:rFonts w:cs="Arial"/>
          <w:szCs w:val="18"/>
        </w:rPr>
      </w:pPr>
      <w:r>
        <w:t>Ha a 22.05. cikk 3. bekezdése szerinti csökkentett fennmaradó szabadoldalt alkalmaznak, minden üzemi körülményre vonatkozóan igazolni kell az alábbiakat:</w:t>
      </w:r>
    </w:p>
    <w:p w:rsidR="005624E3" w:rsidRPr="00C903F8" w:rsidRDefault="005624E3" w:rsidP="005624E3">
      <w:pPr>
        <w:pStyle w:val="ESletgauche"/>
        <w:rPr>
          <w:rFonts w:cs="Arial"/>
          <w:szCs w:val="18"/>
        </w:rPr>
      </w:pPr>
      <w:r>
        <w:t>a)</w:t>
      </w:r>
      <w:r>
        <w:tab/>
        <w:t>a szabad folyadékfelületekre vonatkozó korrekció után a metacentrikus magasság legalább 0,15 m;</w:t>
      </w:r>
    </w:p>
    <w:p w:rsidR="005624E3" w:rsidRPr="00C903F8" w:rsidRDefault="005624E3" w:rsidP="005624E3">
      <w:pPr>
        <w:pStyle w:val="ESletgauche"/>
        <w:rPr>
          <w:noProof/>
        </w:rPr>
      </w:pPr>
      <w:r>
        <w:t>b)</w:t>
      </w:r>
      <w:r>
        <w:tab/>
        <w:t>0° és 30° közötti dőlésszögnél a stabilizáló kar legalább</w:t>
      </w:r>
    </w:p>
    <w:p w:rsidR="005624E3" w:rsidRPr="00C903F8" w:rsidRDefault="005624E3" w:rsidP="005624E3">
      <w:pPr>
        <w:pStyle w:val="ESletgauche"/>
        <w:rPr>
          <w:rFonts w:cs="Arial"/>
          <w:szCs w:val="18"/>
        </w:rPr>
      </w:pPr>
      <m:oMathPara>
        <m:oMath>
          <m:r>
            <w:rPr>
              <w:rFonts w:ascii="Cambria Math" w:hAnsi="Cambria Math" w:cs="Arial"/>
              <w:szCs w:val="18"/>
            </w:rPr>
            <m:t xml:space="preserve">h=0,30-0,28 ∙ </m:t>
          </m:r>
          <m:sSub>
            <m:sSubPr>
              <m:ctrlPr>
                <w:rPr>
                  <w:rFonts w:ascii="Cambria Math" w:hAnsi="Cambria Math" w:cs="Arial"/>
                  <w:i/>
                  <w:szCs w:val="18"/>
                </w:rPr>
              </m:ctrlPr>
            </m:sSubPr>
            <m:e>
              <m:r>
                <w:rPr>
                  <w:rFonts w:ascii="Cambria Math" w:hAnsi="Cambria Math" w:cs="Arial"/>
                  <w:szCs w:val="18"/>
                </w:rPr>
                <m:t>φ</m:t>
              </m:r>
            </m:e>
            <m:sub>
              <m:r>
                <w:rPr>
                  <w:rFonts w:ascii="Cambria Math" w:hAnsi="Cambria Math" w:cs="Arial"/>
                  <w:szCs w:val="18"/>
                </w:rPr>
                <m:t>n</m:t>
              </m:r>
            </m:sub>
          </m:sSub>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5624E3" w:rsidRPr="00C903F8" w:rsidRDefault="003142CA" w:rsidP="005624E3">
      <w:pPr>
        <w:pStyle w:val="ESletgauche"/>
        <w:ind w:left="993" w:hanging="426"/>
        <w:rPr>
          <w:rFonts w:cs="Arial"/>
          <w:szCs w:val="18"/>
        </w:rPr>
      </w:pPr>
      <m:oMath>
        <m:sSub>
          <m:sSubPr>
            <m:ctrlPr>
              <w:rPr>
                <w:rFonts w:ascii="Cambria Math" w:hAnsi="Cambria Math"/>
                <w:i/>
                <w:noProof/>
              </w:rPr>
            </m:ctrlPr>
          </m:sSubPr>
          <m:e>
            <m:r>
              <w:rPr>
                <w:rFonts w:ascii="Cambria Math" w:hAnsi="Cambria Math"/>
                <w:noProof/>
              </w:rPr>
              <m:t>φ</m:t>
            </m:r>
          </m:e>
          <m:sub>
            <m:r>
              <w:rPr>
                <w:rFonts w:ascii="Cambria Math" w:hAnsi="Cambria Math"/>
                <w:noProof/>
              </w:rPr>
              <m:t>n</m:t>
            </m:r>
          </m:sub>
        </m:sSub>
      </m:oMath>
      <w:r w:rsidR="005624E3">
        <w:tab/>
        <w:t xml:space="preserve">az a dőlésszög, amelytől a stabilizáló kar görbéje negatív értékeket mutat (stabilitási tartomány); ez nem lehet kevesebb 20°-nál vagy 0,35 rad-nál, és legfeljebb 30°-ot, illetve 0,52 rad-t lehet figyelembe venni a képletben, ahol a </w:t>
      </w:r>
      <m:oMath>
        <m:sSub>
          <m:sSubPr>
            <m:ctrlPr>
              <w:rPr>
                <w:rFonts w:ascii="Cambria Math" w:hAnsi="Cambria Math"/>
                <w:i/>
                <w:noProof/>
              </w:rPr>
            </m:ctrlPr>
          </m:sSubPr>
          <m:e>
            <m:r>
              <w:rPr>
                <w:rFonts w:ascii="Cambria Math" w:hAnsi="Cambria Math"/>
                <w:noProof/>
              </w:rPr>
              <m:t>φ</m:t>
            </m:r>
          </m:e>
          <m:sub>
            <m:r>
              <w:rPr>
                <w:rFonts w:ascii="Cambria Math" w:hAnsi="Cambria Math"/>
                <w:noProof/>
              </w:rPr>
              <m:t>n</m:t>
            </m:r>
          </m:sub>
        </m:sSub>
      </m:oMath>
      <w:r w:rsidR="005624E3">
        <w:t xml:space="preserve"> értékét radiánban (rad) (1° = 0,01745 rad) kell behelyettesíteni;</w:t>
      </w:r>
    </w:p>
    <w:p w:rsidR="005624E3" w:rsidRPr="00C903F8" w:rsidRDefault="005624E3" w:rsidP="005624E3">
      <w:pPr>
        <w:pStyle w:val="ESletgauche"/>
        <w:rPr>
          <w:rFonts w:cs="Arial"/>
          <w:szCs w:val="18"/>
        </w:rPr>
      </w:pPr>
      <w:r>
        <w:t>c)</w:t>
      </w:r>
      <w:r>
        <w:tab/>
        <w:t>a billenés- és a dőlésszög összege nem lépi túl a 10°-ot;</w:t>
      </w:r>
    </w:p>
    <w:p w:rsidR="005624E3" w:rsidRPr="00C903F8" w:rsidRDefault="005624E3" w:rsidP="005624E3">
      <w:pPr>
        <w:pStyle w:val="ESletgauche"/>
        <w:rPr>
          <w:rFonts w:cs="Arial"/>
          <w:szCs w:val="18"/>
        </w:rPr>
      </w:pPr>
      <w:r>
        <w:t>d)</w:t>
      </w:r>
      <w:r>
        <w:tab/>
        <w:t>a fennmaradó biztonsági távolság továbbra is megfelel a 22.04. cikkben foglalt követelményeknek;</w:t>
      </w:r>
    </w:p>
    <w:p w:rsidR="005624E3" w:rsidRPr="00DB7D1E" w:rsidRDefault="005624E3" w:rsidP="005624E3">
      <w:pPr>
        <w:pStyle w:val="ESletgauche"/>
        <w:rPr>
          <w:rFonts w:cs="Arial"/>
          <w:szCs w:val="18"/>
          <w:lang w:val="pt-PT"/>
        </w:rPr>
      </w:pPr>
      <w:r w:rsidRPr="00DB7D1E">
        <w:rPr>
          <w:lang w:val="pt-PT"/>
        </w:rPr>
        <w:t>e)</w:t>
      </w:r>
      <w:r w:rsidRPr="00DB7D1E">
        <w:rPr>
          <w:lang w:val="pt-PT"/>
        </w:rPr>
        <w:tab/>
        <w:t>a fennmaradó szabadoldal továbbra is legalább 0,05 m;</w:t>
      </w:r>
    </w:p>
    <w:p w:rsidR="005624E3" w:rsidRPr="00DB7D1E" w:rsidRDefault="005624E3" w:rsidP="005624E3">
      <w:pPr>
        <w:pStyle w:val="ESletgauche"/>
        <w:rPr>
          <w:noProof/>
          <w:lang w:val="pt-PT"/>
        </w:rPr>
      </w:pPr>
      <w:r w:rsidRPr="00DB7D1E">
        <w:rPr>
          <w:lang w:val="pt-PT"/>
        </w:rPr>
        <w:t>f)</w:t>
      </w:r>
      <w:r w:rsidRPr="00DB7D1E">
        <w:rPr>
          <w:lang w:val="pt-PT"/>
        </w:rPr>
        <w:tab/>
        <w:t>0° és 30° közötti dőlésszögnél a fennmaradó stabilizáló kar továbbra is legalább</w:t>
      </w:r>
    </w:p>
    <w:p w:rsidR="005624E3" w:rsidRPr="00C903F8" w:rsidRDefault="005624E3" w:rsidP="005624E3">
      <w:pPr>
        <w:pStyle w:val="ESletgauche"/>
        <w:rPr>
          <w:rFonts w:cs="Arial"/>
          <w:szCs w:val="18"/>
        </w:rPr>
      </w:pPr>
      <m:oMathPara>
        <m:oMath>
          <m:r>
            <w:rPr>
              <w:rFonts w:ascii="Cambria Math" w:hAnsi="Cambria Math" w:cs="Arial"/>
              <w:szCs w:val="18"/>
            </w:rPr>
            <m:t xml:space="preserve">h=0,20-0,23 ∙ </m:t>
          </m:r>
          <m:sSub>
            <m:sSubPr>
              <m:ctrlPr>
                <w:rPr>
                  <w:rFonts w:ascii="Cambria Math" w:hAnsi="Cambria Math" w:cs="Arial"/>
                  <w:i/>
                  <w:szCs w:val="18"/>
                </w:rPr>
              </m:ctrlPr>
            </m:sSubPr>
            <m:e>
              <m:r>
                <w:rPr>
                  <w:rFonts w:ascii="Cambria Math" w:hAnsi="Cambria Math" w:cs="Arial"/>
                  <w:szCs w:val="18"/>
                </w:rPr>
                <m:t>φ</m:t>
              </m:r>
            </m:e>
            <m:sub>
              <m:r>
                <w:rPr>
                  <w:rFonts w:ascii="Cambria Math" w:hAnsi="Cambria Math" w:cs="Arial"/>
                  <w:szCs w:val="18"/>
                </w:rPr>
                <m:t>n</m:t>
              </m:r>
            </m:sub>
          </m:sSub>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5624E3" w:rsidRPr="00C903F8" w:rsidRDefault="005624E3" w:rsidP="005624E3">
      <w:pPr>
        <w:pStyle w:val="ESlet"/>
        <w:ind w:left="567"/>
        <w:rPr>
          <w:szCs w:val="18"/>
        </w:rPr>
      </w:pPr>
      <w:r>
        <w:t xml:space="preserve">, ahol </w:t>
      </w:r>
      <m:oMath>
        <m:sSub>
          <m:sSubPr>
            <m:ctrlPr>
              <w:rPr>
                <w:rFonts w:ascii="Cambria Math" w:hAnsi="Cambria Math"/>
                <w:i/>
                <w:noProof/>
              </w:rPr>
            </m:ctrlPr>
          </m:sSubPr>
          <m:e>
            <m:r>
              <w:rPr>
                <w:rFonts w:ascii="Cambria Math" w:hAnsi="Cambria Math"/>
                <w:noProof/>
              </w:rPr>
              <m:t>φ</m:t>
            </m:r>
          </m:e>
          <m:sub>
            <m:r>
              <w:rPr>
                <w:rFonts w:ascii="Cambria Math" w:hAnsi="Cambria Math"/>
                <w:noProof/>
              </w:rPr>
              <m:t>n</m:t>
            </m:r>
          </m:sub>
        </m:sSub>
      </m:oMath>
      <w:r>
        <w:t xml:space="preserve"> az a dőlésszög, amelytől a stabilizáló kar görbéje negatív értékeket mutat; a képletben legfeljebb 30°-ot, illetve 0,52 radiánt lehet figyelembe venni.</w:t>
      </w:r>
    </w:p>
    <w:p w:rsidR="005624E3" w:rsidRPr="00C903F8" w:rsidRDefault="005624E3" w:rsidP="005624E3">
      <w:pPr>
        <w:pStyle w:val="ESgauche"/>
      </w:pPr>
    </w:p>
    <w:p w:rsidR="005624E3" w:rsidRPr="00C903F8" w:rsidRDefault="005624E3" w:rsidP="005624E3">
      <w:pPr>
        <w:pStyle w:val="Esletgauchepar"/>
        <w:rPr>
          <w:szCs w:val="18"/>
        </w:rPr>
      </w:pPr>
      <w:r>
        <w:t>A fennmaradó stabilizáló kar a stabilizáló kar görbéje és a dőléskar görbéje közötti legnagyobb különbség a 0°–30°-os dőléstartományban. Ha a hajó belseje felé nyíló nyílást a víz a karok görbéi közötti legnagyobb különbségnek megfelelőnél kisebb dőlésszögnél éri el, akkor az ennek a dőlésszögnek megfelelő kart kell figyelembe venni.</w:t>
      </w:r>
    </w:p>
    <w:p w:rsidR="005624E3" w:rsidRPr="00DB7D1E" w:rsidRDefault="005624E3" w:rsidP="005624E3">
      <w:pPr>
        <w:pStyle w:val="ESch"/>
        <w:rPr>
          <w:rFonts w:cs="Arial"/>
          <w:szCs w:val="18"/>
        </w:rPr>
      </w:pPr>
    </w:p>
    <w:p w:rsidR="005624E3" w:rsidRPr="00DB7D1E" w:rsidRDefault="005624E3" w:rsidP="005624E3">
      <w:pPr>
        <w:pStyle w:val="ESch"/>
        <w:rPr>
          <w:rFonts w:cs="Arial"/>
          <w:szCs w:val="18"/>
        </w:rPr>
      </w:pPr>
      <w:r w:rsidRPr="00DB7D1E">
        <w:br w:type="page"/>
      </w:r>
    </w:p>
    <w:p w:rsidR="005624E3" w:rsidRPr="00DB7D1E" w:rsidRDefault="005624E3" w:rsidP="005624E3">
      <w:pPr>
        <w:pStyle w:val="ES-Titre3"/>
        <w:rPr>
          <w:rFonts w:cs="Arial"/>
          <w:i/>
          <w:szCs w:val="18"/>
        </w:rPr>
      </w:pPr>
      <w:bookmarkStart w:id="450" w:name="_Toc491854222"/>
      <w:bookmarkStart w:id="451" w:name="_Toc535854001"/>
      <w:r w:rsidRPr="00DB7D1E">
        <w:t>22.09. cikk</w:t>
      </w:r>
      <w:r w:rsidRPr="00DB7D1E">
        <w:br/>
      </w:r>
      <w:r w:rsidRPr="00DB7D1E">
        <w:rPr>
          <w:i/>
          <w:noProof/>
        </w:rPr>
        <w:t>Merülési vonalak és merülési mércék</w:t>
      </w:r>
      <w:bookmarkEnd w:id="450"/>
      <w:bookmarkEnd w:id="451"/>
    </w:p>
    <w:p w:rsidR="005624E3" w:rsidRPr="00DB7D1E" w:rsidRDefault="005624E3" w:rsidP="005624E3">
      <w:pPr>
        <w:pStyle w:val="ESch"/>
        <w:rPr>
          <w:noProof/>
        </w:rPr>
      </w:pPr>
    </w:p>
    <w:p w:rsidR="005624E3" w:rsidRPr="00DB7D1E" w:rsidRDefault="005624E3" w:rsidP="005624E3">
      <w:pPr>
        <w:pStyle w:val="ESgauche"/>
        <w:rPr>
          <w:rFonts w:cs="Arial"/>
          <w:szCs w:val="18"/>
        </w:rPr>
      </w:pPr>
      <w:r w:rsidRPr="00DB7D1E">
        <w:t>A merülési vonalakat és a merülési mércéket a 4.04., illetve 4.06. cikk szerint kell felhelyezni.</w:t>
      </w:r>
    </w:p>
    <w:p w:rsidR="005624E3" w:rsidRPr="00DB7D1E" w:rsidRDefault="005624E3" w:rsidP="005624E3">
      <w:pPr>
        <w:pStyle w:val="ESch"/>
        <w:rPr>
          <w:rFonts w:cs="Arial"/>
          <w:szCs w:val="18"/>
        </w:rPr>
      </w:pPr>
    </w:p>
    <w:p w:rsidR="005624E3" w:rsidRPr="00DB7D1E" w:rsidRDefault="005624E3" w:rsidP="005624E3">
      <w:pPr>
        <w:pStyle w:val="ESch"/>
        <w:rPr>
          <w:rFonts w:cs="Arial"/>
          <w:szCs w:val="18"/>
        </w:rPr>
      </w:pPr>
    </w:p>
    <w:p w:rsidR="005624E3" w:rsidRPr="00DB7D1E" w:rsidRDefault="005624E3" w:rsidP="005624E3">
      <w:pPr>
        <w:pStyle w:val="ES-Titre3"/>
        <w:rPr>
          <w:rFonts w:cs="Arial"/>
          <w:i/>
          <w:szCs w:val="18"/>
        </w:rPr>
      </w:pPr>
      <w:bookmarkStart w:id="452" w:name="_Toc491854223"/>
      <w:bookmarkStart w:id="453" w:name="_Toc535854002"/>
      <w:r w:rsidRPr="00DB7D1E">
        <w:t>22.10. cikk</w:t>
      </w:r>
      <w:r w:rsidRPr="00DB7D1E">
        <w:br/>
      </w:r>
      <w:r w:rsidRPr="00DB7D1E">
        <w:rPr>
          <w:i/>
          <w:noProof/>
        </w:rPr>
        <w:t>Stabilitási igazolás nélküli úszó munkagépek</w:t>
      </w:r>
      <w:bookmarkEnd w:id="452"/>
      <w:bookmarkEnd w:id="453"/>
    </w:p>
    <w:p w:rsidR="005624E3" w:rsidRPr="00DB7D1E" w:rsidRDefault="005624E3" w:rsidP="005624E3">
      <w:pPr>
        <w:pStyle w:val="ESch"/>
        <w:rPr>
          <w:noProof/>
        </w:rPr>
      </w:pPr>
    </w:p>
    <w:p w:rsidR="005624E3" w:rsidRPr="00DB7D1E" w:rsidRDefault="005624E3" w:rsidP="005624E3">
      <w:pPr>
        <w:pStyle w:val="ESch"/>
        <w:rPr>
          <w:rFonts w:cs="Arial"/>
          <w:szCs w:val="18"/>
        </w:rPr>
      </w:pPr>
      <w:r w:rsidRPr="00DB7D1E">
        <w:t>1.</w:t>
      </w:r>
      <w:r w:rsidRPr="00DB7D1E">
        <w:tab/>
        <w:t>A 22.04–22.08. cikk alkalmazásától el lehet tekinteni olyan úszó munkagépek esetében:</w:t>
      </w:r>
    </w:p>
    <w:p w:rsidR="005624E3" w:rsidRPr="00DB7D1E" w:rsidRDefault="005624E3" w:rsidP="005624E3">
      <w:pPr>
        <w:pStyle w:val="ESlet"/>
        <w:rPr>
          <w:rFonts w:cs="Arial"/>
          <w:szCs w:val="18"/>
        </w:rPr>
      </w:pPr>
      <w:r w:rsidRPr="00DB7D1E">
        <w:t>a)</w:t>
      </w:r>
      <w:r w:rsidRPr="00DB7D1E">
        <w:tab/>
        <w:t>amelyek munkagépei semmiképpen sem változtathatják meg dőlésüket vagy billenésüket; és</w:t>
      </w:r>
    </w:p>
    <w:p w:rsidR="005624E3" w:rsidRPr="00DB7D1E" w:rsidRDefault="005624E3" w:rsidP="005624E3">
      <w:pPr>
        <w:pStyle w:val="ESlet"/>
        <w:rPr>
          <w:rFonts w:cs="Arial"/>
          <w:szCs w:val="18"/>
        </w:rPr>
      </w:pPr>
      <w:r w:rsidRPr="00DB7D1E">
        <w:t>b)</w:t>
      </w:r>
      <w:r w:rsidRPr="00DB7D1E">
        <w:tab/>
        <w:t>amelyeknék a tömegközéppont bármilyen eltolódása teljes mértékben kizárt.</w:t>
      </w:r>
    </w:p>
    <w:p w:rsidR="005624E3" w:rsidRPr="00DB7D1E" w:rsidRDefault="005624E3" w:rsidP="005624E3">
      <w:pPr>
        <w:pStyle w:val="ESch"/>
        <w:rPr>
          <w:noProof/>
        </w:rPr>
      </w:pPr>
    </w:p>
    <w:p w:rsidR="005624E3" w:rsidRPr="00DB7D1E" w:rsidRDefault="005624E3" w:rsidP="005624E3">
      <w:pPr>
        <w:pStyle w:val="ESch"/>
        <w:rPr>
          <w:noProof/>
        </w:rPr>
      </w:pPr>
      <w:r w:rsidRPr="00DB7D1E">
        <w:t>2.</w:t>
      </w:r>
      <w:r w:rsidRPr="00DB7D1E">
        <w:tab/>
        <w:t>Mindazonáltal:</w:t>
      </w:r>
    </w:p>
    <w:p w:rsidR="005624E3" w:rsidRPr="00DB7D1E" w:rsidRDefault="005624E3" w:rsidP="005624E3">
      <w:pPr>
        <w:pStyle w:val="ESlet"/>
        <w:rPr>
          <w:noProof/>
        </w:rPr>
      </w:pPr>
      <w:r w:rsidRPr="00DB7D1E">
        <w:t>a)</w:t>
      </w:r>
      <w:r w:rsidRPr="00DB7D1E">
        <w:tab/>
        <w:t>maximális terhelésen a biztonsági távolságnak legalább 300 mm-nek kell lennie, a szabadoldalnak pedig legalább 150 mm-nek; és</w:t>
      </w:r>
    </w:p>
    <w:p w:rsidR="005624E3" w:rsidRPr="00DB7D1E" w:rsidRDefault="005624E3" w:rsidP="005624E3">
      <w:pPr>
        <w:pStyle w:val="ESlet"/>
        <w:rPr>
          <w:noProof/>
        </w:rPr>
      </w:pPr>
      <w:r w:rsidRPr="00DB7D1E">
        <w:t>b)</w:t>
      </w:r>
      <w:r w:rsidRPr="00DB7D1E">
        <w:tab/>
        <w:t>fröccsenővíz- és időjárásálló módon nem zárható nyílások esetében a biztonsági távolságnak legalább 500 mm-nek kell lennie.</w:t>
      </w: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ch"/>
      </w:pPr>
    </w:p>
    <w:p w:rsidR="005624E3" w:rsidRPr="00C903F8" w:rsidRDefault="005624E3" w:rsidP="005624E3">
      <w:pPr>
        <w:pStyle w:val="ES-Titre2"/>
      </w:pPr>
      <w:bookmarkStart w:id="454" w:name="_Toc491854224"/>
      <w:bookmarkStart w:id="455" w:name="_Toc535854003"/>
      <w:r>
        <w:t>23. fejezet</w:t>
      </w:r>
      <w:r>
        <w:br/>
      </w:r>
      <w:r>
        <w:rPr>
          <w:noProof/>
        </w:rPr>
        <w:t>A munkaterületen használt vízi járművekre alkalmazandó külön rendelkezések</w:t>
      </w:r>
      <w:bookmarkEnd w:id="454"/>
      <w:bookmarkEnd w:id="455"/>
    </w:p>
    <w:p w:rsidR="005624E3" w:rsidRPr="00DB7D1E" w:rsidRDefault="005624E3" w:rsidP="005624E3"/>
    <w:p w:rsidR="005624E3" w:rsidRPr="00DB7D1E" w:rsidRDefault="005624E3" w:rsidP="005624E3">
      <w:pPr>
        <w:pStyle w:val="ES-Titre3"/>
      </w:pPr>
      <w:bookmarkStart w:id="456" w:name="_Toc491854225"/>
      <w:bookmarkStart w:id="457" w:name="_Toc535854004"/>
      <w:r w:rsidRPr="00DB7D1E">
        <w:t>23.01. cikk</w:t>
      </w:r>
      <w:r w:rsidRPr="00DB7D1E">
        <w:br/>
      </w:r>
      <w:r w:rsidRPr="00DB7D1E">
        <w:rPr>
          <w:i/>
          <w:noProof/>
        </w:rPr>
        <w:t>Üzemi körülmények</w:t>
      </w:r>
      <w:bookmarkEnd w:id="456"/>
      <w:bookmarkEnd w:id="457"/>
    </w:p>
    <w:p w:rsidR="005624E3" w:rsidRPr="00DB7D1E" w:rsidRDefault="005624E3" w:rsidP="005624E3">
      <w:pPr>
        <w:pStyle w:val="ESch"/>
        <w:rPr>
          <w:noProof/>
        </w:rPr>
      </w:pPr>
    </w:p>
    <w:p w:rsidR="005624E3" w:rsidRPr="00DB7D1E" w:rsidRDefault="005624E3" w:rsidP="005624E3">
      <w:pPr>
        <w:pStyle w:val="ESgauche"/>
      </w:pPr>
      <w:r w:rsidRPr="00DB7D1E">
        <w:t>A belvízi hajóbizonyítványban munkaterületen használt vízi járműként jelölt vízi járművek csak akkor közlekedhetnek a munkaterületen kívül, ha üresek. E korlátozást fel kell tüntetni a belvízi hajóbizonyítványban is.</w:t>
      </w:r>
    </w:p>
    <w:p w:rsidR="005624E3" w:rsidRPr="00DB7D1E" w:rsidRDefault="005624E3" w:rsidP="005624E3">
      <w:pPr>
        <w:pStyle w:val="ESgauche"/>
      </w:pPr>
    </w:p>
    <w:p w:rsidR="005624E3" w:rsidRPr="00DB7D1E" w:rsidRDefault="005624E3" w:rsidP="005624E3">
      <w:pPr>
        <w:pStyle w:val="ESgauche"/>
      </w:pPr>
      <w:r w:rsidRPr="00DB7D1E">
        <w:t>E célból a munkaterületen használt vízi járműveknek rendelkezniük kell az illetékes hatóság által kiadott igazolással, amely megadja a munkavégzés időtartamát, és annak a munkaterületnek a földrajzi határait, amelyen a vízi jármű üzemeltethető.</w:t>
      </w: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Titre3"/>
        <w:rPr>
          <w:i/>
        </w:rPr>
      </w:pPr>
      <w:bookmarkStart w:id="458" w:name="_Toc491854226"/>
      <w:bookmarkStart w:id="459" w:name="_Toc535854005"/>
      <w:r w:rsidRPr="00DB7D1E">
        <w:t>23.02. cikk</w:t>
      </w:r>
      <w:r w:rsidRPr="00DB7D1E">
        <w:br/>
      </w:r>
      <w:r w:rsidRPr="00DB7D1E">
        <w:rPr>
          <w:i/>
          <w:noProof/>
        </w:rPr>
        <w:t>A II. rész alkalmazása</w:t>
      </w:r>
      <w:bookmarkEnd w:id="458"/>
      <w:bookmarkEnd w:id="459"/>
    </w:p>
    <w:p w:rsidR="005624E3" w:rsidRPr="00DB7D1E" w:rsidRDefault="005624E3" w:rsidP="005624E3">
      <w:pPr>
        <w:pStyle w:val="ESgauche"/>
      </w:pPr>
    </w:p>
    <w:p w:rsidR="005624E3" w:rsidRPr="00DB7D1E" w:rsidRDefault="005624E3" w:rsidP="005624E3">
      <w:pPr>
        <w:pStyle w:val="ESgauche"/>
      </w:pPr>
      <w:r w:rsidRPr="00DB7D1E">
        <w:t>Amennyiben e fejezet másként nem rendelkezik, a munkaterületen használt vízi járművek megépítésének és felszerelésének a II. rész 3–17. fejezete szerint kell történnie.</w:t>
      </w: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Titre3"/>
      </w:pPr>
      <w:bookmarkStart w:id="460" w:name="_Toc491854227"/>
      <w:bookmarkStart w:id="461" w:name="_Toc535854006"/>
      <w:r w:rsidRPr="00DB7D1E">
        <w:t>23.03. cikk</w:t>
      </w:r>
      <w:r w:rsidRPr="00DB7D1E">
        <w:br/>
      </w:r>
      <w:r w:rsidRPr="00DB7D1E">
        <w:rPr>
          <w:i/>
          <w:noProof/>
        </w:rPr>
        <w:t>Eltérések</w:t>
      </w:r>
      <w:bookmarkEnd w:id="460"/>
      <w:bookmarkEnd w:id="461"/>
    </w:p>
    <w:p w:rsidR="005624E3" w:rsidRPr="00DB7D1E" w:rsidRDefault="005624E3" w:rsidP="005624E3">
      <w:pPr>
        <w:pStyle w:val="ESch"/>
        <w:rPr>
          <w:noProof/>
        </w:rPr>
      </w:pPr>
    </w:p>
    <w:p w:rsidR="005624E3" w:rsidRPr="00DB7D1E" w:rsidRDefault="005624E3" w:rsidP="005624E3">
      <w:pPr>
        <w:pStyle w:val="ESch"/>
        <w:tabs>
          <w:tab w:val="left" w:pos="567"/>
        </w:tabs>
        <w:ind w:left="993" w:hanging="993"/>
      </w:pPr>
      <w:r w:rsidRPr="00DB7D1E">
        <w:t>1.</w:t>
      </w:r>
      <w:r w:rsidRPr="00DB7D1E">
        <w:tab/>
        <w:t>a)</w:t>
      </w:r>
      <w:r w:rsidRPr="00DB7D1E">
        <w:tab/>
        <w:t>A 3.03. cikk 1. bekezdése értelemszerűen alkalmazandó;</w:t>
      </w:r>
    </w:p>
    <w:p w:rsidR="005624E3" w:rsidRPr="00DB7D1E" w:rsidRDefault="005624E3" w:rsidP="005624E3">
      <w:pPr>
        <w:pStyle w:val="ESlet"/>
      </w:pPr>
      <w:r w:rsidRPr="00DB7D1E">
        <w:t>b)</w:t>
      </w:r>
      <w:r w:rsidRPr="00DB7D1E">
        <w:tab/>
        <w:t>Az 5. és 6. fejezet értelemszerűen alkalmazandó, amennyiben a vízi jármű önjáró;</w:t>
      </w:r>
    </w:p>
    <w:p w:rsidR="005624E3" w:rsidRPr="00DB7D1E" w:rsidRDefault="005624E3" w:rsidP="005624E3">
      <w:pPr>
        <w:pStyle w:val="ESlet"/>
      </w:pPr>
      <w:r w:rsidRPr="00DB7D1E">
        <w:t>c)</w:t>
      </w:r>
      <w:r w:rsidRPr="00DB7D1E">
        <w:tab/>
        <w:t>A 13.02. cikk 2. bekezdésének a) és b) pontja értelemszerűen alkalmazandó;</w:t>
      </w:r>
    </w:p>
    <w:p w:rsidR="005624E3" w:rsidRPr="00DB7D1E" w:rsidRDefault="005624E3" w:rsidP="005624E3">
      <w:pPr>
        <w:pStyle w:val="ESlet"/>
        <w:rPr>
          <w:rFonts w:cs="Arial"/>
          <w:szCs w:val="18"/>
        </w:rPr>
      </w:pPr>
      <w:r w:rsidRPr="00DB7D1E">
        <w:t>d)</w:t>
      </w:r>
      <w:r w:rsidRPr="00DB7D1E">
        <w:tab/>
        <w:t>Az ellenőrző szerv mentességeket nyújthat a megépítésre, felszerelésre és berendezésekre vonatkozó egyéb követelmények alól, feltéve, hogy az egyenértékű biztonság minden esetben igazolható.</w:t>
      </w:r>
    </w:p>
    <w:p w:rsidR="005624E3" w:rsidRPr="00DB7D1E" w:rsidRDefault="005624E3" w:rsidP="005624E3">
      <w:pPr>
        <w:pStyle w:val="ESch"/>
        <w:rPr>
          <w:noProof/>
        </w:rPr>
      </w:pPr>
    </w:p>
    <w:p w:rsidR="005624E3" w:rsidRPr="00DB7D1E" w:rsidRDefault="005624E3" w:rsidP="005624E3">
      <w:pPr>
        <w:pStyle w:val="ESch"/>
        <w:rPr>
          <w:b/>
        </w:rPr>
      </w:pPr>
      <w:r w:rsidRPr="00DB7D1E">
        <w:t>2.</w:t>
      </w:r>
      <w:r w:rsidRPr="00DB7D1E">
        <w:tab/>
        <w:t>Az ellenőrző szerv eltekinthet az alábbi rendelkezésektől:</w:t>
      </w:r>
    </w:p>
    <w:p w:rsidR="005624E3" w:rsidRPr="00DB7D1E" w:rsidRDefault="005624E3" w:rsidP="005624E3">
      <w:pPr>
        <w:pStyle w:val="ESlet"/>
        <w:rPr>
          <w:b/>
        </w:rPr>
      </w:pPr>
      <w:r w:rsidRPr="00DB7D1E">
        <w:t>a)</w:t>
      </w:r>
      <w:r w:rsidRPr="00DB7D1E">
        <w:tab/>
        <w:t>a 8.08. cikk 2–8. bekezdése, ha nincs szükség legénységre;</w:t>
      </w:r>
    </w:p>
    <w:p w:rsidR="005624E3" w:rsidRPr="00DB7D1E" w:rsidRDefault="005624E3" w:rsidP="005624E3">
      <w:pPr>
        <w:pStyle w:val="ESlet"/>
      </w:pPr>
      <w:r w:rsidRPr="00DB7D1E">
        <w:t>b)</w:t>
      </w:r>
      <w:r w:rsidRPr="00DB7D1E">
        <w:tab/>
        <w:t xml:space="preserve">a 13.01. cikk 1. és 3. bekezdése, ha a munkaterületen használt vízi járművet biztonságosan le lehet horgonyozni üzemi horgonnyal vagy cölöpökkel. A munkaterületen használt önjáró vízi járműveket azonban fel kell szerelni legalább egy, a 13.01. cikk 1. bekezdésében meghatározott követelményeknek megfelelő horgonnyal, ahol a </w:t>
      </w:r>
      <m:oMath>
        <m:r>
          <w:rPr>
            <w:rFonts w:ascii="Cambria Math" w:hAnsi="Cambria Math"/>
            <w:noProof/>
          </w:rPr>
          <m:t>k</m:t>
        </m:r>
      </m:oMath>
      <w:r w:rsidRPr="00DB7D1E">
        <w:t xml:space="preserve"> empirikus tényezőt 45-nek, </w:t>
      </w:r>
      <m:oMath>
        <m:r>
          <w:rPr>
            <w:rFonts w:ascii="Cambria Math" w:hAnsi="Cambria Math"/>
            <w:noProof/>
          </w:rPr>
          <m:t>T</m:t>
        </m:r>
      </m:oMath>
      <w:r w:rsidRPr="00DB7D1E">
        <w:t xml:space="preserve">-t pedig a </w:t>
      </w:r>
      <m:oMath>
        <m:r>
          <w:rPr>
            <w:rFonts w:ascii="Cambria Math" w:hAnsi="Cambria Math"/>
            <w:noProof/>
          </w:rPr>
          <m:t>H</m:t>
        </m:r>
      </m:oMath>
      <w:r w:rsidRPr="00DB7D1E">
        <w:t xml:space="preserve"> magassággal egyenlőnek kell venni;</w:t>
      </w:r>
    </w:p>
    <w:p w:rsidR="005624E3" w:rsidRPr="00DB7D1E" w:rsidRDefault="005624E3" w:rsidP="005624E3">
      <w:pPr>
        <w:pStyle w:val="ESlet"/>
      </w:pPr>
      <w:r w:rsidRPr="00DB7D1E">
        <w:t>c)</w:t>
      </w:r>
      <w:r w:rsidRPr="00DB7D1E">
        <w:tab/>
        <w:t>A 13.02. cikk 1. bekezdésének c) pontja, ha a munkaterületen használt vízi jármű nem önjáró.</w:t>
      </w: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ch"/>
      </w:pPr>
      <w:r w:rsidRPr="00DB7D1E">
        <w:br w:type="page"/>
      </w:r>
    </w:p>
    <w:p w:rsidR="005624E3" w:rsidRPr="00DB7D1E" w:rsidRDefault="005624E3" w:rsidP="005624E3">
      <w:pPr>
        <w:pStyle w:val="ES-Titre3"/>
        <w:rPr>
          <w:i/>
        </w:rPr>
      </w:pPr>
      <w:bookmarkStart w:id="462" w:name="_Toc491854228"/>
      <w:bookmarkStart w:id="463" w:name="_Toc535854007"/>
      <w:r w:rsidRPr="00DB7D1E">
        <w:t>23.04. cikk</w:t>
      </w:r>
      <w:r w:rsidRPr="00DB7D1E">
        <w:br/>
      </w:r>
      <w:r w:rsidRPr="00DB7D1E">
        <w:rPr>
          <w:i/>
          <w:noProof/>
        </w:rPr>
        <w:t>Biztonsági távolság és szabadoldal</w:t>
      </w:r>
      <w:bookmarkEnd w:id="462"/>
      <w:bookmarkEnd w:id="463"/>
    </w:p>
    <w:p w:rsidR="005624E3" w:rsidRPr="00DB7D1E" w:rsidRDefault="005624E3" w:rsidP="005624E3">
      <w:pPr>
        <w:pStyle w:val="ESch"/>
        <w:rPr>
          <w:noProof/>
        </w:rPr>
      </w:pPr>
    </w:p>
    <w:p w:rsidR="005624E3" w:rsidRPr="00DB7D1E" w:rsidRDefault="005624E3" w:rsidP="005624E3">
      <w:pPr>
        <w:pStyle w:val="ESch"/>
      </w:pPr>
      <w:r w:rsidRPr="00DB7D1E">
        <w:t>1.</w:t>
      </w:r>
      <w:r w:rsidRPr="00DB7D1E">
        <w:tab/>
        <w:t>Ha egy munkaterületen használt vízi járművet lecsapolóbárkaként vagy fenékürítős bárkaként használnak, a rakománytéren kívül a biztonsági távolságnak legalább 300 mm-nek, a szabadoldalnak pedig legalább 150 mm-nek kell lennie. Az ellenőrző szerv engedélyezhet kisebb szabadoldalt, ha számítással igazolják, hogy a stabilitás 1,5 t/m</w:t>
      </w:r>
      <w:r w:rsidRPr="00DB7D1E">
        <w:rPr>
          <w:noProof/>
          <w:vertAlign w:val="superscript"/>
        </w:rPr>
        <w:t>3</w:t>
      </w:r>
      <w:r w:rsidRPr="00DB7D1E">
        <w:t xml:space="preserve"> fajlagos tömegű rakomány esetében kielégítő, és a fedélzet egyik oldala sem éri el a vizet. A cseppfolyósított rakomány által gyakorolt hatást figyelembe kell venni.</w:t>
      </w:r>
    </w:p>
    <w:p w:rsidR="005624E3" w:rsidRPr="00DB7D1E" w:rsidRDefault="005624E3" w:rsidP="005624E3">
      <w:pPr>
        <w:pStyle w:val="ESch"/>
        <w:rPr>
          <w:noProof/>
        </w:rPr>
      </w:pPr>
    </w:p>
    <w:p w:rsidR="005624E3" w:rsidRPr="00DB7D1E" w:rsidRDefault="005624E3" w:rsidP="005624E3">
      <w:pPr>
        <w:pStyle w:val="ESch"/>
      </w:pPr>
      <w:r w:rsidRPr="00DB7D1E">
        <w:t>2.</w:t>
      </w:r>
      <w:r w:rsidRPr="00DB7D1E">
        <w:tab/>
        <w:t>A 4.01. és 4.02. cikk rendelkezései értelemszerűen alkalmazandók az 1. bekezdésben nem szereplő, munkaterületen használt vízi járművekre. Az ellenőrző szerv a biztonsági távolságra és a szabadoldalra vonatkozóan a fentiektől eltérő értékeket is meghatározhat.</w:t>
      </w: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Titre3"/>
      </w:pPr>
      <w:bookmarkStart w:id="464" w:name="_Toc491854229"/>
      <w:bookmarkStart w:id="465" w:name="_Toc535854008"/>
      <w:r w:rsidRPr="00DB7D1E">
        <w:t>23.05. cikk</w:t>
      </w:r>
      <w:r w:rsidRPr="00DB7D1E">
        <w:br/>
      </w:r>
      <w:r w:rsidRPr="00DB7D1E">
        <w:rPr>
          <w:i/>
          <w:noProof/>
        </w:rPr>
        <w:t>Szolgálati csónakok</w:t>
      </w:r>
      <w:bookmarkEnd w:id="464"/>
      <w:bookmarkEnd w:id="465"/>
    </w:p>
    <w:p w:rsidR="005624E3" w:rsidRPr="00DB7D1E" w:rsidRDefault="005624E3" w:rsidP="005624E3">
      <w:pPr>
        <w:pStyle w:val="ESch"/>
        <w:rPr>
          <w:noProof/>
        </w:rPr>
      </w:pPr>
    </w:p>
    <w:p w:rsidR="005624E3" w:rsidRPr="00DB7D1E" w:rsidRDefault="005624E3" w:rsidP="005624E3">
      <w:pPr>
        <w:pStyle w:val="ESgauche"/>
      </w:pPr>
      <w:r w:rsidRPr="00DB7D1E">
        <w:t>A munkaterületen használt vízi járműveknek nem kell szolgálati csónakkal rendelkezniük, ha:</w:t>
      </w:r>
    </w:p>
    <w:p w:rsidR="005624E3" w:rsidRPr="00DB7D1E" w:rsidRDefault="005624E3" w:rsidP="005624E3">
      <w:pPr>
        <w:pStyle w:val="ESletgauche"/>
      </w:pPr>
      <w:r w:rsidRPr="00DB7D1E">
        <w:t>a)</w:t>
      </w:r>
      <w:r w:rsidRPr="00DB7D1E">
        <w:tab/>
        <w:t>nem önjárók; vagy</w:t>
      </w:r>
    </w:p>
    <w:p w:rsidR="005624E3" w:rsidRPr="00DB7D1E" w:rsidRDefault="005624E3" w:rsidP="005624E3">
      <w:pPr>
        <w:pStyle w:val="ESletgauche"/>
      </w:pPr>
      <w:r w:rsidRPr="00DB7D1E">
        <w:t>b)</w:t>
      </w:r>
      <w:r w:rsidRPr="00DB7D1E">
        <w:tab/>
        <w:t>a munkaterületen másutt rendelkezésre áll szolgálati csónak.</w:t>
      </w:r>
    </w:p>
    <w:p w:rsidR="005624E3" w:rsidRPr="00DB7D1E" w:rsidRDefault="005624E3" w:rsidP="005624E3">
      <w:pPr>
        <w:pStyle w:val="ESch"/>
        <w:rPr>
          <w:noProof/>
        </w:rPr>
      </w:pPr>
    </w:p>
    <w:p w:rsidR="005624E3" w:rsidRPr="00DB7D1E" w:rsidRDefault="005624E3" w:rsidP="005624E3">
      <w:pPr>
        <w:pStyle w:val="ESgauche"/>
      </w:pPr>
      <w:r w:rsidRPr="00DB7D1E">
        <w:t>Ezt az eltérést fel kell tüntetni a belvízi hajóbizonyítványban.</w:t>
      </w: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ch"/>
      </w:pPr>
    </w:p>
    <w:p w:rsidR="005624E3" w:rsidRPr="00C903F8" w:rsidRDefault="005624E3" w:rsidP="005624E3">
      <w:pPr>
        <w:pStyle w:val="ES-Titre2"/>
      </w:pPr>
      <w:bookmarkStart w:id="466" w:name="_Toc491854230"/>
      <w:bookmarkStart w:id="467" w:name="_Toc535854009"/>
      <w:r>
        <w:t>24. fejezet</w:t>
      </w:r>
      <w:r>
        <w:br/>
      </w:r>
      <w:r>
        <w:rPr>
          <w:noProof/>
        </w:rPr>
        <w:t>A tradicionális vízi járművekre alkalmazandó külön rendelkezések</w:t>
      </w:r>
      <w:bookmarkEnd w:id="466"/>
      <w:bookmarkEnd w:id="467"/>
    </w:p>
    <w:p w:rsidR="005624E3" w:rsidRPr="00DB7D1E" w:rsidRDefault="005624E3" w:rsidP="005624E3">
      <w:pPr>
        <w:pStyle w:val="ESch"/>
      </w:pPr>
    </w:p>
    <w:p w:rsidR="005624E3" w:rsidRPr="00DB7D1E" w:rsidRDefault="005624E3" w:rsidP="005624E3">
      <w:pPr>
        <w:pStyle w:val="ES-Titre3"/>
        <w:rPr>
          <w:rFonts w:cs="Arial"/>
          <w:i/>
        </w:rPr>
      </w:pPr>
      <w:bookmarkStart w:id="468" w:name="_Toc491854231"/>
      <w:bookmarkStart w:id="469" w:name="_Toc535854010"/>
      <w:r w:rsidRPr="00DB7D1E">
        <w:t>24.01. cikk</w:t>
      </w:r>
      <w:r w:rsidRPr="00DB7D1E">
        <w:br/>
      </w:r>
      <w:r w:rsidRPr="00DB7D1E">
        <w:rPr>
          <w:i/>
        </w:rPr>
        <w:t>A II. és III. rész alkalmazása</w:t>
      </w:r>
      <w:bookmarkEnd w:id="468"/>
      <w:bookmarkEnd w:id="469"/>
      <w:r w:rsidRPr="00DB7D1E">
        <w:rPr>
          <w:i/>
        </w:rPr>
        <w:t xml:space="preserve"> </w:t>
      </w:r>
    </w:p>
    <w:p w:rsidR="005624E3" w:rsidRPr="00DB7D1E" w:rsidRDefault="005624E3" w:rsidP="005624E3">
      <w:pPr>
        <w:pStyle w:val="ESch"/>
      </w:pPr>
    </w:p>
    <w:p w:rsidR="005624E3" w:rsidRPr="00DB7D1E" w:rsidRDefault="005624E3" w:rsidP="005624E3">
      <w:pPr>
        <w:pStyle w:val="ESch"/>
      </w:pPr>
      <w:r w:rsidRPr="00DB7D1E">
        <w:t>1.</w:t>
      </w:r>
      <w:r w:rsidRPr="00DB7D1E">
        <w:tab/>
        <w:t>A tradicionális vízi járműveket a helyes hajóépítési gyakorlattal összhangban kell megépíteni, a választott történelmi időszak műszaki feltételeinek megfelelően.</w:t>
      </w:r>
    </w:p>
    <w:p w:rsidR="005624E3" w:rsidRPr="00DB7D1E" w:rsidRDefault="005624E3" w:rsidP="005624E3">
      <w:pPr>
        <w:pStyle w:val="ESch"/>
      </w:pPr>
    </w:p>
    <w:p w:rsidR="005624E3" w:rsidRPr="00DB7D1E" w:rsidRDefault="005624E3" w:rsidP="005624E3">
      <w:pPr>
        <w:pStyle w:val="ESchpar"/>
      </w:pPr>
      <w:r w:rsidRPr="00DB7D1E">
        <w:t>A tradicionális vízi jármű építési, felszerelési és berendezési szintjének összhangban kell lennie legalább azon tagállam hajózási szabályzatával, amelyben a tradicionális vízi járművet eredetileg a választott történelmi időszakban üzemeltették.</w:t>
      </w:r>
    </w:p>
    <w:p w:rsidR="005624E3" w:rsidRPr="00DB7D1E" w:rsidRDefault="005624E3" w:rsidP="005624E3">
      <w:pPr>
        <w:pStyle w:val="ESch"/>
      </w:pPr>
    </w:p>
    <w:p w:rsidR="005624E3" w:rsidRPr="00DB7D1E" w:rsidRDefault="005624E3" w:rsidP="005624E3">
      <w:pPr>
        <w:pStyle w:val="ESch"/>
      </w:pPr>
      <w:r w:rsidRPr="00DB7D1E">
        <w:t>2.</w:t>
      </w:r>
      <w:r w:rsidRPr="00DB7D1E">
        <w:tab/>
        <w:t>A választott történelmi időszak építési, felszerelési és berendezési szintjének nem megfelelő valamennyi részegységnek, felszerelésnek és berendezésnek meg kell felelnie e szabvány II. és III. része valamennyi alkalmazandó rendelkezésének.</w:t>
      </w:r>
    </w:p>
    <w:p w:rsidR="005624E3" w:rsidRPr="00DB7D1E" w:rsidRDefault="005624E3" w:rsidP="005624E3">
      <w:pPr>
        <w:pStyle w:val="ESch"/>
      </w:pPr>
    </w:p>
    <w:p w:rsidR="005624E3" w:rsidRPr="00DB7D1E" w:rsidRDefault="005624E3" w:rsidP="005624E3">
      <w:pPr>
        <w:pStyle w:val="ESch"/>
      </w:pPr>
      <w:r w:rsidRPr="00DB7D1E">
        <w:t>3.</w:t>
      </w:r>
      <w:r w:rsidRPr="00DB7D1E">
        <w:tab/>
        <w:t>E szabvány jelenleg alkalmazandó rendelkezéseitől való eltérés esetén az ellenőrző szerv kompenzációként egyenértékű biztonsági szintet állapít meg a tradicionális vízi jármű működésének műszaki szempontjai, valamint vizuális megjelenése tekintetében. Ezek az eltérések csak akkor megengedettek, ha szükségesek a vízi jármű történelmi jellegének megőrzéséhez.</w:t>
      </w:r>
    </w:p>
    <w:p w:rsidR="005624E3" w:rsidRPr="00DB7D1E" w:rsidRDefault="005624E3" w:rsidP="005624E3">
      <w:pPr>
        <w:pStyle w:val="ESch"/>
        <w:rPr>
          <w:rFonts w:cs="Arial"/>
          <w:szCs w:val="20"/>
        </w:rPr>
      </w:pPr>
    </w:p>
    <w:p w:rsidR="005624E3" w:rsidRPr="00DB7D1E" w:rsidRDefault="005624E3" w:rsidP="005624E3">
      <w:pPr>
        <w:rPr>
          <w:rFonts w:cs="Arial"/>
          <w:color w:val="000000"/>
          <w:szCs w:val="20"/>
        </w:rPr>
      </w:pPr>
    </w:p>
    <w:p w:rsidR="005624E3" w:rsidRPr="00DB7D1E" w:rsidRDefault="005624E3" w:rsidP="005624E3">
      <w:pPr>
        <w:pStyle w:val="ES-Titre3"/>
        <w:rPr>
          <w:rFonts w:cs="Arial"/>
          <w:i/>
        </w:rPr>
      </w:pPr>
      <w:bookmarkStart w:id="470" w:name="_Toc491854232"/>
      <w:bookmarkStart w:id="471" w:name="_Toc535854011"/>
      <w:r w:rsidRPr="00DB7D1E">
        <w:t>24.02. cikk</w:t>
      </w:r>
      <w:r w:rsidRPr="00DB7D1E">
        <w:br/>
      </w:r>
      <w:r w:rsidRPr="00DB7D1E">
        <w:rPr>
          <w:i/>
        </w:rPr>
        <w:t>Elismerés és bejegyzés a belvízi hajóbizonyítványba</w:t>
      </w:r>
      <w:bookmarkEnd w:id="470"/>
      <w:bookmarkEnd w:id="471"/>
    </w:p>
    <w:p w:rsidR="005624E3" w:rsidRPr="00DB7D1E" w:rsidRDefault="005624E3" w:rsidP="005624E3">
      <w:pPr>
        <w:widowControl w:val="0"/>
        <w:spacing w:line="240" w:lineRule="exact"/>
        <w:jc w:val="center"/>
        <w:rPr>
          <w:rFonts w:cs="Arial"/>
          <w:color w:val="000000"/>
          <w:szCs w:val="20"/>
        </w:rPr>
      </w:pPr>
    </w:p>
    <w:p w:rsidR="005624E3" w:rsidRPr="00DB7D1E" w:rsidRDefault="005624E3" w:rsidP="005624E3">
      <w:pPr>
        <w:pStyle w:val="ESch"/>
        <w:rPr>
          <w:highlight w:val="lightGray"/>
        </w:rPr>
      </w:pPr>
      <w:r w:rsidRPr="00DB7D1E">
        <w:t>1.</w:t>
      </w:r>
      <w:r w:rsidRPr="00DB7D1E">
        <w:tab/>
        <w:t>A vízi jármű tradicionális vízi járműként való elismeréséhez szükség van:</w:t>
      </w:r>
    </w:p>
    <w:p w:rsidR="005624E3" w:rsidRPr="00DB7D1E" w:rsidRDefault="005624E3" w:rsidP="005624E3">
      <w:pPr>
        <w:pStyle w:val="ESlet"/>
      </w:pPr>
      <w:r w:rsidRPr="00DB7D1E">
        <w:t xml:space="preserve">a) </w:t>
      </w:r>
      <w:r w:rsidRPr="00DB7D1E">
        <w:tab/>
        <w:t xml:space="preserve">egy kezdeti vizsgálatra a belvízi hajóbizonyítvány első kiállítását megelőzően, vagy </w:t>
      </w:r>
    </w:p>
    <w:p w:rsidR="005624E3" w:rsidRPr="00DB7D1E" w:rsidRDefault="005624E3" w:rsidP="005624E3">
      <w:pPr>
        <w:pStyle w:val="ESlet"/>
      </w:pPr>
      <w:r w:rsidRPr="00DB7D1E">
        <w:t xml:space="preserve">b) </w:t>
      </w:r>
      <w:r w:rsidRPr="00DB7D1E">
        <w:tab/>
        <w:t>egy különleges vizsgálatra a tradicionális vízi jármű hajóbizonyítványa módosításának kiadását megelőzően, ha a vízi járművet átalakították vagy rendeltetési célját megváltoztatták.</w:t>
      </w:r>
    </w:p>
    <w:p w:rsidR="005624E3" w:rsidRPr="00DB7D1E" w:rsidRDefault="005624E3" w:rsidP="005624E3">
      <w:pPr>
        <w:spacing w:line="240" w:lineRule="atLeast"/>
        <w:ind w:left="567" w:hanging="567"/>
        <w:rPr>
          <w:highlight w:val="lightGray"/>
        </w:rPr>
      </w:pPr>
    </w:p>
    <w:p w:rsidR="005624E3" w:rsidRPr="00DB7D1E" w:rsidRDefault="005624E3" w:rsidP="005624E3">
      <w:pPr>
        <w:pStyle w:val="ESch"/>
      </w:pPr>
      <w:r w:rsidRPr="00DB7D1E">
        <w:t>2.</w:t>
      </w:r>
      <w:r w:rsidRPr="00DB7D1E">
        <w:tab/>
        <w:t>A vizsgálatra vonatkozó kérelemmel együtt az előírt szabályozási dokumentumokon kívül a következő dokumentumokat kell benyújtani az ellenőrző szervhez:</w:t>
      </w:r>
    </w:p>
    <w:p w:rsidR="005624E3" w:rsidRPr="00DB7D1E" w:rsidRDefault="005624E3" w:rsidP="005624E3">
      <w:pPr>
        <w:pStyle w:val="ESlet"/>
      </w:pPr>
      <w:r w:rsidRPr="00DB7D1E">
        <w:t>a)</w:t>
      </w:r>
      <w:r w:rsidRPr="00DB7D1E">
        <w:tab/>
        <w:t>az örökségvédelmi hatóságnak a területen megfelelő szakértelemmel rendelkező szakértője vagy egy tradicionálisvízijármű-szakértő által a kérelem benyújtásának időpontja előtt legfeljebb három hónappal elvégzett vizsgálat nyomán kiadott szakértői jelentés, amely igazolja, hogy a 24.01. cikk 1. bekezdésében foglalt követelmények teljesülnek, az 1.01. cikk 1.29. pontja szerinti használatra való alkalmasság feltételezhető, és a vízi jármű ennek megfelelően megőrzésre érdemes;</w:t>
      </w:r>
    </w:p>
    <w:p w:rsidR="005624E3" w:rsidRPr="00DB7D1E" w:rsidRDefault="005624E3" w:rsidP="005624E3">
      <w:pPr>
        <w:pStyle w:val="ESlet"/>
      </w:pPr>
      <w:r w:rsidRPr="00DB7D1E">
        <w:t>b)</w:t>
      </w:r>
      <w:r w:rsidRPr="00DB7D1E">
        <w:tab/>
        <w:t>üzemeltetési terv;</w:t>
      </w:r>
    </w:p>
    <w:p w:rsidR="005624E3" w:rsidRPr="00DB7D1E" w:rsidRDefault="005624E3" w:rsidP="005624E3">
      <w:pPr>
        <w:pStyle w:val="ESlet"/>
      </w:pPr>
      <w:r w:rsidRPr="00DB7D1E">
        <w:t>c)</w:t>
      </w:r>
      <w:r w:rsidRPr="00DB7D1E">
        <w:tab/>
        <w:t>a b) pont szerinti üzemeltetési terven alapuló biztonsági terv;</w:t>
      </w:r>
    </w:p>
    <w:p w:rsidR="005624E3" w:rsidRPr="00DB7D1E" w:rsidRDefault="005624E3" w:rsidP="005624E3">
      <w:pPr>
        <w:pStyle w:val="ESlet"/>
      </w:pPr>
      <w:r w:rsidRPr="00DB7D1E">
        <w:t>d)</w:t>
      </w:r>
      <w:r w:rsidRPr="00DB7D1E">
        <w:tab/>
        <w:t>a tradicionális vízi jármű dokumentációja, amely a következőket foglalja magában:</w:t>
      </w:r>
    </w:p>
    <w:p w:rsidR="005624E3" w:rsidRPr="00DB7D1E" w:rsidRDefault="005624E3" w:rsidP="005624E3">
      <w:pPr>
        <w:pStyle w:val="EStiret"/>
      </w:pPr>
      <w:r w:rsidRPr="00DB7D1E">
        <w:t>aa)</w:t>
      </w:r>
      <w:r w:rsidRPr="00DB7D1E">
        <w:tab/>
        <w:t>a vizsgálatra bemutatott vízi jármű építési, felszerelési és berendezési szintjére vonatkozó részletek releváns leírások, rajzok, fényképek és egyéb dokumentumok formájában;</w:t>
      </w:r>
    </w:p>
    <w:p w:rsidR="005624E3" w:rsidRPr="00DB7D1E" w:rsidRDefault="005624E3" w:rsidP="005624E3">
      <w:pPr>
        <w:pStyle w:val="EStiret"/>
      </w:pPr>
      <w:r w:rsidRPr="00DB7D1E">
        <w:t>bb)</w:t>
      </w:r>
      <w:r w:rsidRPr="00DB7D1E">
        <w:tab/>
        <w:t>a választott történelmi időszakban alkalmazott követelmények jegyzéke, valamint annak másolatai, amennyiben azok szükségesek az e szabvány II. és III. részének követelményeitől való eltérések indokolásához;</w:t>
      </w:r>
    </w:p>
    <w:p w:rsidR="005624E3" w:rsidRPr="00DB7D1E" w:rsidRDefault="005624E3" w:rsidP="005624E3">
      <w:pPr>
        <w:rPr>
          <w:noProof/>
          <w:snapToGrid w:val="0"/>
          <w:color w:val="000000"/>
        </w:rPr>
      </w:pPr>
      <w:r w:rsidRPr="00DB7D1E">
        <w:br w:type="page"/>
      </w:r>
    </w:p>
    <w:p w:rsidR="005624E3" w:rsidRPr="00DB7D1E" w:rsidRDefault="005624E3" w:rsidP="005624E3">
      <w:pPr>
        <w:pStyle w:val="EStiret"/>
      </w:pPr>
      <w:r w:rsidRPr="00DB7D1E">
        <w:t>cc)</w:t>
      </w:r>
      <w:r w:rsidRPr="00DB7D1E">
        <w:tab/>
        <w:t>annak igazolása, hogy az építési, felszerelési és berendezési szint megfelel a vízi jármű tradicionális vízi járműként való üzemeltetésének;</w:t>
      </w:r>
    </w:p>
    <w:p w:rsidR="005624E3" w:rsidRPr="00DB7D1E" w:rsidRDefault="005624E3" w:rsidP="005624E3">
      <w:pPr>
        <w:pStyle w:val="EStiret"/>
      </w:pPr>
      <w:r w:rsidRPr="00DB7D1E">
        <w:t>dd)</w:t>
      </w:r>
      <w:r w:rsidRPr="00DB7D1E">
        <w:tab/>
        <w:t>az e szabvány szerinti rajzok, tervrajzok, számítások és bizonyítékok. Ezeknek meg kell felelniük a vízi jármű kérelembenyújtás időpontjában érvényes állapotának;</w:t>
      </w:r>
    </w:p>
    <w:p w:rsidR="005624E3" w:rsidRPr="00DB7D1E" w:rsidRDefault="005624E3" w:rsidP="005624E3">
      <w:pPr>
        <w:pStyle w:val="EStiret"/>
      </w:pPr>
      <w:r w:rsidRPr="00DB7D1E">
        <w:t>ee)</w:t>
      </w:r>
      <w:r w:rsidRPr="00DB7D1E">
        <w:tab/>
        <w:t>e szabványnak a kérelembenyújtás időpontjában alkalmazandó előírásaitól a vízi jármű építési, felszerelési és berendezési szintjére vonatkozó, aa) alpont szerinti részletek tekintetében való eltérések jegyzéke;</w:t>
      </w:r>
    </w:p>
    <w:p w:rsidR="005624E3" w:rsidRPr="00DB7D1E" w:rsidRDefault="005624E3" w:rsidP="005624E3">
      <w:pPr>
        <w:pStyle w:val="EStiret"/>
      </w:pPr>
      <w:r w:rsidRPr="00DB7D1E">
        <w:t>ff)</w:t>
      </w:r>
      <w:r w:rsidRPr="00DB7D1E">
        <w:tab/>
        <w:t>a tradicionális vízi jármű választott történelmi időszakbeli legénységére vonatkozó adatok.</w:t>
      </w:r>
    </w:p>
    <w:p w:rsidR="005624E3" w:rsidRPr="00DB7D1E" w:rsidRDefault="005624E3" w:rsidP="005624E3">
      <w:pPr>
        <w:spacing w:line="240" w:lineRule="atLeast"/>
        <w:ind w:left="567" w:hanging="567"/>
        <w:rPr>
          <w:highlight w:val="lightGray"/>
        </w:rPr>
      </w:pPr>
    </w:p>
    <w:p w:rsidR="005624E3" w:rsidRPr="00DB7D1E" w:rsidRDefault="005624E3" w:rsidP="005624E3">
      <w:pPr>
        <w:pStyle w:val="ESch"/>
      </w:pPr>
      <w:r w:rsidRPr="00DB7D1E">
        <w:t>3.</w:t>
      </w:r>
      <w:r w:rsidRPr="00DB7D1E">
        <w:tab/>
        <w:t>A kérelmező a kérelmét a tradicionális vízi járművel kapcsolatos történelmi időpontra vonatkozóan nyújtja be; ez az időpont nem lehet korábbi, mint a vízi jármű első üzembe helyezésének időpontja. Tradicionális vízi jármű másolata esetében a történelmi időpontot a 2. bekezdés a) pontja szerinti szakértői jelentés tartalmazza.</w:t>
      </w:r>
    </w:p>
    <w:p w:rsidR="005624E3" w:rsidRPr="00DB7D1E" w:rsidRDefault="005624E3" w:rsidP="005624E3">
      <w:pPr>
        <w:pStyle w:val="ESch"/>
      </w:pPr>
    </w:p>
    <w:p w:rsidR="005624E3" w:rsidRPr="00DB7D1E" w:rsidRDefault="005624E3" w:rsidP="005624E3">
      <w:pPr>
        <w:pStyle w:val="ESch"/>
      </w:pPr>
      <w:r w:rsidRPr="00DB7D1E">
        <w:t>4.</w:t>
      </w:r>
      <w:r w:rsidRPr="00DB7D1E">
        <w:tab/>
        <w:t xml:space="preserve">A fenti dokumentáció és az 1. bekezdés szerinti vizsgálat alapján az ellenőrző szerv az 1.01. cikk 1.29. pontjával és a 24.01. cikkel összhangban értékeli a megfelelőséget, és a „tradicionális vízi járműként” való elismerést bejegyzi a belvízi hajóbizonyítvány 2. rovatába. </w:t>
      </w:r>
    </w:p>
    <w:p w:rsidR="005624E3" w:rsidRPr="00DB7D1E" w:rsidRDefault="005624E3" w:rsidP="005624E3">
      <w:pPr>
        <w:pStyle w:val="ESch"/>
      </w:pPr>
    </w:p>
    <w:p w:rsidR="005624E3" w:rsidRPr="00DB7D1E" w:rsidRDefault="005624E3" w:rsidP="005624E3">
      <w:pPr>
        <w:pStyle w:val="ESch"/>
        <w:ind w:firstLine="0"/>
      </w:pPr>
      <w:r w:rsidRPr="00DB7D1E">
        <w:t>A megfelelőség értékelése nem mondhat ellent a tradicionálisvízijármű-szakértő ítéletének és a 2. bekezdés a) pontja szerinti szakértői jelentésnek.</w:t>
      </w:r>
    </w:p>
    <w:p w:rsidR="005624E3" w:rsidRPr="00DB7D1E" w:rsidRDefault="005624E3" w:rsidP="005624E3">
      <w:pPr>
        <w:pStyle w:val="ESch"/>
      </w:pPr>
    </w:p>
    <w:p w:rsidR="005624E3" w:rsidRPr="00DB7D1E" w:rsidRDefault="005624E3" w:rsidP="005624E3">
      <w:pPr>
        <w:pStyle w:val="ESch"/>
      </w:pPr>
      <w:r w:rsidRPr="00DB7D1E">
        <w:t>5.</w:t>
      </w:r>
      <w:r w:rsidRPr="00DB7D1E">
        <w:tab/>
        <w:t>A „tradicionális vízi jármű” bejegyzésen túlmenően, a 3. melléklet V. szakasza szerinti mintának megfelelően ki kell állítani a tradicionális vízi járművekre vonatkozó mellékletet. A belvízi hajóbizonyítvány 52. rovatába be kell vezetni a következő bejegyzést:</w:t>
      </w:r>
    </w:p>
    <w:p w:rsidR="005624E3" w:rsidRPr="00DB7D1E" w:rsidRDefault="005624E3" w:rsidP="005624E3">
      <w:pPr>
        <w:spacing w:line="240" w:lineRule="atLeast"/>
        <w:rPr>
          <w:highlight w:val="lightGray"/>
        </w:rPr>
      </w:pPr>
    </w:p>
    <w:p w:rsidR="005624E3" w:rsidRPr="00DB7D1E" w:rsidRDefault="005624E3" w:rsidP="005624E3">
      <w:pPr>
        <w:pStyle w:val="ESch"/>
        <w:jc w:val="center"/>
      </w:pPr>
      <w:r w:rsidRPr="00DB7D1E">
        <w:t>„Lásd a tradicionális vízi járművekre vonatkozó mellékletet.”</w:t>
      </w:r>
    </w:p>
    <w:p w:rsidR="005624E3" w:rsidRPr="00DB7D1E" w:rsidRDefault="005624E3" w:rsidP="005624E3">
      <w:pPr>
        <w:rPr>
          <w:highlight w:val="lightGray"/>
        </w:rPr>
      </w:pPr>
    </w:p>
    <w:p w:rsidR="005624E3" w:rsidRPr="00DB7D1E" w:rsidRDefault="005624E3" w:rsidP="005624E3">
      <w:pPr>
        <w:pStyle w:val="ESch"/>
      </w:pPr>
      <w:r w:rsidRPr="00DB7D1E">
        <w:t>6.</w:t>
      </w:r>
      <w:r w:rsidRPr="00DB7D1E">
        <w:tab/>
        <w:t>Amennyiben a 2. bekezdés d) pontjának ee) alpontjában említett dokumentáció vizsgálata vagy az 1. bekezdésben említett vizsgálat meg nem felelést tár fel e szabványnak a kérelem benyújtásának időpontjában alkalmazandó változata tekintetében, akkor:</w:t>
      </w:r>
    </w:p>
    <w:p w:rsidR="005624E3" w:rsidRPr="00DB7D1E" w:rsidRDefault="005624E3" w:rsidP="005624E3">
      <w:pPr>
        <w:pStyle w:val="ESlet"/>
      </w:pPr>
      <w:r w:rsidRPr="00DB7D1E">
        <w:t>a)</w:t>
      </w:r>
      <w:r w:rsidRPr="00DB7D1E">
        <w:tab/>
        <w:t>a menetben lévő vízi járművön csak a legénység vagy a fedélzeten hivatalos tevékenységet folytató személyek maradhatnak, és</w:t>
      </w:r>
    </w:p>
    <w:p w:rsidR="005624E3" w:rsidRPr="00DB7D1E" w:rsidRDefault="005624E3" w:rsidP="005624E3">
      <w:pPr>
        <w:pStyle w:val="ESlet"/>
      </w:pPr>
      <w:r w:rsidRPr="00DB7D1E">
        <w:t>b)</w:t>
      </w:r>
      <w:r w:rsidRPr="00DB7D1E">
        <w:tab/>
        <w:t>csak akkor megengedett a fedélzeten könnyen hozzáférhető gépek vagy gépi hajtású berendezések üzemeltetése, ha a legénység vagy a fedélzeten hivatalos tevékenységet folytató személyek kivételével senki nem tartózkodik a fedélzeten.</w:t>
      </w:r>
    </w:p>
    <w:p w:rsidR="005624E3" w:rsidRPr="00DB7D1E" w:rsidRDefault="005624E3" w:rsidP="005624E3">
      <w:pPr>
        <w:rPr>
          <w:highlight w:val="lightGray"/>
        </w:rPr>
      </w:pPr>
    </w:p>
    <w:p w:rsidR="005624E3" w:rsidRPr="00DB7D1E" w:rsidRDefault="005624E3" w:rsidP="005624E3">
      <w:pPr>
        <w:pStyle w:val="ESchpar"/>
      </w:pPr>
      <w:r w:rsidRPr="00DB7D1E">
        <w:t>A belvízi hajóbizonyítvány 52. rovatába be kell vezetni a következő bejegyzést:</w:t>
      </w:r>
    </w:p>
    <w:p w:rsidR="005624E3" w:rsidRPr="00DB7D1E" w:rsidRDefault="005624E3" w:rsidP="005624E3">
      <w:pPr>
        <w:pStyle w:val="ESchpar"/>
      </w:pPr>
    </w:p>
    <w:p w:rsidR="005624E3" w:rsidRPr="00DB7D1E" w:rsidRDefault="005624E3" w:rsidP="005624E3">
      <w:pPr>
        <w:pStyle w:val="ESchpar"/>
      </w:pPr>
      <w:r w:rsidRPr="00DB7D1E">
        <w:t>„A legénységtől vagy a fedélzeten hivatalos tevékenységet folytató személyektől eltérő személyek csak akkor tartózkodhatnak a fedélzeten, ha a vízi jármű biztonságosan ki van kötve, és a szabadon hozzáférhető gépek és gépi hajtású berendezések nem üzemelnek.”</w:t>
      </w:r>
    </w:p>
    <w:p w:rsidR="005624E3" w:rsidRPr="00DB7D1E" w:rsidRDefault="005624E3" w:rsidP="005624E3">
      <w:pPr>
        <w:pStyle w:val="ESchpar"/>
      </w:pPr>
    </w:p>
    <w:p w:rsidR="005624E3" w:rsidRPr="00DB7D1E" w:rsidRDefault="005624E3" w:rsidP="005624E3">
      <w:pPr>
        <w:pStyle w:val="ESchpar"/>
        <w:rPr>
          <w:rFonts w:cs="Arial"/>
          <w:color w:val="000000"/>
          <w:szCs w:val="20"/>
        </w:rPr>
      </w:pPr>
    </w:p>
    <w:p w:rsidR="005624E3" w:rsidRPr="00DB7D1E" w:rsidRDefault="005624E3" w:rsidP="005624E3">
      <w:pPr>
        <w:rPr>
          <w:rFonts w:cs="Arial"/>
          <w:b/>
          <w:color w:val="000000"/>
        </w:rPr>
      </w:pPr>
      <w:r w:rsidRPr="00DB7D1E">
        <w:br w:type="page"/>
      </w:r>
    </w:p>
    <w:p w:rsidR="005624E3" w:rsidRPr="00DB7D1E" w:rsidRDefault="005624E3" w:rsidP="005624E3">
      <w:pPr>
        <w:pStyle w:val="ESch"/>
        <w:rPr>
          <w:highlight w:val="lightGray"/>
        </w:rPr>
      </w:pPr>
    </w:p>
    <w:p w:rsidR="005624E3" w:rsidRPr="00DB7D1E" w:rsidRDefault="005624E3" w:rsidP="005624E3">
      <w:pPr>
        <w:pStyle w:val="ES-Titre3"/>
        <w:rPr>
          <w:szCs w:val="20"/>
        </w:rPr>
      </w:pPr>
      <w:bookmarkStart w:id="472" w:name="_Toc491854233"/>
      <w:bookmarkStart w:id="473" w:name="_Toc535854012"/>
      <w:r w:rsidRPr="00DB7D1E">
        <w:t>24.03. cikk</w:t>
      </w:r>
      <w:r w:rsidRPr="00DB7D1E">
        <w:br/>
      </w:r>
      <w:r w:rsidRPr="00DB7D1E">
        <w:rPr>
          <w:i/>
        </w:rPr>
        <w:t>Egyéb rendelkezések és követelmények</w:t>
      </w:r>
      <w:bookmarkEnd w:id="472"/>
      <w:bookmarkEnd w:id="473"/>
    </w:p>
    <w:p w:rsidR="005624E3" w:rsidRPr="00DB7D1E" w:rsidRDefault="005624E3" w:rsidP="005624E3">
      <w:pPr>
        <w:widowControl w:val="0"/>
        <w:outlineLvl w:val="0"/>
        <w:rPr>
          <w:rFonts w:cs="Arial"/>
          <w:color w:val="000000"/>
          <w:szCs w:val="20"/>
        </w:rPr>
      </w:pPr>
    </w:p>
    <w:p w:rsidR="005624E3" w:rsidRPr="00DB7D1E" w:rsidRDefault="005624E3" w:rsidP="005624E3">
      <w:pPr>
        <w:pStyle w:val="ESch"/>
      </w:pPr>
      <w:r w:rsidRPr="00DB7D1E">
        <w:t>1.</w:t>
      </w:r>
      <w:r w:rsidRPr="00DB7D1E">
        <w:tab/>
        <w:t>Az ellenőrző szerv a 24.02. cikk 2. bekezdésének b) és c) pontja szerinti üzemeltetési és biztonsági tervvel, valamint a tradicionális vízi jármű építési, felszerelési és berendezési szintjével összhangban meghatározza:</w:t>
      </w:r>
    </w:p>
    <w:p w:rsidR="005624E3" w:rsidRPr="00DB7D1E" w:rsidRDefault="005624E3" w:rsidP="005624E3">
      <w:pPr>
        <w:pStyle w:val="ESlet"/>
      </w:pPr>
      <w:r w:rsidRPr="00DB7D1E">
        <w:t>a)</w:t>
      </w:r>
      <w:r w:rsidRPr="00DB7D1E">
        <w:tab/>
        <w:t>a személyzet minimális létszámát és a legénység minősítéseit;</w:t>
      </w:r>
    </w:p>
    <w:p w:rsidR="005624E3" w:rsidRPr="00DB7D1E" w:rsidRDefault="005624E3" w:rsidP="005624E3">
      <w:pPr>
        <w:pStyle w:val="ESlet"/>
      </w:pPr>
      <w:r w:rsidRPr="00DB7D1E">
        <w:t>b)</w:t>
      </w:r>
      <w:r w:rsidRPr="00DB7D1E">
        <w:tab/>
        <w:t>a személyek megengedett létszámát, amely a személyzet minimális létszámára csökkenthető;</w:t>
      </w:r>
    </w:p>
    <w:p w:rsidR="005624E3" w:rsidRPr="00DB7D1E" w:rsidRDefault="005624E3" w:rsidP="005624E3">
      <w:pPr>
        <w:pStyle w:val="ESlet"/>
      </w:pPr>
      <w:r w:rsidRPr="00DB7D1E">
        <w:t>c)</w:t>
      </w:r>
      <w:r w:rsidRPr="00DB7D1E">
        <w:tab/>
        <w:t>a fedélzetén tartózkodó legénységtől eltérő személyek fedélzeten való tartózkodásának korlátozó feltételeit;</w:t>
      </w:r>
    </w:p>
    <w:p w:rsidR="005624E3" w:rsidRPr="00DB7D1E" w:rsidRDefault="005624E3" w:rsidP="005624E3">
      <w:pPr>
        <w:pStyle w:val="ESlet"/>
      </w:pPr>
      <w:r w:rsidRPr="00DB7D1E">
        <w:t>d)</w:t>
      </w:r>
      <w:r w:rsidRPr="00DB7D1E">
        <w:tab/>
        <w:t>a megengedett terhelést, amely nullára csökkenthető;</w:t>
      </w:r>
    </w:p>
    <w:p w:rsidR="005624E3" w:rsidRPr="00DB7D1E" w:rsidRDefault="005624E3" w:rsidP="005624E3">
      <w:pPr>
        <w:pStyle w:val="ESlet"/>
      </w:pPr>
      <w:r w:rsidRPr="00DB7D1E">
        <w:t>e)</w:t>
      </w:r>
      <w:r w:rsidRPr="00DB7D1E">
        <w:tab/>
        <w:t>a megengedett üzemeltetési területet;</w:t>
      </w:r>
    </w:p>
    <w:p w:rsidR="005624E3" w:rsidRPr="00DB7D1E" w:rsidRDefault="005624E3" w:rsidP="005624E3">
      <w:pPr>
        <w:pStyle w:val="ESlet"/>
      </w:pPr>
      <w:r w:rsidRPr="00DB7D1E">
        <w:t>f)</w:t>
      </w:r>
      <w:r w:rsidRPr="00DB7D1E">
        <w:tab/>
        <w:t>a meteorológiai korlátozásokat;</w:t>
      </w:r>
    </w:p>
    <w:p w:rsidR="005624E3" w:rsidRPr="00DB7D1E" w:rsidRDefault="005624E3" w:rsidP="005624E3">
      <w:pPr>
        <w:pStyle w:val="ESlet"/>
      </w:pPr>
      <w:r w:rsidRPr="00DB7D1E">
        <w:t>g)</w:t>
      </w:r>
      <w:r w:rsidRPr="00DB7D1E">
        <w:tab/>
        <w:t>a hajózási korlátozásokat;</w:t>
      </w:r>
    </w:p>
    <w:p w:rsidR="005624E3" w:rsidRPr="00DB7D1E" w:rsidRDefault="005624E3" w:rsidP="005624E3">
      <w:pPr>
        <w:pStyle w:val="ESlet"/>
      </w:pPr>
      <w:r w:rsidRPr="00DB7D1E">
        <w:t>h)</w:t>
      </w:r>
      <w:r w:rsidRPr="00DB7D1E">
        <w:tab/>
        <w:t>a további korlátozó feltételeket.</w:t>
      </w:r>
    </w:p>
    <w:p w:rsidR="005624E3" w:rsidRPr="00DB7D1E" w:rsidRDefault="005624E3" w:rsidP="005624E3">
      <w:pPr>
        <w:widowControl w:val="0"/>
        <w:tabs>
          <w:tab w:val="left" w:pos="1440"/>
        </w:tabs>
        <w:spacing w:line="240" w:lineRule="atLeast"/>
        <w:ind w:left="900"/>
        <w:rPr>
          <w:szCs w:val="20"/>
        </w:rPr>
      </w:pPr>
    </w:p>
    <w:p w:rsidR="005624E3" w:rsidRPr="00DB7D1E" w:rsidRDefault="005624E3" w:rsidP="005624E3">
      <w:pPr>
        <w:pStyle w:val="ESch"/>
      </w:pPr>
      <w:r w:rsidRPr="00DB7D1E">
        <w:t>2.</w:t>
      </w:r>
      <w:r w:rsidRPr="00DB7D1E">
        <w:tab/>
        <w:t xml:space="preserve">Az időszakos </w:t>
      </w:r>
      <w:r w:rsidR="0092642D">
        <w:t>vizsgálatok</w:t>
      </w:r>
      <w:r w:rsidRPr="00DB7D1E">
        <w:t xml:space="preserve"> esetében az ellenőrző szerv e szabvány technikai előírásainak továbbfejlesztése alapján módosíthatja a 24.03. cikk 1. bekezdése és a 24.01. cikk 3. bekezdése szerinti feltételeket. Ezeket a módosításokat be kell vezetni a belvízi hajóbizonyítvány tradicionális vízi járművekre vonatkozó mellékletébe.</w:t>
      </w: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ch"/>
      </w:pPr>
      <w:r w:rsidRPr="00DB7D1E">
        <w:br w:type="page"/>
      </w:r>
    </w:p>
    <w:p w:rsidR="005624E3" w:rsidRPr="00DB7D1E" w:rsidRDefault="005624E3" w:rsidP="005624E3">
      <w:pPr>
        <w:pStyle w:val="ESch"/>
      </w:pPr>
    </w:p>
    <w:p w:rsidR="005624E3" w:rsidRPr="00DB7D1E" w:rsidRDefault="005624E3" w:rsidP="005624E3">
      <w:pPr>
        <w:pStyle w:val="ESch"/>
      </w:pPr>
    </w:p>
    <w:p w:rsidR="005624E3" w:rsidRPr="00DB7D1E" w:rsidRDefault="005624E3" w:rsidP="005624E3">
      <w:pPr>
        <w:pStyle w:val="ESch"/>
      </w:pPr>
    </w:p>
    <w:p w:rsidR="005624E3" w:rsidRPr="00C903F8" w:rsidRDefault="005624E3" w:rsidP="005624E3">
      <w:pPr>
        <w:pStyle w:val="ES-Titre2"/>
      </w:pPr>
      <w:bookmarkStart w:id="474" w:name="_Toc491854234"/>
      <w:bookmarkStart w:id="475" w:name="_Toc535854013"/>
      <w:r>
        <w:t>25. fejezet</w:t>
      </w:r>
      <w:r>
        <w:br/>
      </w:r>
      <w:r>
        <w:rPr>
          <w:noProof/>
        </w:rPr>
        <w:t>A tengerjáró hajókra alkalmazandó külön rendelkezések</w:t>
      </w:r>
      <w:bookmarkEnd w:id="474"/>
      <w:bookmarkEnd w:id="475"/>
    </w:p>
    <w:p w:rsidR="005624E3" w:rsidRPr="00DB7D1E" w:rsidRDefault="005624E3" w:rsidP="005624E3"/>
    <w:p w:rsidR="005624E3" w:rsidRPr="00DB7D1E" w:rsidRDefault="005624E3" w:rsidP="005624E3">
      <w:pPr>
        <w:pStyle w:val="ES-Titre3"/>
      </w:pPr>
      <w:bookmarkStart w:id="476" w:name="_Toc491854235"/>
      <w:bookmarkStart w:id="477" w:name="_Toc535854014"/>
      <w:r w:rsidRPr="00DB7D1E">
        <w:t>25.01. cikk</w:t>
      </w:r>
      <w:r w:rsidRPr="00DB7D1E">
        <w:br/>
      </w:r>
      <w:r w:rsidRPr="00DB7D1E">
        <w:rPr>
          <w:i/>
          <w:noProof/>
        </w:rPr>
        <w:t>A Rajnával (R zóna) kapcsolatos rendelkezések</w:t>
      </w:r>
      <w:bookmarkEnd w:id="476"/>
      <w:bookmarkEnd w:id="477"/>
    </w:p>
    <w:p w:rsidR="005624E3" w:rsidRPr="00DB7D1E" w:rsidRDefault="005624E3" w:rsidP="005624E3">
      <w:pPr>
        <w:pStyle w:val="ESch"/>
        <w:rPr>
          <w:noProof/>
        </w:rPr>
      </w:pPr>
    </w:p>
    <w:p w:rsidR="005624E3" w:rsidRPr="00DB7D1E" w:rsidRDefault="005624E3" w:rsidP="005624E3">
      <w:pPr>
        <w:pStyle w:val="ESch"/>
      </w:pPr>
      <w:r w:rsidRPr="00DB7D1E">
        <w:t xml:space="preserve">1. </w:t>
      </w:r>
      <w:r w:rsidRPr="00DB7D1E">
        <w:tab/>
        <w:t xml:space="preserve">A Rajnán közlekedő tengerjáró hajóknak meg kell felelniük a tengerjáró hajók építésével, a felszerelésével és környezetével kapcsolatos műszaki követelményekre vonatkozó nemzeti és nemzetközi rendelkezéseknek, és ezt a szükséges bizonyítványok segítségével igazolni is tudniuk kell. </w:t>
      </w:r>
    </w:p>
    <w:p w:rsidR="005624E3" w:rsidRPr="00DB7D1E" w:rsidRDefault="005624E3" w:rsidP="005624E3">
      <w:pPr>
        <w:pStyle w:val="ESch"/>
        <w:rPr>
          <w:noProof/>
        </w:rPr>
      </w:pPr>
    </w:p>
    <w:p w:rsidR="005624E3" w:rsidRPr="00DB7D1E" w:rsidRDefault="005624E3" w:rsidP="005624E3">
      <w:pPr>
        <w:pStyle w:val="ESch"/>
        <w:rPr>
          <w:noProof/>
        </w:rPr>
      </w:pPr>
      <w:r w:rsidRPr="00DB7D1E">
        <w:t>2.</w:t>
      </w:r>
      <w:r w:rsidRPr="00DB7D1E">
        <w:tab/>
        <w:t>A tengerjáró hajóknak az 1. bekezdésben meghatározott követelményeken túlmenően meg kell felelniük e szabvány alábbi rendelkezéseinek:</w:t>
      </w:r>
    </w:p>
    <w:p w:rsidR="005624E3" w:rsidRPr="00DB7D1E" w:rsidRDefault="005624E3" w:rsidP="005624E3">
      <w:pPr>
        <w:pStyle w:val="ESletgauche"/>
        <w:rPr>
          <w:rFonts w:cs="Arial"/>
          <w:szCs w:val="20"/>
          <w:lang w:val="pt-PT"/>
        </w:rPr>
      </w:pPr>
      <w:r w:rsidRPr="00DB7D1E">
        <w:rPr>
          <w:lang w:val="pt-PT"/>
        </w:rPr>
        <w:t>a)</w:t>
      </w:r>
      <w:r w:rsidRPr="00DB7D1E">
        <w:rPr>
          <w:lang w:val="pt-PT"/>
        </w:rPr>
        <w:tab/>
        <w:t>az 5. fejezet;</w:t>
      </w:r>
    </w:p>
    <w:p w:rsidR="005624E3" w:rsidRPr="00DB7D1E" w:rsidRDefault="005624E3" w:rsidP="005624E3">
      <w:pPr>
        <w:pStyle w:val="ESletgauche"/>
        <w:rPr>
          <w:rFonts w:cs="Arial"/>
          <w:szCs w:val="20"/>
          <w:lang w:val="pt-PT"/>
        </w:rPr>
      </w:pPr>
      <w:r w:rsidRPr="00DB7D1E">
        <w:rPr>
          <w:lang w:val="pt-PT"/>
        </w:rPr>
        <w:t>b)</w:t>
      </w:r>
      <w:r w:rsidRPr="00DB7D1E">
        <w:rPr>
          <w:lang w:val="pt-PT"/>
        </w:rPr>
        <w:tab/>
        <w:t>a 6. fejezetből:</w:t>
      </w:r>
    </w:p>
    <w:p w:rsidR="005624E3" w:rsidRPr="00166EA9" w:rsidRDefault="005624E3" w:rsidP="005624E3">
      <w:pPr>
        <w:pStyle w:val="Esletgauchepar"/>
        <w:rPr>
          <w:rFonts w:cs="Arial"/>
          <w:szCs w:val="20"/>
          <w:lang w:val="pt-PT"/>
        </w:rPr>
      </w:pPr>
      <w:r w:rsidRPr="00166EA9">
        <w:rPr>
          <w:lang w:val="pt-PT"/>
        </w:rPr>
        <w:t>a 6.01. cikk 1. bekezdése és a 6.02. cikk 1. és 2. bekezdése;</w:t>
      </w:r>
    </w:p>
    <w:p w:rsidR="005624E3" w:rsidRPr="00DB7D1E" w:rsidRDefault="005624E3" w:rsidP="005624E3">
      <w:pPr>
        <w:pStyle w:val="ESletgauche"/>
        <w:rPr>
          <w:rFonts w:cs="Arial"/>
          <w:szCs w:val="20"/>
          <w:lang w:val="pt-PT"/>
        </w:rPr>
      </w:pPr>
      <w:r w:rsidRPr="00DB7D1E">
        <w:rPr>
          <w:lang w:val="pt-PT"/>
        </w:rPr>
        <w:t>c)</w:t>
      </w:r>
      <w:r w:rsidRPr="00DB7D1E">
        <w:rPr>
          <w:lang w:val="pt-PT"/>
        </w:rPr>
        <w:tab/>
        <w:t>a 7. fejezetből:</w:t>
      </w:r>
    </w:p>
    <w:p w:rsidR="005624E3" w:rsidRPr="00166EA9" w:rsidRDefault="005624E3" w:rsidP="005624E3">
      <w:pPr>
        <w:pStyle w:val="Esletgauchepar"/>
        <w:rPr>
          <w:rFonts w:cs="Arial"/>
          <w:lang w:val="pt-PT"/>
        </w:rPr>
      </w:pPr>
      <w:r w:rsidRPr="00166EA9">
        <w:rPr>
          <w:lang w:val="pt-PT"/>
        </w:rPr>
        <w:t>a 7.01. cikk 2. bekezdése, a 7.02. cikk 1. és 3. bekezdése, a 7.05. cikk 2. bekezdése,</w:t>
      </w:r>
    </w:p>
    <w:p w:rsidR="005624E3" w:rsidRPr="00166EA9" w:rsidRDefault="005624E3" w:rsidP="005624E3">
      <w:pPr>
        <w:pStyle w:val="Esletgauchepar"/>
        <w:rPr>
          <w:rFonts w:cs="Arial"/>
          <w:lang w:val="pt-PT"/>
        </w:rPr>
      </w:pPr>
      <w:r w:rsidRPr="00166EA9">
        <w:rPr>
          <w:lang w:val="pt-PT"/>
        </w:rPr>
        <w:t>a 7.13. cikk, ha a tengerjáró hajó egyszemélyes radarhajózásra kialakított kormányállással rendelkezik;</w:t>
      </w:r>
    </w:p>
    <w:p w:rsidR="005624E3" w:rsidRPr="00166EA9" w:rsidRDefault="005624E3" w:rsidP="005624E3">
      <w:pPr>
        <w:pStyle w:val="ESletgauche"/>
        <w:rPr>
          <w:rFonts w:cs="Arial"/>
          <w:szCs w:val="20"/>
          <w:lang w:val="pt-PT"/>
        </w:rPr>
      </w:pPr>
      <w:r w:rsidRPr="00166EA9">
        <w:rPr>
          <w:lang w:val="pt-PT"/>
        </w:rPr>
        <w:t>d)</w:t>
      </w:r>
      <w:r w:rsidRPr="00166EA9">
        <w:rPr>
          <w:lang w:val="pt-PT"/>
        </w:rPr>
        <w:tab/>
        <w:t>a 8. fejezetből:</w:t>
      </w:r>
    </w:p>
    <w:p w:rsidR="005624E3" w:rsidRPr="00166EA9" w:rsidRDefault="005624E3" w:rsidP="005624E3">
      <w:pPr>
        <w:pStyle w:val="Esletgauchepar"/>
        <w:rPr>
          <w:rFonts w:cs="Arial"/>
          <w:lang w:val="pt-PT"/>
        </w:rPr>
      </w:pPr>
      <w:r w:rsidRPr="00166EA9">
        <w:rPr>
          <w:lang w:val="pt-PT"/>
        </w:rPr>
        <w:t>a 8.03. cikk 3. bekezdése, ha a tengerjáró hajó automata leállítóberendezése kikapcsolható a kormányvezérlő-állásból; a 8.05. cikk 13. bekezdése, a 8.08. cikk 10. bekezdése, a 8.09. cikk 1. és 2. bekezdése, valamint a 8.10. cikk.</w:t>
      </w:r>
    </w:p>
    <w:p w:rsidR="005624E3" w:rsidRPr="00166EA9" w:rsidRDefault="005624E3" w:rsidP="005624E3">
      <w:pPr>
        <w:pStyle w:val="Esletgauchepar"/>
        <w:rPr>
          <w:rFonts w:cs="Arial"/>
          <w:lang w:val="pt-PT"/>
        </w:rPr>
      </w:pPr>
      <w:r w:rsidRPr="00166EA9">
        <w:rPr>
          <w:lang w:val="pt-PT"/>
        </w:rPr>
        <w:t>A zárószerkezeteknek a 8.08. cikk 10. bekezdésében előírt helyen történő lezárását egyenértékűnek kell tekinteni a fenékvíz-elvezető rendszer zárószerkezeteinek plombálásával, amelyen keresztül az olajos víz kiszivattyúzható a hajóból. Az előírt kulcsot vagy kulcsokat központi helyen kell tartani, amelyet ennek megfelelően kell jelölni.</w:t>
      </w:r>
    </w:p>
    <w:p w:rsidR="005624E3" w:rsidRPr="00166EA9" w:rsidRDefault="005624E3" w:rsidP="005624E3">
      <w:pPr>
        <w:pStyle w:val="Esletgauchepar"/>
        <w:rPr>
          <w:rFonts w:cs="Arial"/>
          <w:lang w:val="pt-PT"/>
        </w:rPr>
      </w:pPr>
      <w:r w:rsidRPr="00166EA9">
        <w:rPr>
          <w:lang w:val="pt-PT"/>
        </w:rPr>
        <w:t>A MARPOL 73/78 16. rendelkezésének megfelelő olajkibocsátás-ellenőrző és -vezérlő rendszert egyenértékűnek kell tekinteni a zárószerkezeteknek a 8.08. cikk 10. bekezdésében előírt helyen történő lezárásával. Az ellenőrző és vezérlő rendszer meglétét a MARPOL 73/78 követelményeinek megfelelő nemzetközi olajszennyezés-megelőzési tanúsítvánnyal kell igazolni.</w:t>
      </w:r>
    </w:p>
    <w:p w:rsidR="005624E3" w:rsidRPr="00166EA9" w:rsidRDefault="005624E3" w:rsidP="005624E3">
      <w:pPr>
        <w:pStyle w:val="Esletgauchepar"/>
        <w:rPr>
          <w:rFonts w:cs="Arial"/>
          <w:lang w:val="pt-PT"/>
        </w:rPr>
      </w:pPr>
      <w:r w:rsidRPr="00166EA9">
        <w:rPr>
          <w:lang w:val="pt-PT"/>
        </w:rPr>
        <w:t>Ha az olajszennyezés-megelőzési tanúsítvány igazolja, hogy a hajót gyűjtőtartályokkal szerelték fel, lehetővé téve az összes olajos víz és olajos maradékanyag fedélzeten tárolását, a 8.09. cikk 2. bekezdését teljesítettnek kell tekinteni;</w:t>
      </w:r>
    </w:p>
    <w:p w:rsidR="005624E3" w:rsidRPr="00DB7D1E" w:rsidRDefault="005624E3" w:rsidP="005624E3">
      <w:pPr>
        <w:pStyle w:val="ESletgauche"/>
        <w:rPr>
          <w:rFonts w:cs="Arial"/>
          <w:szCs w:val="20"/>
          <w:lang w:val="pt-PT"/>
        </w:rPr>
      </w:pPr>
      <w:r w:rsidRPr="00DB7D1E">
        <w:rPr>
          <w:lang w:val="pt-PT"/>
        </w:rPr>
        <w:t>e)</w:t>
      </w:r>
      <w:r w:rsidRPr="00DB7D1E">
        <w:rPr>
          <w:lang w:val="pt-PT"/>
        </w:rPr>
        <w:tab/>
        <w:t>a 10. fejezetből:</w:t>
      </w:r>
    </w:p>
    <w:p w:rsidR="005624E3" w:rsidRPr="00166EA9" w:rsidRDefault="005624E3" w:rsidP="005624E3">
      <w:pPr>
        <w:pStyle w:val="Esletgauchepar"/>
        <w:rPr>
          <w:rFonts w:cs="Arial"/>
          <w:lang w:val="pt-PT"/>
        </w:rPr>
      </w:pPr>
      <w:r w:rsidRPr="00166EA9">
        <w:rPr>
          <w:lang w:val="pt-PT"/>
        </w:rPr>
        <w:t>a 10.17. cikk</w:t>
      </w:r>
    </w:p>
    <w:p w:rsidR="005624E3" w:rsidRPr="00DB7D1E" w:rsidRDefault="005624E3" w:rsidP="005624E3">
      <w:pPr>
        <w:pStyle w:val="ESletgauche"/>
        <w:rPr>
          <w:rFonts w:cs="Arial"/>
          <w:szCs w:val="20"/>
          <w:lang w:val="pt-PT"/>
        </w:rPr>
      </w:pPr>
      <w:r w:rsidRPr="00DB7D1E">
        <w:rPr>
          <w:lang w:val="pt-PT"/>
        </w:rPr>
        <w:t>f)</w:t>
      </w:r>
      <w:r w:rsidRPr="00DB7D1E">
        <w:rPr>
          <w:lang w:val="pt-PT"/>
        </w:rPr>
        <w:tab/>
        <w:t>a 13. fejezetből:</w:t>
      </w:r>
    </w:p>
    <w:p w:rsidR="005624E3" w:rsidRPr="00166EA9" w:rsidRDefault="005624E3" w:rsidP="005624E3">
      <w:pPr>
        <w:pStyle w:val="Esletgauchepar"/>
        <w:rPr>
          <w:rFonts w:cs="Arial"/>
          <w:lang w:val="pt-PT"/>
        </w:rPr>
      </w:pPr>
      <w:r w:rsidRPr="00166EA9">
        <w:rPr>
          <w:lang w:val="pt-PT"/>
        </w:rPr>
        <w:t>a 13.01. cikk és a 13.02. cikk 1. bekezdése;</w:t>
      </w:r>
    </w:p>
    <w:p w:rsidR="005624E3" w:rsidRPr="00DB7D1E" w:rsidRDefault="005624E3" w:rsidP="005624E3">
      <w:pPr>
        <w:pStyle w:val="ESletgauche"/>
        <w:rPr>
          <w:rFonts w:cs="Arial"/>
          <w:szCs w:val="20"/>
          <w:lang w:val="pt-PT"/>
        </w:rPr>
      </w:pPr>
      <w:r w:rsidRPr="00DB7D1E">
        <w:rPr>
          <w:lang w:val="pt-PT"/>
        </w:rPr>
        <w:t>g)</w:t>
      </w:r>
      <w:r w:rsidRPr="00DB7D1E">
        <w:rPr>
          <w:lang w:val="pt-PT"/>
        </w:rPr>
        <w:tab/>
        <w:t>a 21. fejezet,</w:t>
      </w:r>
    </w:p>
    <w:p w:rsidR="005624E3" w:rsidRPr="00166EA9" w:rsidRDefault="005624E3" w:rsidP="005624E3">
      <w:pPr>
        <w:pStyle w:val="Esletgauchepar"/>
        <w:rPr>
          <w:rFonts w:cs="Arial"/>
          <w:lang w:val="pt-PT"/>
        </w:rPr>
      </w:pPr>
      <w:r w:rsidRPr="00166EA9">
        <w:rPr>
          <w:lang w:val="pt-PT"/>
        </w:rPr>
        <w:t>ha a tengerjáró hajó kötelék részét képezheti;</w:t>
      </w:r>
    </w:p>
    <w:p w:rsidR="005624E3" w:rsidRPr="00166EA9" w:rsidRDefault="005624E3" w:rsidP="005624E3">
      <w:pPr>
        <w:pStyle w:val="ESletgauche"/>
        <w:rPr>
          <w:rFonts w:cs="Arial"/>
          <w:szCs w:val="20"/>
          <w:lang w:val="pt-PT"/>
        </w:rPr>
      </w:pPr>
      <w:r w:rsidRPr="00166EA9">
        <w:rPr>
          <w:lang w:val="pt-PT"/>
        </w:rPr>
        <w:t>h)</w:t>
      </w:r>
      <w:r w:rsidRPr="00166EA9">
        <w:rPr>
          <w:lang w:val="pt-PT"/>
        </w:rPr>
        <w:tab/>
        <w:t>a 27. fejezet:</w:t>
      </w:r>
    </w:p>
    <w:p w:rsidR="005624E3" w:rsidRPr="00166EA9" w:rsidRDefault="005624E3" w:rsidP="005624E3">
      <w:pPr>
        <w:pStyle w:val="Esletgauchepar"/>
        <w:rPr>
          <w:rFonts w:cs="Arial"/>
          <w:lang w:val="pt-PT"/>
        </w:rPr>
      </w:pPr>
      <w:r w:rsidRPr="00166EA9">
        <w:rPr>
          <w:lang w:val="pt-PT"/>
        </w:rPr>
        <w:t>A 27. fejezet előírásait teljesítettnek kell tekinteni, ha a stabilitás megfelel a hatályos IMO-határozatoknak, a stabilitásra vonatkozó megfelelő dokumentumokat az illetékes hatóság jóváhagyta, és a konténereket a szokásos tengerhajózási módszerrel rögzítik.</w:t>
      </w:r>
    </w:p>
    <w:p w:rsidR="005624E3" w:rsidRPr="00166EA9" w:rsidRDefault="005624E3" w:rsidP="005624E3">
      <w:pPr>
        <w:pStyle w:val="Esletgauchepar"/>
        <w:rPr>
          <w:lang w:val="pt-PT"/>
        </w:rPr>
      </w:pPr>
    </w:p>
    <w:p w:rsidR="005624E3" w:rsidRPr="00166EA9" w:rsidRDefault="005624E3" w:rsidP="005624E3">
      <w:pPr>
        <w:pStyle w:val="ESch"/>
        <w:rPr>
          <w:lang w:val="pt-PT"/>
        </w:rPr>
      </w:pPr>
    </w:p>
    <w:p w:rsidR="005624E3" w:rsidRPr="00166EA9" w:rsidRDefault="005624E3" w:rsidP="005624E3">
      <w:pPr>
        <w:pStyle w:val="ESch"/>
        <w:rPr>
          <w:lang w:val="pt-PT"/>
        </w:rPr>
      </w:pPr>
      <w:r w:rsidRPr="00166EA9">
        <w:rPr>
          <w:lang w:val="pt-PT"/>
        </w:rPr>
        <w:br w:type="page"/>
      </w:r>
    </w:p>
    <w:p w:rsidR="005624E3" w:rsidRPr="00166EA9" w:rsidRDefault="005624E3" w:rsidP="005624E3">
      <w:pPr>
        <w:pStyle w:val="ESch"/>
        <w:rPr>
          <w:lang w:val="pt-PT"/>
        </w:rPr>
      </w:pPr>
    </w:p>
    <w:p w:rsidR="005624E3" w:rsidRPr="00166EA9" w:rsidRDefault="005624E3" w:rsidP="005624E3">
      <w:pPr>
        <w:pStyle w:val="ESch"/>
        <w:rPr>
          <w:lang w:val="pt-PT"/>
        </w:rPr>
      </w:pPr>
    </w:p>
    <w:p w:rsidR="005624E3" w:rsidRPr="00166EA9" w:rsidRDefault="005624E3" w:rsidP="005624E3">
      <w:pPr>
        <w:pStyle w:val="ESch"/>
        <w:rPr>
          <w:lang w:val="pt-PT"/>
        </w:rPr>
      </w:pPr>
    </w:p>
    <w:p w:rsidR="005624E3" w:rsidRPr="00166EA9" w:rsidRDefault="005624E3" w:rsidP="005624E3">
      <w:pPr>
        <w:pStyle w:val="ES-Titre2"/>
        <w:rPr>
          <w:lang w:val="pt-PT"/>
        </w:rPr>
      </w:pPr>
      <w:bookmarkStart w:id="478" w:name="_Toc491854236"/>
      <w:bookmarkStart w:id="479" w:name="_Toc535854015"/>
      <w:r w:rsidRPr="00166EA9">
        <w:rPr>
          <w:lang w:val="pt-PT"/>
        </w:rPr>
        <w:t>26. fejezet</w:t>
      </w:r>
      <w:r w:rsidRPr="00166EA9">
        <w:rPr>
          <w:lang w:val="pt-PT"/>
        </w:rPr>
        <w:br/>
      </w:r>
      <w:r w:rsidRPr="00166EA9">
        <w:rPr>
          <w:noProof/>
          <w:lang w:val="pt-PT"/>
        </w:rPr>
        <w:t>A kedvtelési célú vízi járművekre alkalmazandó külön rendelkezések</w:t>
      </w:r>
      <w:bookmarkEnd w:id="478"/>
      <w:bookmarkEnd w:id="479"/>
    </w:p>
    <w:p w:rsidR="005624E3" w:rsidRPr="00166EA9" w:rsidRDefault="005624E3" w:rsidP="005624E3">
      <w:pPr>
        <w:rPr>
          <w:lang w:val="pt-PT"/>
        </w:rPr>
      </w:pPr>
    </w:p>
    <w:p w:rsidR="005624E3" w:rsidRPr="00166EA9" w:rsidRDefault="005624E3" w:rsidP="005624E3">
      <w:pPr>
        <w:pStyle w:val="ES-Titre3"/>
        <w:rPr>
          <w:rFonts w:cs="Arial"/>
          <w:i/>
          <w:szCs w:val="18"/>
          <w:lang w:val="pt-PT"/>
        </w:rPr>
      </w:pPr>
      <w:bookmarkStart w:id="480" w:name="_Toc491854237"/>
      <w:bookmarkStart w:id="481" w:name="_Toc535854016"/>
      <w:r w:rsidRPr="00166EA9">
        <w:rPr>
          <w:lang w:val="pt-PT"/>
        </w:rPr>
        <w:t>26.01. cikk</w:t>
      </w:r>
      <w:r w:rsidRPr="00166EA9">
        <w:rPr>
          <w:lang w:val="pt-PT"/>
        </w:rPr>
        <w:br/>
      </w:r>
      <w:r w:rsidRPr="00166EA9">
        <w:rPr>
          <w:i/>
          <w:noProof/>
          <w:lang w:val="pt-PT"/>
        </w:rPr>
        <w:t>A II. rész alkalmazása</w:t>
      </w:r>
      <w:bookmarkEnd w:id="480"/>
      <w:bookmarkEnd w:id="481"/>
    </w:p>
    <w:p w:rsidR="005624E3" w:rsidRPr="00166EA9" w:rsidRDefault="005624E3" w:rsidP="005624E3">
      <w:pPr>
        <w:pStyle w:val="ESch"/>
        <w:rPr>
          <w:rFonts w:eastAsia="Calibri"/>
          <w:noProof/>
          <w:lang w:val="pt-PT"/>
        </w:rPr>
      </w:pPr>
    </w:p>
    <w:p w:rsidR="005624E3" w:rsidRPr="00166EA9" w:rsidRDefault="005624E3" w:rsidP="005624E3">
      <w:pPr>
        <w:pStyle w:val="ESch"/>
        <w:rPr>
          <w:rFonts w:eastAsia="Calibri" w:cs="Arial"/>
          <w:szCs w:val="18"/>
          <w:lang w:val="pt-PT"/>
        </w:rPr>
      </w:pPr>
      <w:r w:rsidRPr="00166EA9">
        <w:rPr>
          <w:lang w:val="pt-PT"/>
        </w:rPr>
        <w:t xml:space="preserve">1. </w:t>
      </w:r>
      <w:r w:rsidRPr="00166EA9">
        <w:rPr>
          <w:lang w:val="pt-PT"/>
        </w:rPr>
        <w:tab/>
        <w:t>A kedvtelési célú vízi járműveknek az alábbi követelményeket kell teljesíteniük:</w:t>
      </w:r>
    </w:p>
    <w:p w:rsidR="005624E3" w:rsidRPr="00166EA9" w:rsidRDefault="005624E3" w:rsidP="005624E3">
      <w:pPr>
        <w:pStyle w:val="ESlet"/>
        <w:rPr>
          <w:rFonts w:eastAsia="Calibri" w:cs="Arial"/>
          <w:szCs w:val="18"/>
          <w:lang w:val="pt-PT"/>
        </w:rPr>
      </w:pPr>
      <w:r w:rsidRPr="00166EA9">
        <w:rPr>
          <w:lang w:val="pt-PT"/>
        </w:rPr>
        <w:t>a)</w:t>
      </w:r>
      <w:r w:rsidRPr="00166EA9">
        <w:rPr>
          <w:lang w:val="pt-PT"/>
        </w:rPr>
        <w:tab/>
        <w:t>a 3. fejezetből:</w:t>
      </w:r>
    </w:p>
    <w:p w:rsidR="005624E3" w:rsidRPr="00166EA9" w:rsidRDefault="005624E3" w:rsidP="005624E3">
      <w:pPr>
        <w:pStyle w:val="ESletpar"/>
        <w:rPr>
          <w:rFonts w:eastAsia="Calibri" w:cs="Arial"/>
          <w:szCs w:val="18"/>
          <w:lang w:val="pt-PT"/>
        </w:rPr>
      </w:pPr>
      <w:r w:rsidRPr="00166EA9">
        <w:rPr>
          <w:lang w:val="pt-PT"/>
        </w:rPr>
        <w:t>a 3.01. cikk, a 3.02. cikk 1. bekezdésének a) pontja és 2. bekezdése, a 3.03. cikk 1. bekezdésének a) pontja és 6. bekezdése, valamint a 3.04. cikk 1. bekezdése;</w:t>
      </w:r>
    </w:p>
    <w:p w:rsidR="005624E3" w:rsidRPr="00166EA9" w:rsidRDefault="005624E3" w:rsidP="005624E3">
      <w:pPr>
        <w:pStyle w:val="ESlet"/>
        <w:rPr>
          <w:rFonts w:eastAsia="Calibri" w:cs="Arial"/>
          <w:szCs w:val="18"/>
          <w:lang w:val="pt-PT"/>
        </w:rPr>
      </w:pPr>
      <w:r w:rsidRPr="00166EA9">
        <w:rPr>
          <w:lang w:val="pt-PT"/>
        </w:rPr>
        <w:t>b)</w:t>
      </w:r>
      <w:r w:rsidRPr="00166EA9">
        <w:rPr>
          <w:lang w:val="pt-PT"/>
        </w:rPr>
        <w:tab/>
        <w:t>az 5. fejezet;</w:t>
      </w:r>
    </w:p>
    <w:p w:rsidR="005624E3" w:rsidRPr="00166EA9" w:rsidRDefault="005624E3" w:rsidP="005624E3">
      <w:pPr>
        <w:pStyle w:val="ESlet"/>
        <w:rPr>
          <w:rFonts w:eastAsia="Calibri" w:cs="Arial"/>
          <w:szCs w:val="18"/>
          <w:lang w:val="pt-PT"/>
        </w:rPr>
      </w:pPr>
      <w:r w:rsidRPr="00166EA9">
        <w:rPr>
          <w:lang w:val="pt-PT"/>
        </w:rPr>
        <w:t>c)</w:t>
      </w:r>
      <w:r w:rsidRPr="00166EA9">
        <w:rPr>
          <w:lang w:val="pt-PT"/>
        </w:rPr>
        <w:tab/>
        <w:t>a 6. fejezetből:</w:t>
      </w:r>
    </w:p>
    <w:p w:rsidR="005624E3" w:rsidRPr="00DB7D1E" w:rsidRDefault="005624E3" w:rsidP="005624E3">
      <w:pPr>
        <w:pStyle w:val="ESletpar"/>
        <w:rPr>
          <w:rFonts w:eastAsia="Calibri" w:cs="Arial"/>
          <w:szCs w:val="18"/>
          <w:lang w:val="pt-PT"/>
        </w:rPr>
      </w:pPr>
      <w:r w:rsidRPr="00DB7D1E">
        <w:rPr>
          <w:lang w:val="pt-PT"/>
        </w:rPr>
        <w:t>a 6.01. cikk 1. bekezdése és a 6.08. cikk;</w:t>
      </w:r>
    </w:p>
    <w:p w:rsidR="005624E3" w:rsidRPr="00DB7D1E" w:rsidRDefault="005624E3" w:rsidP="005624E3">
      <w:pPr>
        <w:pStyle w:val="ESlet"/>
        <w:rPr>
          <w:rFonts w:eastAsia="Calibri" w:cs="Arial"/>
          <w:szCs w:val="18"/>
          <w:lang w:val="pt-PT"/>
        </w:rPr>
      </w:pPr>
      <w:r w:rsidRPr="00DB7D1E">
        <w:rPr>
          <w:lang w:val="pt-PT"/>
        </w:rPr>
        <w:t>d)</w:t>
      </w:r>
      <w:r w:rsidRPr="00DB7D1E">
        <w:rPr>
          <w:lang w:val="pt-PT"/>
        </w:rPr>
        <w:tab/>
        <w:t>a 7. fejezetből:</w:t>
      </w:r>
    </w:p>
    <w:p w:rsidR="005624E3" w:rsidRPr="00DB7D1E" w:rsidRDefault="005624E3" w:rsidP="005624E3">
      <w:pPr>
        <w:pStyle w:val="ESletpar"/>
        <w:rPr>
          <w:rFonts w:eastAsia="Calibri"/>
          <w:noProof/>
          <w:lang w:val="pt-PT"/>
        </w:rPr>
      </w:pPr>
      <w:r w:rsidRPr="00DB7D1E">
        <w:rPr>
          <w:lang w:val="pt-PT"/>
        </w:rPr>
        <w:t xml:space="preserve">a 7.01. cikk 1. és 2. bekezdése, a 7.02. cikk, a 7.03. cikk 1. és 2. bekezdése, a 7.04. cikk 1. bekezdése, a 7.05. cikk 2. bekezdése, </w:t>
      </w:r>
    </w:p>
    <w:p w:rsidR="005624E3" w:rsidRPr="00DB7D1E" w:rsidRDefault="005624E3" w:rsidP="005624E3">
      <w:pPr>
        <w:pStyle w:val="ESletpar"/>
        <w:rPr>
          <w:rFonts w:eastAsia="Calibri" w:cs="Arial"/>
          <w:szCs w:val="18"/>
          <w:lang w:val="pt-PT"/>
        </w:rPr>
      </w:pPr>
      <w:r w:rsidRPr="00DB7D1E">
        <w:rPr>
          <w:lang w:val="pt-PT"/>
        </w:rPr>
        <w:t>a 7.13. cikk, ha a vízi jármű egyszemélyes radarhajózásra kialakított kormányállással rendelkezik;</w:t>
      </w:r>
    </w:p>
    <w:p w:rsidR="005624E3" w:rsidRPr="00DB7D1E" w:rsidRDefault="005624E3" w:rsidP="005624E3">
      <w:pPr>
        <w:pStyle w:val="ESlet"/>
        <w:rPr>
          <w:rFonts w:eastAsia="Calibri" w:cs="Arial"/>
          <w:szCs w:val="18"/>
          <w:lang w:val="pt-PT"/>
        </w:rPr>
      </w:pPr>
      <w:r w:rsidRPr="00DB7D1E">
        <w:rPr>
          <w:lang w:val="pt-PT"/>
        </w:rPr>
        <w:t>e)</w:t>
      </w:r>
      <w:r w:rsidRPr="00DB7D1E">
        <w:rPr>
          <w:lang w:val="pt-PT"/>
        </w:rPr>
        <w:tab/>
        <w:t>a 8. fejezetből:</w:t>
      </w:r>
    </w:p>
    <w:p w:rsidR="005624E3" w:rsidRPr="00DB7D1E" w:rsidRDefault="005624E3" w:rsidP="005624E3">
      <w:pPr>
        <w:pStyle w:val="ESletpar"/>
        <w:rPr>
          <w:rFonts w:eastAsia="Calibri"/>
          <w:noProof/>
          <w:lang w:val="pt-PT"/>
        </w:rPr>
      </w:pPr>
      <w:r w:rsidRPr="00DB7D1E">
        <w:rPr>
          <w:lang w:val="pt-PT"/>
        </w:rPr>
        <w:t>a 8.01. cikk 1. és 2. bekezdése, a 8.02. cikk 1. és 2. bekezdése, a 8.03. cikk 1. és 3. bekezdése, a 8.04. cikk, a 8.05. cikk 1–10. és 13. bekezdése, a 8.06. cikk, a 8.07. cikk, a 8.08. cikk 1., 2., 5., 7. és 10. bekezdése, a 8.09. cikk 1. bekezdése és a 8.10. cikk;</w:t>
      </w:r>
    </w:p>
    <w:p w:rsidR="005624E3" w:rsidRPr="00DB7D1E" w:rsidRDefault="005624E3" w:rsidP="005624E3">
      <w:pPr>
        <w:pStyle w:val="ESlet"/>
        <w:rPr>
          <w:rFonts w:eastAsia="Calibri" w:cs="Arial"/>
          <w:szCs w:val="18"/>
          <w:lang w:val="pt-PT"/>
        </w:rPr>
      </w:pPr>
      <w:r w:rsidRPr="00DB7D1E">
        <w:rPr>
          <w:lang w:val="pt-PT"/>
        </w:rPr>
        <w:t>f)</w:t>
      </w:r>
      <w:r w:rsidRPr="00DB7D1E">
        <w:rPr>
          <w:lang w:val="pt-PT"/>
        </w:rPr>
        <w:tab/>
        <w:t>a 9. fejezet;</w:t>
      </w:r>
    </w:p>
    <w:p w:rsidR="005624E3" w:rsidRPr="00DB7D1E" w:rsidRDefault="005624E3" w:rsidP="005624E3">
      <w:pPr>
        <w:pStyle w:val="ESlet"/>
        <w:rPr>
          <w:rFonts w:eastAsia="Calibri" w:cs="Arial"/>
          <w:szCs w:val="18"/>
          <w:lang w:val="pt-PT"/>
        </w:rPr>
      </w:pPr>
      <w:r w:rsidRPr="00DB7D1E">
        <w:rPr>
          <w:lang w:val="pt-PT"/>
        </w:rPr>
        <w:t>g)</w:t>
      </w:r>
      <w:r w:rsidRPr="00DB7D1E">
        <w:rPr>
          <w:lang w:val="pt-PT"/>
        </w:rPr>
        <w:tab/>
        <w:t>a 10. fejezetből:</w:t>
      </w:r>
    </w:p>
    <w:p w:rsidR="005624E3" w:rsidRPr="00DB7D1E" w:rsidRDefault="005624E3" w:rsidP="005624E3">
      <w:pPr>
        <w:pStyle w:val="ESletpar"/>
        <w:rPr>
          <w:rFonts w:eastAsia="Calibri" w:cs="Arial"/>
          <w:szCs w:val="18"/>
          <w:lang w:val="pt-PT"/>
        </w:rPr>
      </w:pPr>
      <w:r w:rsidRPr="00DB7D1E">
        <w:rPr>
          <w:lang w:val="pt-PT"/>
        </w:rPr>
        <w:t>a 10.01. cikk 1. bekezdése értelemszerűen;</w:t>
      </w:r>
    </w:p>
    <w:p w:rsidR="005624E3" w:rsidRPr="00DB7D1E" w:rsidRDefault="005624E3" w:rsidP="005624E3">
      <w:pPr>
        <w:pStyle w:val="ESlet"/>
        <w:rPr>
          <w:rFonts w:eastAsia="Calibri" w:cs="Arial"/>
          <w:szCs w:val="18"/>
          <w:lang w:val="pt-PT"/>
        </w:rPr>
      </w:pPr>
      <w:r w:rsidRPr="00DB7D1E">
        <w:rPr>
          <w:lang w:val="pt-PT"/>
        </w:rPr>
        <w:t>h)</w:t>
      </w:r>
      <w:r w:rsidRPr="00DB7D1E">
        <w:rPr>
          <w:lang w:val="pt-PT"/>
        </w:rPr>
        <w:tab/>
        <w:t>a 13. fejezetből:</w:t>
      </w:r>
    </w:p>
    <w:p w:rsidR="005624E3" w:rsidRPr="00DB7D1E" w:rsidRDefault="005624E3" w:rsidP="005624E3">
      <w:pPr>
        <w:pStyle w:val="ESletpar"/>
        <w:rPr>
          <w:rFonts w:eastAsia="Calibri" w:cs="Arial"/>
          <w:szCs w:val="18"/>
          <w:lang w:val="pt-PT"/>
        </w:rPr>
      </w:pPr>
      <w:r w:rsidRPr="00DB7D1E">
        <w:rPr>
          <w:lang w:val="pt-PT"/>
        </w:rPr>
        <w:t>a 13.01. cikk 2., 3. és 5–14. bekezdése, a 13.02. cikk 1. bekezdésének a)–c) pontja és 3. bekezdésének a) és e)–h) pontja, a 13.03. cikk 1. bekezdésének a), b) és d) pontja: ugyanakkor legalább két tűzoltó készüléknek kell lennie a fedélzeten; a 13.03. cikk 2–6. bekezdése, a 13.04., a 13.05., a 13.07. és a 13.08. cikk;</w:t>
      </w:r>
    </w:p>
    <w:p w:rsidR="005624E3" w:rsidRPr="00DB7D1E" w:rsidRDefault="005624E3" w:rsidP="005624E3">
      <w:pPr>
        <w:pStyle w:val="ESlet"/>
        <w:rPr>
          <w:rFonts w:eastAsia="Calibri" w:cs="Arial"/>
          <w:szCs w:val="18"/>
          <w:lang w:val="pt-PT"/>
        </w:rPr>
      </w:pPr>
      <w:r w:rsidRPr="00DB7D1E">
        <w:rPr>
          <w:lang w:val="pt-PT"/>
        </w:rPr>
        <w:t>i)</w:t>
      </w:r>
      <w:r w:rsidRPr="00DB7D1E">
        <w:rPr>
          <w:lang w:val="pt-PT"/>
        </w:rPr>
        <w:tab/>
        <w:t>a 16. fejezet;</w:t>
      </w:r>
    </w:p>
    <w:p w:rsidR="005624E3" w:rsidRPr="00DB7D1E" w:rsidRDefault="005624E3" w:rsidP="005624E3">
      <w:pPr>
        <w:pStyle w:val="ESlet"/>
        <w:rPr>
          <w:rFonts w:eastAsia="Calibri" w:cs="Arial"/>
          <w:szCs w:val="18"/>
          <w:lang w:val="pt-PT"/>
        </w:rPr>
      </w:pPr>
      <w:r w:rsidRPr="00DB7D1E">
        <w:rPr>
          <w:lang w:val="pt-PT"/>
        </w:rPr>
        <w:t>j)</w:t>
      </w:r>
      <w:r w:rsidRPr="00DB7D1E">
        <w:rPr>
          <w:lang w:val="pt-PT"/>
        </w:rPr>
        <w:tab/>
        <w:t>a 17. fejezet.</w:t>
      </w:r>
    </w:p>
    <w:p w:rsidR="005624E3" w:rsidRPr="00DB7D1E" w:rsidRDefault="005624E3" w:rsidP="005624E3">
      <w:pPr>
        <w:pStyle w:val="ESch"/>
        <w:rPr>
          <w:rFonts w:eastAsia="Calibri"/>
          <w:noProof/>
          <w:lang w:val="pt-PT"/>
        </w:rPr>
      </w:pPr>
    </w:p>
    <w:p w:rsidR="005624E3" w:rsidRPr="00DB7D1E" w:rsidRDefault="005624E3" w:rsidP="005624E3">
      <w:pPr>
        <w:pStyle w:val="ESch"/>
        <w:rPr>
          <w:rFonts w:eastAsia="Calibri" w:cs="Arial"/>
          <w:szCs w:val="18"/>
          <w:lang w:val="pt-PT"/>
        </w:rPr>
      </w:pPr>
      <w:r w:rsidRPr="00DB7D1E">
        <w:rPr>
          <w:lang w:val="pt-PT"/>
        </w:rPr>
        <w:t>2.</w:t>
      </w:r>
      <w:r w:rsidRPr="00DB7D1E">
        <w:rPr>
          <w:lang w:val="pt-PT"/>
        </w:rPr>
        <w:tab/>
        <w:t>A 2013/53/EU irányelv</w:t>
      </w:r>
      <w:r>
        <w:rPr>
          <w:rStyle w:val="FootnoteReference"/>
          <w:noProof/>
        </w:rPr>
        <w:footnoteReference w:id="22"/>
      </w:r>
      <w:r w:rsidRPr="00DB7D1E">
        <w:rPr>
          <w:lang w:val="pt-PT"/>
        </w:rPr>
        <w:t xml:space="preserve"> hatálya alá tartozó kedvtelési célú vízi járművek esetében a kezdeti vizsgálat és az időszakos </w:t>
      </w:r>
      <w:r w:rsidR="0092642D">
        <w:rPr>
          <w:lang w:val="pt-PT"/>
        </w:rPr>
        <w:t>vizsgálatok</w:t>
      </w:r>
      <w:r w:rsidRPr="00DB7D1E">
        <w:rPr>
          <w:lang w:val="pt-PT"/>
        </w:rPr>
        <w:t xml:space="preserve"> csak a következőkre terjednek ki:</w:t>
      </w:r>
    </w:p>
    <w:p w:rsidR="005624E3" w:rsidRPr="00DB7D1E" w:rsidRDefault="005624E3" w:rsidP="005624E3">
      <w:pPr>
        <w:pStyle w:val="ESlet"/>
        <w:rPr>
          <w:rFonts w:eastAsia="Calibri" w:cs="Arial"/>
          <w:szCs w:val="18"/>
          <w:lang w:val="pt-PT"/>
        </w:rPr>
      </w:pPr>
      <w:r w:rsidRPr="00DB7D1E">
        <w:rPr>
          <w:lang w:val="pt-PT"/>
        </w:rPr>
        <w:t>a)</w:t>
      </w:r>
      <w:r w:rsidRPr="00DB7D1E">
        <w:rPr>
          <w:lang w:val="pt-PT"/>
        </w:rPr>
        <w:tab/>
        <w:t>a 6.08. cikk, ha van fordulási szögsebesség-szabályozó;</w:t>
      </w:r>
    </w:p>
    <w:p w:rsidR="005624E3" w:rsidRPr="00DB7D1E" w:rsidRDefault="005624E3" w:rsidP="005624E3">
      <w:pPr>
        <w:pStyle w:val="ESlet"/>
        <w:rPr>
          <w:rFonts w:eastAsia="Calibri" w:cs="Arial"/>
          <w:szCs w:val="18"/>
          <w:lang w:val="pt-PT"/>
        </w:rPr>
      </w:pPr>
      <w:r w:rsidRPr="00DB7D1E">
        <w:rPr>
          <w:lang w:val="pt-PT"/>
        </w:rPr>
        <w:t>b)</w:t>
      </w:r>
      <w:r w:rsidRPr="00DB7D1E">
        <w:rPr>
          <w:lang w:val="pt-PT"/>
        </w:rPr>
        <w:tab/>
        <w:t>a 7.01. cikk 2. bekezdése, a 7.02. cikk, a 7.03. cikk 1. bekezdése és a 7.13. cikk, ha a vízi jármű egyszemélyes radarhajózásra kialakított kormányállással rendelkezik;</w:t>
      </w:r>
    </w:p>
    <w:p w:rsidR="005624E3" w:rsidRPr="00DB7D1E" w:rsidRDefault="005624E3" w:rsidP="005624E3">
      <w:pPr>
        <w:pStyle w:val="ESlet"/>
        <w:rPr>
          <w:rFonts w:eastAsia="Calibri" w:cs="Arial"/>
          <w:szCs w:val="18"/>
          <w:lang w:val="pt-PT"/>
        </w:rPr>
      </w:pPr>
      <w:r w:rsidRPr="00DB7D1E">
        <w:rPr>
          <w:lang w:val="pt-PT"/>
        </w:rPr>
        <w:t>c)</w:t>
      </w:r>
      <w:r w:rsidRPr="00DB7D1E">
        <w:rPr>
          <w:lang w:val="pt-PT"/>
        </w:rPr>
        <w:tab/>
        <w:t>a 8.01. cikk 2. bekezdése, a 8.02. cikk 1. bekezdése, a 8.03. cikk 3. bekezdése, a 8.05. cikk 5. bekezdése, a 8.08. cikk 2. bekezdése, a 8.10. cikk;</w:t>
      </w:r>
    </w:p>
    <w:p w:rsidR="005624E3" w:rsidRPr="00DB7D1E" w:rsidRDefault="005624E3" w:rsidP="005624E3">
      <w:pPr>
        <w:pStyle w:val="ESlet"/>
        <w:rPr>
          <w:rFonts w:eastAsia="Calibri"/>
          <w:noProof/>
          <w:lang w:val="pt-PT"/>
        </w:rPr>
      </w:pPr>
    </w:p>
    <w:p w:rsidR="005624E3" w:rsidRPr="00DB7D1E" w:rsidRDefault="005624E3" w:rsidP="005624E3">
      <w:pPr>
        <w:pStyle w:val="ESlet"/>
        <w:rPr>
          <w:rFonts w:eastAsia="Calibri"/>
          <w:noProof/>
          <w:lang w:val="pt-PT"/>
        </w:rPr>
      </w:pPr>
      <w:r w:rsidRPr="00DB7D1E">
        <w:rPr>
          <w:lang w:val="pt-PT"/>
        </w:rPr>
        <w:br w:type="page"/>
      </w:r>
    </w:p>
    <w:p w:rsidR="005624E3" w:rsidRPr="00DB7D1E" w:rsidRDefault="005624E3" w:rsidP="005624E3">
      <w:pPr>
        <w:pStyle w:val="ESlet"/>
        <w:rPr>
          <w:rFonts w:eastAsia="Calibri" w:cs="Arial"/>
          <w:szCs w:val="18"/>
          <w:lang w:val="pt-PT"/>
        </w:rPr>
      </w:pPr>
      <w:r w:rsidRPr="00DB7D1E">
        <w:rPr>
          <w:lang w:val="pt-PT"/>
        </w:rPr>
        <w:t>d)</w:t>
      </w:r>
      <w:r w:rsidRPr="00DB7D1E">
        <w:rPr>
          <w:lang w:val="pt-PT"/>
        </w:rPr>
        <w:tab/>
        <w:t>a 13.01. cikk 2., 3., 6. és 14. bekezdése, a 13.02. cikk 1. bekezdésének b) és c) pontja, 3. bekezdésének a) és e)–h) pontja, a 13.03. cikk 1. bekezdésének b) és d) pontja, valamint 2–6. bekezdése, a 13.08. cikk;</w:t>
      </w:r>
    </w:p>
    <w:p w:rsidR="005624E3" w:rsidRPr="00DB7D1E" w:rsidRDefault="005624E3" w:rsidP="005624E3">
      <w:pPr>
        <w:pStyle w:val="ESlet"/>
        <w:rPr>
          <w:rFonts w:eastAsia="Calibri" w:cs="Arial"/>
          <w:szCs w:val="18"/>
          <w:lang w:val="pt-PT"/>
        </w:rPr>
      </w:pPr>
      <w:r w:rsidRPr="00DB7D1E">
        <w:rPr>
          <w:lang w:val="pt-PT"/>
        </w:rPr>
        <w:t>e)</w:t>
      </w:r>
      <w:r w:rsidRPr="00DB7D1E">
        <w:rPr>
          <w:lang w:val="pt-PT"/>
        </w:rPr>
        <w:tab/>
        <w:t>a 16. fejezet;</w:t>
      </w:r>
    </w:p>
    <w:p w:rsidR="005624E3" w:rsidRPr="00DB7D1E" w:rsidRDefault="005624E3" w:rsidP="005624E3">
      <w:pPr>
        <w:pStyle w:val="ESlet"/>
        <w:rPr>
          <w:rFonts w:eastAsia="Calibri" w:cs="Arial"/>
          <w:szCs w:val="18"/>
          <w:lang w:val="pt-PT"/>
        </w:rPr>
      </w:pPr>
      <w:r w:rsidRPr="00DB7D1E">
        <w:rPr>
          <w:lang w:val="pt-PT"/>
        </w:rPr>
        <w:t>f)</w:t>
      </w:r>
      <w:r w:rsidRPr="00DB7D1E">
        <w:rPr>
          <w:lang w:val="pt-PT"/>
        </w:rPr>
        <w:tab/>
        <w:t>a 17. fejezetből:</w:t>
      </w:r>
    </w:p>
    <w:p w:rsidR="005624E3" w:rsidRPr="00DB7D1E" w:rsidRDefault="005624E3" w:rsidP="005624E3">
      <w:pPr>
        <w:pStyle w:val="EStiret"/>
        <w:rPr>
          <w:rFonts w:eastAsia="Calibri" w:cs="Arial"/>
          <w:szCs w:val="18"/>
          <w:lang w:val="pt-PT"/>
        </w:rPr>
      </w:pPr>
      <w:r w:rsidRPr="00DB7D1E">
        <w:rPr>
          <w:lang w:val="pt-PT"/>
        </w:rPr>
        <w:t>aa)</w:t>
      </w:r>
      <w:r w:rsidRPr="00DB7D1E">
        <w:rPr>
          <w:lang w:val="pt-PT"/>
        </w:rPr>
        <w:tab/>
        <w:t>a 17.12. cikk;</w:t>
      </w:r>
    </w:p>
    <w:p w:rsidR="005624E3" w:rsidRPr="00DB7D1E" w:rsidRDefault="005624E3" w:rsidP="005624E3">
      <w:pPr>
        <w:pStyle w:val="EStiret"/>
        <w:rPr>
          <w:rFonts w:eastAsia="Calibri" w:cs="Arial"/>
          <w:szCs w:val="18"/>
          <w:lang w:val="pt-PT"/>
        </w:rPr>
      </w:pPr>
      <w:r w:rsidRPr="00DB7D1E">
        <w:rPr>
          <w:lang w:val="pt-PT"/>
        </w:rPr>
        <w:t>bb)</w:t>
      </w:r>
      <w:r w:rsidRPr="00DB7D1E">
        <w:rPr>
          <w:lang w:val="pt-PT"/>
        </w:rPr>
        <w:tab/>
        <w:t>a 17.13. cikk; a cseppfolyósított gázzal üzemelő berendezések üzembe helyezését követő átvételi vizsgálatot a 2013/53/EU irányelv követelményeinek megfelelően kell elvégezni, és az ellenőrzési igazolást be kell nyújtani az ellenőrző szervnek;</w:t>
      </w:r>
    </w:p>
    <w:p w:rsidR="005624E3" w:rsidRPr="00DB7D1E" w:rsidRDefault="005624E3" w:rsidP="005624E3">
      <w:pPr>
        <w:pStyle w:val="EStiret"/>
        <w:rPr>
          <w:rFonts w:eastAsia="Calibri" w:cs="Arial"/>
          <w:szCs w:val="18"/>
          <w:lang w:val="pt-PT"/>
        </w:rPr>
      </w:pPr>
      <w:r w:rsidRPr="00DB7D1E">
        <w:rPr>
          <w:lang w:val="pt-PT"/>
        </w:rPr>
        <w:t>cc)</w:t>
      </w:r>
      <w:r w:rsidRPr="00DB7D1E">
        <w:rPr>
          <w:lang w:val="pt-PT"/>
        </w:rPr>
        <w:tab/>
        <w:t>a 17.14. cikk és a 17.15. cikk; a cseppfolyósított gázzal működő berendezéseknek összhangban kell lenniük a 2013/53/EU irányelv követelményeivel;</w:t>
      </w:r>
    </w:p>
    <w:p w:rsidR="005624E3" w:rsidRPr="00DB7D1E" w:rsidRDefault="005624E3" w:rsidP="005624E3">
      <w:pPr>
        <w:pStyle w:val="EStiret"/>
        <w:rPr>
          <w:rFonts w:eastAsia="Calibri" w:cs="Arial"/>
          <w:szCs w:val="18"/>
          <w:lang w:val="pt-PT"/>
        </w:rPr>
      </w:pPr>
      <w:r w:rsidRPr="00DB7D1E">
        <w:rPr>
          <w:lang w:val="pt-PT"/>
        </w:rPr>
        <w:t>dd)</w:t>
      </w:r>
      <w:r w:rsidRPr="00DB7D1E">
        <w:rPr>
          <w:lang w:val="pt-PT"/>
        </w:rPr>
        <w:tab/>
        <w:t>a teljes 17. fejezet, ha a cseppfolyósított gázzal működő berendezést a kedvtelési célú vízi jármű piaci forgalomba hozatala után szerelik be.</w:t>
      </w:r>
    </w:p>
    <w:p w:rsidR="005624E3" w:rsidRPr="00DB7D1E" w:rsidRDefault="005624E3" w:rsidP="005624E3">
      <w:pPr>
        <w:pStyle w:val="EStiret"/>
        <w:rPr>
          <w:rFonts w:eastAsia="Calibri" w:cs="Arial"/>
          <w:szCs w:val="18"/>
          <w:lang w:val="pt-PT"/>
        </w:rPr>
      </w:pPr>
    </w:p>
    <w:p w:rsidR="005624E3" w:rsidRPr="00DB7D1E" w:rsidRDefault="005624E3" w:rsidP="005624E3">
      <w:pPr>
        <w:pStyle w:val="ESch"/>
        <w:rPr>
          <w:lang w:val="pt-PT"/>
        </w:rPr>
      </w:pPr>
    </w:p>
    <w:p w:rsidR="005624E3" w:rsidRPr="00DB7D1E" w:rsidRDefault="005624E3" w:rsidP="005624E3">
      <w:pPr>
        <w:pStyle w:val="ESch"/>
        <w:rPr>
          <w:lang w:val="pt-PT"/>
        </w:rPr>
      </w:pPr>
    </w:p>
    <w:p w:rsidR="005624E3" w:rsidRPr="00166EA9" w:rsidRDefault="005624E3" w:rsidP="005624E3">
      <w:pPr>
        <w:pStyle w:val="ES-Titre2"/>
        <w:rPr>
          <w:lang w:val="pt-PT"/>
        </w:rPr>
      </w:pPr>
      <w:bookmarkStart w:id="482" w:name="_Toc491854238"/>
      <w:bookmarkStart w:id="483" w:name="_Toc535854017"/>
      <w:r w:rsidRPr="00166EA9">
        <w:rPr>
          <w:lang w:val="pt-PT"/>
        </w:rPr>
        <w:t>27. fejezet</w:t>
      </w:r>
      <w:r w:rsidRPr="00166EA9">
        <w:rPr>
          <w:lang w:val="pt-PT"/>
        </w:rPr>
        <w:br/>
      </w:r>
      <w:r w:rsidRPr="00166EA9">
        <w:rPr>
          <w:noProof/>
          <w:lang w:val="pt-PT"/>
        </w:rPr>
        <w:t>A konténereket szállító hajókra alkalmazandó külön rendelkezések</w:t>
      </w:r>
      <w:bookmarkEnd w:id="482"/>
      <w:bookmarkEnd w:id="483"/>
    </w:p>
    <w:p w:rsidR="005624E3" w:rsidRPr="00DB7D1E" w:rsidRDefault="005624E3" w:rsidP="005624E3">
      <w:pPr>
        <w:rPr>
          <w:lang w:val="pt-PT"/>
        </w:rPr>
      </w:pPr>
    </w:p>
    <w:p w:rsidR="005624E3" w:rsidRPr="00DB7D1E" w:rsidRDefault="005624E3" w:rsidP="005624E3">
      <w:pPr>
        <w:pStyle w:val="ES-Titre3"/>
        <w:rPr>
          <w:lang w:val="pt-PT"/>
        </w:rPr>
      </w:pPr>
      <w:bookmarkStart w:id="484" w:name="_Toc491854239"/>
      <w:bookmarkStart w:id="485" w:name="_Toc535854018"/>
      <w:r w:rsidRPr="00DB7D1E">
        <w:rPr>
          <w:lang w:val="pt-PT"/>
        </w:rPr>
        <w:t>27.01. cikk</w:t>
      </w:r>
      <w:r w:rsidRPr="00DB7D1E">
        <w:rPr>
          <w:lang w:val="pt-PT"/>
        </w:rPr>
        <w:br/>
      </w:r>
      <w:r w:rsidRPr="00DB7D1E">
        <w:rPr>
          <w:i/>
          <w:noProof/>
          <w:lang w:val="pt-PT"/>
        </w:rPr>
        <w:t>Általános rendelkezések</w:t>
      </w:r>
      <w:bookmarkEnd w:id="484"/>
      <w:bookmarkEnd w:id="485"/>
    </w:p>
    <w:p w:rsidR="005624E3" w:rsidRPr="00DB7D1E" w:rsidRDefault="005624E3" w:rsidP="005624E3">
      <w:pPr>
        <w:pStyle w:val="ESch"/>
        <w:rPr>
          <w:noProof/>
          <w:lang w:val="pt-PT"/>
        </w:rPr>
      </w:pPr>
    </w:p>
    <w:p w:rsidR="005624E3" w:rsidRPr="00DB7D1E" w:rsidRDefault="005624E3" w:rsidP="005624E3">
      <w:pPr>
        <w:pStyle w:val="ESch"/>
        <w:rPr>
          <w:rFonts w:cs="Arial"/>
          <w:szCs w:val="18"/>
          <w:lang w:val="pt-PT"/>
        </w:rPr>
      </w:pPr>
      <w:r w:rsidRPr="00DB7D1E">
        <w:rPr>
          <w:lang w:val="pt-PT"/>
        </w:rPr>
        <w:t xml:space="preserve">1. </w:t>
      </w:r>
      <w:r w:rsidRPr="00DB7D1E">
        <w:rPr>
          <w:lang w:val="pt-PT"/>
        </w:rPr>
        <w:tab/>
        <w:t>E fejezet rendelkezései azokra a konténereket szállító hajókra alkalmazandók, amelyek esetében a tagállamok hivatalos hajózási szabályzatai értelmében stabilitási dokumentációt követelnek meg.</w:t>
      </w:r>
    </w:p>
    <w:p w:rsidR="005624E3" w:rsidRPr="00DB7D1E" w:rsidRDefault="005624E3" w:rsidP="005624E3">
      <w:pPr>
        <w:pStyle w:val="ESch"/>
        <w:rPr>
          <w:noProof/>
          <w:lang w:val="pt-PT"/>
        </w:rPr>
      </w:pPr>
    </w:p>
    <w:p w:rsidR="005624E3" w:rsidRPr="00DB7D1E" w:rsidRDefault="005624E3" w:rsidP="005624E3">
      <w:pPr>
        <w:pStyle w:val="ESchpar"/>
        <w:rPr>
          <w:rFonts w:cs="Arial"/>
          <w:szCs w:val="18"/>
          <w:lang w:val="pt-PT"/>
        </w:rPr>
      </w:pPr>
      <w:r w:rsidRPr="00DB7D1E">
        <w:rPr>
          <w:lang w:val="pt-PT"/>
        </w:rPr>
        <w:t>A stabilitási dokumentációt az ellenőrző szerv ellenőrzi, illetve benyújtja máshova ellenőrzésre, és megfelelően lebélyegzi.</w:t>
      </w:r>
    </w:p>
    <w:p w:rsidR="005624E3" w:rsidRPr="00DB7D1E" w:rsidRDefault="005624E3" w:rsidP="005624E3">
      <w:pPr>
        <w:pStyle w:val="ESch"/>
        <w:rPr>
          <w:noProof/>
          <w:lang w:val="pt-PT"/>
        </w:rPr>
      </w:pPr>
    </w:p>
    <w:p w:rsidR="005624E3" w:rsidRPr="00DB7D1E" w:rsidRDefault="005624E3" w:rsidP="005624E3">
      <w:pPr>
        <w:pStyle w:val="ESch"/>
        <w:rPr>
          <w:rFonts w:cs="Arial"/>
          <w:szCs w:val="18"/>
          <w:lang w:val="pt-PT"/>
        </w:rPr>
      </w:pPr>
      <w:r w:rsidRPr="00DB7D1E">
        <w:rPr>
          <w:lang w:val="pt-PT"/>
        </w:rPr>
        <w:t xml:space="preserve">2. </w:t>
      </w:r>
      <w:r w:rsidRPr="00DB7D1E">
        <w:rPr>
          <w:lang w:val="pt-PT"/>
        </w:rPr>
        <w:tab/>
        <w:t>A stabilitási dokumentáció a hajó vezetője számára értelmezhető információt nyújt a hajó valamennyi terhelési feltétel mellett fennálló stabilitásáról.</w:t>
      </w:r>
    </w:p>
    <w:p w:rsidR="005624E3" w:rsidRPr="00DB7D1E" w:rsidRDefault="005624E3" w:rsidP="005624E3">
      <w:pPr>
        <w:pStyle w:val="ESch"/>
        <w:rPr>
          <w:noProof/>
          <w:lang w:val="pt-PT"/>
        </w:rPr>
      </w:pPr>
    </w:p>
    <w:p w:rsidR="005624E3" w:rsidRPr="00DB7D1E" w:rsidRDefault="005624E3" w:rsidP="005624E3">
      <w:pPr>
        <w:pStyle w:val="ESchpar"/>
        <w:rPr>
          <w:rFonts w:cs="Arial"/>
          <w:szCs w:val="18"/>
          <w:lang w:val="pt-PT"/>
        </w:rPr>
      </w:pPr>
      <w:r w:rsidRPr="00DB7D1E">
        <w:rPr>
          <w:lang w:val="pt-PT"/>
        </w:rPr>
        <w:t>A stabilitási dokumentációnak legalább az alábbiakat kell tartalmaznia:</w:t>
      </w:r>
    </w:p>
    <w:p w:rsidR="005624E3" w:rsidRPr="00DB7D1E" w:rsidRDefault="005624E3" w:rsidP="005624E3">
      <w:pPr>
        <w:pStyle w:val="ESlet"/>
        <w:rPr>
          <w:rFonts w:cs="Arial"/>
          <w:szCs w:val="18"/>
          <w:lang w:val="pt-PT"/>
        </w:rPr>
      </w:pPr>
      <w:r w:rsidRPr="00DB7D1E">
        <w:rPr>
          <w:lang w:val="pt-PT"/>
        </w:rPr>
        <w:t>a)</w:t>
      </w:r>
      <w:r w:rsidRPr="00DB7D1E">
        <w:rPr>
          <w:lang w:val="pt-PT"/>
        </w:rPr>
        <w:tab/>
        <w:t xml:space="preserve">információ a megengedhető stabilitási tényezőkről, a megengedhető </w:t>
      </w:r>
      <m:oMath>
        <m:acc>
          <m:accPr>
            <m:chr m:val="̅"/>
            <m:ctrlPr>
              <w:rPr>
                <w:rFonts w:ascii="Cambria Math" w:hAnsi="Cambria Math"/>
                <w:i/>
                <w:noProof/>
              </w:rPr>
            </m:ctrlPr>
          </m:accPr>
          <m:e>
            <m:r>
              <w:rPr>
                <w:rFonts w:ascii="Cambria Math" w:hAnsi="Cambria Math"/>
                <w:noProof/>
              </w:rPr>
              <m:t>KG</m:t>
            </m:r>
          </m:e>
        </m:acc>
      </m:oMath>
      <w:r w:rsidRPr="00DB7D1E">
        <w:rPr>
          <w:lang w:val="pt-PT"/>
        </w:rPr>
        <w:t>-értékekről vagy a rakomány tömegközéppontjának megengedhető magasságáról;</w:t>
      </w:r>
    </w:p>
    <w:p w:rsidR="005624E3" w:rsidRPr="00DB7D1E" w:rsidRDefault="005624E3" w:rsidP="005624E3">
      <w:pPr>
        <w:pStyle w:val="ESlet"/>
        <w:rPr>
          <w:rFonts w:cs="Arial"/>
          <w:szCs w:val="18"/>
          <w:lang w:val="pt-PT"/>
        </w:rPr>
      </w:pPr>
      <w:r w:rsidRPr="00DB7D1E">
        <w:rPr>
          <w:lang w:val="pt-PT"/>
        </w:rPr>
        <w:t>b)</w:t>
      </w:r>
      <w:r w:rsidRPr="00DB7D1E">
        <w:rPr>
          <w:lang w:val="pt-PT"/>
        </w:rPr>
        <w:tab/>
        <w:t>a ballasztvízzel feltölthető helyekre vonatkozó adatok;</w:t>
      </w:r>
    </w:p>
    <w:p w:rsidR="005624E3" w:rsidRPr="00DB7D1E" w:rsidRDefault="005624E3" w:rsidP="005624E3">
      <w:pPr>
        <w:pStyle w:val="ESlet"/>
        <w:rPr>
          <w:rFonts w:cs="Arial"/>
          <w:szCs w:val="18"/>
          <w:lang w:val="pt-PT"/>
        </w:rPr>
      </w:pPr>
      <w:r w:rsidRPr="00DB7D1E">
        <w:rPr>
          <w:lang w:val="pt-PT"/>
        </w:rPr>
        <w:t>c)</w:t>
      </w:r>
      <w:r w:rsidRPr="00DB7D1E">
        <w:rPr>
          <w:lang w:val="pt-PT"/>
        </w:rPr>
        <w:tab/>
        <w:t>a stabilitás ellenőrzésének formái;</w:t>
      </w:r>
    </w:p>
    <w:p w:rsidR="005624E3" w:rsidRPr="00DB7D1E" w:rsidRDefault="005624E3" w:rsidP="005624E3">
      <w:pPr>
        <w:pStyle w:val="ESlet"/>
        <w:rPr>
          <w:rFonts w:cs="Arial"/>
          <w:szCs w:val="18"/>
          <w:lang w:val="pt-PT"/>
        </w:rPr>
      </w:pPr>
      <w:r w:rsidRPr="00DB7D1E">
        <w:rPr>
          <w:lang w:val="pt-PT"/>
        </w:rPr>
        <w:t>d)</w:t>
      </w:r>
      <w:r w:rsidRPr="00DB7D1E">
        <w:rPr>
          <w:lang w:val="pt-PT"/>
        </w:rPr>
        <w:tab/>
        <w:t>kezelési utasítások vagy egy számítási minta a hajó vezetője számára.</w:t>
      </w:r>
    </w:p>
    <w:p w:rsidR="005624E3" w:rsidRPr="00DB7D1E" w:rsidRDefault="005624E3" w:rsidP="005624E3">
      <w:pPr>
        <w:pStyle w:val="ESch"/>
        <w:rPr>
          <w:noProof/>
          <w:lang w:val="pt-PT"/>
        </w:rPr>
      </w:pPr>
    </w:p>
    <w:p w:rsidR="005624E3" w:rsidRPr="00DB7D1E" w:rsidRDefault="005624E3" w:rsidP="005624E3">
      <w:pPr>
        <w:pStyle w:val="ESch"/>
        <w:rPr>
          <w:rFonts w:cs="Arial"/>
          <w:szCs w:val="18"/>
          <w:lang w:val="pt-PT"/>
        </w:rPr>
      </w:pPr>
      <w:r w:rsidRPr="00DB7D1E">
        <w:rPr>
          <w:lang w:val="pt-PT"/>
        </w:rPr>
        <w:t xml:space="preserve">3. </w:t>
      </w:r>
      <w:r w:rsidRPr="00DB7D1E">
        <w:rPr>
          <w:lang w:val="pt-PT"/>
        </w:rPr>
        <w:tab/>
        <w:t>Azon hajók esetében, ahol megválasztható, hogy a konténereket rögzítve vagy nem rögzítve szállítják, külön számítási módszert kell alkalmazni a konténerrakomány nem rögzített, illetve rögzített szállítása közbeni stabilitás igazolására.</w:t>
      </w:r>
    </w:p>
    <w:p w:rsidR="005624E3" w:rsidRPr="00DB7D1E" w:rsidRDefault="005624E3" w:rsidP="005624E3">
      <w:pPr>
        <w:pStyle w:val="ESch"/>
        <w:rPr>
          <w:noProof/>
          <w:lang w:val="pt-PT"/>
        </w:rPr>
      </w:pPr>
    </w:p>
    <w:p w:rsidR="005624E3" w:rsidRPr="00DB7D1E" w:rsidRDefault="005624E3" w:rsidP="005624E3">
      <w:pPr>
        <w:pStyle w:val="ESch"/>
        <w:rPr>
          <w:rFonts w:cs="Arial"/>
          <w:szCs w:val="18"/>
          <w:lang w:val="pt-PT"/>
        </w:rPr>
      </w:pPr>
      <w:r w:rsidRPr="00DB7D1E">
        <w:rPr>
          <w:lang w:val="pt-PT"/>
        </w:rPr>
        <w:t>4.</w:t>
      </w:r>
      <w:r w:rsidRPr="00DB7D1E">
        <w:rPr>
          <w:lang w:val="pt-PT"/>
        </w:rPr>
        <w:tab/>
        <w:t>A konténerrakomány csak akkor tekinthető rögzítettnek, ha minden egyes konténer konténertartókkal vagy rögzítőszerkezetekkel szilárdan rögzítve van a hajótesthez, és a konténerek helyzete az út során nem tud változni.</w:t>
      </w:r>
    </w:p>
    <w:p w:rsidR="005624E3" w:rsidRPr="00DB7D1E" w:rsidRDefault="005624E3" w:rsidP="005624E3">
      <w:pPr>
        <w:pStyle w:val="ESch"/>
        <w:rPr>
          <w:rFonts w:eastAsia="Calibri" w:cs="Arial"/>
          <w:szCs w:val="18"/>
          <w:lang w:val="pt-PT"/>
        </w:rPr>
      </w:pPr>
    </w:p>
    <w:p w:rsidR="005624E3" w:rsidRPr="00DB7D1E" w:rsidRDefault="005624E3" w:rsidP="005624E3">
      <w:pPr>
        <w:pStyle w:val="ESch"/>
        <w:rPr>
          <w:rFonts w:eastAsia="Calibri" w:cs="Arial"/>
          <w:szCs w:val="18"/>
          <w:lang w:val="pt-PT"/>
        </w:rPr>
      </w:pPr>
    </w:p>
    <w:p w:rsidR="005624E3" w:rsidRPr="00166EA9" w:rsidRDefault="005624E3" w:rsidP="005624E3">
      <w:pPr>
        <w:pStyle w:val="ES-Titre3"/>
        <w:rPr>
          <w:lang w:val="pt-PT"/>
        </w:rPr>
      </w:pPr>
      <w:bookmarkStart w:id="486" w:name="_Toc491854240"/>
      <w:bookmarkStart w:id="487" w:name="_Toc535854019"/>
      <w:r w:rsidRPr="00DB7D1E">
        <w:rPr>
          <w:lang w:val="pt-PT"/>
        </w:rPr>
        <w:t>27.02. cikk</w:t>
      </w:r>
      <w:bookmarkEnd w:id="487"/>
    </w:p>
    <w:p w:rsidR="005624E3" w:rsidRPr="00DB7D1E" w:rsidRDefault="005624E3" w:rsidP="005624E3">
      <w:pPr>
        <w:pStyle w:val="ES-Titre3"/>
        <w:rPr>
          <w:i/>
          <w:noProof/>
          <w:lang w:val="pt-PT"/>
        </w:rPr>
      </w:pPr>
      <w:bookmarkStart w:id="488" w:name="_Toc535854020"/>
      <w:r w:rsidRPr="00DB7D1E">
        <w:rPr>
          <w:i/>
          <w:noProof/>
          <w:lang w:val="pt-PT"/>
        </w:rPr>
        <w:t>Határérték-feltételek és számítási módszer a konténerek</w:t>
      </w:r>
      <w:r w:rsidRPr="00DB7D1E">
        <w:rPr>
          <w:noProof/>
          <w:lang w:val="pt-PT"/>
        </w:rPr>
        <w:br/>
      </w:r>
      <w:r w:rsidRPr="00DB7D1E">
        <w:rPr>
          <w:i/>
          <w:noProof/>
          <w:lang w:val="pt-PT"/>
        </w:rPr>
        <w:t>nem rögzített szállítása közbeni stabilitás igazolására</w:t>
      </w:r>
      <w:bookmarkEnd w:id="486"/>
      <w:bookmarkEnd w:id="488"/>
    </w:p>
    <w:p w:rsidR="005624E3" w:rsidRPr="00DB7D1E" w:rsidRDefault="005624E3" w:rsidP="005624E3">
      <w:pPr>
        <w:pStyle w:val="ESch"/>
        <w:rPr>
          <w:noProof/>
          <w:lang w:val="pt-PT"/>
        </w:rPr>
      </w:pPr>
    </w:p>
    <w:p w:rsidR="005624E3" w:rsidRPr="00DB7D1E" w:rsidRDefault="005624E3" w:rsidP="005624E3">
      <w:pPr>
        <w:pStyle w:val="ESch"/>
        <w:rPr>
          <w:rFonts w:cs="Arial"/>
          <w:szCs w:val="18"/>
          <w:lang w:val="pt-PT"/>
        </w:rPr>
      </w:pPr>
      <w:r w:rsidRPr="00DB7D1E">
        <w:rPr>
          <w:lang w:val="pt-PT"/>
        </w:rPr>
        <w:t xml:space="preserve">1. </w:t>
      </w:r>
      <w:r w:rsidRPr="00DB7D1E">
        <w:rPr>
          <w:lang w:val="pt-PT"/>
        </w:rPr>
        <w:tab/>
        <w:t>Nem rögzített konténerek esetében a hajó stabilitásának kiszámítására szolgáló minden módszernek meg kell felelnie az alábbi határérték-feltételeknek:</w:t>
      </w:r>
    </w:p>
    <w:p w:rsidR="005624E3" w:rsidRPr="00DB7D1E" w:rsidRDefault="005624E3" w:rsidP="005624E3">
      <w:pPr>
        <w:pStyle w:val="ESlet"/>
        <w:rPr>
          <w:rFonts w:cs="Arial"/>
          <w:szCs w:val="18"/>
          <w:lang w:val="pt-PT"/>
        </w:rPr>
      </w:pPr>
      <w:r w:rsidRPr="00DB7D1E">
        <w:rPr>
          <w:lang w:val="pt-PT"/>
        </w:rPr>
        <w:t>a)</w:t>
      </w:r>
      <w:r w:rsidRPr="00DB7D1E">
        <w:rPr>
          <w:lang w:val="pt-PT"/>
        </w:rPr>
        <w:tab/>
        <w:t xml:space="preserve">Az </w:t>
      </w:r>
      <m:oMath>
        <m:acc>
          <m:accPr>
            <m:chr m:val="̅"/>
            <m:ctrlPr>
              <w:rPr>
                <w:rFonts w:ascii="Cambria Math" w:hAnsi="Cambria Math"/>
                <w:i/>
                <w:noProof/>
              </w:rPr>
            </m:ctrlPr>
          </m:accPr>
          <m:e>
            <m:r>
              <w:rPr>
                <w:rFonts w:ascii="Cambria Math" w:hAnsi="Cambria Math"/>
                <w:noProof/>
              </w:rPr>
              <m:t>MG</m:t>
            </m:r>
          </m:e>
        </m:acc>
      </m:oMath>
      <w:r w:rsidRPr="00DB7D1E">
        <w:rPr>
          <w:lang w:val="pt-PT"/>
        </w:rPr>
        <w:t xml:space="preserve"> metacentrikus magasság legalább 1,00 m.</w:t>
      </w:r>
    </w:p>
    <w:p w:rsidR="005624E3" w:rsidRPr="00DB7D1E" w:rsidRDefault="005624E3" w:rsidP="005624E3">
      <w:pPr>
        <w:pStyle w:val="ESlet"/>
        <w:rPr>
          <w:rFonts w:cs="Arial"/>
          <w:szCs w:val="18"/>
          <w:lang w:val="pt-PT"/>
        </w:rPr>
      </w:pPr>
      <w:r w:rsidRPr="00DB7D1E">
        <w:rPr>
          <w:lang w:val="pt-PT"/>
        </w:rPr>
        <w:t>b)</w:t>
      </w:r>
      <w:r w:rsidRPr="00DB7D1E">
        <w:rPr>
          <w:lang w:val="pt-PT"/>
        </w:rPr>
        <w:tab/>
        <w:t>A hajó fordulásából, a szélnyomásból és a szabad folyadékfelületekből adódó centrifugális erők együttes fellépése esetén a dőlésszög nem lépheti túl az 5°-ot, és a fedélzet széle nem kerülhet víz alá.</w:t>
      </w:r>
    </w:p>
    <w:p w:rsidR="005624E3" w:rsidRPr="00DB7D1E" w:rsidRDefault="005624E3" w:rsidP="005624E3">
      <w:pPr>
        <w:pStyle w:val="ESlet"/>
        <w:rPr>
          <w:rFonts w:cs="Arial"/>
          <w:szCs w:val="18"/>
          <w:lang w:val="pt-PT"/>
        </w:rPr>
      </w:pPr>
      <w:r w:rsidRPr="00DB7D1E">
        <w:rPr>
          <w:lang w:val="pt-PT"/>
        </w:rPr>
        <w:t>c)</w:t>
      </w:r>
      <w:r w:rsidRPr="00DB7D1E">
        <w:rPr>
          <w:lang w:val="pt-PT"/>
        </w:rPr>
        <w:tab/>
        <w:t>A hajó fordulása miatt fellépő centrifugális erőből adódó dőléskart az alábbi képlet szerint kell meghatározni:</w:t>
      </w:r>
    </w:p>
    <w:p w:rsidR="005624E3" w:rsidRPr="00C903F8" w:rsidRDefault="003142CA" w:rsidP="005624E3">
      <w:pPr>
        <w:pStyle w:val="ESlet"/>
        <w:ind w:left="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h</m:t>
              </m:r>
            </m:e>
            <m:sub>
              <m:r>
                <w:rPr>
                  <w:rFonts w:ascii="Cambria Math" w:eastAsia="Calibri" w:hAnsi="Cambria Math" w:cs="Arial"/>
                  <w:szCs w:val="18"/>
                </w:rPr>
                <m:t>KZ</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c</m:t>
              </m:r>
            </m:e>
            <m:sub>
              <m:r>
                <w:rPr>
                  <w:rFonts w:ascii="Cambria Math" w:eastAsia="Calibri" w:hAnsi="Cambria Math" w:cs="Arial"/>
                  <w:szCs w:val="18"/>
                </w:rPr>
                <m:t>KZ</m:t>
              </m:r>
            </m:sub>
          </m:sSub>
          <m:r>
            <w:rPr>
              <w:rFonts w:ascii="Cambria Math" w:eastAsia="Calibri" w:hAnsi="Cambria Math" w:cs="Arial"/>
              <w:szCs w:val="18"/>
            </w:rPr>
            <m:t xml:space="preserve"> ∙ </m:t>
          </m:r>
          <m:f>
            <m:fPr>
              <m:ctrlPr>
                <w:rPr>
                  <w:rFonts w:ascii="Cambria Math" w:eastAsia="Calibri" w:hAnsi="Cambria Math" w:cs="Arial"/>
                  <w:i/>
                  <w:szCs w:val="18"/>
                </w:rPr>
              </m:ctrlPr>
            </m:fPr>
            <m:num>
              <m:sSup>
                <m:sSupPr>
                  <m:ctrlPr>
                    <w:rPr>
                      <w:rFonts w:ascii="Cambria Math" w:eastAsia="Calibri" w:hAnsi="Cambria Math" w:cs="Arial"/>
                      <w:i/>
                      <w:szCs w:val="18"/>
                    </w:rPr>
                  </m:ctrlPr>
                </m:sSupPr>
                <m:e>
                  <m:r>
                    <w:rPr>
                      <w:rFonts w:ascii="Cambria Math" w:eastAsia="Calibri" w:hAnsi="Cambria Math" w:cs="Arial"/>
                      <w:szCs w:val="18"/>
                    </w:rPr>
                    <m:t>v</m:t>
                  </m:r>
                </m:e>
                <m:sup>
                  <m:r>
                    <w:rPr>
                      <w:rFonts w:ascii="Cambria Math" w:eastAsia="Calibri" w:hAnsi="Cambria Math" w:cs="Arial"/>
                      <w:szCs w:val="18"/>
                    </w:rPr>
                    <m:t>2</m:t>
                  </m:r>
                </m:sup>
              </m:sSup>
            </m:num>
            <m:den>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r>
            <w:rPr>
              <w:rFonts w:ascii="Cambria Math" w:eastAsia="Calibri" w:hAnsi="Cambria Math" w:cs="Arial"/>
              <w:szCs w:val="18"/>
            </w:rPr>
            <m:t xml:space="preserve"> ∙ </m:t>
          </m:r>
          <m:d>
            <m:dPr>
              <m:ctrlPr>
                <w:rPr>
                  <w:rFonts w:ascii="Cambria Math" w:eastAsia="Calibri" w:hAnsi="Cambria Math" w:cs="Arial"/>
                  <w:i/>
                  <w:szCs w:val="18"/>
                </w:rPr>
              </m:ctrlPr>
            </m:dPr>
            <m:e>
              <m:acc>
                <m:accPr>
                  <m:chr m:val="̅"/>
                  <m:ctrlPr>
                    <w:rPr>
                      <w:rFonts w:ascii="Cambria Math" w:eastAsia="Calibri" w:hAnsi="Cambria Math" w:cs="Arial"/>
                      <w:i/>
                      <w:szCs w:val="18"/>
                    </w:rPr>
                  </m:ctrlPr>
                </m:accPr>
                <m:e>
                  <m:r>
                    <w:rPr>
                      <w:rFonts w:ascii="Cambria Math" w:eastAsia="Calibri" w:hAnsi="Cambria Math" w:cs="Arial"/>
                      <w:szCs w:val="18"/>
                    </w:rPr>
                    <m:t>KG</m:t>
                  </m:r>
                </m:e>
              </m:acc>
              <m:r>
                <w:rPr>
                  <w:rFonts w:ascii="Cambria Math" w:eastAsia="Calibri" w:hAnsi="Cambria Math" w:cs="Arial"/>
                  <w:szCs w:val="18"/>
                </w:rPr>
                <m:t xml:space="preserve">- </m:t>
              </m:r>
              <m:f>
                <m:fPr>
                  <m:ctrlPr>
                    <w:rPr>
                      <w:rFonts w:ascii="Cambria Math" w:eastAsia="Calibri" w:hAnsi="Cambria Math" w:cs="Arial"/>
                      <w:i/>
                      <w:szCs w:val="18"/>
                    </w:rPr>
                  </m:ctrlPr>
                </m:fPr>
                <m:num>
                  <m:sSup>
                    <m:sSupPr>
                      <m:ctrlPr>
                        <w:rPr>
                          <w:rFonts w:ascii="Cambria Math" w:eastAsia="Calibri" w:hAnsi="Cambria Math" w:cs="Arial"/>
                          <w:i/>
                          <w:szCs w:val="18"/>
                        </w:rPr>
                      </m:ctrlPr>
                    </m:sSupPr>
                    <m:e>
                      <m:r>
                        <w:rPr>
                          <w:rFonts w:ascii="Cambria Math" w:eastAsia="Calibri" w:hAnsi="Cambria Math" w:cs="Arial"/>
                          <w:szCs w:val="18"/>
                        </w:rPr>
                        <m:t>T</m:t>
                      </m:r>
                    </m:e>
                    <m:sup>
                      <m:r>
                        <w:rPr>
                          <w:rFonts w:ascii="Cambria Math" w:eastAsia="Calibri" w:hAnsi="Cambria Math" w:cs="Arial"/>
                          <w:szCs w:val="18"/>
                        </w:rPr>
                        <m:t>'</m:t>
                      </m:r>
                    </m:sup>
                  </m:sSup>
                </m:num>
                <m:den>
                  <m:r>
                    <w:rPr>
                      <w:rFonts w:ascii="Cambria Math" w:eastAsia="Calibri" w:hAnsi="Cambria Math" w:cs="Arial"/>
                      <w:szCs w:val="18"/>
                    </w:rPr>
                    <m:t>2</m:t>
                  </m:r>
                </m:den>
              </m:f>
            </m:e>
          </m:d>
          <m:r>
            <w:rPr>
              <w:rFonts w:ascii="Cambria Math" w:eastAsia="Calibri" w:hAnsi="Cambria Math" w:cs="Arial"/>
              <w:szCs w:val="18"/>
            </w:rPr>
            <m:t xml:space="preserve"> </m:t>
          </m:r>
          <m:d>
            <m:dPr>
              <m:begChr m:val="["/>
              <m:endChr m:val="]"/>
              <m:ctrlPr>
                <w:rPr>
                  <w:rFonts w:ascii="Cambria Math" w:eastAsia="Calibri" w:hAnsi="Cambria Math" w:cs="Arial"/>
                  <w:i/>
                  <w:szCs w:val="18"/>
                </w:rPr>
              </m:ctrlPr>
            </m:dPr>
            <m:e>
              <m:r>
                <w:rPr>
                  <w:rFonts w:ascii="Cambria Math" w:eastAsia="Calibri" w:hAnsi="Cambria Math" w:cs="Arial"/>
                  <w:szCs w:val="18"/>
                </w:rPr>
                <m:t>m</m:t>
              </m:r>
            </m:e>
          </m:d>
        </m:oMath>
      </m:oMathPara>
    </w:p>
    <w:p w:rsidR="005624E3" w:rsidRPr="00C903F8" w:rsidRDefault="005624E3" w:rsidP="005624E3">
      <w:pPr>
        <w:pStyle w:val="EStiret"/>
      </w:pPr>
    </w:p>
    <w:p w:rsidR="005624E3" w:rsidRPr="00C903F8" w:rsidRDefault="005624E3" w:rsidP="005624E3">
      <w:pPr>
        <w:pStyle w:val="EStiret"/>
      </w:pPr>
      <w:r>
        <w:br w:type="page"/>
      </w:r>
    </w:p>
    <w:p w:rsidR="005624E3" w:rsidRPr="00DB7D1E" w:rsidRDefault="005624E3" w:rsidP="005624E3">
      <w:pPr>
        <w:pStyle w:val="EStiret"/>
        <w:rPr>
          <w:rFonts w:cs="Arial"/>
          <w:szCs w:val="18"/>
          <w:lang w:val="pt-PT"/>
        </w:rPr>
      </w:pPr>
      <w:r w:rsidRPr="00DB7D1E">
        <w:rPr>
          <w:lang w:val="pt-PT"/>
        </w:rPr>
        <w:t>ahol:</w:t>
      </w:r>
    </w:p>
    <w:p w:rsidR="005624E3" w:rsidRPr="00DB7D1E" w:rsidRDefault="003142CA" w:rsidP="005624E3">
      <w:pPr>
        <w:pStyle w:val="EStiret"/>
        <w:ind w:left="1701" w:hanging="709"/>
        <w:rPr>
          <w:rFonts w:eastAsia="Calibri"/>
          <w:lang w:val="pt-PT"/>
        </w:rPr>
      </w:pPr>
      <m:oMath>
        <m:sSub>
          <m:sSubPr>
            <m:ctrlPr>
              <w:rPr>
                <w:rFonts w:ascii="Cambria Math" w:eastAsia="Calibri" w:hAnsi="Cambria Math"/>
                <w:i/>
              </w:rPr>
            </m:ctrlPr>
          </m:sSubPr>
          <m:e>
            <m:r>
              <w:rPr>
                <w:rFonts w:ascii="Cambria Math" w:eastAsia="Calibri" w:hAnsi="Cambria Math"/>
              </w:rPr>
              <m:t>c</m:t>
            </m:r>
          </m:e>
          <m:sub>
            <m:r>
              <w:rPr>
                <w:rFonts w:ascii="Cambria Math" w:eastAsia="Calibri" w:hAnsi="Cambria Math"/>
              </w:rPr>
              <m:t>KZ</m:t>
            </m:r>
          </m:sub>
        </m:sSub>
      </m:oMath>
      <w:r w:rsidR="005624E3" w:rsidRPr="00DB7D1E">
        <w:rPr>
          <w:lang w:val="pt-PT"/>
        </w:rPr>
        <w:tab/>
        <w:t xml:space="preserve">a </w:t>
      </w:r>
      <m:oMath>
        <m:d>
          <m:dPr>
            <m:ctrlPr>
              <w:rPr>
                <w:rFonts w:ascii="Cambria Math" w:eastAsia="Calibri" w:hAnsi="Cambria Math"/>
                <w:i/>
                <w:szCs w:val="16"/>
              </w:rPr>
            </m:ctrlPr>
          </m:dPr>
          <m:e>
            <m:sSub>
              <m:sSubPr>
                <m:ctrlPr>
                  <w:rPr>
                    <w:rFonts w:ascii="Cambria Math" w:eastAsia="Calibri" w:hAnsi="Cambria Math"/>
                    <w:i/>
                    <w:szCs w:val="16"/>
                  </w:rPr>
                </m:ctrlPr>
              </m:sSubPr>
              <m:e>
                <m:r>
                  <w:rPr>
                    <w:rFonts w:ascii="Cambria Math" w:eastAsia="Calibri" w:hAnsi="Cambria Math"/>
                    <w:szCs w:val="16"/>
                  </w:rPr>
                  <m:t>c</m:t>
                </m:r>
              </m:e>
              <m:sub>
                <m:r>
                  <w:rPr>
                    <w:rFonts w:ascii="Cambria Math" w:eastAsia="Calibri" w:hAnsi="Cambria Math"/>
                    <w:szCs w:val="16"/>
                  </w:rPr>
                  <m:t>KZ</m:t>
                </m:r>
              </m:sub>
            </m:sSub>
            <m:r>
              <w:rPr>
                <w:rFonts w:ascii="Cambria Math" w:eastAsia="Calibri" w:hAnsi="Cambria Math"/>
                <w:szCs w:val="16"/>
                <w:lang w:val="pt-PT"/>
              </w:rPr>
              <m:t>=0,04</m:t>
            </m:r>
          </m:e>
        </m:d>
      </m:oMath>
      <w:r w:rsidR="005624E3" w:rsidRPr="00DB7D1E">
        <w:rPr>
          <w:lang w:val="pt-PT"/>
        </w:rPr>
        <w:t xml:space="preserve"> tényező [s</w:t>
      </w:r>
      <w:r w:rsidR="005624E3" w:rsidRPr="00DB7D1E">
        <w:rPr>
          <w:vertAlign w:val="superscript"/>
          <w:lang w:val="pt-PT"/>
        </w:rPr>
        <w:t>2</w:t>
      </w:r>
      <w:r w:rsidR="005624E3" w:rsidRPr="00DB7D1E">
        <w:rPr>
          <w:lang w:val="pt-PT"/>
        </w:rPr>
        <w:t>/m];</w:t>
      </w:r>
    </w:p>
    <w:p w:rsidR="005624E3" w:rsidRPr="00DB7D1E" w:rsidRDefault="005624E3" w:rsidP="005624E3">
      <w:pPr>
        <w:pStyle w:val="EStiret"/>
        <w:ind w:left="1701" w:hanging="709"/>
        <w:rPr>
          <w:rFonts w:eastAsia="Calibri"/>
          <w:lang w:val="pt-PT"/>
        </w:rPr>
      </w:pPr>
      <m:oMath>
        <m:r>
          <w:rPr>
            <w:rFonts w:ascii="Cambria Math" w:eastAsia="Calibri" w:hAnsi="Cambria Math"/>
          </w:rPr>
          <m:t>v</m:t>
        </m:r>
      </m:oMath>
      <w:r w:rsidRPr="00DB7D1E">
        <w:rPr>
          <w:lang w:val="pt-PT"/>
        </w:rPr>
        <w:tab/>
        <w:t>a hajó vízhez viszonyított maximális sebessége [m/s];</w:t>
      </w:r>
    </w:p>
    <w:p w:rsidR="005624E3" w:rsidRPr="00DB7D1E" w:rsidRDefault="003142CA" w:rsidP="005624E3">
      <w:pPr>
        <w:pStyle w:val="EStiret"/>
        <w:ind w:left="1701" w:hanging="709"/>
        <w:rPr>
          <w:rFonts w:eastAsia="Calibri"/>
          <w:lang w:val="pt-PT"/>
        </w:rPr>
      </w:pPr>
      <m:oMath>
        <m:acc>
          <m:accPr>
            <m:chr m:val="̅"/>
            <m:ctrlPr>
              <w:rPr>
                <w:rFonts w:ascii="Cambria Math" w:eastAsia="Calibri" w:hAnsi="Cambria Math"/>
                <w:i/>
              </w:rPr>
            </m:ctrlPr>
          </m:accPr>
          <m:e>
            <m:r>
              <w:rPr>
                <w:rFonts w:ascii="Cambria Math" w:eastAsia="Calibri" w:hAnsi="Cambria Math"/>
              </w:rPr>
              <m:t>KG</m:t>
            </m:r>
          </m:e>
        </m:acc>
      </m:oMath>
      <w:r w:rsidR="005624E3" w:rsidRPr="00DB7D1E">
        <w:rPr>
          <w:lang w:val="pt-PT"/>
        </w:rPr>
        <w:tab/>
        <w:t>a terhelt hajó rendszersúlypontjának magassága az alapvonaltól [m];</w:t>
      </w:r>
    </w:p>
    <w:p w:rsidR="005624E3" w:rsidRPr="00DB7D1E" w:rsidRDefault="005624E3" w:rsidP="005624E3">
      <w:pPr>
        <w:pStyle w:val="EStiret"/>
        <w:ind w:left="1701" w:hanging="709"/>
        <w:rPr>
          <w:rFonts w:eastAsia="Calibri"/>
          <w:lang w:val="pt-PT"/>
        </w:rPr>
      </w:pPr>
      <m:oMath>
        <m:r>
          <w:rPr>
            <w:rFonts w:ascii="Cambria Math" w:eastAsia="Calibri" w:hAnsi="Cambria Math"/>
          </w:rPr>
          <m:t>T</m:t>
        </m:r>
        <m:r>
          <w:rPr>
            <w:rFonts w:ascii="Cambria Math" w:eastAsia="Calibri" w:hAnsi="Cambria Math"/>
            <w:lang w:val="pt-PT"/>
          </w:rPr>
          <m:t>'</m:t>
        </m:r>
      </m:oMath>
      <w:r w:rsidRPr="00DB7D1E">
        <w:rPr>
          <w:lang w:val="pt-PT"/>
        </w:rPr>
        <w:tab/>
        <w:t>a terhelt hajó merülése [m].</w:t>
      </w:r>
    </w:p>
    <w:p w:rsidR="005624E3" w:rsidRPr="00DB7D1E" w:rsidRDefault="005624E3" w:rsidP="005624E3">
      <w:pPr>
        <w:pStyle w:val="ESlet"/>
        <w:rPr>
          <w:noProof/>
          <w:lang w:val="pt-PT"/>
        </w:rPr>
      </w:pPr>
    </w:p>
    <w:p w:rsidR="005624E3" w:rsidRPr="00DB7D1E" w:rsidRDefault="005624E3" w:rsidP="005624E3">
      <w:pPr>
        <w:pStyle w:val="ESlet"/>
        <w:rPr>
          <w:noProof/>
          <w:lang w:val="pt-PT"/>
        </w:rPr>
      </w:pPr>
      <w:r w:rsidRPr="00DB7D1E">
        <w:rPr>
          <w:lang w:val="pt-PT"/>
        </w:rPr>
        <w:t>d)</w:t>
      </w:r>
      <w:r w:rsidRPr="00DB7D1E">
        <w:rPr>
          <w:lang w:val="pt-PT"/>
        </w:rPr>
        <w:tab/>
        <w:t>A szélnyomásból adódó dőléskart az alábbi képlet szerint kell meghatározni:</w:t>
      </w:r>
    </w:p>
    <w:p w:rsidR="005624E3" w:rsidRPr="00C903F8" w:rsidRDefault="003142CA" w:rsidP="005624E3">
      <w:pPr>
        <w:pStyle w:val="ESlet"/>
        <w:ind w:left="0"/>
        <w:rPr>
          <w:rFonts w:cs="Arial"/>
          <w:szCs w:val="18"/>
        </w:rPr>
      </w:pPr>
      <m:oMathPara>
        <m:oMath>
          <m:sSub>
            <m:sSubPr>
              <m:ctrlPr>
                <w:rPr>
                  <w:rFonts w:ascii="Cambria Math" w:hAnsi="Cambria Math" w:cs="Arial"/>
                  <w:i/>
                  <w:szCs w:val="18"/>
                </w:rPr>
              </m:ctrlPr>
            </m:sSubPr>
            <m:e>
              <m:r>
                <w:rPr>
                  <w:rFonts w:ascii="Cambria Math" w:hAnsi="Cambria Math" w:cs="Arial"/>
                  <w:szCs w:val="18"/>
                </w:rPr>
                <m:t>h</m:t>
              </m:r>
            </m:e>
            <m:sub>
              <m:r>
                <w:rPr>
                  <w:rFonts w:ascii="Cambria Math" w:hAnsi="Cambria Math" w:cs="Arial"/>
                  <w:szCs w:val="18"/>
                </w:rPr>
                <m:t>KW</m:t>
              </m:r>
            </m:sub>
          </m:sSub>
          <m:r>
            <w:rPr>
              <w:rFonts w:ascii="Cambria Math" w:hAnsi="Cambria Math" w:cs="Arial"/>
              <w:szCs w:val="18"/>
            </w:rPr>
            <m:t xml:space="preserve">= </m:t>
          </m:r>
          <m:sSub>
            <m:sSubPr>
              <m:ctrlPr>
                <w:rPr>
                  <w:rFonts w:ascii="Cambria Math" w:hAnsi="Cambria Math" w:cs="Arial"/>
                  <w:i/>
                  <w:szCs w:val="18"/>
                </w:rPr>
              </m:ctrlPr>
            </m:sSubPr>
            <m:e>
              <m:r>
                <w:rPr>
                  <w:rFonts w:ascii="Cambria Math" w:hAnsi="Cambria Math" w:cs="Arial"/>
                  <w:szCs w:val="18"/>
                </w:rPr>
                <m:t>c</m:t>
              </m:r>
            </m:e>
            <m:sub>
              <m:r>
                <w:rPr>
                  <w:rFonts w:ascii="Cambria Math" w:hAnsi="Cambria Math" w:cs="Arial"/>
                  <w:szCs w:val="18"/>
                </w:rPr>
                <m:t>KW</m:t>
              </m:r>
            </m:sub>
          </m:sSub>
          <m:r>
            <w:rPr>
              <w:rFonts w:ascii="Cambria Math" w:hAnsi="Cambria Math" w:cs="Arial"/>
              <w:szCs w:val="18"/>
            </w:rPr>
            <m:t xml:space="preserve"> ∙ </m:t>
          </m:r>
          <m:f>
            <m:fPr>
              <m:ctrlPr>
                <w:rPr>
                  <w:rFonts w:ascii="Cambria Math" w:hAnsi="Cambria Math" w:cs="Arial"/>
                  <w:i/>
                  <w:szCs w:val="18"/>
                </w:rPr>
              </m:ctrlPr>
            </m:fPr>
            <m:num>
              <m:sSup>
                <m:sSupPr>
                  <m:ctrlPr>
                    <w:rPr>
                      <w:rFonts w:ascii="Cambria Math" w:hAnsi="Cambria Math" w:cs="Arial"/>
                      <w:i/>
                      <w:szCs w:val="18"/>
                    </w:rPr>
                  </m:ctrlPr>
                </m:sSupPr>
                <m:e>
                  <m:r>
                    <w:rPr>
                      <w:rFonts w:ascii="Cambria Math" w:hAnsi="Cambria Math" w:cs="Arial"/>
                      <w:szCs w:val="18"/>
                    </w:rPr>
                    <m:t>A</m:t>
                  </m:r>
                </m:e>
                <m:sup>
                  <m:r>
                    <w:rPr>
                      <w:rFonts w:ascii="Cambria Math" w:hAnsi="Cambria Math" w:cs="Arial"/>
                      <w:szCs w:val="18"/>
                    </w:rPr>
                    <m:t>'</m:t>
                  </m:r>
                </m:sup>
              </m:sSup>
            </m:num>
            <m:den>
              <m:sSup>
                <m:sSupPr>
                  <m:ctrlPr>
                    <w:rPr>
                      <w:rFonts w:ascii="Cambria Math" w:hAnsi="Cambria Math" w:cs="Arial"/>
                      <w:i/>
                      <w:szCs w:val="18"/>
                    </w:rPr>
                  </m:ctrlPr>
                </m:sSupPr>
                <m:e>
                  <m:r>
                    <w:rPr>
                      <w:rFonts w:ascii="Cambria Math" w:hAnsi="Cambria Math" w:cs="Arial"/>
                      <w:szCs w:val="18"/>
                    </w:rPr>
                    <m:t>D</m:t>
                  </m:r>
                </m:e>
                <m:sup>
                  <m:r>
                    <w:rPr>
                      <w:rFonts w:ascii="Cambria Math" w:hAnsi="Cambria Math" w:cs="Arial"/>
                      <w:szCs w:val="18"/>
                    </w:rPr>
                    <m:t>'</m:t>
                  </m:r>
                </m:sup>
              </m:sSup>
            </m:den>
          </m:f>
          <m:r>
            <w:rPr>
              <w:rFonts w:ascii="Cambria Math" w:hAnsi="Cambria Math" w:cs="Arial"/>
              <w:szCs w:val="18"/>
            </w:rPr>
            <m:t xml:space="preserve"> ∙ </m:t>
          </m:r>
          <m:d>
            <m:dPr>
              <m:ctrlPr>
                <w:rPr>
                  <w:rFonts w:ascii="Cambria Math" w:hAnsi="Cambria Math" w:cs="Arial"/>
                  <w:i/>
                  <w:szCs w:val="18"/>
                </w:rPr>
              </m:ctrlPr>
            </m:dPr>
            <m:e>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W</m:t>
                  </m:r>
                </m:sub>
              </m:sSub>
              <m:r>
                <w:rPr>
                  <w:rFonts w:ascii="Cambria Math" w:hAnsi="Cambria Math" w:cs="Arial"/>
                  <w:szCs w:val="18"/>
                </w:rPr>
                <m:t xml:space="preserve">+ </m:t>
              </m:r>
              <m:f>
                <m:fPr>
                  <m:ctrlPr>
                    <w:rPr>
                      <w:rFonts w:ascii="Cambria Math" w:hAnsi="Cambria Math" w:cs="Arial"/>
                      <w:i/>
                      <w:szCs w:val="18"/>
                    </w:rPr>
                  </m:ctrlPr>
                </m:fPr>
                <m:num>
                  <m:sSup>
                    <m:sSupPr>
                      <m:ctrlPr>
                        <w:rPr>
                          <w:rFonts w:ascii="Cambria Math" w:hAnsi="Cambria Math" w:cs="Arial"/>
                          <w:i/>
                          <w:szCs w:val="18"/>
                        </w:rPr>
                      </m:ctrlPr>
                    </m:sSupPr>
                    <m:e>
                      <m:r>
                        <w:rPr>
                          <w:rFonts w:ascii="Cambria Math" w:hAnsi="Cambria Math" w:cs="Arial"/>
                          <w:szCs w:val="18"/>
                        </w:rPr>
                        <m:t>T</m:t>
                      </m:r>
                    </m:e>
                    <m:sup>
                      <m:r>
                        <w:rPr>
                          <w:rFonts w:ascii="Cambria Math" w:hAnsi="Cambria Math" w:cs="Arial"/>
                          <w:szCs w:val="18"/>
                        </w:rPr>
                        <m:t>'</m:t>
                      </m:r>
                    </m:sup>
                  </m:sSup>
                </m:num>
                <m:den>
                  <m:r>
                    <w:rPr>
                      <w:rFonts w:ascii="Cambria Math" w:hAnsi="Cambria Math" w:cs="Arial"/>
                      <w:szCs w:val="18"/>
                    </w:rPr>
                    <m:t>2</m:t>
                  </m:r>
                </m:den>
              </m:f>
            </m:e>
          </m:d>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5624E3" w:rsidRPr="00DB7D1E" w:rsidRDefault="005624E3" w:rsidP="005624E3">
      <w:pPr>
        <w:pStyle w:val="EStiret"/>
        <w:rPr>
          <w:rFonts w:eastAsia="Calibri"/>
          <w:szCs w:val="20"/>
          <w:lang w:val="fr-FR"/>
        </w:rPr>
      </w:pPr>
      <w:r w:rsidRPr="00DB7D1E">
        <w:rPr>
          <w:lang w:val="fr-FR"/>
        </w:rPr>
        <w:t>ahol:</w:t>
      </w:r>
    </w:p>
    <w:p w:rsidR="005624E3" w:rsidRPr="00DB7D1E" w:rsidRDefault="003142CA" w:rsidP="005624E3">
      <w:pPr>
        <w:pStyle w:val="EStiret"/>
        <w:ind w:left="1701" w:hanging="709"/>
        <w:rPr>
          <w:rFonts w:eastAsia="Calibri"/>
          <w:szCs w:val="20"/>
          <w:lang w:val="fr-FR"/>
        </w:rPr>
      </w:pPr>
      <m:oMath>
        <m:sSub>
          <m:sSubPr>
            <m:ctrlPr>
              <w:rPr>
                <w:rFonts w:ascii="Cambria Math" w:eastAsia="Calibri" w:hAnsi="Cambria Math"/>
                <w:i/>
              </w:rPr>
            </m:ctrlPr>
          </m:sSubPr>
          <m:e>
            <m:r>
              <w:rPr>
                <w:rFonts w:ascii="Cambria Math" w:eastAsia="Calibri" w:hAnsi="Cambria Math"/>
              </w:rPr>
              <m:t>c</m:t>
            </m:r>
          </m:e>
          <m:sub>
            <m:r>
              <w:rPr>
                <w:rFonts w:ascii="Cambria Math" w:eastAsia="Calibri" w:hAnsi="Cambria Math"/>
              </w:rPr>
              <m:t>KW</m:t>
            </m:r>
          </m:sub>
        </m:sSub>
      </m:oMath>
      <w:r w:rsidR="005624E3" w:rsidRPr="00DB7D1E">
        <w:rPr>
          <w:lang w:val="fr-FR"/>
        </w:rPr>
        <w:tab/>
        <w:t xml:space="preserve">a </w:t>
      </w:r>
      <m:oMath>
        <m:d>
          <m:dPr>
            <m:ctrlPr>
              <w:rPr>
                <w:rFonts w:ascii="Cambria Math" w:eastAsia="Calibri" w:hAnsi="Cambria Math"/>
                <w:i/>
                <w:szCs w:val="16"/>
              </w:rPr>
            </m:ctrlPr>
          </m:dPr>
          <m:e>
            <m:sSub>
              <m:sSubPr>
                <m:ctrlPr>
                  <w:rPr>
                    <w:rFonts w:ascii="Cambria Math" w:eastAsia="Calibri" w:hAnsi="Cambria Math"/>
                    <w:i/>
                    <w:szCs w:val="16"/>
                  </w:rPr>
                </m:ctrlPr>
              </m:sSubPr>
              <m:e>
                <m:r>
                  <w:rPr>
                    <w:rFonts w:ascii="Cambria Math" w:eastAsia="Calibri" w:hAnsi="Cambria Math"/>
                    <w:szCs w:val="16"/>
                  </w:rPr>
                  <m:t>c</m:t>
                </m:r>
              </m:e>
              <m:sub>
                <m:r>
                  <w:rPr>
                    <w:rFonts w:ascii="Cambria Math" w:eastAsia="Calibri" w:hAnsi="Cambria Math"/>
                    <w:szCs w:val="16"/>
                  </w:rPr>
                  <m:t>KW</m:t>
                </m:r>
              </m:sub>
            </m:sSub>
            <m:r>
              <w:rPr>
                <w:rFonts w:ascii="Cambria Math" w:eastAsia="Calibri" w:hAnsi="Cambria Math"/>
                <w:szCs w:val="16"/>
                <w:lang w:val="fr-FR"/>
              </w:rPr>
              <m:t>=0,025</m:t>
            </m:r>
          </m:e>
        </m:d>
      </m:oMath>
      <w:r w:rsidR="005624E3" w:rsidRPr="00DB7D1E">
        <w:rPr>
          <w:lang w:val="fr-FR"/>
        </w:rPr>
        <w:t xml:space="preserve"> tényező [t/m</w:t>
      </w:r>
      <w:r w:rsidR="005624E3" w:rsidRPr="00DB7D1E">
        <w:rPr>
          <w:position w:val="6"/>
          <w:sz w:val="16"/>
          <w:lang w:val="fr-FR"/>
        </w:rPr>
        <w:t>2</w:t>
      </w:r>
      <w:r w:rsidR="005624E3" w:rsidRPr="00DB7D1E">
        <w:rPr>
          <w:lang w:val="fr-FR"/>
        </w:rPr>
        <w:t>];</w:t>
      </w:r>
    </w:p>
    <w:p w:rsidR="005624E3" w:rsidRPr="00DB7D1E" w:rsidRDefault="005624E3" w:rsidP="005624E3">
      <w:pPr>
        <w:pStyle w:val="EStiret"/>
        <w:ind w:left="1701" w:hanging="709"/>
        <w:rPr>
          <w:rFonts w:eastAsia="Calibri"/>
          <w:szCs w:val="20"/>
          <w:lang w:val="fr-FR"/>
        </w:rPr>
      </w:pPr>
      <m:oMath>
        <m:r>
          <w:rPr>
            <w:rFonts w:ascii="Cambria Math" w:eastAsia="Calibri" w:hAnsi="Cambria Math"/>
            <w:szCs w:val="20"/>
          </w:rPr>
          <m:t>A</m:t>
        </m:r>
        <m:r>
          <w:rPr>
            <w:rFonts w:ascii="Cambria Math" w:eastAsia="Calibri" w:hAnsi="Cambria Math"/>
            <w:szCs w:val="20"/>
            <w:lang w:val="fr-FR"/>
          </w:rPr>
          <m:t>'</m:t>
        </m:r>
      </m:oMath>
      <w:r w:rsidRPr="00DB7D1E">
        <w:rPr>
          <w:lang w:val="fr-FR"/>
        </w:rPr>
        <w:tab/>
        <w:t>a terhelt hajó víz feletti oldalsíkja [m</w:t>
      </w:r>
      <w:r w:rsidRPr="00DB7D1E">
        <w:rPr>
          <w:vertAlign w:val="superscript"/>
          <w:lang w:val="fr-FR"/>
        </w:rPr>
        <w:t>2</w:t>
      </w:r>
      <w:r w:rsidRPr="00DB7D1E">
        <w:rPr>
          <w:lang w:val="fr-FR"/>
        </w:rPr>
        <w:t xml:space="preserve">]; </w:t>
      </w:r>
    </w:p>
    <w:p w:rsidR="005624E3" w:rsidRPr="00DB7D1E" w:rsidRDefault="005624E3" w:rsidP="005624E3">
      <w:pPr>
        <w:pStyle w:val="EStiret"/>
        <w:ind w:left="1701" w:hanging="709"/>
        <w:rPr>
          <w:rFonts w:eastAsia="Calibri"/>
          <w:szCs w:val="20"/>
          <w:lang w:val="fr-FR"/>
        </w:rPr>
      </w:pPr>
      <m:oMath>
        <m:r>
          <w:rPr>
            <w:rFonts w:ascii="Cambria Math" w:eastAsia="Calibri" w:hAnsi="Cambria Math"/>
            <w:szCs w:val="20"/>
          </w:rPr>
          <m:t>D</m:t>
        </m:r>
        <m:r>
          <w:rPr>
            <w:rFonts w:ascii="Cambria Math" w:eastAsia="Calibri" w:hAnsi="Cambria Math"/>
            <w:szCs w:val="20"/>
            <w:lang w:val="fr-FR"/>
          </w:rPr>
          <m:t>'</m:t>
        </m:r>
      </m:oMath>
      <w:r w:rsidRPr="00DB7D1E">
        <w:rPr>
          <w:lang w:val="fr-FR"/>
        </w:rPr>
        <w:tab/>
        <w:t>a terhelt hajó vízkiszorítási tömege [t];</w:t>
      </w:r>
    </w:p>
    <w:p w:rsidR="005624E3" w:rsidRPr="00DB7D1E" w:rsidRDefault="003142CA" w:rsidP="005624E3">
      <w:pPr>
        <w:pStyle w:val="EStiret"/>
        <w:ind w:left="1701" w:hanging="709"/>
        <w:rPr>
          <w:rFonts w:eastAsia="Calibri"/>
          <w:szCs w:val="20"/>
          <w:lang w:val="fr-FR"/>
        </w:rPr>
      </w:pPr>
      <m:oMath>
        <m:sSub>
          <m:sSubPr>
            <m:ctrlPr>
              <w:rPr>
                <w:rFonts w:ascii="Cambria Math" w:eastAsia="Calibri" w:hAnsi="Cambria Math"/>
                <w:i/>
                <w:szCs w:val="20"/>
              </w:rPr>
            </m:ctrlPr>
          </m:sSubPr>
          <m:e>
            <m:r>
              <w:rPr>
                <w:rFonts w:ascii="Cambria Math" w:eastAsia="Calibri" w:hAnsi="Cambria Math"/>
                <w:szCs w:val="20"/>
              </w:rPr>
              <m:t>l</m:t>
            </m:r>
          </m:e>
          <m:sub>
            <m:r>
              <w:rPr>
                <w:rFonts w:ascii="Cambria Math" w:eastAsia="Calibri" w:hAnsi="Cambria Math"/>
                <w:szCs w:val="20"/>
              </w:rPr>
              <m:t>W</m:t>
            </m:r>
          </m:sub>
        </m:sSub>
      </m:oMath>
      <w:r w:rsidR="005624E3" w:rsidRPr="00DB7D1E">
        <w:rPr>
          <w:lang w:val="fr-FR"/>
        </w:rPr>
        <w:tab/>
        <w:t>a szélnek kitett A’ felület középpontjának magassága az adott merülés síkjától [m];</w:t>
      </w:r>
    </w:p>
    <w:p w:rsidR="005624E3" w:rsidRPr="00DB7D1E" w:rsidRDefault="005624E3" w:rsidP="005624E3">
      <w:pPr>
        <w:pStyle w:val="EStiret"/>
        <w:ind w:left="1701" w:hanging="709"/>
        <w:rPr>
          <w:rFonts w:eastAsia="Calibri"/>
          <w:szCs w:val="20"/>
          <w:lang w:val="fr-FR"/>
        </w:rPr>
      </w:pPr>
      <m:oMath>
        <m:r>
          <w:rPr>
            <w:rFonts w:ascii="Cambria Math" w:eastAsia="Calibri" w:hAnsi="Cambria Math"/>
            <w:szCs w:val="20"/>
          </w:rPr>
          <m:t>T</m:t>
        </m:r>
        <m:r>
          <w:rPr>
            <w:rFonts w:ascii="Cambria Math" w:eastAsia="Calibri" w:hAnsi="Cambria Math"/>
            <w:szCs w:val="20"/>
            <w:lang w:val="fr-FR"/>
          </w:rPr>
          <m:t>'</m:t>
        </m:r>
      </m:oMath>
      <w:r w:rsidRPr="00DB7D1E">
        <w:rPr>
          <w:lang w:val="fr-FR"/>
        </w:rPr>
        <w:tab/>
        <w:t>a terhelt hajó merülése [m].</w:t>
      </w:r>
    </w:p>
    <w:p w:rsidR="005624E3" w:rsidRPr="00DB7D1E" w:rsidRDefault="005624E3" w:rsidP="005624E3">
      <w:pPr>
        <w:pStyle w:val="ESch"/>
        <w:rPr>
          <w:noProof/>
          <w:lang w:val="fr-FR"/>
        </w:rPr>
      </w:pPr>
    </w:p>
    <w:p w:rsidR="005624E3" w:rsidRPr="00DB7D1E" w:rsidRDefault="005624E3" w:rsidP="005624E3">
      <w:pPr>
        <w:pStyle w:val="ESlet"/>
        <w:rPr>
          <w:noProof/>
          <w:lang w:val="fr-FR"/>
        </w:rPr>
      </w:pPr>
      <w:r w:rsidRPr="00DB7D1E">
        <w:rPr>
          <w:lang w:val="fr-FR"/>
        </w:rPr>
        <w:t>e)</w:t>
      </w:r>
      <w:r w:rsidRPr="00DB7D1E">
        <w:rPr>
          <w:lang w:val="fr-FR"/>
        </w:rPr>
        <w:tab/>
        <w:t>Az esővíz és a rakománytérben vagy a duplafenékben visszamaradó víz szabad felületeiből adódó dőléskart az alábbi képlettel kell meghatározni:</w:t>
      </w:r>
    </w:p>
    <w:p w:rsidR="005624E3" w:rsidRPr="00C903F8" w:rsidRDefault="003142CA" w:rsidP="005624E3">
      <w:pPr>
        <w:pStyle w:val="ESlet"/>
        <w:ind w:left="0"/>
        <w:rPr>
          <w:rFonts w:cs="Arial"/>
          <w:szCs w:val="18"/>
        </w:rPr>
      </w:pPr>
      <m:oMathPara>
        <m:oMath>
          <m:sSub>
            <m:sSubPr>
              <m:ctrlPr>
                <w:rPr>
                  <w:rFonts w:ascii="Cambria Math" w:hAnsi="Cambria Math" w:cs="Arial"/>
                  <w:i/>
                  <w:szCs w:val="18"/>
                </w:rPr>
              </m:ctrlPr>
            </m:sSubPr>
            <m:e>
              <m:r>
                <w:rPr>
                  <w:rFonts w:ascii="Cambria Math" w:hAnsi="Cambria Math" w:cs="Arial"/>
                  <w:szCs w:val="18"/>
                </w:rPr>
                <m:t>h</m:t>
              </m:r>
            </m:e>
            <m:sub>
              <m:r>
                <w:rPr>
                  <w:rFonts w:ascii="Cambria Math" w:hAnsi="Cambria Math" w:cs="Arial"/>
                  <w:szCs w:val="18"/>
                </w:rPr>
                <m:t>KfO</m:t>
              </m:r>
            </m:sub>
          </m:sSub>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c</m:t>
                  </m:r>
                </m:e>
                <m:sub>
                  <m:r>
                    <w:rPr>
                      <w:rFonts w:ascii="Cambria Math" w:hAnsi="Cambria Math" w:cs="Arial"/>
                      <w:szCs w:val="18"/>
                    </w:rPr>
                    <m:t>KfO</m:t>
                  </m:r>
                </m:sub>
              </m:sSub>
            </m:num>
            <m:den>
              <m:r>
                <w:rPr>
                  <w:rFonts w:ascii="Cambria Math" w:hAnsi="Cambria Math" w:cs="Arial"/>
                  <w:szCs w:val="18"/>
                </w:rPr>
                <m:t>D'</m:t>
              </m:r>
            </m:den>
          </m:f>
          <m:r>
            <w:rPr>
              <w:rFonts w:ascii="Cambria Math" w:hAnsi="Cambria Math" w:cs="Arial"/>
              <w:szCs w:val="18"/>
            </w:rPr>
            <m:t xml:space="preserve"> ∙ </m:t>
          </m:r>
          <m:nary>
            <m:naryPr>
              <m:chr m:val="∑"/>
              <m:limLoc m:val="undOvr"/>
              <m:subHide m:val="1"/>
              <m:supHide m:val="1"/>
              <m:ctrlPr>
                <w:rPr>
                  <w:rFonts w:ascii="Cambria Math" w:hAnsi="Cambria Math" w:cs="Arial"/>
                  <w:i/>
                  <w:szCs w:val="18"/>
                </w:rPr>
              </m:ctrlPr>
            </m:naryPr>
            <m:sub/>
            <m:sup/>
            <m:e>
              <m:d>
                <m:dPr>
                  <m:ctrlPr>
                    <w:rPr>
                      <w:rFonts w:ascii="Cambria Math" w:hAnsi="Cambria Math" w:cs="Arial"/>
                      <w:i/>
                      <w:szCs w:val="18"/>
                    </w:rPr>
                  </m:ctrlPr>
                </m:dPr>
                <m:e>
                  <m:r>
                    <w:rPr>
                      <w:rFonts w:ascii="Cambria Math" w:hAnsi="Cambria Math" w:cs="Arial"/>
                      <w:szCs w:val="18"/>
                    </w:rPr>
                    <m:t xml:space="preserve">b ∙l ∙ </m:t>
                  </m:r>
                  <m:d>
                    <m:dPr>
                      <m:ctrlPr>
                        <w:rPr>
                          <w:rFonts w:ascii="Cambria Math" w:hAnsi="Cambria Math" w:cs="Arial"/>
                          <w:i/>
                          <w:szCs w:val="18"/>
                        </w:rPr>
                      </m:ctrlPr>
                    </m:dPr>
                    <m:e>
                      <m:r>
                        <w:rPr>
                          <w:rFonts w:ascii="Cambria Math" w:hAnsi="Cambria Math" w:cs="Arial"/>
                          <w:szCs w:val="18"/>
                        </w:rPr>
                        <m:t xml:space="preserve">b-0,55 </m:t>
                      </m:r>
                      <m:rad>
                        <m:radPr>
                          <m:degHide m:val="1"/>
                          <m:ctrlPr>
                            <w:rPr>
                              <w:rFonts w:ascii="Cambria Math" w:hAnsi="Cambria Math" w:cs="Arial"/>
                              <w:i/>
                              <w:szCs w:val="18"/>
                            </w:rPr>
                          </m:ctrlPr>
                        </m:radPr>
                        <m:deg/>
                        <m:e>
                          <m:r>
                            <w:rPr>
                              <w:rFonts w:ascii="Cambria Math" w:hAnsi="Cambria Math" w:cs="Arial"/>
                              <w:szCs w:val="18"/>
                            </w:rPr>
                            <m:t>b</m:t>
                          </m:r>
                        </m:e>
                      </m:rad>
                    </m:e>
                  </m:d>
                </m:e>
              </m:d>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e>
          </m:nary>
        </m:oMath>
      </m:oMathPara>
    </w:p>
    <w:p w:rsidR="005624E3" w:rsidRPr="00DB7D1E" w:rsidRDefault="005624E3" w:rsidP="005624E3">
      <w:pPr>
        <w:pStyle w:val="EStiret"/>
        <w:rPr>
          <w:rFonts w:cs="Arial"/>
          <w:szCs w:val="20"/>
          <w:lang w:val="fr-FR"/>
        </w:rPr>
      </w:pPr>
      <w:r w:rsidRPr="00DB7D1E">
        <w:rPr>
          <w:lang w:val="fr-FR"/>
        </w:rPr>
        <w:t>ahol:</w:t>
      </w:r>
    </w:p>
    <w:p w:rsidR="005624E3" w:rsidRPr="00DB7D1E" w:rsidRDefault="003142CA" w:rsidP="005624E3">
      <w:pPr>
        <w:pStyle w:val="EStiret"/>
        <w:ind w:left="1701" w:hanging="709"/>
        <w:rPr>
          <w:rFonts w:eastAsia="Calibri" w:cs="Arial"/>
          <w:szCs w:val="20"/>
          <w:lang w:val="fr-FR"/>
        </w:rPr>
      </w:pPr>
      <m:oMath>
        <m:sSub>
          <m:sSubPr>
            <m:ctrlPr>
              <w:rPr>
                <w:rFonts w:ascii="Cambria Math" w:eastAsia="Calibri" w:hAnsi="Cambria Math"/>
                <w:i/>
              </w:rPr>
            </m:ctrlPr>
          </m:sSubPr>
          <m:e>
            <m:r>
              <w:rPr>
                <w:rFonts w:ascii="Cambria Math" w:eastAsia="Calibri" w:hAnsi="Cambria Math"/>
              </w:rPr>
              <m:t>c</m:t>
            </m:r>
          </m:e>
          <m:sub>
            <m:r>
              <w:rPr>
                <w:rFonts w:ascii="Cambria Math" w:eastAsia="Calibri" w:hAnsi="Cambria Math"/>
              </w:rPr>
              <m:t>KfO</m:t>
            </m:r>
          </m:sub>
        </m:sSub>
      </m:oMath>
      <w:r w:rsidR="005624E3" w:rsidRPr="00DB7D1E">
        <w:rPr>
          <w:lang w:val="fr-FR"/>
        </w:rPr>
        <w:tab/>
        <w:t xml:space="preserve">a </w:t>
      </w:r>
      <m:oMath>
        <m:d>
          <m:dPr>
            <m:ctrlPr>
              <w:rPr>
                <w:rFonts w:ascii="Cambria Math" w:eastAsia="Calibri" w:hAnsi="Cambria Math"/>
                <w:i/>
                <w:szCs w:val="16"/>
              </w:rPr>
            </m:ctrlPr>
          </m:dPr>
          <m:e>
            <m:sSub>
              <m:sSubPr>
                <m:ctrlPr>
                  <w:rPr>
                    <w:rFonts w:ascii="Cambria Math" w:eastAsia="Calibri" w:hAnsi="Cambria Math"/>
                    <w:i/>
                    <w:szCs w:val="16"/>
                  </w:rPr>
                </m:ctrlPr>
              </m:sSubPr>
              <m:e>
                <m:r>
                  <w:rPr>
                    <w:rFonts w:ascii="Cambria Math" w:eastAsia="Calibri" w:hAnsi="Cambria Math"/>
                    <w:szCs w:val="16"/>
                  </w:rPr>
                  <m:t>c</m:t>
                </m:r>
              </m:e>
              <m:sub>
                <m:r>
                  <w:rPr>
                    <w:rFonts w:ascii="Cambria Math" w:eastAsia="Calibri" w:hAnsi="Cambria Math"/>
                    <w:szCs w:val="16"/>
                  </w:rPr>
                  <m:t>KfO</m:t>
                </m:r>
              </m:sub>
            </m:sSub>
            <m:r>
              <w:rPr>
                <w:rFonts w:ascii="Cambria Math" w:eastAsia="Calibri" w:hAnsi="Cambria Math"/>
                <w:szCs w:val="16"/>
                <w:lang w:val="fr-FR"/>
              </w:rPr>
              <m:t>=0,015</m:t>
            </m:r>
          </m:e>
        </m:d>
      </m:oMath>
      <w:r w:rsidR="005624E3" w:rsidRPr="00DB7D1E">
        <w:rPr>
          <w:lang w:val="fr-FR"/>
        </w:rPr>
        <w:t xml:space="preserve"> tényező [t/m</w:t>
      </w:r>
      <w:r w:rsidR="005624E3" w:rsidRPr="00DB7D1E">
        <w:rPr>
          <w:position w:val="6"/>
          <w:sz w:val="16"/>
          <w:lang w:val="fr-FR"/>
        </w:rPr>
        <w:t>2</w:t>
      </w:r>
      <w:r w:rsidR="005624E3" w:rsidRPr="00DB7D1E">
        <w:rPr>
          <w:lang w:val="fr-FR"/>
        </w:rPr>
        <w:t>];</w:t>
      </w:r>
    </w:p>
    <w:p w:rsidR="005624E3" w:rsidRPr="00DB7D1E" w:rsidRDefault="005624E3" w:rsidP="005624E3">
      <w:pPr>
        <w:pStyle w:val="EStiret"/>
        <w:ind w:left="1701" w:hanging="709"/>
        <w:rPr>
          <w:rFonts w:eastAsia="Calibri" w:cs="Arial"/>
          <w:szCs w:val="20"/>
          <w:lang w:val="fr-FR"/>
        </w:rPr>
      </w:pPr>
      <m:oMath>
        <m:r>
          <w:rPr>
            <w:rFonts w:ascii="Cambria Math" w:eastAsia="Calibri" w:hAnsi="Cambria Math" w:cs="Arial"/>
            <w:szCs w:val="20"/>
          </w:rPr>
          <m:t>b</m:t>
        </m:r>
      </m:oMath>
      <w:r w:rsidRPr="00DB7D1E">
        <w:rPr>
          <w:lang w:val="fr-FR"/>
        </w:rPr>
        <w:tab/>
        <w:t>a szóban forgó rakománytér vagy rakománytérrész szélessége [m]</w:t>
      </w:r>
      <w:r w:rsidRPr="00DB7D1E">
        <w:rPr>
          <w:rStyle w:val="FootnoteReference"/>
          <w:lang w:val="fr-FR"/>
        </w:rPr>
        <w:footnoteReference w:customMarkFollows="1" w:id="23"/>
        <w:t>*</w:t>
      </w:r>
      <w:r w:rsidRPr="00DB7D1E">
        <w:rPr>
          <w:lang w:val="fr-FR"/>
        </w:rPr>
        <w:t>;</w:t>
      </w:r>
    </w:p>
    <w:p w:rsidR="005624E3" w:rsidRPr="00DB7D1E" w:rsidRDefault="005624E3" w:rsidP="005624E3">
      <w:pPr>
        <w:pStyle w:val="EStiret"/>
        <w:ind w:left="1701" w:hanging="709"/>
        <w:rPr>
          <w:rFonts w:eastAsia="Calibri" w:cs="Arial"/>
          <w:szCs w:val="20"/>
          <w:vertAlign w:val="superscript"/>
          <w:lang w:val="fr-FR"/>
        </w:rPr>
      </w:pPr>
      <m:oMath>
        <m:r>
          <w:rPr>
            <w:rFonts w:ascii="Cambria Math" w:eastAsia="Calibri" w:hAnsi="Cambria Math" w:cs="Arial"/>
            <w:szCs w:val="20"/>
          </w:rPr>
          <m:t>l</m:t>
        </m:r>
      </m:oMath>
      <w:r w:rsidRPr="00DB7D1E">
        <w:rPr>
          <w:lang w:val="fr-FR"/>
        </w:rPr>
        <w:tab/>
        <w:t>a szóban forgó rakománytér vagy rakománytérrész hossza [m]</w:t>
      </w:r>
      <w:r w:rsidRPr="00DB7D1E">
        <w:rPr>
          <w:vertAlign w:val="superscript"/>
          <w:lang w:val="fr-FR"/>
        </w:rPr>
        <w:t>*</w:t>
      </w:r>
      <w:r w:rsidRPr="00DB7D1E">
        <w:rPr>
          <w:lang w:val="fr-FR"/>
        </w:rPr>
        <w:t>;</w:t>
      </w:r>
    </w:p>
    <w:p w:rsidR="005624E3" w:rsidRPr="00DB7D1E" w:rsidRDefault="005624E3" w:rsidP="005624E3">
      <w:pPr>
        <w:pStyle w:val="EStiret"/>
        <w:ind w:left="1701" w:hanging="709"/>
        <w:rPr>
          <w:rFonts w:eastAsia="Calibri" w:cs="Arial"/>
          <w:szCs w:val="20"/>
          <w:lang w:val="fr-FR"/>
        </w:rPr>
      </w:pPr>
      <m:oMath>
        <m:r>
          <w:rPr>
            <w:rFonts w:ascii="Cambria Math" w:eastAsia="Calibri" w:hAnsi="Cambria Math" w:cs="Arial"/>
            <w:szCs w:val="20"/>
          </w:rPr>
          <m:t>D</m:t>
        </m:r>
        <m:r>
          <w:rPr>
            <w:rFonts w:ascii="Cambria Math" w:eastAsia="Calibri" w:hAnsi="Cambria Math" w:cs="Arial"/>
            <w:szCs w:val="20"/>
            <w:lang w:val="fr-FR"/>
          </w:rPr>
          <m:t>'</m:t>
        </m:r>
      </m:oMath>
      <w:r w:rsidRPr="00DB7D1E">
        <w:rPr>
          <w:lang w:val="fr-FR"/>
        </w:rPr>
        <w:tab/>
        <w:t>a terhelt hajó vízkiszorítási tömege [t].</w:t>
      </w:r>
    </w:p>
    <w:p w:rsidR="005624E3" w:rsidRPr="00DB7D1E" w:rsidRDefault="005624E3" w:rsidP="005624E3">
      <w:pPr>
        <w:pStyle w:val="ESch"/>
        <w:rPr>
          <w:noProof/>
          <w:lang w:val="fr-FR"/>
        </w:rPr>
      </w:pPr>
    </w:p>
    <w:p w:rsidR="005624E3" w:rsidRPr="00DB7D1E" w:rsidRDefault="005624E3" w:rsidP="005624E3">
      <w:pPr>
        <w:pStyle w:val="ESlet"/>
        <w:rPr>
          <w:rFonts w:cs="Arial"/>
          <w:szCs w:val="18"/>
          <w:lang w:val="fr-FR"/>
        </w:rPr>
      </w:pPr>
      <w:r w:rsidRPr="00DB7D1E">
        <w:rPr>
          <w:lang w:val="fr-FR"/>
        </w:rPr>
        <w:t>f)</w:t>
      </w:r>
      <w:r w:rsidRPr="00DB7D1E">
        <w:rPr>
          <w:lang w:val="fr-FR"/>
        </w:rPr>
        <w:tab/>
        <w:t>Minden terhelési körülmény esetében figyelembe kell venni a tüzelőanyag és az édesvízellátmány felét.</w:t>
      </w:r>
    </w:p>
    <w:p w:rsidR="005624E3" w:rsidRPr="00DB7D1E" w:rsidRDefault="005624E3" w:rsidP="005624E3">
      <w:pPr>
        <w:pStyle w:val="ESch"/>
        <w:rPr>
          <w:noProof/>
          <w:lang w:val="fr-FR"/>
        </w:rPr>
      </w:pPr>
    </w:p>
    <w:p w:rsidR="005624E3" w:rsidRPr="00DB7D1E" w:rsidRDefault="005624E3" w:rsidP="005624E3">
      <w:pPr>
        <w:pStyle w:val="ESch"/>
        <w:rPr>
          <w:noProof/>
          <w:lang w:val="fr-FR"/>
        </w:rPr>
      </w:pPr>
      <w:r w:rsidRPr="00DB7D1E">
        <w:rPr>
          <w:lang w:val="fr-FR"/>
        </w:rPr>
        <w:t>2.</w:t>
      </w:r>
      <w:r w:rsidRPr="00DB7D1E">
        <w:rPr>
          <w:lang w:val="fr-FR"/>
        </w:rPr>
        <w:tab/>
        <w:t xml:space="preserve">A nem rögzített konténereket szállító hajó stabilitását akkor kell kielégítőnek tekinteni, ha a tényleges </w:t>
      </w:r>
      <m:oMath>
        <m:acc>
          <m:accPr>
            <m:chr m:val="̅"/>
            <m:ctrlPr>
              <w:rPr>
                <w:rFonts w:ascii="Cambria Math" w:hAnsi="Cambria Math"/>
                <w:i/>
                <w:noProof/>
              </w:rPr>
            </m:ctrlPr>
          </m:accPr>
          <m:e>
            <m:r>
              <w:rPr>
                <w:rFonts w:ascii="Cambria Math" w:hAnsi="Cambria Math"/>
                <w:noProof/>
              </w:rPr>
              <m:t>KG</m:t>
            </m:r>
          </m:e>
        </m:acc>
      </m:oMath>
      <w:r w:rsidRPr="00DB7D1E">
        <w:rPr>
          <w:lang w:val="fr-FR"/>
        </w:rPr>
        <w:t xml:space="preserve"> nem haladja meg az alábbi képletekből adódó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rsidRPr="00DB7D1E">
        <w:rPr>
          <w:lang w:val="fr-FR"/>
        </w:rPr>
        <w:t xml:space="preserve"> értékét. A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rsidRPr="00DB7D1E">
        <w:rPr>
          <w:lang w:val="fr-FR"/>
        </w:rPr>
        <w:t>-t ki kell számítani a vízkiszorítási tömeg egész merülési skálára kiterjedő különböző értékeire.</w:t>
      </w:r>
    </w:p>
    <w:p w:rsidR="005624E3" w:rsidRPr="00DB7D1E" w:rsidRDefault="005624E3" w:rsidP="005624E3">
      <w:pPr>
        <w:pStyle w:val="ESch"/>
        <w:rPr>
          <w:noProof/>
          <w:lang w:val="fr-FR"/>
        </w:rPr>
      </w:pPr>
    </w:p>
    <w:p w:rsidR="005624E3" w:rsidRPr="00DB7D1E" w:rsidRDefault="005624E3" w:rsidP="005624E3">
      <w:pPr>
        <w:pStyle w:val="ESch"/>
        <w:rPr>
          <w:rFonts w:cs="Arial"/>
          <w:szCs w:val="18"/>
          <w:lang w:val="fr-FR"/>
        </w:rPr>
      </w:pPr>
      <w:r w:rsidRPr="00DB7D1E">
        <w:rPr>
          <w:lang w:val="fr-FR"/>
        </w:rPr>
        <w:br w:type="page"/>
      </w:r>
    </w:p>
    <w:p w:rsidR="005624E3" w:rsidRPr="00C903F8" w:rsidRDefault="005624E3" w:rsidP="005624E3">
      <w:pPr>
        <w:pStyle w:val="ESlet"/>
        <w:rPr>
          <w:rFonts w:eastAsia="Calibri"/>
          <w:noProof/>
        </w:rPr>
      </w:pPr>
      <w:r>
        <w:t>a)</w:t>
      </w:r>
    </w:p>
    <w:p w:rsidR="005624E3" w:rsidRPr="00C903F8" w:rsidRDefault="003142CA" w:rsidP="005624E3">
      <w:pPr>
        <w:pStyle w:val="ESlet"/>
        <w:ind w:left="0"/>
        <w:rPr>
          <w:rFonts w:eastAsia="Calibri"/>
        </w:rPr>
      </w:pPr>
      <m:oMathPara>
        <m:oMath>
          <m:sSub>
            <m:sSubPr>
              <m:ctrlPr>
                <w:rPr>
                  <w:rFonts w:ascii="Cambria Math" w:eastAsia="Calibri" w:hAnsi="Cambria Math"/>
                  <w:i/>
                </w:rPr>
              </m:ctrlPr>
            </m:sSubPr>
            <m:e>
              <m:acc>
                <m:accPr>
                  <m:chr m:val="̅"/>
                  <m:ctrlPr>
                    <w:rPr>
                      <w:rFonts w:ascii="Cambria Math" w:eastAsia="Calibri" w:hAnsi="Cambria Math"/>
                      <w:i/>
                    </w:rPr>
                  </m:ctrlPr>
                </m:accPr>
                <m:e>
                  <m:r>
                    <w:rPr>
                      <w:rFonts w:ascii="Cambria Math" w:eastAsia="Calibri" w:hAnsi="Cambria Math"/>
                    </w:rPr>
                    <m:t>KG</m:t>
                  </m:r>
                </m:e>
              </m:acc>
            </m:e>
            <m:sub>
              <m:r>
                <w:rPr>
                  <w:rFonts w:ascii="Cambria Math" w:eastAsia="Calibri" w:hAnsi="Cambria Math"/>
                </w:rPr>
                <m:t>zul</m:t>
              </m:r>
            </m:sub>
          </m:sSub>
          <m:r>
            <w:rPr>
              <w:rFonts w:ascii="Cambria Math" w:eastAsia="Calibri" w:hAnsi="Cambria Math"/>
            </w:rPr>
            <m:t xml:space="preserve">= </m:t>
          </m:r>
          <m:f>
            <m:fPr>
              <m:ctrlPr>
                <w:rPr>
                  <w:rFonts w:ascii="Cambria Math" w:eastAsia="Calibri" w:hAnsi="Cambria Math"/>
                  <w:i/>
                </w:rPr>
              </m:ctrlPr>
            </m:fPr>
            <m:num>
              <m:acc>
                <m:accPr>
                  <m:chr m:val="̅"/>
                  <m:ctrlPr>
                    <w:rPr>
                      <w:rFonts w:ascii="Cambria Math" w:eastAsia="Calibri" w:hAnsi="Cambria Math"/>
                      <w:i/>
                    </w:rPr>
                  </m:ctrlPr>
                </m:accPr>
                <m:e>
                  <m:r>
                    <w:rPr>
                      <w:rFonts w:ascii="Cambria Math" w:eastAsia="Calibri" w:hAnsi="Cambria Math"/>
                    </w:rPr>
                    <m:t>KM</m:t>
                  </m:r>
                </m:e>
              </m:acc>
              <m:r>
                <w:rPr>
                  <w:rFonts w:ascii="Cambria Math" w:eastAsia="Calibri" w:hAnsi="Cambria Math"/>
                </w:rPr>
                <m:t xml:space="preserve">+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r>
                    <w:rPr>
                      <w:rFonts w:ascii="Cambria Math" w:eastAsia="Calibri" w:hAnsi="Cambria Math"/>
                    </w:rPr>
                    <m:t>2F</m:t>
                  </m:r>
                </m:den>
              </m:f>
              <m:r>
                <w:rPr>
                  <w:rFonts w:ascii="Cambria Math" w:eastAsia="Calibri" w:hAnsi="Cambria Math"/>
                </w:rPr>
                <m:t xml:space="preserve"> ∙ </m:t>
              </m:r>
              <m:d>
                <m:dPr>
                  <m:ctrlPr>
                    <w:rPr>
                      <w:rFonts w:ascii="Cambria Math" w:eastAsia="Calibri" w:hAnsi="Cambria Math"/>
                      <w:i/>
                    </w:rPr>
                  </m:ctrlPr>
                </m:dPr>
                <m:e>
                  <m:r>
                    <w:rPr>
                      <w:rFonts w:ascii="Cambria Math" w:eastAsia="Calibri" w:hAnsi="Cambria Math"/>
                    </w:rPr>
                    <m:t xml:space="preserve">Z ∙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num>
                    <m:den>
                      <m:r>
                        <w:rPr>
                          <w:rFonts w:ascii="Cambria Math" w:eastAsia="Calibri" w:hAnsi="Cambria Math"/>
                        </w:rPr>
                        <m:t>2</m:t>
                      </m:r>
                    </m:den>
                  </m:f>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h</m:t>
                      </m:r>
                    </m:e>
                    <m:sub>
                      <m:r>
                        <w:rPr>
                          <w:rFonts w:ascii="Cambria Math" w:eastAsia="Calibri" w:hAnsi="Cambria Math"/>
                        </w:rPr>
                        <m:t>KW</m:t>
                      </m:r>
                    </m:sub>
                  </m:sSub>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h</m:t>
                      </m:r>
                    </m:e>
                    <m:sub>
                      <m:r>
                        <w:rPr>
                          <w:rFonts w:ascii="Cambria Math" w:eastAsia="Calibri" w:hAnsi="Cambria Math"/>
                        </w:rPr>
                        <m:t>kFO</m:t>
                      </m:r>
                    </m:sub>
                  </m:sSub>
                </m:e>
              </m:d>
            </m:num>
            <m:den>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r>
                    <w:rPr>
                      <w:rFonts w:ascii="Cambria Math" w:eastAsia="Calibri" w:hAnsi="Cambria Math"/>
                    </w:rPr>
                    <m:t>2F</m:t>
                  </m:r>
                </m:den>
              </m:f>
              <m:r>
                <w:rPr>
                  <w:rFonts w:ascii="Cambria Math" w:eastAsia="Calibri" w:hAnsi="Cambria Math"/>
                </w:rPr>
                <m:t xml:space="preserve"> ∙Z+1</m:t>
              </m:r>
            </m:den>
          </m:f>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oMath>
      </m:oMathPara>
    </w:p>
    <w:p w:rsidR="005624E3" w:rsidRPr="00C903F8" w:rsidRDefault="005624E3" w:rsidP="005624E3">
      <w:pPr>
        <w:pStyle w:val="ESletpar"/>
        <w:rPr>
          <w:rFonts w:cs="Arial"/>
          <w:szCs w:val="18"/>
        </w:rPr>
      </w:pPr>
      <w:r>
        <w:t xml:space="preserve">11,5-nél (11,5 = 1/tan5°) kisebb értéket nem szabad venni a következőre: </w:t>
      </w:r>
      <m:oMath>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B</m:t>
                </m:r>
              </m:e>
              <m:sub>
                <m:r>
                  <w:rPr>
                    <w:rFonts w:ascii="Cambria Math" w:hAnsi="Cambria Math"/>
                    <w:noProof/>
                  </w:rPr>
                  <m:t>WL</m:t>
                </m:r>
              </m:sub>
            </m:sSub>
          </m:num>
          <m:den>
            <m:r>
              <w:rPr>
                <w:rFonts w:ascii="Cambria Math" w:hAnsi="Cambria Math"/>
                <w:noProof/>
              </w:rPr>
              <m:t>2F</m:t>
            </m:r>
          </m:den>
        </m:f>
      </m:oMath>
      <w:r>
        <w:t xml:space="preserve"> </w:t>
      </w:r>
    </w:p>
    <w:p w:rsidR="005624E3" w:rsidRPr="00C903F8" w:rsidRDefault="005624E3" w:rsidP="005624E3">
      <w:pPr>
        <w:pStyle w:val="ESlet"/>
        <w:rPr>
          <w:rFonts w:cs="Arial"/>
          <w:szCs w:val="18"/>
        </w:rPr>
      </w:pPr>
      <w:r>
        <w:t>b)</w:t>
      </w:r>
      <w:r>
        <w:tab/>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r>
          <w:rPr>
            <w:rFonts w:ascii="Cambria Math" w:hAnsi="Cambria Math"/>
            <w:noProof/>
          </w:rPr>
          <m:t xml:space="preserve">= </m:t>
        </m:r>
        <m:acc>
          <m:accPr>
            <m:chr m:val="̅"/>
            <m:ctrlPr>
              <w:rPr>
                <w:rFonts w:ascii="Cambria Math" w:hAnsi="Cambria Math"/>
                <w:i/>
                <w:noProof/>
              </w:rPr>
            </m:ctrlPr>
          </m:accPr>
          <m:e>
            <m:r>
              <w:rPr>
                <w:rFonts w:ascii="Cambria Math" w:hAnsi="Cambria Math"/>
                <w:noProof/>
              </w:rPr>
              <m:t>KM</m:t>
            </m:r>
          </m:e>
        </m:acc>
        <m:r>
          <w:rPr>
            <w:rFonts w:ascii="Cambria Math" w:hAnsi="Cambria Math"/>
            <w:noProof/>
          </w:rPr>
          <m:t xml:space="preserve">-1,00 </m:t>
        </m:r>
        <m:d>
          <m:dPr>
            <m:begChr m:val="["/>
            <m:endChr m:val="]"/>
            <m:ctrlPr>
              <w:rPr>
                <w:rFonts w:ascii="Cambria Math" w:hAnsi="Cambria Math"/>
                <w:i/>
                <w:noProof/>
              </w:rPr>
            </m:ctrlPr>
          </m:dPr>
          <m:e>
            <m:r>
              <w:rPr>
                <w:rFonts w:ascii="Cambria Math" w:hAnsi="Cambria Math"/>
                <w:noProof/>
              </w:rPr>
              <m:t>m</m:t>
            </m:r>
          </m:e>
        </m:d>
      </m:oMath>
    </w:p>
    <w:p w:rsidR="005624E3" w:rsidRPr="00C903F8" w:rsidRDefault="005624E3" w:rsidP="005624E3">
      <w:pPr>
        <w:pStyle w:val="ESletpar"/>
        <w:rPr>
          <w:rFonts w:cs="Arial"/>
          <w:szCs w:val="18"/>
        </w:rPr>
      </w:pPr>
      <w:r>
        <w:t xml:space="preserve">A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t xml:space="preserve"> a) vagy b) képlet szerinti alacsonyabb értéke mérvadó.</w:t>
      </w:r>
    </w:p>
    <w:p w:rsidR="005624E3" w:rsidRPr="00C903F8" w:rsidRDefault="005624E3" w:rsidP="005624E3">
      <w:pPr>
        <w:pStyle w:val="ESletpar"/>
        <w:rPr>
          <w:rFonts w:cs="Arial"/>
          <w:szCs w:val="18"/>
        </w:rPr>
      </w:pPr>
      <w:r>
        <w:t>A képletekben:</w:t>
      </w:r>
    </w:p>
    <w:p w:rsidR="005624E3" w:rsidRPr="00C903F8" w:rsidRDefault="003142CA" w:rsidP="005624E3">
      <w:pPr>
        <w:pStyle w:val="EStiret"/>
        <w:ind w:left="1701" w:hanging="709"/>
        <w:rPr>
          <w:rFonts w:eastAsia="Calibri"/>
        </w:rPr>
      </w:pPr>
      <m:oMath>
        <m:sSub>
          <m:sSubPr>
            <m:ctrlPr>
              <w:rPr>
                <w:rFonts w:ascii="Cambria Math" w:hAnsi="Cambria Math"/>
                <w:i/>
                <w:snapToGrid/>
                <w:color w:val="auto"/>
              </w:rPr>
            </m:ctrlPr>
          </m:sSubPr>
          <m:e>
            <m:acc>
              <m:accPr>
                <m:chr m:val="̅"/>
                <m:ctrlPr>
                  <w:rPr>
                    <w:rFonts w:ascii="Cambria Math" w:hAnsi="Cambria Math"/>
                    <w:i/>
                    <w:snapToGrid/>
                    <w:color w:val="auto"/>
                  </w:rPr>
                </m:ctrlPr>
              </m:accPr>
              <m:e>
                <m:r>
                  <w:rPr>
                    <w:rFonts w:ascii="Cambria Math" w:hAnsi="Cambria Math"/>
                  </w:rPr>
                  <m:t>KG</m:t>
                </m:r>
              </m:e>
            </m:acc>
          </m:e>
          <m:sub>
            <m:r>
              <w:rPr>
                <w:rFonts w:ascii="Cambria Math" w:hAnsi="Cambria Math"/>
              </w:rPr>
              <m:t>zul</m:t>
            </m:r>
          </m:sub>
        </m:sSub>
      </m:oMath>
      <w:r w:rsidR="005624E3">
        <w:tab/>
        <w:t>a terhelt hajó rendszersúlypontjának legnagyobb megengedhető magassága az alapvonaltól [m]</w:t>
      </w:r>
    </w:p>
    <w:p w:rsidR="005624E3" w:rsidRPr="00C903F8" w:rsidRDefault="003142CA" w:rsidP="005624E3">
      <w:pPr>
        <w:pStyle w:val="EStiret"/>
        <w:ind w:left="1701" w:hanging="709"/>
        <w:rPr>
          <w:rFonts w:eastAsia="Calibri"/>
        </w:rPr>
      </w:pPr>
      <m:oMath>
        <m:acc>
          <m:accPr>
            <m:chr m:val="̅"/>
            <m:ctrlPr>
              <w:rPr>
                <w:rFonts w:ascii="Cambria Math" w:eastAsia="Calibri" w:hAnsi="Cambria Math"/>
                <w:i/>
              </w:rPr>
            </m:ctrlPr>
          </m:accPr>
          <m:e>
            <m:r>
              <w:rPr>
                <w:rFonts w:ascii="Cambria Math" w:eastAsia="Calibri" w:hAnsi="Cambria Math"/>
              </w:rPr>
              <m:t>KM</m:t>
            </m:r>
          </m:e>
        </m:acc>
      </m:oMath>
      <w:r w:rsidR="005624E3">
        <w:tab/>
        <w:t>metacentrikus magasság az alapvonaltól [m] a 3. bekezdés szerinti közelítő képlet alapján;</w:t>
      </w:r>
    </w:p>
    <w:p w:rsidR="005624E3" w:rsidRPr="00C903F8" w:rsidRDefault="005624E3" w:rsidP="005624E3">
      <w:pPr>
        <w:pStyle w:val="EStiret"/>
        <w:ind w:left="1701" w:hanging="709"/>
        <w:rPr>
          <w:rFonts w:eastAsia="Calibri"/>
        </w:rPr>
      </w:pPr>
      <m:oMath>
        <m:r>
          <w:rPr>
            <w:rFonts w:ascii="Cambria Math" w:eastAsia="Calibri" w:hAnsi="Cambria Math"/>
          </w:rPr>
          <m:t>F</m:t>
        </m:r>
      </m:oMath>
      <w:r>
        <w:tab/>
        <w:t xml:space="preserve">az adott tényleges szabadoldal </w:t>
      </w:r>
      <m:oMath>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2</m:t>
            </m:r>
          </m:den>
        </m:f>
        <m:r>
          <w:rPr>
            <w:rFonts w:ascii="Cambria Math" w:eastAsia="Calibri" w:hAnsi="Cambria Math"/>
          </w:rPr>
          <m:t xml:space="preserve"> L</m:t>
        </m:r>
      </m:oMath>
      <w:r>
        <w:t xml:space="preserve"> mellett [m];</w:t>
      </w:r>
    </w:p>
    <w:p w:rsidR="005624E3" w:rsidRPr="00C903F8" w:rsidRDefault="005624E3" w:rsidP="005624E3">
      <w:pPr>
        <w:pStyle w:val="EStiret"/>
        <w:ind w:left="1701" w:hanging="709"/>
      </w:pPr>
      <m:oMath>
        <m:r>
          <w:rPr>
            <w:rFonts w:ascii="Cambria Math" w:hAnsi="Cambria Math"/>
          </w:rPr>
          <m:t>Z</m:t>
        </m:r>
      </m:oMath>
      <w:r>
        <w:tab/>
        <w:t>a fordulásból eredő centrifugális erőre vonatkozó alábbi paraméter:</w:t>
      </w:r>
    </w:p>
    <w:p w:rsidR="005624E3" w:rsidRPr="00C903F8" w:rsidRDefault="005624E3" w:rsidP="005624E3">
      <w:pPr>
        <w:pStyle w:val="ESch"/>
        <w:spacing w:before="60"/>
        <w:ind w:left="0" w:firstLine="0"/>
        <w:rPr>
          <w:rFonts w:eastAsia="Calibri" w:cs="Arial"/>
          <w:szCs w:val="18"/>
        </w:rPr>
      </w:pPr>
      <m:oMathPara>
        <m:oMath>
          <m:r>
            <w:rPr>
              <w:rFonts w:ascii="Cambria Math" w:eastAsia="Calibri" w:hAnsi="Cambria Math" w:cs="Arial"/>
              <w:szCs w:val="18"/>
            </w:rPr>
            <m:t xml:space="preserve">Z= </m:t>
          </m:r>
          <m:f>
            <m:fPr>
              <m:ctrlPr>
                <w:rPr>
                  <w:rFonts w:ascii="Cambria Math" w:eastAsia="Calibri" w:hAnsi="Cambria Math" w:cs="Arial"/>
                  <w:i/>
                  <w:szCs w:val="18"/>
                </w:rPr>
              </m:ctrlPr>
            </m:fPr>
            <m:num>
              <m:sSup>
                <m:sSupPr>
                  <m:ctrlPr>
                    <w:rPr>
                      <w:rFonts w:ascii="Cambria Math" w:eastAsia="Calibri" w:hAnsi="Cambria Math" w:cs="Arial"/>
                      <w:i/>
                      <w:szCs w:val="18"/>
                    </w:rPr>
                  </m:ctrlPr>
                </m:sSupPr>
                <m:e>
                  <m:d>
                    <m:dPr>
                      <m:ctrlPr>
                        <w:rPr>
                          <w:rFonts w:ascii="Cambria Math" w:eastAsia="Calibri" w:hAnsi="Cambria Math" w:cs="Arial"/>
                          <w:i/>
                          <w:szCs w:val="18"/>
                        </w:rPr>
                      </m:ctrlPr>
                    </m:dPr>
                    <m:e>
                      <m:r>
                        <w:rPr>
                          <w:rFonts w:ascii="Cambria Math" w:eastAsia="Calibri" w:hAnsi="Cambria Math" w:cs="Arial"/>
                          <w:szCs w:val="18"/>
                        </w:rPr>
                        <m:t>0,7 ∙v</m:t>
                      </m:r>
                    </m:e>
                  </m:d>
                </m:e>
                <m:sup>
                  <m:r>
                    <w:rPr>
                      <w:rFonts w:ascii="Cambria Math" w:eastAsia="Calibri" w:hAnsi="Cambria Math" w:cs="Arial"/>
                      <w:szCs w:val="18"/>
                    </w:rPr>
                    <m:t>2</m:t>
                  </m:r>
                </m:sup>
              </m:sSup>
            </m:num>
            <m:den>
              <m:r>
                <w:rPr>
                  <w:rFonts w:ascii="Cambria Math" w:eastAsia="Calibri" w:hAnsi="Cambria Math" w:cs="Arial"/>
                  <w:szCs w:val="18"/>
                </w:rPr>
                <m:t xml:space="preserve">9,81 ∙1,25 </m:t>
              </m:r>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r>
            <w:rPr>
              <w:rFonts w:ascii="Cambria Math" w:eastAsia="Calibri" w:hAnsi="Cambria Math" w:cs="Arial"/>
              <w:szCs w:val="18"/>
            </w:rPr>
            <m:t xml:space="preserve">=0,04 ∙ </m:t>
          </m:r>
          <m:f>
            <m:fPr>
              <m:ctrlPr>
                <w:rPr>
                  <w:rFonts w:ascii="Cambria Math" w:eastAsia="Calibri" w:hAnsi="Cambria Math" w:cs="Arial"/>
                  <w:i/>
                  <w:szCs w:val="18"/>
                </w:rPr>
              </m:ctrlPr>
            </m:fPr>
            <m:num>
              <m:sSup>
                <m:sSupPr>
                  <m:ctrlPr>
                    <w:rPr>
                      <w:rFonts w:ascii="Cambria Math" w:eastAsia="Calibri" w:hAnsi="Cambria Math" w:cs="Arial"/>
                      <w:i/>
                      <w:szCs w:val="18"/>
                    </w:rPr>
                  </m:ctrlPr>
                </m:sSupPr>
                <m:e>
                  <m:r>
                    <w:rPr>
                      <w:rFonts w:ascii="Cambria Math" w:eastAsia="Calibri" w:hAnsi="Cambria Math" w:cs="Arial"/>
                      <w:szCs w:val="18"/>
                    </w:rPr>
                    <m:t>v</m:t>
                  </m:r>
                </m:e>
                <m:sup>
                  <m:r>
                    <w:rPr>
                      <w:rFonts w:ascii="Cambria Math" w:eastAsia="Calibri" w:hAnsi="Cambria Math" w:cs="Arial"/>
                      <w:szCs w:val="18"/>
                    </w:rPr>
                    <m:t>2</m:t>
                  </m:r>
                </m:sup>
              </m:sSup>
            </m:num>
            <m:den>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oMath>
      </m:oMathPara>
    </w:p>
    <w:p w:rsidR="005624E3" w:rsidRPr="00C903F8" w:rsidRDefault="005624E3" w:rsidP="005624E3">
      <w:pPr>
        <w:pStyle w:val="ESch"/>
        <w:rPr>
          <w:rFonts w:eastAsia="Calibri" w:cs="Arial"/>
          <w:szCs w:val="18"/>
        </w:rPr>
      </w:pPr>
    </w:p>
    <w:p w:rsidR="005624E3" w:rsidRPr="00C903F8" w:rsidRDefault="005624E3" w:rsidP="005624E3">
      <w:pPr>
        <w:pStyle w:val="EStiret"/>
        <w:ind w:left="1701" w:hanging="709"/>
        <w:rPr>
          <w:rFonts w:cs="Arial"/>
        </w:rPr>
      </w:pPr>
      <m:oMath>
        <m:r>
          <w:rPr>
            <w:rFonts w:ascii="Cambria Math" w:hAnsi="Cambria Math" w:cs="Arial"/>
          </w:rPr>
          <m:t>v</m:t>
        </m:r>
      </m:oMath>
      <w:r>
        <w:tab/>
        <w:t>a hajó vízhez viszonyított maximális sebessége [m/s];</w:t>
      </w:r>
    </w:p>
    <w:p w:rsidR="005624E3" w:rsidRPr="00C903F8" w:rsidRDefault="003142CA" w:rsidP="005624E3">
      <w:pPr>
        <w:pStyle w:val="EStiret"/>
        <w:ind w:left="1701" w:hanging="709"/>
        <w:rPr>
          <w:rFonts w:cs="Arial"/>
        </w:rPr>
      </w:pPr>
      <m:oMath>
        <m:sSub>
          <m:sSubPr>
            <m:ctrlPr>
              <w:rPr>
                <w:rFonts w:ascii="Cambria Math" w:hAnsi="Cambria Math" w:cs="Arial"/>
                <w:i/>
              </w:rPr>
            </m:ctrlPr>
          </m:sSubPr>
          <m:e>
            <m:r>
              <w:rPr>
                <w:rFonts w:ascii="Cambria Math" w:hAnsi="Cambria Math" w:cs="Arial"/>
              </w:rPr>
              <m:t>T</m:t>
            </m:r>
          </m:e>
          <m:sub>
            <m:r>
              <w:rPr>
                <w:rFonts w:ascii="Cambria Math" w:hAnsi="Cambria Math" w:cs="Arial"/>
              </w:rPr>
              <m:t>m</m:t>
            </m:r>
          </m:sub>
        </m:sSub>
      </m:oMath>
      <w:r w:rsidR="005624E3">
        <w:t xml:space="preserve"> </w:t>
      </w:r>
      <w:r w:rsidR="005624E3">
        <w:tab/>
        <w:t>az adott átlagos merülés [m];</w:t>
      </w:r>
    </w:p>
    <w:p w:rsidR="005624E3" w:rsidRPr="00C903F8" w:rsidRDefault="003142CA" w:rsidP="005624E3">
      <w:pPr>
        <w:pStyle w:val="EStiret"/>
        <w:ind w:left="1701" w:hanging="709"/>
        <w:rPr>
          <w:rFonts w:cs="Arial"/>
        </w:rPr>
      </w:pPr>
      <m:oMath>
        <m:sSub>
          <m:sSubPr>
            <m:ctrlPr>
              <w:rPr>
                <w:rFonts w:ascii="Cambria Math" w:hAnsi="Cambria Math" w:cs="Arial"/>
                <w:i/>
              </w:rPr>
            </m:ctrlPr>
          </m:sSubPr>
          <m:e>
            <m:r>
              <w:rPr>
                <w:rFonts w:ascii="Cambria Math" w:hAnsi="Cambria Math" w:cs="Arial"/>
              </w:rPr>
              <m:t>h</m:t>
            </m:r>
          </m:e>
          <m:sub>
            <m:r>
              <w:rPr>
                <w:rFonts w:ascii="Cambria Math" w:hAnsi="Cambria Math" w:cs="Arial"/>
              </w:rPr>
              <m:t>KW</m:t>
            </m:r>
          </m:sub>
        </m:sSub>
      </m:oMath>
      <w:r w:rsidR="005624E3">
        <w:tab/>
        <w:t>az 1. bekezdés d) pontja szerinti, laterális szélnyomásból adódó dőléskar [m];</w:t>
      </w:r>
    </w:p>
    <w:p w:rsidR="005624E3" w:rsidRPr="00C903F8" w:rsidRDefault="003142CA" w:rsidP="005624E3">
      <w:pPr>
        <w:pStyle w:val="EStiret"/>
        <w:ind w:left="1701" w:hanging="709"/>
        <w:rPr>
          <w:rFonts w:cs="Arial"/>
        </w:rPr>
      </w:pPr>
      <m:oMath>
        <m:sSub>
          <m:sSubPr>
            <m:ctrlPr>
              <w:rPr>
                <w:rFonts w:ascii="Cambria Math" w:hAnsi="Cambria Math" w:cs="Arial"/>
                <w:i/>
              </w:rPr>
            </m:ctrlPr>
          </m:sSubPr>
          <m:e>
            <m:r>
              <w:rPr>
                <w:rFonts w:ascii="Cambria Math" w:hAnsi="Cambria Math" w:cs="Arial"/>
              </w:rPr>
              <m:t>h</m:t>
            </m:r>
          </m:e>
          <m:sub>
            <m:r>
              <w:rPr>
                <w:rFonts w:ascii="Cambria Math" w:hAnsi="Cambria Math" w:cs="Arial"/>
              </w:rPr>
              <m:t>KfO</m:t>
            </m:r>
          </m:sub>
        </m:sSub>
      </m:oMath>
      <w:r w:rsidR="005624E3">
        <w:tab/>
        <w:t>az 1. bekezdés e) pontja szerinti, szabad folyadékfelületekből adódó dőléskarok összege [m].</w:t>
      </w:r>
    </w:p>
    <w:p w:rsidR="005624E3" w:rsidRPr="00C903F8" w:rsidRDefault="005624E3" w:rsidP="005624E3">
      <w:pPr>
        <w:pStyle w:val="ESch"/>
        <w:rPr>
          <w:noProof/>
          <w:szCs w:val="18"/>
        </w:rPr>
      </w:pPr>
    </w:p>
    <w:p w:rsidR="005624E3" w:rsidRPr="00C903F8" w:rsidRDefault="005624E3" w:rsidP="005624E3">
      <w:pPr>
        <w:pStyle w:val="ESch"/>
        <w:rPr>
          <w:rFonts w:cs="Arial"/>
          <w:szCs w:val="18"/>
        </w:rPr>
      </w:pPr>
      <w:r>
        <w:t>3.</w:t>
      </w:r>
      <w:r>
        <w:tab/>
        <w:t xml:space="preserve">Közelítő képletek a </w:t>
      </w:r>
      <m:oMath>
        <m:acc>
          <m:accPr>
            <m:chr m:val="̅"/>
            <m:ctrlPr>
              <w:rPr>
                <w:rFonts w:ascii="Cambria Math" w:eastAsia="Calibri" w:hAnsi="Cambria Math"/>
                <w:i/>
                <w:noProof/>
                <w:snapToGrid w:val="0"/>
                <w:color w:val="000000"/>
              </w:rPr>
            </m:ctrlPr>
          </m:accPr>
          <m:e>
            <m:r>
              <w:rPr>
                <w:rFonts w:ascii="Cambria Math" w:eastAsia="Calibri" w:hAnsi="Cambria Math"/>
              </w:rPr>
              <m:t>KM</m:t>
            </m:r>
          </m:e>
        </m:acc>
      </m:oMath>
      <w:r>
        <w:t xml:space="preserve"> kiszámításához:</w:t>
      </w:r>
    </w:p>
    <w:p w:rsidR="005624E3" w:rsidRPr="00C903F8" w:rsidRDefault="005624E3" w:rsidP="005624E3">
      <w:pPr>
        <w:pStyle w:val="ESchpar"/>
        <w:rPr>
          <w:noProof/>
        </w:rPr>
      </w:pPr>
    </w:p>
    <w:p w:rsidR="005624E3" w:rsidRPr="00C903F8" w:rsidRDefault="005624E3" w:rsidP="005624E3">
      <w:pPr>
        <w:pStyle w:val="ESchpar"/>
        <w:rPr>
          <w:rFonts w:cs="Arial"/>
          <w:szCs w:val="18"/>
        </w:rPr>
      </w:pPr>
      <w:r>
        <w:t xml:space="preserve">Ha a hajó hidrosztatikus görbéi nem állnak rendelkezésre, a 2. bekezdés és a 27.03. cikk 2. bekezdése szerinti számításhoz </w:t>
      </w:r>
      <m:oMath>
        <m:acc>
          <m:accPr>
            <m:chr m:val="̅"/>
            <m:ctrlPr>
              <w:rPr>
                <w:rFonts w:ascii="Cambria Math" w:eastAsia="Calibri" w:hAnsi="Cambria Math"/>
                <w:i/>
                <w:noProof/>
                <w:snapToGrid w:val="0"/>
                <w:color w:val="000000"/>
              </w:rPr>
            </m:ctrlPr>
          </m:accPr>
          <m:e>
            <m:r>
              <w:rPr>
                <w:rFonts w:ascii="Cambria Math" w:eastAsia="Calibri" w:hAnsi="Cambria Math"/>
              </w:rPr>
              <m:t>KM</m:t>
            </m:r>
          </m:e>
        </m:acc>
      </m:oMath>
      <w:r>
        <w:t xml:space="preserve"> értéke az alábbi közelítő képletekből is meghatározható:</w:t>
      </w:r>
    </w:p>
    <w:p w:rsidR="005624E3" w:rsidRPr="00C903F8" w:rsidRDefault="005624E3" w:rsidP="005624E3">
      <w:pPr>
        <w:pStyle w:val="ESlet"/>
        <w:rPr>
          <w:noProof/>
        </w:rPr>
      </w:pPr>
      <w:r>
        <w:t>a)</w:t>
      </w:r>
      <w:r>
        <w:tab/>
        <w:t>ponton formájú hajók esetében:</w:t>
      </w:r>
    </w:p>
    <w:p w:rsidR="005624E3" w:rsidRPr="00C903F8" w:rsidRDefault="003142CA" w:rsidP="005624E3">
      <w:pPr>
        <w:pStyle w:val="ESlet"/>
        <w:ind w:left="0"/>
        <w:rPr>
          <w:rFonts w:cs="Arial"/>
          <w:szCs w:val="18"/>
        </w:rPr>
      </w:pPr>
      <m:oMathPara>
        <m:oMath>
          <m:acc>
            <m:accPr>
              <m:chr m:val="̅"/>
              <m:ctrlPr>
                <w:rPr>
                  <w:rFonts w:ascii="Cambria Math" w:hAnsi="Cambria Math" w:cs="Arial"/>
                  <w:i/>
                  <w:szCs w:val="18"/>
                </w:rPr>
              </m:ctrlPr>
            </m:accPr>
            <m:e>
              <m:r>
                <w:rPr>
                  <w:rFonts w:ascii="Cambria Math" w:hAnsi="Cambria Math" w:cs="Arial"/>
                  <w:szCs w:val="18"/>
                </w:rPr>
                <m:t>KM</m:t>
              </m:r>
            </m:e>
          </m:acc>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num>
            <m:den>
              <m:d>
                <m:dPr>
                  <m:ctrlPr>
                    <w:rPr>
                      <w:rFonts w:ascii="Cambria Math" w:hAnsi="Cambria Math" w:cs="Arial"/>
                      <w:i/>
                      <w:szCs w:val="18"/>
                    </w:rPr>
                  </m:ctrlPr>
                </m:dPr>
                <m:e>
                  <m:r>
                    <w:rPr>
                      <w:rFonts w:ascii="Cambria Math" w:hAnsi="Cambria Math" w:cs="Arial"/>
                      <w:szCs w:val="18"/>
                    </w:rPr>
                    <m:t xml:space="preserve">12,5-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2</m:t>
              </m:r>
            </m:den>
          </m:f>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5624E3" w:rsidRPr="00C903F8" w:rsidRDefault="005624E3" w:rsidP="005624E3">
      <w:pPr>
        <w:pStyle w:val="ESlet"/>
        <w:ind w:left="0"/>
        <w:rPr>
          <w:rFonts w:cs="Arial"/>
          <w:szCs w:val="18"/>
        </w:rPr>
      </w:pPr>
    </w:p>
    <w:p w:rsidR="005624E3" w:rsidRPr="00C903F8" w:rsidRDefault="005624E3" w:rsidP="005624E3">
      <w:pPr>
        <w:pStyle w:val="ESlet"/>
        <w:rPr>
          <w:noProof/>
        </w:rPr>
      </w:pPr>
      <w:r>
        <w:t>b)</w:t>
      </w:r>
      <w:r>
        <w:tab/>
        <w:t>egyéb hajók esetében:</w:t>
      </w:r>
    </w:p>
    <w:p w:rsidR="005624E3" w:rsidRPr="00C903F8" w:rsidRDefault="003142CA" w:rsidP="005624E3">
      <w:pPr>
        <w:pStyle w:val="ESlet"/>
        <w:ind w:left="0"/>
        <w:rPr>
          <w:rFonts w:cs="Arial"/>
          <w:szCs w:val="18"/>
        </w:rPr>
      </w:pPr>
      <m:oMathPara>
        <m:oMath>
          <m:acc>
            <m:accPr>
              <m:chr m:val="̅"/>
              <m:ctrlPr>
                <w:rPr>
                  <w:rFonts w:ascii="Cambria Math" w:hAnsi="Cambria Math" w:cs="Arial"/>
                  <w:i/>
                  <w:szCs w:val="18"/>
                </w:rPr>
              </m:ctrlPr>
            </m:accPr>
            <m:e>
              <m:r>
                <w:rPr>
                  <w:rFonts w:ascii="Cambria Math" w:hAnsi="Cambria Math" w:cs="Arial"/>
                  <w:szCs w:val="18"/>
                </w:rPr>
                <m:t>KM</m:t>
              </m:r>
            </m:e>
          </m:acc>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num>
            <m:den>
              <m:d>
                <m:dPr>
                  <m:ctrlPr>
                    <w:rPr>
                      <w:rFonts w:ascii="Cambria Math" w:hAnsi="Cambria Math" w:cs="Arial"/>
                      <w:i/>
                      <w:szCs w:val="18"/>
                    </w:rPr>
                  </m:ctrlPr>
                </m:dPr>
                <m:e>
                  <m:r>
                    <w:rPr>
                      <w:rFonts w:ascii="Cambria Math" w:hAnsi="Cambria Math" w:cs="Arial"/>
                      <w:szCs w:val="18"/>
                    </w:rPr>
                    <m:t xml:space="preserve">12,7-1,2 ∙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2</m:t>
              </m:r>
            </m:den>
          </m:f>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5624E3" w:rsidRPr="00C903F8" w:rsidRDefault="005624E3" w:rsidP="005624E3">
      <w:pPr>
        <w:pStyle w:val="ESlet"/>
        <w:ind w:left="0"/>
        <w:rPr>
          <w:rFonts w:cs="Arial"/>
          <w:szCs w:val="18"/>
        </w:rPr>
      </w:pPr>
    </w:p>
    <w:p w:rsidR="005624E3" w:rsidRPr="00C903F8" w:rsidRDefault="005624E3" w:rsidP="005624E3">
      <w:pPr>
        <w:pStyle w:val="ESch"/>
        <w:rPr>
          <w:rFonts w:eastAsia="Calibri" w:cs="Arial"/>
          <w:szCs w:val="18"/>
        </w:rPr>
      </w:pPr>
      <w:r>
        <w:br w:type="page"/>
      </w:r>
    </w:p>
    <w:p w:rsidR="005624E3" w:rsidRPr="00C903F8" w:rsidRDefault="005624E3" w:rsidP="005624E3">
      <w:pPr>
        <w:pStyle w:val="ES-Titre3"/>
        <w:rPr>
          <w:rFonts w:cs="Arial"/>
          <w:i/>
          <w:szCs w:val="18"/>
        </w:rPr>
      </w:pPr>
      <w:bookmarkStart w:id="489" w:name="_Toc491854241"/>
      <w:bookmarkStart w:id="490" w:name="_Toc535854021"/>
      <w:r>
        <w:t>27.03. cikk</w:t>
      </w:r>
      <w:r>
        <w:br/>
      </w:r>
      <w:r>
        <w:rPr>
          <w:i/>
          <w:noProof/>
        </w:rPr>
        <w:t>Határérték-feltételek és számítási módszer a konténerek rögzített szállítása közbeni stabilitás igazolására</w:t>
      </w:r>
      <w:bookmarkEnd w:id="489"/>
      <w:bookmarkEnd w:id="490"/>
    </w:p>
    <w:p w:rsidR="005624E3" w:rsidRPr="00C903F8" w:rsidRDefault="005624E3" w:rsidP="005624E3">
      <w:pPr>
        <w:pStyle w:val="ESch"/>
        <w:rPr>
          <w:noProof/>
        </w:rPr>
      </w:pPr>
    </w:p>
    <w:p w:rsidR="005624E3" w:rsidRPr="00C903F8" w:rsidRDefault="005624E3" w:rsidP="005624E3">
      <w:pPr>
        <w:pStyle w:val="ESch"/>
        <w:rPr>
          <w:rFonts w:cs="Arial"/>
          <w:szCs w:val="18"/>
        </w:rPr>
      </w:pPr>
      <w:r>
        <w:t>1.</w:t>
      </w:r>
      <w:r>
        <w:tab/>
        <w:t>Rögzített konténerek esetében a hajó stabilitásának kiszámítására szolgáló minden módszernek meg kell felelnie az alábbi határérték-feltételeknek:</w:t>
      </w:r>
    </w:p>
    <w:p w:rsidR="005624E3" w:rsidRPr="00DB7D1E" w:rsidRDefault="005624E3" w:rsidP="005624E3">
      <w:pPr>
        <w:pStyle w:val="ESlet"/>
        <w:rPr>
          <w:rFonts w:cs="Arial"/>
          <w:szCs w:val="18"/>
          <w:lang w:val="pt-PT"/>
        </w:rPr>
      </w:pPr>
      <w:r w:rsidRPr="00DB7D1E">
        <w:rPr>
          <w:lang w:val="pt-PT"/>
        </w:rPr>
        <w:t>a)</w:t>
      </w:r>
      <w:r w:rsidRPr="00DB7D1E">
        <w:rPr>
          <w:lang w:val="pt-PT"/>
        </w:rPr>
        <w:tab/>
        <w:t xml:space="preserve">Az </w:t>
      </w:r>
      <m:oMath>
        <m:acc>
          <m:accPr>
            <m:chr m:val="̅"/>
            <m:ctrlPr>
              <w:rPr>
                <w:rFonts w:ascii="Cambria Math" w:hAnsi="Cambria Math"/>
                <w:i/>
                <w:noProof/>
              </w:rPr>
            </m:ctrlPr>
          </m:accPr>
          <m:e>
            <m:r>
              <w:rPr>
                <w:rFonts w:ascii="Cambria Math" w:hAnsi="Cambria Math"/>
                <w:noProof/>
              </w:rPr>
              <m:t>MG</m:t>
            </m:r>
          </m:e>
        </m:acc>
      </m:oMath>
      <w:r w:rsidRPr="00DB7D1E">
        <w:rPr>
          <w:lang w:val="pt-PT"/>
        </w:rPr>
        <w:t xml:space="preserve"> metacentrikus magasság legalább 0,50 m.</w:t>
      </w:r>
    </w:p>
    <w:p w:rsidR="005624E3" w:rsidRPr="00DB7D1E" w:rsidRDefault="005624E3" w:rsidP="005624E3">
      <w:pPr>
        <w:pStyle w:val="ESlet"/>
        <w:rPr>
          <w:rFonts w:cs="Arial"/>
          <w:szCs w:val="18"/>
          <w:lang w:val="pt-PT"/>
        </w:rPr>
      </w:pPr>
      <w:r w:rsidRPr="00DB7D1E">
        <w:rPr>
          <w:lang w:val="pt-PT"/>
        </w:rPr>
        <w:t>b)</w:t>
      </w:r>
      <w:r w:rsidRPr="00DB7D1E">
        <w:rPr>
          <w:lang w:val="pt-PT"/>
        </w:rPr>
        <w:tab/>
        <w:t>A hajó fordulásából, a szélnyomásból és a szabad folyadékfelületekből adódó centrifugális erők együttes fellépése esetén a hajótesten lévő nyílások nem kerülhetnek víz alá.</w:t>
      </w:r>
    </w:p>
    <w:p w:rsidR="005624E3" w:rsidRPr="00DB7D1E" w:rsidRDefault="005624E3" w:rsidP="005624E3">
      <w:pPr>
        <w:pStyle w:val="ESlet"/>
        <w:rPr>
          <w:rFonts w:cs="Arial"/>
          <w:szCs w:val="18"/>
          <w:lang w:val="pt-PT"/>
        </w:rPr>
      </w:pPr>
      <w:r w:rsidRPr="00DB7D1E">
        <w:rPr>
          <w:lang w:val="pt-PT"/>
        </w:rPr>
        <w:t>c)</w:t>
      </w:r>
      <w:r w:rsidRPr="00DB7D1E">
        <w:rPr>
          <w:lang w:val="pt-PT"/>
        </w:rPr>
        <w:tab/>
        <w:t>A hajó fordulásából, a szélnyomásból és a szabad folyadékfelületekből adódó centrifugális erőből eredő dőléskart a 27.02. cikk 1. bekezdésének c)–e) pontjában említett képletekkel kell meghatározni.</w:t>
      </w:r>
    </w:p>
    <w:p w:rsidR="005624E3" w:rsidRPr="00DB7D1E" w:rsidRDefault="005624E3" w:rsidP="005624E3">
      <w:pPr>
        <w:pStyle w:val="ESlet"/>
        <w:rPr>
          <w:rFonts w:cs="Arial"/>
          <w:szCs w:val="18"/>
          <w:lang w:val="pt-PT"/>
        </w:rPr>
      </w:pPr>
      <w:r w:rsidRPr="00DB7D1E">
        <w:rPr>
          <w:lang w:val="pt-PT"/>
        </w:rPr>
        <w:t>d)</w:t>
      </w:r>
      <w:r w:rsidRPr="00DB7D1E">
        <w:rPr>
          <w:lang w:val="pt-PT"/>
        </w:rPr>
        <w:tab/>
        <w:t>Minden terhelési körülmény esetében figyelembe kell venni a tüzelőanyag és az édesvízellátmány felét.</w:t>
      </w:r>
    </w:p>
    <w:p w:rsidR="005624E3" w:rsidRPr="00DB7D1E" w:rsidRDefault="005624E3" w:rsidP="005624E3">
      <w:pPr>
        <w:pStyle w:val="ESch"/>
        <w:rPr>
          <w:noProof/>
          <w:lang w:val="pt-PT"/>
        </w:rPr>
      </w:pPr>
    </w:p>
    <w:p w:rsidR="005624E3" w:rsidRPr="00DB7D1E" w:rsidRDefault="005624E3" w:rsidP="005624E3">
      <w:pPr>
        <w:pStyle w:val="ESch"/>
        <w:rPr>
          <w:noProof/>
          <w:lang w:val="pt-PT"/>
        </w:rPr>
      </w:pPr>
      <w:r w:rsidRPr="00DB7D1E">
        <w:rPr>
          <w:lang w:val="pt-PT"/>
        </w:rPr>
        <w:t>2.</w:t>
      </w:r>
      <w:r w:rsidRPr="00DB7D1E">
        <w:rPr>
          <w:lang w:val="pt-PT"/>
        </w:rPr>
        <w:tab/>
        <w:t xml:space="preserve">A rögzített konténereket szállító hajó stabilitása akkor tekinthető kielégítőnek, ha a tényleges </w:t>
      </w:r>
      <m:oMath>
        <m:acc>
          <m:accPr>
            <m:chr m:val="̅"/>
            <m:ctrlPr>
              <w:rPr>
                <w:rFonts w:ascii="Cambria Math" w:eastAsia="Calibri" w:hAnsi="Cambria Math"/>
                <w:i/>
              </w:rPr>
            </m:ctrlPr>
          </m:accPr>
          <m:e>
            <m:r>
              <w:rPr>
                <w:rFonts w:ascii="Cambria Math" w:eastAsia="Calibri" w:hAnsi="Cambria Math"/>
              </w:rPr>
              <m:t>KG</m:t>
            </m:r>
          </m:e>
        </m:acc>
      </m:oMath>
      <w:r w:rsidRPr="00DB7D1E">
        <w:rPr>
          <w:lang w:val="pt-PT"/>
        </w:rPr>
        <w:t xml:space="preserve"> nem haladja meg az alábbi képletekből adódó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rsidRPr="00DB7D1E">
        <w:rPr>
          <w:lang w:val="pt-PT"/>
        </w:rPr>
        <w:t xml:space="preserve"> értékét, amely a vízkiszorítási tömeg egész merülési skálára kiterjedő különböző értékeire lett kiszámítva.</w:t>
      </w:r>
    </w:p>
    <w:p w:rsidR="005624E3" w:rsidRPr="00DB7D1E" w:rsidRDefault="005624E3" w:rsidP="005624E3">
      <w:pPr>
        <w:pStyle w:val="ESch"/>
        <w:rPr>
          <w:rFonts w:cs="Arial"/>
          <w:szCs w:val="18"/>
          <w:lang w:val="pt-PT"/>
        </w:rPr>
      </w:pPr>
    </w:p>
    <w:p w:rsidR="005624E3" w:rsidRPr="00DB7D1E" w:rsidRDefault="005624E3" w:rsidP="005624E3">
      <w:pPr>
        <w:pStyle w:val="ESlet"/>
        <w:rPr>
          <w:rFonts w:eastAsia="Calibri"/>
          <w:lang w:val="pt-PT"/>
        </w:rPr>
      </w:pPr>
      <w:r w:rsidRPr="00DB7D1E">
        <w:rPr>
          <w:lang w:val="pt-PT"/>
        </w:rPr>
        <w:t>a)</w:t>
      </w:r>
      <w:r w:rsidRPr="00DB7D1E">
        <w:rPr>
          <w:lang w:val="pt-PT"/>
        </w:rPr>
        <w:tab/>
      </w:r>
      <m:oMath>
        <m:sSub>
          <m:sSubPr>
            <m:ctrlPr>
              <w:rPr>
                <w:rFonts w:ascii="Cambria Math" w:eastAsia="Calibri" w:hAnsi="Cambria Math"/>
                <w:i/>
              </w:rPr>
            </m:ctrlPr>
          </m:sSubPr>
          <m:e>
            <m:acc>
              <m:accPr>
                <m:chr m:val="̅"/>
                <m:ctrlPr>
                  <w:rPr>
                    <w:rFonts w:ascii="Cambria Math" w:eastAsia="Calibri" w:hAnsi="Cambria Math"/>
                    <w:i/>
                  </w:rPr>
                </m:ctrlPr>
              </m:accPr>
              <m:e>
                <m:r>
                  <w:rPr>
                    <w:rFonts w:ascii="Cambria Math" w:eastAsia="Calibri" w:hAnsi="Cambria Math"/>
                  </w:rPr>
                  <m:t>KG</m:t>
                </m:r>
              </m:e>
            </m:acc>
          </m:e>
          <m:sub>
            <m:r>
              <w:rPr>
                <w:rFonts w:ascii="Cambria Math" w:eastAsia="Calibri" w:hAnsi="Cambria Math"/>
              </w:rPr>
              <m:t>zul</m:t>
            </m:r>
          </m:sub>
        </m:sSub>
        <m:r>
          <w:rPr>
            <w:rFonts w:ascii="Cambria Math" w:eastAsia="Calibri" w:hAnsi="Cambria Math"/>
            <w:lang w:val="pt-PT"/>
          </w:rPr>
          <m:t xml:space="preserve">= </m:t>
        </m:r>
        <m:f>
          <m:fPr>
            <m:ctrlPr>
              <w:rPr>
                <w:rFonts w:ascii="Cambria Math" w:eastAsia="Calibri" w:hAnsi="Cambria Math"/>
                <w:i/>
              </w:rPr>
            </m:ctrlPr>
          </m:fPr>
          <m:num>
            <m:acc>
              <m:accPr>
                <m:chr m:val="̅"/>
                <m:ctrlPr>
                  <w:rPr>
                    <w:rFonts w:ascii="Cambria Math" w:eastAsia="Calibri" w:hAnsi="Cambria Math"/>
                    <w:i/>
                  </w:rPr>
                </m:ctrlPr>
              </m:accPr>
              <m:e>
                <m:r>
                  <w:rPr>
                    <w:rFonts w:ascii="Cambria Math" w:eastAsia="Calibri" w:hAnsi="Cambria Math"/>
                  </w:rPr>
                  <m:t>KM</m:t>
                </m:r>
              </m:e>
            </m:acc>
            <m:r>
              <w:rPr>
                <w:rFonts w:ascii="Cambria Math" w:eastAsia="Calibri" w:hAnsi="Cambria Math"/>
                <w:lang w:val="pt-PT"/>
              </w:rPr>
              <m:t xml:space="preserve">- </m:t>
            </m:r>
            <m:f>
              <m:fPr>
                <m:ctrlPr>
                  <w:rPr>
                    <w:rFonts w:ascii="Cambria Math" w:eastAsia="Calibri" w:hAnsi="Cambria Math"/>
                    <w:i/>
                  </w:rPr>
                </m:ctrlPr>
              </m:fPr>
              <m:num>
                <m:r>
                  <w:rPr>
                    <w:rFonts w:ascii="Cambria Math" w:eastAsia="Calibri" w:hAnsi="Cambria Math"/>
                  </w:rPr>
                  <m:t>I</m:t>
                </m:r>
                <m:r>
                  <w:rPr>
                    <w:rFonts w:ascii="Cambria Math" w:eastAsia="Calibri" w:hAnsi="Cambria Math"/>
                    <w:lang w:val="pt-PT"/>
                  </w:rPr>
                  <m:t>-</m:t>
                </m:r>
                <m:r>
                  <w:rPr>
                    <w:rFonts w:ascii="Cambria Math" w:eastAsia="Calibri" w:hAnsi="Cambria Math"/>
                  </w:rPr>
                  <m:t>i</m:t>
                </m:r>
              </m:num>
              <m:den>
                <m:r>
                  <w:rPr>
                    <w:rFonts w:ascii="Cambria Math" w:eastAsia="Calibri" w:hAnsi="Cambria Math"/>
                    <w:lang w:val="pt-PT"/>
                  </w:rPr>
                  <m:t>2 ∀</m:t>
                </m:r>
              </m:den>
            </m:f>
            <m:r>
              <w:rPr>
                <w:rFonts w:ascii="Cambria Math" w:eastAsia="Calibri" w:hAnsi="Cambria Math"/>
                <w:lang w:val="pt-PT"/>
              </w:rPr>
              <m:t xml:space="preserve"> </m:t>
            </m:r>
            <m:d>
              <m:dPr>
                <m:ctrlPr>
                  <w:rPr>
                    <w:rFonts w:ascii="Cambria Math" w:eastAsia="Calibri" w:hAnsi="Cambria Math"/>
                    <w:i/>
                  </w:rPr>
                </m:ctrlPr>
              </m:dPr>
              <m:e>
                <m:r>
                  <w:rPr>
                    <w:rFonts w:ascii="Cambria Math" w:eastAsia="Calibri" w:hAnsi="Cambria Math"/>
                    <w:lang w:val="pt-PT"/>
                  </w:rPr>
                  <m:t xml:space="preserve">1-1,5 </m:t>
                </m:r>
                <m:f>
                  <m:fPr>
                    <m:ctrlPr>
                      <w:rPr>
                        <w:rFonts w:ascii="Cambria Math" w:eastAsia="Calibri" w:hAnsi="Cambria Math"/>
                        <w:i/>
                      </w:rPr>
                    </m:ctrlPr>
                  </m:fPr>
                  <m:num>
                    <m:r>
                      <w:rPr>
                        <w:rFonts w:ascii="Cambria Math" w:eastAsia="Calibri" w:hAnsi="Cambria Math"/>
                      </w:rPr>
                      <m:t>F</m:t>
                    </m:r>
                  </m:num>
                  <m:den>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lang w:val="pt-PT"/>
                          </w:rPr>
                          <m:t>'</m:t>
                        </m:r>
                      </m:sup>
                    </m:sSup>
                  </m:den>
                </m:f>
              </m:e>
            </m:d>
            <m:r>
              <w:rPr>
                <w:rFonts w:ascii="Cambria Math" w:eastAsia="Calibri" w:hAnsi="Cambria Math"/>
                <w:lang w:val="pt-PT"/>
              </w:rPr>
              <m:t xml:space="preserve">+0,75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lang w:val="pt-PT"/>
                      </w:rPr>
                      <m:t>'</m:t>
                    </m:r>
                  </m:sup>
                </m:sSup>
              </m:den>
            </m:f>
            <m:r>
              <w:rPr>
                <w:rFonts w:ascii="Cambria Math" w:eastAsia="Calibri" w:hAnsi="Cambria Math"/>
                <w:lang w:val="pt-PT"/>
              </w:rPr>
              <m:t xml:space="preserve"> </m:t>
            </m:r>
            <m:d>
              <m:dPr>
                <m:ctrlPr>
                  <w:rPr>
                    <w:rFonts w:ascii="Cambria Math" w:eastAsia="Calibri" w:hAnsi="Cambria Math"/>
                    <w:i/>
                  </w:rPr>
                </m:ctrlPr>
              </m:dPr>
              <m:e>
                <m:r>
                  <w:rPr>
                    <w:rFonts w:ascii="Cambria Math" w:eastAsia="Calibri" w:hAnsi="Cambria Math"/>
                  </w:rPr>
                  <m:t>Z</m:t>
                </m:r>
                <m:r>
                  <w:rPr>
                    <w:rFonts w:ascii="Cambria Math" w:eastAsia="Calibri" w:hAnsi="Cambria Math"/>
                    <w:lang w:val="pt-PT"/>
                  </w:rPr>
                  <m:t xml:space="preserve"> ∙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num>
                  <m:den>
                    <m:r>
                      <w:rPr>
                        <w:rFonts w:ascii="Cambria Math" w:eastAsia="Calibri" w:hAnsi="Cambria Math"/>
                        <w:lang w:val="pt-PT"/>
                      </w:rPr>
                      <m:t>2</m:t>
                    </m:r>
                  </m:den>
                </m:f>
                <m:r>
                  <w:rPr>
                    <w:rFonts w:ascii="Cambria Math" w:eastAsia="Calibri" w:hAnsi="Cambria Math"/>
                    <w:lang w:val="pt-PT"/>
                  </w:rPr>
                  <m:t xml:space="preserve">- </m:t>
                </m:r>
                <m:sSub>
                  <m:sSubPr>
                    <m:ctrlPr>
                      <w:rPr>
                        <w:rFonts w:ascii="Cambria Math" w:eastAsia="Calibri" w:hAnsi="Cambria Math"/>
                        <w:i/>
                      </w:rPr>
                    </m:ctrlPr>
                  </m:sSubPr>
                  <m:e>
                    <m:r>
                      <w:rPr>
                        <w:rFonts w:ascii="Cambria Math" w:eastAsia="Calibri" w:hAnsi="Cambria Math"/>
                        <w:lang w:val="pt-PT"/>
                      </w:rPr>
                      <m:t>h</m:t>
                    </m:r>
                  </m:e>
                  <m:sub>
                    <m:r>
                      <w:rPr>
                        <w:rFonts w:ascii="Cambria Math" w:eastAsia="Calibri" w:hAnsi="Cambria Math"/>
                      </w:rPr>
                      <m:t>KW</m:t>
                    </m:r>
                  </m:sub>
                </m:sSub>
                <m:r>
                  <w:rPr>
                    <w:rFonts w:ascii="Cambria Math" w:eastAsia="Calibri" w:hAnsi="Cambria Math"/>
                    <w:lang w:val="pt-PT"/>
                  </w:rPr>
                  <m:t xml:space="preserve">- </m:t>
                </m:r>
                <m:sSub>
                  <m:sSubPr>
                    <m:ctrlPr>
                      <w:rPr>
                        <w:rFonts w:ascii="Cambria Math" w:eastAsia="Calibri" w:hAnsi="Cambria Math"/>
                        <w:i/>
                      </w:rPr>
                    </m:ctrlPr>
                  </m:sSubPr>
                  <m:e>
                    <m:r>
                      <w:rPr>
                        <w:rFonts w:ascii="Cambria Math" w:eastAsia="Calibri" w:hAnsi="Cambria Math"/>
                        <w:lang w:val="pt-PT"/>
                      </w:rPr>
                      <m:t>h</m:t>
                    </m:r>
                  </m:e>
                  <m:sub>
                    <m:r>
                      <w:rPr>
                        <w:rFonts w:ascii="Cambria Math" w:eastAsia="Calibri" w:hAnsi="Cambria Math"/>
                      </w:rPr>
                      <m:t>KfO</m:t>
                    </m:r>
                  </m:sub>
                </m:sSub>
              </m:e>
            </m:d>
          </m:num>
          <m:den>
            <m:r>
              <w:rPr>
                <w:rFonts w:ascii="Cambria Math" w:eastAsia="Calibri" w:hAnsi="Cambria Math"/>
                <w:lang w:val="pt-PT"/>
              </w:rPr>
              <m:t xml:space="preserve">0,75 ∙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lang w:val="pt-PT"/>
                      </w:rPr>
                      <m:t>'</m:t>
                    </m:r>
                  </m:sup>
                </m:sSup>
              </m:den>
            </m:f>
            <m:r>
              <w:rPr>
                <w:rFonts w:ascii="Cambria Math" w:eastAsia="Calibri" w:hAnsi="Cambria Math"/>
                <w:lang w:val="pt-PT"/>
              </w:rPr>
              <m:t xml:space="preserve"> ∙  </m:t>
            </m:r>
            <m:r>
              <w:rPr>
                <w:rFonts w:ascii="Cambria Math" w:eastAsia="Calibri" w:hAnsi="Cambria Math"/>
              </w:rPr>
              <m:t>Z</m:t>
            </m:r>
            <m:r>
              <w:rPr>
                <w:rFonts w:ascii="Cambria Math" w:eastAsia="Calibri" w:hAnsi="Cambria Math"/>
                <w:lang w:val="pt-PT"/>
              </w:rPr>
              <m:t>+1</m:t>
            </m:r>
          </m:den>
        </m:f>
        <m:r>
          <w:rPr>
            <w:rFonts w:ascii="Cambria Math" w:eastAsia="Calibri" w:hAnsi="Cambria Math"/>
            <w:lang w:val="pt-PT"/>
          </w:rPr>
          <m:t xml:space="preserve"> </m:t>
        </m:r>
        <m:d>
          <m:dPr>
            <m:begChr m:val="["/>
            <m:endChr m:val="]"/>
            <m:ctrlPr>
              <w:rPr>
                <w:rFonts w:ascii="Cambria Math" w:eastAsia="Calibri" w:hAnsi="Cambria Math"/>
                <w:i/>
              </w:rPr>
            </m:ctrlPr>
          </m:dPr>
          <m:e>
            <m:r>
              <w:rPr>
                <w:rFonts w:ascii="Cambria Math" w:eastAsia="Calibri" w:hAnsi="Cambria Math"/>
              </w:rPr>
              <m:t>m</m:t>
            </m:r>
          </m:e>
        </m:d>
      </m:oMath>
    </w:p>
    <w:p w:rsidR="005624E3" w:rsidRPr="00DB7D1E" w:rsidRDefault="005624E3" w:rsidP="005624E3">
      <w:pPr>
        <w:pStyle w:val="ESlet"/>
        <w:rPr>
          <w:rFonts w:eastAsia="Calibri"/>
          <w:lang w:val="pt-PT"/>
        </w:rPr>
      </w:pPr>
    </w:p>
    <w:p w:rsidR="005624E3" w:rsidRPr="00DB7D1E" w:rsidRDefault="005624E3" w:rsidP="005624E3">
      <w:pPr>
        <w:pStyle w:val="ESletpar"/>
        <w:rPr>
          <w:rFonts w:cs="Arial"/>
          <w:szCs w:val="18"/>
          <w:lang w:val="pt-PT"/>
        </w:rPr>
      </w:pPr>
      <w:r w:rsidRPr="00DB7D1E">
        <w:rPr>
          <w:lang w:val="pt-PT"/>
        </w:rPr>
        <w:t xml:space="preserve">6,6-nél kisebb értéket nem szabad venni a következőre: </w:t>
      </w:r>
      <m:oMath>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B</m:t>
                </m:r>
              </m:e>
              <m:sub>
                <m:r>
                  <w:rPr>
                    <w:rFonts w:ascii="Cambria Math" w:hAnsi="Cambria Math"/>
                    <w:noProof/>
                  </w:rPr>
                  <m:t>WL</m:t>
                </m:r>
              </m:sub>
            </m:sSub>
          </m:num>
          <m:den>
            <m:r>
              <w:rPr>
                <w:rFonts w:ascii="Cambria Math" w:hAnsi="Cambria Math"/>
                <w:noProof/>
              </w:rPr>
              <m:t>F</m:t>
            </m:r>
            <m:r>
              <w:rPr>
                <w:rFonts w:ascii="Cambria Math" w:hAnsi="Cambria Math"/>
                <w:noProof/>
                <w:lang w:val="pt-PT"/>
              </w:rPr>
              <m:t>'</m:t>
            </m:r>
          </m:den>
        </m:f>
      </m:oMath>
      <w:r w:rsidRPr="00DB7D1E">
        <w:rPr>
          <w:lang w:val="pt-PT"/>
        </w:rPr>
        <w:t>, és</w:t>
      </w:r>
    </w:p>
    <w:p w:rsidR="005624E3" w:rsidRPr="00DB7D1E" w:rsidRDefault="005624E3" w:rsidP="005624E3">
      <w:pPr>
        <w:pStyle w:val="ESletpar"/>
        <w:rPr>
          <w:rFonts w:cs="Arial"/>
          <w:szCs w:val="18"/>
          <w:lang w:val="pt-PT"/>
        </w:rPr>
      </w:pPr>
      <w:r w:rsidRPr="00DB7D1E">
        <w:rPr>
          <w:lang w:val="pt-PT"/>
        </w:rPr>
        <w:t xml:space="preserve">0-nál kisebb értéket nem szabad venni a következőre:  </w:t>
      </w:r>
      <m:oMath>
        <m:f>
          <m:fPr>
            <m:ctrlPr>
              <w:rPr>
                <w:rFonts w:ascii="Cambria Math" w:hAnsi="Cambria Math"/>
                <w:i/>
                <w:noProof/>
              </w:rPr>
            </m:ctrlPr>
          </m:fPr>
          <m:num>
            <m:r>
              <w:rPr>
                <w:rFonts w:ascii="Cambria Math" w:hAnsi="Cambria Math"/>
                <w:noProof/>
              </w:rPr>
              <m:t>I</m:t>
            </m:r>
            <m:r>
              <w:rPr>
                <w:rFonts w:ascii="Cambria Math" w:hAnsi="Cambria Math"/>
                <w:noProof/>
                <w:lang w:val="pt-PT"/>
              </w:rPr>
              <m:t>-</m:t>
            </m:r>
            <m:r>
              <w:rPr>
                <w:rFonts w:ascii="Cambria Math" w:hAnsi="Cambria Math"/>
                <w:noProof/>
              </w:rPr>
              <m:t>i</m:t>
            </m:r>
          </m:num>
          <m:den>
            <m:r>
              <w:rPr>
                <w:rFonts w:ascii="Cambria Math" w:hAnsi="Cambria Math"/>
                <w:noProof/>
                <w:lang w:val="pt-PT"/>
              </w:rPr>
              <m:t>2 ∀</m:t>
            </m:r>
          </m:den>
        </m:f>
        <m:r>
          <w:rPr>
            <w:rFonts w:ascii="Cambria Math" w:hAnsi="Cambria Math"/>
            <w:noProof/>
            <w:lang w:val="pt-PT"/>
          </w:rPr>
          <m:t xml:space="preserve"> ∙ </m:t>
        </m:r>
        <m:d>
          <m:dPr>
            <m:ctrlPr>
              <w:rPr>
                <w:rFonts w:ascii="Cambria Math" w:hAnsi="Cambria Math"/>
                <w:i/>
                <w:noProof/>
              </w:rPr>
            </m:ctrlPr>
          </m:dPr>
          <m:e>
            <m:r>
              <w:rPr>
                <w:rFonts w:ascii="Cambria Math" w:hAnsi="Cambria Math"/>
                <w:noProof/>
                <w:lang w:val="pt-PT"/>
              </w:rPr>
              <m:t xml:space="preserve">1-1,5 </m:t>
            </m:r>
            <m:f>
              <m:fPr>
                <m:ctrlPr>
                  <w:rPr>
                    <w:rFonts w:ascii="Cambria Math" w:hAnsi="Cambria Math"/>
                    <w:i/>
                    <w:noProof/>
                  </w:rPr>
                </m:ctrlPr>
              </m:fPr>
              <m:num>
                <m:r>
                  <w:rPr>
                    <w:rFonts w:ascii="Cambria Math" w:hAnsi="Cambria Math"/>
                    <w:noProof/>
                  </w:rPr>
                  <m:t>F</m:t>
                </m:r>
              </m:num>
              <m:den>
                <m:r>
                  <w:rPr>
                    <w:rFonts w:ascii="Cambria Math" w:hAnsi="Cambria Math"/>
                    <w:noProof/>
                  </w:rPr>
                  <m:t>F</m:t>
                </m:r>
                <m:r>
                  <w:rPr>
                    <w:rFonts w:ascii="Cambria Math" w:hAnsi="Cambria Math"/>
                    <w:noProof/>
                    <w:lang w:val="pt-PT"/>
                  </w:rPr>
                  <m:t>'</m:t>
                </m:r>
              </m:den>
            </m:f>
          </m:e>
        </m:d>
      </m:oMath>
    </w:p>
    <w:p w:rsidR="005624E3" w:rsidRPr="00DB7D1E" w:rsidRDefault="005624E3" w:rsidP="005624E3">
      <w:pPr>
        <w:pStyle w:val="ESlet"/>
        <w:rPr>
          <w:rFonts w:cs="Arial"/>
          <w:szCs w:val="18"/>
          <w:lang w:val="pt-PT"/>
        </w:rPr>
      </w:pPr>
      <w:r w:rsidRPr="00DB7D1E">
        <w:rPr>
          <w:lang w:val="pt-PT"/>
        </w:rPr>
        <w:t>b)</w:t>
      </w:r>
      <w:r w:rsidRPr="00DB7D1E">
        <w:rPr>
          <w:lang w:val="pt-PT"/>
        </w:rPr>
        <w:tab/>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r>
          <w:rPr>
            <w:rFonts w:ascii="Cambria Math" w:hAnsi="Cambria Math"/>
            <w:noProof/>
            <w:lang w:val="pt-PT"/>
          </w:rPr>
          <m:t xml:space="preserve">= </m:t>
        </m:r>
        <m:acc>
          <m:accPr>
            <m:chr m:val="̅"/>
            <m:ctrlPr>
              <w:rPr>
                <w:rFonts w:ascii="Cambria Math" w:hAnsi="Cambria Math"/>
                <w:i/>
                <w:noProof/>
              </w:rPr>
            </m:ctrlPr>
          </m:accPr>
          <m:e>
            <m:r>
              <w:rPr>
                <w:rFonts w:ascii="Cambria Math" w:hAnsi="Cambria Math"/>
                <w:noProof/>
              </w:rPr>
              <m:t>KM</m:t>
            </m:r>
          </m:e>
        </m:acc>
        <m:r>
          <w:rPr>
            <w:rFonts w:ascii="Cambria Math" w:hAnsi="Cambria Math"/>
            <w:noProof/>
            <w:lang w:val="pt-PT"/>
          </w:rPr>
          <m:t xml:space="preserve">-0,50 </m:t>
        </m:r>
        <m:d>
          <m:dPr>
            <m:begChr m:val="["/>
            <m:endChr m:val="]"/>
            <m:ctrlPr>
              <w:rPr>
                <w:rFonts w:ascii="Cambria Math" w:hAnsi="Cambria Math"/>
                <w:i/>
                <w:noProof/>
              </w:rPr>
            </m:ctrlPr>
          </m:dPr>
          <m:e>
            <m:r>
              <w:rPr>
                <w:rFonts w:ascii="Cambria Math" w:hAnsi="Cambria Math"/>
                <w:noProof/>
              </w:rPr>
              <m:t>m</m:t>
            </m:r>
          </m:e>
        </m:d>
      </m:oMath>
    </w:p>
    <w:p w:rsidR="005624E3" w:rsidRPr="00DB7D1E" w:rsidRDefault="005624E3" w:rsidP="005624E3">
      <w:pPr>
        <w:pStyle w:val="ESletpar"/>
        <w:rPr>
          <w:rFonts w:cs="Arial"/>
          <w:szCs w:val="18"/>
          <w:lang w:val="pt-PT"/>
        </w:rPr>
      </w:pPr>
      <w:r w:rsidRPr="00DB7D1E">
        <w:rPr>
          <w:lang w:val="pt-PT"/>
        </w:rPr>
        <w:t xml:space="preserve">A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rsidRPr="00DB7D1E">
        <w:rPr>
          <w:lang w:val="pt-PT"/>
        </w:rPr>
        <w:t xml:space="preserve"> a) vagy b) képlet szerinti alacsonyabb értéke mérvadó.</w:t>
      </w:r>
    </w:p>
    <w:p w:rsidR="005624E3" w:rsidRPr="00DB7D1E" w:rsidRDefault="005624E3" w:rsidP="005624E3">
      <w:pPr>
        <w:pStyle w:val="ESletpar"/>
        <w:rPr>
          <w:rFonts w:cs="Arial"/>
          <w:szCs w:val="18"/>
          <w:lang w:val="pt-PT"/>
        </w:rPr>
      </w:pPr>
      <w:r w:rsidRPr="00DB7D1E">
        <w:rPr>
          <w:lang w:val="pt-PT"/>
        </w:rPr>
        <w:t>Ezekben a képletekben, a fent meghatározott fogalmakon kívül:</w:t>
      </w:r>
    </w:p>
    <w:p w:rsidR="005624E3" w:rsidRPr="00DB7D1E" w:rsidRDefault="005624E3" w:rsidP="005624E3">
      <w:pPr>
        <w:pStyle w:val="EStiret"/>
        <w:rPr>
          <w:rFonts w:eastAsia="Calibri"/>
          <w:lang w:val="pt-PT"/>
        </w:rPr>
      </w:pPr>
      <m:oMath>
        <m:r>
          <w:rPr>
            <w:rFonts w:ascii="Cambria Math" w:eastAsia="Calibri" w:hAnsi="Cambria Math"/>
          </w:rPr>
          <m:t>I</m:t>
        </m:r>
      </m:oMath>
      <w:r w:rsidRPr="00DB7D1E">
        <w:rPr>
          <w:lang w:val="pt-PT"/>
        </w:rPr>
        <w:tab/>
        <w:t xml:space="preserve">a vízvonalterület keresztirányú tehetetlenségi nyomatéka </w:t>
      </w:r>
      <m:oMath>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oMath>
      <w:r w:rsidRPr="00DB7D1E">
        <w:rPr>
          <w:lang w:val="pt-PT"/>
        </w:rPr>
        <w:t>-nél [m</w:t>
      </w:r>
      <w:r w:rsidRPr="00DB7D1E">
        <w:rPr>
          <w:vertAlign w:val="superscript"/>
          <w:lang w:val="pt-PT"/>
        </w:rPr>
        <w:t>4</w:t>
      </w:r>
      <w:r w:rsidRPr="00DB7D1E">
        <w:rPr>
          <w:lang w:val="pt-PT"/>
        </w:rPr>
        <w:t>], (a közelítő képletet lásd a 3. bekezdésben);</w:t>
      </w:r>
    </w:p>
    <w:p w:rsidR="005624E3" w:rsidRPr="00DB7D1E" w:rsidRDefault="005624E3" w:rsidP="005624E3">
      <w:pPr>
        <w:pStyle w:val="EStiret"/>
        <w:rPr>
          <w:rFonts w:eastAsia="Calibri"/>
          <w:lang w:val="pt-PT"/>
        </w:rPr>
      </w:pPr>
      <m:oMath>
        <m:r>
          <w:rPr>
            <w:rFonts w:ascii="Cambria Math" w:eastAsia="Calibri" w:hAnsi="Cambria Math"/>
          </w:rPr>
          <m:t>i</m:t>
        </m:r>
      </m:oMath>
      <w:r w:rsidRPr="00DB7D1E">
        <w:rPr>
          <w:lang w:val="pt-PT"/>
        </w:rPr>
        <w:tab/>
        <w:t>az alappal párhuzamos vízvonalterület keresztirányú tehetetlenségi nyomatéka, a következő magasságban:</w:t>
      </w:r>
    </w:p>
    <w:p w:rsidR="005624E3" w:rsidRPr="00C903F8" w:rsidRDefault="003142CA" w:rsidP="005624E3">
      <w:pPr>
        <w:pStyle w:val="EStiret"/>
        <w:ind w:left="0"/>
        <w:rPr>
          <w:rFonts w:eastAsia="Calibri"/>
        </w:rPr>
      </w:pPr>
      <m:oMathPara>
        <m:oMath>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r>
            <w:rPr>
              <w:rFonts w:ascii="Cambria Math" w:eastAsia="Calibri" w:hAnsi="Cambria Math"/>
            </w:rPr>
            <m:t xml:space="preserve">+ </m:t>
          </m:r>
          <m:f>
            <m:fPr>
              <m:ctrlPr>
                <w:rPr>
                  <w:rFonts w:ascii="Cambria Math" w:eastAsia="Calibri" w:hAnsi="Cambria Math"/>
                  <w:i/>
                </w:rPr>
              </m:ctrlPr>
            </m:fPr>
            <m:num>
              <m:r>
                <w:rPr>
                  <w:rFonts w:ascii="Cambria Math" w:eastAsia="Calibri" w:hAnsi="Cambria Math"/>
                </w:rPr>
                <m:t>2</m:t>
              </m:r>
            </m:num>
            <m:den>
              <m:r>
                <w:rPr>
                  <w:rFonts w:ascii="Cambria Math" w:eastAsia="Calibri" w:hAnsi="Cambria Math"/>
                </w:rPr>
                <m:t>3</m:t>
              </m:r>
            </m:den>
          </m:f>
          <m:r>
            <w:rPr>
              <w:rFonts w:ascii="Cambria Math" w:eastAsia="Calibri" w:hAnsi="Cambria Math"/>
            </w:rPr>
            <m:t xml:space="preserve"> </m:t>
          </m:r>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rPr>
                <m:t>'</m:t>
              </m:r>
            </m:sup>
          </m:sSup>
          <m:d>
            <m:dPr>
              <m:begChr m:val="["/>
              <m:endChr m:val="]"/>
              <m:ctrlPr>
                <w:rPr>
                  <w:rFonts w:ascii="Cambria Math" w:eastAsia="Calibri" w:hAnsi="Cambria Math"/>
                  <w:i/>
                </w:rPr>
              </m:ctrlPr>
            </m:dPr>
            <m:e>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rPr>
                    <m:t>4</m:t>
                  </m:r>
                </m:sup>
              </m:sSup>
            </m:e>
          </m:d>
        </m:oMath>
      </m:oMathPara>
    </w:p>
    <w:p w:rsidR="005624E3" w:rsidRPr="00C903F8" w:rsidRDefault="005624E3" w:rsidP="005624E3">
      <w:pPr>
        <w:pStyle w:val="EStiret"/>
        <w:rPr>
          <w:rFonts w:eastAsia="Calibri"/>
        </w:rPr>
      </w:pPr>
      <m:oMath>
        <m:r>
          <w:rPr>
            <w:rFonts w:ascii="Cambria Math" w:eastAsia="Calibri" w:hAnsi="Cambria Math"/>
          </w:rPr>
          <m:t>∀</m:t>
        </m:r>
      </m:oMath>
      <w:r>
        <w:tab/>
        <w:t xml:space="preserve">a hajó vízkiszorítási térfogata </w:t>
      </w:r>
      <m:oMath>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oMath>
      <w:r>
        <w:t>-nél [m</w:t>
      </w:r>
      <w:r>
        <w:rPr>
          <w:vertAlign w:val="superscript"/>
        </w:rPr>
        <w:t>3</w:t>
      </w:r>
      <w:r>
        <w:t>];</w:t>
      </w:r>
    </w:p>
    <w:p w:rsidR="005624E3" w:rsidRPr="00C903F8" w:rsidRDefault="005624E3" w:rsidP="005624E3">
      <w:pPr>
        <w:pStyle w:val="EStiret"/>
        <w:rPr>
          <w:rFonts w:eastAsia="Calibri"/>
        </w:rPr>
      </w:pPr>
      <m:oMath>
        <m:r>
          <w:rPr>
            <w:rFonts w:ascii="Cambria Math" w:eastAsia="Calibri" w:hAnsi="Cambria Math"/>
          </w:rPr>
          <m:t>F'</m:t>
        </m:r>
      </m:oMath>
      <w:r>
        <w:tab/>
        <w:t xml:space="preserve">az ideális szabadoldal; </w:t>
      </w:r>
    </w:p>
    <w:p w:rsidR="005624E3" w:rsidRPr="00C903F8" w:rsidRDefault="003142CA" w:rsidP="005624E3">
      <w:pPr>
        <w:pStyle w:val="EStiret"/>
        <w:ind w:firstLine="1"/>
        <w:rPr>
          <w:rFonts w:eastAsia="Calibri"/>
        </w:rPr>
      </w:pPr>
      <m:oMath>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rPr>
              <m:t>'</m:t>
            </m:r>
          </m:sup>
        </m:sSup>
        <m:r>
          <w:rPr>
            <w:rFonts w:ascii="Cambria Math" w:eastAsia="Calibri" w:hAnsi="Cambria Math"/>
          </w:rPr>
          <m:t>=</m:t>
        </m:r>
        <m:sSup>
          <m:sSupPr>
            <m:ctrlPr>
              <w:rPr>
                <w:rFonts w:ascii="Cambria Math" w:eastAsia="Calibri" w:hAnsi="Cambria Math"/>
                <w:i/>
              </w:rPr>
            </m:ctrlPr>
          </m:sSupPr>
          <m:e>
            <m:r>
              <w:rPr>
                <w:rFonts w:ascii="Cambria Math" w:eastAsia="Calibri" w:hAnsi="Cambria Math"/>
              </w:rPr>
              <m:t>H</m:t>
            </m:r>
          </m:e>
          <m:sup>
            <m:r>
              <w:rPr>
                <w:rFonts w:ascii="Cambria Math" w:eastAsia="Calibri" w:hAnsi="Cambria Math"/>
              </w:rPr>
              <m:t>'</m:t>
            </m:r>
          </m:sup>
        </m:sSup>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oMath>
      <w:r w:rsidR="005624E3">
        <w:t xml:space="preserve"> vagy </w:t>
      </w:r>
      <m:oMath>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rPr>
              <m:t>'</m:t>
            </m:r>
          </m:sup>
        </m:sSup>
        <m:r>
          <w:rPr>
            <w:rFonts w:ascii="Cambria Math" w:eastAsia="Calibri" w:hAnsi="Cambria Math"/>
          </w:rPr>
          <m:t xml:space="preserve">= </m:t>
        </m:r>
        <m:f>
          <m:fPr>
            <m:ctrlPr>
              <w:rPr>
                <w:rFonts w:ascii="Cambria Math" w:eastAsia="Calibri" w:hAnsi="Cambria Math"/>
                <w:i/>
              </w:rPr>
            </m:ctrlPr>
          </m:fPr>
          <m:num>
            <m:r>
              <w:rPr>
                <w:rFonts w:ascii="Cambria Math" w:eastAsia="Calibri" w:hAnsi="Cambria Math"/>
              </w:rPr>
              <m:t xml:space="preserve">a ∙ </m:t>
            </m:r>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r>
              <w:rPr>
                <w:rFonts w:ascii="Cambria Math" w:eastAsia="Calibri" w:hAnsi="Cambria Math"/>
              </w:rPr>
              <m:t>2 ∙b</m:t>
            </m:r>
          </m:den>
        </m:f>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oMath>
      <w:r w:rsidR="005624E3">
        <w:t>, ahol a kisebb érték mérvadó;</w:t>
      </w:r>
    </w:p>
    <w:p w:rsidR="005624E3" w:rsidRPr="00C903F8" w:rsidRDefault="005624E3" w:rsidP="005624E3">
      <w:pPr>
        <w:pStyle w:val="EStiret"/>
        <w:rPr>
          <w:rFonts w:eastAsia="Calibri"/>
        </w:rPr>
      </w:pPr>
    </w:p>
    <w:p w:rsidR="005624E3" w:rsidRPr="00C903F8" w:rsidRDefault="005624E3" w:rsidP="005624E3">
      <w:pPr>
        <w:pStyle w:val="EStiret"/>
        <w:rPr>
          <w:rFonts w:eastAsia="Calibri"/>
        </w:rPr>
      </w:pPr>
      <w:r>
        <w:br w:type="page"/>
      </w:r>
    </w:p>
    <w:p w:rsidR="005624E3" w:rsidRPr="00C903F8" w:rsidRDefault="005624E3" w:rsidP="005624E3">
      <w:pPr>
        <w:pStyle w:val="EStiret"/>
        <w:rPr>
          <w:rFonts w:eastAsia="Calibri"/>
        </w:rPr>
      </w:pPr>
      <m:oMath>
        <m:r>
          <w:rPr>
            <w:rFonts w:ascii="Cambria Math" w:eastAsia="Calibri" w:hAnsi="Cambria Math"/>
          </w:rPr>
          <m:t>a</m:t>
        </m:r>
      </m:oMath>
      <w:r>
        <w:tab/>
        <w:t>a dőlés esetén legelőször vízbe merülő nyílás alsó széle és a hajó függőleges helyzeténél lévő merülési vonal közötti függőleges távolság [m];</w:t>
      </w:r>
    </w:p>
    <w:p w:rsidR="005624E3" w:rsidRPr="00C903F8" w:rsidRDefault="005624E3" w:rsidP="005624E3">
      <w:pPr>
        <w:pStyle w:val="EStiret"/>
        <w:rPr>
          <w:rFonts w:eastAsia="Calibri"/>
        </w:rPr>
      </w:pPr>
      <m:oMath>
        <m:r>
          <w:rPr>
            <w:rFonts w:ascii="Cambria Math" w:eastAsia="Calibri" w:hAnsi="Cambria Math"/>
          </w:rPr>
          <m:t>b</m:t>
        </m:r>
      </m:oMath>
      <w:r>
        <w:tab/>
        <w:t>ugyanezen nyílás és a hajó középpontja közötti távolság [m];</w:t>
      </w:r>
    </w:p>
    <w:p w:rsidR="005624E3" w:rsidRPr="00DB7D1E" w:rsidRDefault="005624E3" w:rsidP="005624E3">
      <w:pPr>
        <w:pStyle w:val="EStiret"/>
        <w:rPr>
          <w:rFonts w:eastAsia="Calibri"/>
          <w:lang w:val="pt-PT"/>
        </w:rPr>
      </w:pPr>
      <m:oMath>
        <m:r>
          <w:rPr>
            <w:rFonts w:ascii="Cambria Math" w:eastAsia="Calibri" w:hAnsi="Cambria Math"/>
          </w:rPr>
          <m:t>H</m:t>
        </m:r>
        <m:r>
          <w:rPr>
            <w:rFonts w:ascii="Cambria Math" w:eastAsia="Calibri" w:hAnsi="Cambria Math"/>
            <w:lang w:val="pt-PT"/>
          </w:rPr>
          <m:t>'</m:t>
        </m:r>
      </m:oMath>
      <w:r w:rsidRPr="00DB7D1E">
        <w:rPr>
          <w:lang w:val="pt-PT"/>
        </w:rPr>
        <w:tab/>
        <w:t xml:space="preserve">az ideális oldalmagasság </w:t>
      </w:r>
      <m:oMath>
        <m:sSup>
          <m:sSupPr>
            <m:ctrlPr>
              <w:rPr>
                <w:rFonts w:ascii="Cambria Math" w:eastAsia="Calibri" w:hAnsi="Cambria Math"/>
                <w:i/>
              </w:rPr>
            </m:ctrlPr>
          </m:sSupPr>
          <m:e>
            <m:r>
              <w:rPr>
                <w:rFonts w:ascii="Cambria Math" w:eastAsia="Calibri" w:hAnsi="Cambria Math"/>
              </w:rPr>
              <m:t>H</m:t>
            </m:r>
          </m:e>
          <m:sup>
            <m:r>
              <w:rPr>
                <w:rFonts w:ascii="Cambria Math" w:eastAsia="Calibri" w:hAnsi="Cambria Math"/>
                <w:lang w:val="pt-PT"/>
              </w:rPr>
              <m:t>'</m:t>
            </m:r>
          </m:sup>
        </m:sSup>
        <m:r>
          <w:rPr>
            <w:rFonts w:ascii="Cambria Math" w:eastAsia="Calibri" w:hAnsi="Cambria Math"/>
            <w:lang w:val="pt-PT"/>
          </w:rPr>
          <m:t>=</m:t>
        </m:r>
        <m:r>
          <w:rPr>
            <w:rFonts w:ascii="Cambria Math" w:eastAsia="Calibri" w:hAnsi="Cambria Math"/>
          </w:rPr>
          <m:t>H</m:t>
        </m:r>
        <m:r>
          <w:rPr>
            <w:rFonts w:ascii="Cambria Math" w:eastAsia="Calibri" w:hAnsi="Cambria Math"/>
            <w:lang w:val="pt-PT"/>
          </w:rPr>
          <m:t xml:space="preserve">+ </m:t>
        </m:r>
        <m:f>
          <m:fPr>
            <m:ctrlPr>
              <w:rPr>
                <w:rFonts w:ascii="Cambria Math" w:eastAsia="Calibri" w:hAnsi="Cambria Math"/>
                <w:i/>
              </w:rPr>
            </m:ctrlPr>
          </m:fPr>
          <m:num>
            <m:r>
              <w:rPr>
                <w:rFonts w:ascii="Cambria Math" w:eastAsia="Calibri" w:hAnsi="Cambria Math"/>
              </w:rPr>
              <m:t>q</m:t>
            </m:r>
          </m:num>
          <m:den>
            <m:r>
              <w:rPr>
                <w:rFonts w:ascii="Cambria Math" w:eastAsia="Calibri" w:hAnsi="Cambria Math"/>
                <w:lang w:val="pt-PT"/>
              </w:rPr>
              <m:t>0,9 ∙</m:t>
            </m:r>
            <m:r>
              <w:rPr>
                <w:rFonts w:ascii="Cambria Math" w:eastAsia="Calibri" w:hAnsi="Cambria Math"/>
              </w:rPr>
              <m:t>L</m:t>
            </m:r>
            <m:r>
              <w:rPr>
                <w:rFonts w:ascii="Cambria Math" w:eastAsia="Calibri" w:hAnsi="Cambria Math"/>
                <w:lang w:val="pt-PT"/>
              </w:rPr>
              <m:t xml:space="preserve"> ∙ </m:t>
            </m:r>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den>
        </m:f>
        <m:r>
          <w:rPr>
            <w:rFonts w:ascii="Cambria Math" w:eastAsia="Calibri" w:hAnsi="Cambria Math"/>
            <w:lang w:val="pt-PT"/>
          </w:rPr>
          <m:t xml:space="preserve"> </m:t>
        </m:r>
        <m:d>
          <m:dPr>
            <m:begChr m:val="["/>
            <m:endChr m:val="]"/>
            <m:ctrlPr>
              <w:rPr>
                <w:rFonts w:ascii="Cambria Math" w:eastAsia="Calibri" w:hAnsi="Cambria Math"/>
                <w:i/>
              </w:rPr>
            </m:ctrlPr>
          </m:dPr>
          <m:e>
            <m:r>
              <w:rPr>
                <w:rFonts w:ascii="Cambria Math" w:eastAsia="Calibri" w:hAnsi="Cambria Math"/>
              </w:rPr>
              <m:t>m</m:t>
            </m:r>
          </m:e>
        </m:d>
        <m:r>
          <w:rPr>
            <w:rFonts w:ascii="Cambria Math" w:eastAsia="Calibri" w:hAnsi="Cambria Math"/>
            <w:lang w:val="pt-PT"/>
          </w:rPr>
          <m:t>;</m:t>
        </m:r>
      </m:oMath>
    </w:p>
    <w:p w:rsidR="005624E3" w:rsidRPr="00DB7D1E" w:rsidRDefault="005624E3" w:rsidP="005624E3">
      <w:pPr>
        <w:pStyle w:val="EStiret"/>
        <w:rPr>
          <w:rFonts w:eastAsia="Calibri"/>
          <w:lang w:val="pt-PT"/>
        </w:rPr>
      </w:pPr>
      <m:oMath>
        <m:r>
          <w:rPr>
            <w:rFonts w:ascii="Cambria Math" w:eastAsia="Calibri" w:hAnsi="Cambria Math"/>
            <w:szCs w:val="16"/>
          </w:rPr>
          <m:t>q</m:t>
        </m:r>
      </m:oMath>
      <w:r w:rsidRPr="00DB7D1E">
        <w:rPr>
          <w:lang w:val="pt-PT"/>
        </w:rPr>
        <w:tab/>
        <w:t xml:space="preserve">a </w:t>
      </w:r>
      <m:oMath>
        <m:r>
          <w:rPr>
            <w:rFonts w:ascii="Cambria Math" w:eastAsia="Calibri" w:hAnsi="Cambria Math"/>
            <w:szCs w:val="16"/>
          </w:rPr>
          <m:t>H</m:t>
        </m:r>
      </m:oMath>
      <w:r w:rsidRPr="00DB7D1E">
        <w:rPr>
          <w:lang w:val="pt-PT"/>
        </w:rPr>
        <w:t xml:space="preserve"> felett legfeljebb 1,0 m magasságú, vagy a vizsgált térfogatnál a legalacsonyabb nyílásig felérő fedélzeti felépítmények, fedélzeti nyílások, emelt rakományfedélzetek és egyéb felépítmények térfogatának összege, ahol az alacsonyabb érték mérvadó. A hajó legszélső pontjaitól </w:t>
      </w:r>
      <m:oMath>
        <m:r>
          <w:rPr>
            <w:rFonts w:ascii="Cambria Math" w:eastAsia="Calibri" w:hAnsi="Cambria Math"/>
            <w:szCs w:val="16"/>
            <w:lang w:val="pt-PT"/>
          </w:rPr>
          <m:t xml:space="preserve">0,05 </m:t>
        </m:r>
        <m:r>
          <w:rPr>
            <w:rFonts w:ascii="Cambria Math" w:eastAsia="Calibri" w:hAnsi="Cambria Math"/>
            <w:szCs w:val="16"/>
          </w:rPr>
          <m:t>L</m:t>
        </m:r>
      </m:oMath>
      <w:r w:rsidRPr="00DB7D1E">
        <w:rPr>
          <w:lang w:val="pt-PT"/>
        </w:rPr>
        <w:t xml:space="preserve"> távolságon belül lévő térfogatrészeket nem kell figyelembe venni [m</w:t>
      </w:r>
      <w:r w:rsidRPr="00DB7D1E">
        <w:rPr>
          <w:vertAlign w:val="superscript"/>
          <w:lang w:val="pt-PT"/>
        </w:rPr>
        <w:t>3</w:t>
      </w:r>
      <w:r w:rsidRPr="00DB7D1E">
        <w:rPr>
          <w:lang w:val="pt-PT"/>
        </w:rPr>
        <w:t>].</w:t>
      </w:r>
    </w:p>
    <w:p w:rsidR="005624E3" w:rsidRPr="00DB7D1E" w:rsidRDefault="005624E3" w:rsidP="005624E3">
      <w:pPr>
        <w:pStyle w:val="ESch"/>
        <w:rPr>
          <w:rFonts w:eastAsia="Calibri" w:cs="Arial"/>
          <w:szCs w:val="18"/>
          <w:lang w:val="pt-PT"/>
        </w:rPr>
      </w:pPr>
    </w:p>
    <w:p w:rsidR="005624E3" w:rsidRPr="00DB7D1E" w:rsidRDefault="005624E3" w:rsidP="005624E3">
      <w:pPr>
        <w:pStyle w:val="ESch"/>
        <w:rPr>
          <w:rFonts w:eastAsia="Calibri" w:cs="Arial"/>
          <w:szCs w:val="18"/>
          <w:lang w:val="pt-PT"/>
        </w:rPr>
      </w:pPr>
      <w:r w:rsidRPr="00DB7D1E">
        <w:rPr>
          <w:lang w:val="pt-PT"/>
        </w:rPr>
        <w:t>3.</w:t>
      </w:r>
      <w:r w:rsidRPr="00DB7D1E">
        <w:rPr>
          <w:lang w:val="pt-PT"/>
        </w:rPr>
        <w:tab/>
        <w:t>Közelítő képletek az I kiszámításához:</w:t>
      </w:r>
    </w:p>
    <w:p w:rsidR="005624E3" w:rsidRPr="00DB7D1E" w:rsidRDefault="005624E3" w:rsidP="005624E3">
      <w:pPr>
        <w:pStyle w:val="ESchpar"/>
        <w:rPr>
          <w:noProof/>
          <w:lang w:val="pt-PT"/>
        </w:rPr>
      </w:pPr>
    </w:p>
    <w:p w:rsidR="005624E3" w:rsidRPr="00DB7D1E" w:rsidRDefault="005624E3" w:rsidP="005624E3">
      <w:pPr>
        <w:pStyle w:val="ESchpar"/>
        <w:rPr>
          <w:rFonts w:cs="Arial"/>
          <w:szCs w:val="18"/>
          <w:lang w:val="pt-PT"/>
        </w:rPr>
      </w:pPr>
      <w:r w:rsidRPr="00DB7D1E">
        <w:rPr>
          <w:lang w:val="pt-PT"/>
        </w:rPr>
        <w:t>Ha nem állnak rendelkezésre hidrosztatikus görbék, a vízvonalterület I keresztirányú tehetetlenségi nyomatékának értéke az alábbi közelítő képletekkel kiszámítható:</w:t>
      </w:r>
    </w:p>
    <w:p w:rsidR="005624E3" w:rsidRPr="00C903F8" w:rsidRDefault="005624E3" w:rsidP="005624E3">
      <w:pPr>
        <w:pStyle w:val="ESlet"/>
        <w:rPr>
          <w:noProof/>
        </w:rPr>
      </w:pPr>
      <w:r>
        <w:t>a)</w:t>
      </w:r>
      <w:r>
        <w:tab/>
        <w:t>ponton formájú hajók esetében:</w:t>
      </w:r>
    </w:p>
    <w:p w:rsidR="005624E3" w:rsidRPr="00C903F8" w:rsidRDefault="005624E3" w:rsidP="005624E3">
      <w:pPr>
        <w:pStyle w:val="ESlet"/>
        <w:rPr>
          <w:rFonts w:cs="Arial"/>
          <w:szCs w:val="18"/>
        </w:rPr>
      </w:pPr>
    </w:p>
    <w:p w:rsidR="005624E3" w:rsidRPr="00C903F8" w:rsidRDefault="005624E3" w:rsidP="005624E3">
      <w:pPr>
        <w:pStyle w:val="ESlet"/>
        <w:ind w:left="0"/>
        <w:rPr>
          <w:rFonts w:cs="Arial"/>
          <w:szCs w:val="18"/>
        </w:rPr>
      </w:pPr>
      <m:oMathPara>
        <m:oMath>
          <m:r>
            <w:rPr>
              <w:rFonts w:ascii="Cambria Math" w:hAnsi="Cambria Math" w:cs="Arial"/>
              <w:szCs w:val="18"/>
            </w:rPr>
            <m:t xml:space="preserve">I=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r>
                <w:rPr>
                  <w:rFonts w:ascii="Cambria Math" w:hAnsi="Cambria Math" w:cs="Arial"/>
                  <w:szCs w:val="18"/>
                </w:rPr>
                <m:t xml:space="preserve"> ∙ ∀</m:t>
              </m:r>
            </m:num>
            <m:den>
              <m:d>
                <m:dPr>
                  <m:ctrlPr>
                    <w:rPr>
                      <w:rFonts w:ascii="Cambria Math" w:hAnsi="Cambria Math" w:cs="Arial"/>
                      <w:i/>
                      <w:szCs w:val="18"/>
                    </w:rPr>
                  </m:ctrlPr>
                </m:dPr>
                <m:e>
                  <m:r>
                    <w:rPr>
                      <w:rFonts w:ascii="Cambria Math" w:hAnsi="Cambria Math" w:cs="Arial"/>
                      <w:szCs w:val="18"/>
                    </w:rPr>
                    <m:t xml:space="preserve">12,5-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d>
            <m:dPr>
              <m:begChr m:val="["/>
              <m:endChr m:val="]"/>
              <m:ctrlPr>
                <w:rPr>
                  <w:rFonts w:ascii="Cambria Math" w:hAnsi="Cambria Math" w:cs="Arial"/>
                  <w:i/>
                  <w:szCs w:val="18"/>
                </w:rPr>
              </m:ctrlPr>
            </m:dPr>
            <m:e>
              <m:sSup>
                <m:sSupPr>
                  <m:ctrlPr>
                    <w:rPr>
                      <w:rFonts w:ascii="Cambria Math" w:hAnsi="Cambria Math" w:cs="Arial"/>
                      <w:i/>
                      <w:szCs w:val="18"/>
                    </w:rPr>
                  </m:ctrlPr>
                </m:sSupPr>
                <m:e>
                  <m:r>
                    <w:rPr>
                      <w:rFonts w:ascii="Cambria Math" w:hAnsi="Cambria Math" w:cs="Arial"/>
                      <w:szCs w:val="18"/>
                    </w:rPr>
                    <m:t>m</m:t>
                  </m:r>
                </m:e>
                <m:sup>
                  <m:r>
                    <w:rPr>
                      <w:rFonts w:ascii="Cambria Math" w:hAnsi="Cambria Math" w:cs="Arial"/>
                      <w:szCs w:val="18"/>
                    </w:rPr>
                    <m:t>4</m:t>
                  </m:r>
                </m:sup>
              </m:sSup>
            </m:e>
          </m:d>
        </m:oMath>
      </m:oMathPara>
    </w:p>
    <w:p w:rsidR="005624E3" w:rsidRPr="00C903F8" w:rsidRDefault="005624E3" w:rsidP="005624E3">
      <w:pPr>
        <w:pStyle w:val="ESlet"/>
        <w:rPr>
          <w:rFonts w:eastAsia="Calibri"/>
        </w:rPr>
      </w:pPr>
    </w:p>
    <w:p w:rsidR="005624E3" w:rsidRPr="00C903F8" w:rsidRDefault="005624E3" w:rsidP="005624E3">
      <w:pPr>
        <w:pStyle w:val="ESlet"/>
        <w:rPr>
          <w:rFonts w:eastAsia="Calibri"/>
        </w:rPr>
      </w:pPr>
      <w:r>
        <w:t>b)</w:t>
      </w:r>
      <w:r>
        <w:tab/>
        <w:t>egyéb hajók esetében:</w:t>
      </w:r>
    </w:p>
    <w:p w:rsidR="005624E3" w:rsidRPr="00C903F8" w:rsidRDefault="005624E3" w:rsidP="005624E3">
      <w:pPr>
        <w:pStyle w:val="ESlet"/>
        <w:rPr>
          <w:rFonts w:eastAsia="Calibri"/>
        </w:rPr>
      </w:pPr>
    </w:p>
    <w:p w:rsidR="005624E3" w:rsidRPr="00C903F8" w:rsidRDefault="005624E3" w:rsidP="005624E3">
      <w:pPr>
        <w:pStyle w:val="ESlet"/>
        <w:ind w:left="0"/>
        <w:rPr>
          <w:rFonts w:cs="Arial"/>
          <w:szCs w:val="18"/>
        </w:rPr>
      </w:pPr>
      <m:oMathPara>
        <m:oMath>
          <m:r>
            <w:rPr>
              <w:rFonts w:ascii="Cambria Math" w:hAnsi="Cambria Math" w:cs="Arial"/>
              <w:szCs w:val="18"/>
            </w:rPr>
            <m:t xml:space="preserve">I=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r>
                <w:rPr>
                  <w:rFonts w:ascii="Cambria Math" w:hAnsi="Cambria Math" w:cs="Arial"/>
                  <w:szCs w:val="18"/>
                </w:rPr>
                <m:t xml:space="preserve"> ∙ ∀</m:t>
              </m:r>
            </m:num>
            <m:den>
              <m:d>
                <m:dPr>
                  <m:ctrlPr>
                    <w:rPr>
                      <w:rFonts w:ascii="Cambria Math" w:hAnsi="Cambria Math" w:cs="Arial"/>
                      <w:i/>
                      <w:szCs w:val="18"/>
                    </w:rPr>
                  </m:ctrlPr>
                </m:dPr>
                <m:e>
                  <m:r>
                    <w:rPr>
                      <w:rFonts w:ascii="Cambria Math" w:hAnsi="Cambria Math" w:cs="Arial"/>
                      <w:szCs w:val="18"/>
                    </w:rPr>
                    <m:t xml:space="preserve">12,7-1,2 ∙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d>
            <m:dPr>
              <m:begChr m:val="["/>
              <m:endChr m:val="]"/>
              <m:ctrlPr>
                <w:rPr>
                  <w:rFonts w:ascii="Cambria Math" w:hAnsi="Cambria Math" w:cs="Arial"/>
                  <w:i/>
                  <w:szCs w:val="18"/>
                </w:rPr>
              </m:ctrlPr>
            </m:dPr>
            <m:e>
              <m:sSup>
                <m:sSupPr>
                  <m:ctrlPr>
                    <w:rPr>
                      <w:rFonts w:ascii="Cambria Math" w:hAnsi="Cambria Math" w:cs="Arial"/>
                      <w:i/>
                      <w:szCs w:val="18"/>
                    </w:rPr>
                  </m:ctrlPr>
                </m:sSupPr>
                <m:e>
                  <m:r>
                    <w:rPr>
                      <w:rFonts w:ascii="Cambria Math" w:hAnsi="Cambria Math" w:cs="Arial"/>
                      <w:szCs w:val="18"/>
                    </w:rPr>
                    <m:t>m</m:t>
                  </m:r>
                </m:e>
                <m:sup>
                  <m:r>
                    <w:rPr>
                      <w:rFonts w:ascii="Cambria Math" w:hAnsi="Cambria Math" w:cs="Arial"/>
                      <w:szCs w:val="18"/>
                    </w:rPr>
                    <m:t>4</m:t>
                  </m:r>
                </m:sup>
              </m:sSup>
            </m:e>
          </m:d>
        </m:oMath>
      </m:oMathPara>
    </w:p>
    <w:p w:rsidR="005624E3" w:rsidRPr="00C903F8" w:rsidRDefault="005624E3" w:rsidP="005624E3">
      <w:pPr>
        <w:pStyle w:val="ESch"/>
        <w:rPr>
          <w:rFonts w:eastAsia="Calibri" w:cs="Arial"/>
          <w:szCs w:val="18"/>
        </w:rPr>
      </w:pPr>
    </w:p>
    <w:p w:rsidR="005624E3" w:rsidRPr="00C903F8" w:rsidRDefault="005624E3" w:rsidP="005624E3">
      <w:pPr>
        <w:pStyle w:val="ESch"/>
        <w:rPr>
          <w:rFonts w:eastAsia="Calibri" w:cs="Arial"/>
          <w:szCs w:val="18"/>
        </w:rPr>
      </w:pPr>
    </w:p>
    <w:p w:rsidR="005624E3" w:rsidRPr="00DB7D1E" w:rsidRDefault="005624E3" w:rsidP="005624E3">
      <w:pPr>
        <w:pStyle w:val="ES-Titre3"/>
        <w:rPr>
          <w:rFonts w:cs="Arial"/>
          <w:i/>
          <w:szCs w:val="18"/>
          <w:lang w:val="pt-PT"/>
        </w:rPr>
      </w:pPr>
      <w:bookmarkStart w:id="491" w:name="_Toc491854242"/>
      <w:bookmarkStart w:id="492" w:name="_Toc535854022"/>
      <w:r w:rsidRPr="00DB7D1E">
        <w:rPr>
          <w:lang w:val="pt-PT"/>
        </w:rPr>
        <w:t>27.04. cikk</w:t>
      </w:r>
      <w:r w:rsidRPr="00DB7D1E">
        <w:rPr>
          <w:lang w:val="pt-PT"/>
        </w:rPr>
        <w:br/>
      </w:r>
      <w:r w:rsidRPr="00DB7D1E">
        <w:rPr>
          <w:i/>
          <w:noProof/>
          <w:lang w:val="pt-PT"/>
        </w:rPr>
        <w:t>A stabilitás fedélzeti értékelésére vonatkozó eljárás</w:t>
      </w:r>
      <w:bookmarkEnd w:id="491"/>
      <w:bookmarkEnd w:id="492"/>
    </w:p>
    <w:p w:rsidR="005624E3" w:rsidRPr="00DB7D1E" w:rsidRDefault="005624E3" w:rsidP="005624E3">
      <w:pPr>
        <w:pStyle w:val="ESch"/>
        <w:rPr>
          <w:noProof/>
          <w:lang w:val="pt-PT"/>
        </w:rPr>
      </w:pPr>
    </w:p>
    <w:p w:rsidR="005624E3" w:rsidRPr="00DB7D1E" w:rsidRDefault="005624E3" w:rsidP="005624E3">
      <w:pPr>
        <w:pStyle w:val="ESgauche"/>
        <w:rPr>
          <w:rFonts w:cs="Arial"/>
          <w:szCs w:val="18"/>
          <w:lang w:val="pt-PT"/>
        </w:rPr>
      </w:pPr>
      <w:r w:rsidRPr="00DB7D1E">
        <w:rPr>
          <w:lang w:val="pt-PT"/>
        </w:rPr>
        <w:t>A stabilitás értékelésére vonatkozó eljárás meghatározható a 27.01. cikk 2. bekezdésében említett dokumentáció alapján.</w:t>
      </w:r>
    </w:p>
    <w:p w:rsidR="005624E3" w:rsidRPr="00DB7D1E" w:rsidRDefault="005624E3" w:rsidP="005624E3">
      <w:pPr>
        <w:pStyle w:val="ESch"/>
        <w:rPr>
          <w:lang w:val="pt-PT"/>
        </w:rPr>
      </w:pPr>
    </w:p>
    <w:p w:rsidR="005624E3" w:rsidRPr="00DB7D1E" w:rsidRDefault="005624E3" w:rsidP="005624E3">
      <w:pPr>
        <w:pStyle w:val="ESch"/>
        <w:rPr>
          <w:lang w:val="pt-PT"/>
        </w:rPr>
      </w:pPr>
    </w:p>
    <w:p w:rsidR="005624E3" w:rsidRPr="00DB7D1E" w:rsidRDefault="005624E3" w:rsidP="005624E3">
      <w:pPr>
        <w:pStyle w:val="ESch"/>
        <w:rPr>
          <w:lang w:val="pt-PT"/>
        </w:rPr>
      </w:pPr>
      <w:r w:rsidRPr="00DB7D1E">
        <w:rPr>
          <w:lang w:val="pt-PT"/>
        </w:rPr>
        <w:br w:type="page"/>
      </w:r>
    </w:p>
    <w:p w:rsidR="005624E3" w:rsidRPr="00DB7D1E" w:rsidRDefault="005624E3" w:rsidP="005624E3">
      <w:pPr>
        <w:pStyle w:val="ESch"/>
        <w:rPr>
          <w:lang w:val="pt-PT"/>
        </w:rPr>
      </w:pPr>
    </w:p>
    <w:p w:rsidR="005624E3" w:rsidRPr="00DB7D1E" w:rsidRDefault="005624E3" w:rsidP="005624E3">
      <w:pPr>
        <w:pStyle w:val="ESch"/>
        <w:rPr>
          <w:lang w:val="pt-PT"/>
        </w:rPr>
      </w:pPr>
    </w:p>
    <w:p w:rsidR="005624E3" w:rsidRPr="00DB7D1E" w:rsidRDefault="005624E3" w:rsidP="005624E3">
      <w:pPr>
        <w:pStyle w:val="ESch"/>
        <w:rPr>
          <w:lang w:val="pt-PT"/>
        </w:rPr>
      </w:pPr>
    </w:p>
    <w:p w:rsidR="005624E3" w:rsidRPr="00166EA9" w:rsidRDefault="005624E3" w:rsidP="005624E3">
      <w:pPr>
        <w:pStyle w:val="ES-Titre2"/>
        <w:rPr>
          <w:lang w:val="pt-PT"/>
        </w:rPr>
      </w:pPr>
      <w:bookmarkStart w:id="493" w:name="_Toc491854243"/>
      <w:bookmarkStart w:id="494" w:name="_Toc535854023"/>
      <w:r w:rsidRPr="00166EA9">
        <w:rPr>
          <w:lang w:val="pt-PT"/>
        </w:rPr>
        <w:t>28. fejezet</w:t>
      </w:r>
      <w:r w:rsidRPr="00166EA9">
        <w:rPr>
          <w:lang w:val="pt-PT"/>
        </w:rPr>
        <w:br/>
      </w:r>
      <w:r w:rsidRPr="00166EA9">
        <w:rPr>
          <w:noProof/>
          <w:lang w:val="pt-PT"/>
        </w:rPr>
        <w:t>A 110 m hosszúságot meghaladó vízi járművekre vonatkozó külön rendelkezések</w:t>
      </w:r>
      <w:bookmarkEnd w:id="493"/>
      <w:bookmarkEnd w:id="494"/>
    </w:p>
    <w:p w:rsidR="005624E3" w:rsidRPr="00DB7D1E" w:rsidRDefault="005624E3" w:rsidP="005624E3">
      <w:pPr>
        <w:rPr>
          <w:lang w:val="pt-PT"/>
        </w:rPr>
      </w:pPr>
    </w:p>
    <w:p w:rsidR="005624E3" w:rsidRPr="00DB7D1E" w:rsidRDefault="005624E3" w:rsidP="005624E3">
      <w:pPr>
        <w:pStyle w:val="ES-Titre3"/>
        <w:rPr>
          <w:lang w:val="pt-PT"/>
        </w:rPr>
      </w:pPr>
      <w:bookmarkStart w:id="495" w:name="_Toc491854244"/>
      <w:bookmarkStart w:id="496" w:name="_Toc535854024"/>
      <w:r w:rsidRPr="00DB7D1E">
        <w:rPr>
          <w:lang w:val="pt-PT"/>
        </w:rPr>
        <w:t>28.01. cikk</w:t>
      </w:r>
      <w:r w:rsidRPr="00DB7D1E">
        <w:rPr>
          <w:lang w:val="pt-PT"/>
        </w:rPr>
        <w:br/>
      </w:r>
      <w:r w:rsidRPr="00DB7D1E">
        <w:rPr>
          <w:i/>
          <w:noProof/>
          <w:lang w:val="pt-PT"/>
        </w:rPr>
        <w:t>A II. rész alkalmazása</w:t>
      </w:r>
      <w:bookmarkEnd w:id="495"/>
      <w:bookmarkEnd w:id="496"/>
    </w:p>
    <w:p w:rsidR="005624E3" w:rsidRPr="00DB7D1E" w:rsidRDefault="005624E3" w:rsidP="005624E3">
      <w:pPr>
        <w:pStyle w:val="ESch"/>
        <w:rPr>
          <w:noProof/>
          <w:lang w:val="pt-PT"/>
        </w:rPr>
      </w:pPr>
    </w:p>
    <w:p w:rsidR="005624E3" w:rsidRPr="00DB7D1E" w:rsidRDefault="005624E3" w:rsidP="005624E3">
      <w:pPr>
        <w:pStyle w:val="ESgauche"/>
        <w:rPr>
          <w:lang w:val="pt-PT"/>
        </w:rPr>
      </w:pPr>
      <w:r w:rsidRPr="00DB7D1E">
        <w:rPr>
          <w:lang w:val="pt-PT"/>
        </w:rPr>
        <w:t>A 110 m hosszúságot (</w:t>
      </w:r>
      <m:oMath>
        <m:r>
          <w:rPr>
            <w:rFonts w:ascii="Cambria Math" w:hAnsi="Cambria Math"/>
          </w:rPr>
          <m:t>L</m:t>
        </m:r>
      </m:oMath>
      <w:r w:rsidRPr="00DB7D1E">
        <w:rPr>
          <w:lang w:val="pt-PT"/>
        </w:rPr>
        <w:t>) meghaladó vízi járművekre a II. és III. részen kívül a 28.02–28.04. cikk is alkalmazandó.</w:t>
      </w:r>
    </w:p>
    <w:p w:rsidR="005624E3" w:rsidRPr="00DB7D1E" w:rsidRDefault="005624E3" w:rsidP="005624E3">
      <w:pPr>
        <w:pStyle w:val="ESch"/>
        <w:rPr>
          <w:noProof/>
          <w:szCs w:val="20"/>
          <w:lang w:val="pt-PT"/>
        </w:rPr>
      </w:pPr>
    </w:p>
    <w:p w:rsidR="005624E3" w:rsidRPr="00DB7D1E" w:rsidRDefault="005624E3" w:rsidP="005624E3">
      <w:pPr>
        <w:pStyle w:val="ESch"/>
        <w:rPr>
          <w:noProof/>
          <w:szCs w:val="20"/>
          <w:lang w:val="pt-PT"/>
        </w:rPr>
      </w:pPr>
    </w:p>
    <w:p w:rsidR="005624E3" w:rsidRPr="00DB7D1E" w:rsidRDefault="005624E3" w:rsidP="005624E3">
      <w:pPr>
        <w:pStyle w:val="ES-Titre3"/>
        <w:rPr>
          <w:i/>
          <w:noProof/>
          <w:lang w:val="pt-PT"/>
        </w:rPr>
      </w:pPr>
      <w:bookmarkStart w:id="497" w:name="_Toc491854245"/>
      <w:bookmarkStart w:id="498" w:name="_Toc535854025"/>
      <w:r w:rsidRPr="00DB7D1E">
        <w:rPr>
          <w:lang w:val="pt-PT"/>
        </w:rPr>
        <w:t>28.02. cikk</w:t>
      </w:r>
      <w:r w:rsidRPr="00DB7D1E">
        <w:rPr>
          <w:lang w:val="pt-PT"/>
        </w:rPr>
        <w:br/>
      </w:r>
      <w:r w:rsidRPr="00DB7D1E">
        <w:rPr>
          <w:i/>
          <w:noProof/>
          <w:lang w:val="pt-PT"/>
        </w:rPr>
        <w:t>Szilárdság</w:t>
      </w:r>
      <w:bookmarkEnd w:id="497"/>
      <w:bookmarkEnd w:id="498"/>
    </w:p>
    <w:p w:rsidR="005624E3" w:rsidRPr="00DB7D1E" w:rsidRDefault="005624E3" w:rsidP="005624E3">
      <w:pPr>
        <w:pStyle w:val="ESgauche"/>
        <w:rPr>
          <w:lang w:val="pt-PT"/>
        </w:rPr>
      </w:pPr>
    </w:p>
    <w:p w:rsidR="005624E3" w:rsidRPr="00DB7D1E" w:rsidRDefault="005624E3" w:rsidP="005624E3">
      <w:pPr>
        <w:pStyle w:val="ESgauche"/>
        <w:rPr>
          <w:lang w:val="pt-PT"/>
        </w:rPr>
      </w:pPr>
      <w:r w:rsidRPr="00DB7D1E">
        <w:rPr>
          <w:lang w:val="pt-PT"/>
        </w:rPr>
        <w:t>A 3.02. cikk 1. bekezdésének a) pontja szerinti megfelelő hajótestszilárdságot (hosszanti, oldalirányú és lokális szilárdság) egy elismert hajóosztályozó társaság által kiadott igazolással kell igazolni.</w:t>
      </w:r>
    </w:p>
    <w:p w:rsidR="005624E3" w:rsidRPr="00DB7D1E" w:rsidRDefault="005624E3" w:rsidP="005624E3">
      <w:pPr>
        <w:pStyle w:val="ESch"/>
        <w:rPr>
          <w:rFonts w:cs="Arial"/>
          <w:szCs w:val="20"/>
          <w:lang w:val="pt-PT"/>
        </w:rPr>
      </w:pPr>
    </w:p>
    <w:p w:rsidR="005624E3" w:rsidRPr="00DB7D1E" w:rsidRDefault="005624E3" w:rsidP="005624E3">
      <w:pPr>
        <w:pStyle w:val="ESch"/>
        <w:rPr>
          <w:rFonts w:cs="Arial"/>
          <w:szCs w:val="20"/>
          <w:lang w:val="pt-PT"/>
        </w:rPr>
      </w:pPr>
    </w:p>
    <w:p w:rsidR="005624E3" w:rsidRPr="00DB7D1E" w:rsidRDefault="005624E3" w:rsidP="005624E3">
      <w:pPr>
        <w:pStyle w:val="ES-Titre3"/>
        <w:rPr>
          <w:lang w:val="pt-PT"/>
        </w:rPr>
      </w:pPr>
      <w:bookmarkStart w:id="499" w:name="_Toc491854246"/>
      <w:bookmarkStart w:id="500" w:name="_Toc535854026"/>
      <w:r w:rsidRPr="00DB7D1E">
        <w:rPr>
          <w:lang w:val="pt-PT"/>
        </w:rPr>
        <w:t>28.03. cikk</w:t>
      </w:r>
      <w:bookmarkEnd w:id="500"/>
    </w:p>
    <w:p w:rsidR="005624E3" w:rsidRPr="00DB7D1E" w:rsidRDefault="005624E3" w:rsidP="005624E3">
      <w:pPr>
        <w:pStyle w:val="ES-Titre3"/>
        <w:rPr>
          <w:i/>
          <w:noProof/>
          <w:lang w:val="pt-PT"/>
        </w:rPr>
      </w:pPr>
      <w:bookmarkStart w:id="501" w:name="_Toc535854027"/>
      <w:r w:rsidRPr="00DB7D1E">
        <w:rPr>
          <w:i/>
          <w:noProof/>
          <w:lang w:val="pt-PT"/>
        </w:rPr>
        <w:t>Úszóképesség és stabilitás</w:t>
      </w:r>
      <w:bookmarkEnd w:id="499"/>
      <w:bookmarkEnd w:id="501"/>
    </w:p>
    <w:p w:rsidR="005624E3" w:rsidRPr="00DB7D1E" w:rsidRDefault="005624E3" w:rsidP="005624E3">
      <w:pPr>
        <w:pStyle w:val="ESch"/>
        <w:rPr>
          <w:noProof/>
          <w:szCs w:val="20"/>
          <w:lang w:val="pt-PT"/>
        </w:rPr>
      </w:pPr>
    </w:p>
    <w:p w:rsidR="005624E3" w:rsidRPr="00DB7D1E" w:rsidRDefault="005624E3" w:rsidP="005624E3">
      <w:pPr>
        <w:pStyle w:val="ESch"/>
        <w:rPr>
          <w:noProof/>
          <w:szCs w:val="20"/>
          <w:lang w:val="pt-PT"/>
        </w:rPr>
      </w:pPr>
      <w:r w:rsidRPr="00DB7D1E">
        <w:rPr>
          <w:lang w:val="pt-PT"/>
        </w:rPr>
        <w:t>1.</w:t>
      </w:r>
      <w:r w:rsidRPr="00DB7D1E">
        <w:rPr>
          <w:lang w:val="pt-PT"/>
        </w:rPr>
        <w:tab/>
        <w:t>A 2–10. bekezdés a személyhajók kivételével minden 110 m hosszúságot (</w:t>
      </w:r>
      <m:oMath>
        <m:r>
          <w:rPr>
            <w:rFonts w:ascii="Cambria Math" w:hAnsi="Cambria Math"/>
            <w:noProof/>
            <w:szCs w:val="20"/>
          </w:rPr>
          <m:t>L</m:t>
        </m:r>
      </m:oMath>
      <w:r w:rsidRPr="00DB7D1E">
        <w:rPr>
          <w:lang w:val="pt-PT"/>
        </w:rPr>
        <w:t>) meghaladó vízi járműre alkalmazandó.</w:t>
      </w:r>
    </w:p>
    <w:p w:rsidR="005624E3" w:rsidRPr="00DB7D1E" w:rsidRDefault="005624E3" w:rsidP="005624E3">
      <w:pPr>
        <w:pStyle w:val="ESch"/>
        <w:rPr>
          <w:noProof/>
          <w:szCs w:val="20"/>
          <w:lang w:val="pt-PT"/>
        </w:rPr>
      </w:pPr>
    </w:p>
    <w:p w:rsidR="005624E3" w:rsidRPr="00DB7D1E" w:rsidRDefault="005624E3" w:rsidP="005624E3">
      <w:pPr>
        <w:pStyle w:val="ESch"/>
        <w:rPr>
          <w:noProof/>
          <w:szCs w:val="20"/>
          <w:lang w:val="pt-PT"/>
        </w:rPr>
      </w:pPr>
      <w:r w:rsidRPr="00DB7D1E">
        <w:rPr>
          <w:lang w:val="pt-PT"/>
        </w:rPr>
        <w:t>2.</w:t>
      </w:r>
      <w:r w:rsidRPr="00DB7D1E">
        <w:rPr>
          <w:lang w:val="pt-PT"/>
        </w:rPr>
        <w:tab/>
        <w:t>A stabilitási számítás alapvető értékeit, az üres hajó tömegét és a tömegközéppont helyét az MSC.267(85) IMO-határozat</w:t>
      </w:r>
      <w:r>
        <w:rPr>
          <w:rStyle w:val="FootnoteReference"/>
          <w:noProof/>
        </w:rPr>
        <w:footnoteReference w:id="24"/>
      </w:r>
      <w:r w:rsidRPr="00DB7D1E">
        <w:rPr>
          <w:lang w:val="pt-PT"/>
        </w:rPr>
        <w:t xml:space="preserve"> 1. melléklete szerint elvégzett döntéspróbával kell meghatározni.</w:t>
      </w:r>
    </w:p>
    <w:p w:rsidR="005624E3" w:rsidRPr="00DB7D1E" w:rsidRDefault="005624E3" w:rsidP="005624E3">
      <w:pPr>
        <w:pStyle w:val="ESch"/>
        <w:rPr>
          <w:szCs w:val="20"/>
          <w:lang w:val="pt-PT"/>
        </w:rPr>
      </w:pPr>
    </w:p>
    <w:p w:rsidR="005624E3" w:rsidRPr="00DB7D1E" w:rsidRDefault="005624E3" w:rsidP="005624E3">
      <w:pPr>
        <w:pStyle w:val="ESch"/>
        <w:rPr>
          <w:rFonts w:cs="Arial"/>
          <w:szCs w:val="20"/>
          <w:lang w:val="pt-PT"/>
        </w:rPr>
      </w:pPr>
      <w:r w:rsidRPr="00DB7D1E">
        <w:rPr>
          <w:lang w:val="pt-PT"/>
        </w:rPr>
        <w:t>3.</w:t>
      </w:r>
      <w:r w:rsidRPr="00DB7D1E">
        <w:rPr>
          <w:lang w:val="pt-PT"/>
        </w:rPr>
        <w:tab/>
        <w:t>A kérelmezőnek számítással kell igazolnia, hogy a hajó sérült stabilitása megfelelő. Az elárasztás végső fázisára vonatkozó számításnak az úszóképesség csökkenése módszerén kell alapulnia, míg az elárasztás közbenső fázisaira vonatkozó számításnak a hozzáadott tömeg módszerén. Minden számítást a megengedhető trimmre és süllyedésre vonatkoztatva kell elvégezni.</w:t>
      </w:r>
    </w:p>
    <w:p w:rsidR="005624E3" w:rsidRPr="00DB7D1E" w:rsidRDefault="005624E3" w:rsidP="005624E3">
      <w:pPr>
        <w:pStyle w:val="ESchpar"/>
        <w:rPr>
          <w:noProof/>
          <w:lang w:val="pt-PT"/>
        </w:rPr>
      </w:pPr>
    </w:p>
    <w:p w:rsidR="005624E3" w:rsidRPr="00DB7D1E" w:rsidRDefault="005624E3" w:rsidP="005624E3">
      <w:pPr>
        <w:pStyle w:val="ESchpar"/>
        <w:rPr>
          <w:noProof/>
          <w:lang w:val="pt-PT"/>
        </w:rPr>
      </w:pPr>
      <w:r w:rsidRPr="00DB7D1E">
        <w:rPr>
          <w:lang w:val="pt-PT"/>
        </w:rPr>
        <w:t>Az elárasztás esetén is elegendő úszóképességet és stabilitást kell igazolni olyan körülmények között, amikor a rakomány megfelel a hajó legnagyobb merülésének és egyenletesen el van osztva a rakományterek között, a hajó teljesen fel van szerelve, tüzelőanyag-tartálya pedig teljesen fel van töltve.</w:t>
      </w:r>
    </w:p>
    <w:p w:rsidR="005624E3" w:rsidRPr="00DB7D1E" w:rsidRDefault="005624E3" w:rsidP="005624E3">
      <w:pPr>
        <w:pStyle w:val="ESchpar"/>
        <w:rPr>
          <w:noProof/>
          <w:lang w:val="pt-PT"/>
        </w:rPr>
      </w:pPr>
    </w:p>
    <w:p w:rsidR="005624E3" w:rsidRPr="00DB7D1E" w:rsidRDefault="005624E3" w:rsidP="005624E3">
      <w:pPr>
        <w:pStyle w:val="ESchpar"/>
        <w:rPr>
          <w:noProof/>
          <w:lang w:val="pt-PT"/>
        </w:rPr>
      </w:pPr>
      <w:r w:rsidRPr="00DB7D1E">
        <w:rPr>
          <w:lang w:val="pt-PT"/>
        </w:rPr>
        <w:t>Többféle rakomány esetében a stabilitási számítást a legkedvezőtlenebb teherelrendezésre kell elvégezni. A stabilitási számítást a hajón kell tartani.</w:t>
      </w:r>
    </w:p>
    <w:p w:rsidR="005624E3" w:rsidRPr="00DB7D1E" w:rsidRDefault="005624E3" w:rsidP="005624E3">
      <w:pPr>
        <w:pStyle w:val="ESchpar"/>
        <w:rPr>
          <w:noProof/>
          <w:lang w:val="pt-PT"/>
        </w:rPr>
      </w:pPr>
    </w:p>
    <w:p w:rsidR="005624E3" w:rsidRPr="00DB7D1E" w:rsidRDefault="005624E3" w:rsidP="005624E3">
      <w:pPr>
        <w:pStyle w:val="ESchpar"/>
        <w:rPr>
          <w:noProof/>
          <w:lang w:val="pt-PT"/>
        </w:rPr>
      </w:pPr>
      <w:r w:rsidRPr="00DB7D1E">
        <w:rPr>
          <w:lang w:val="pt-PT"/>
        </w:rPr>
        <w:t>E célból a kielégítő stabilitás matematikai igazolását az elárasztás három közbenső fázisára (25, 50 és 75 %-os elárasztottsági arány, valamint adott esetben a keresztirányú egyensúlyi helyzetet közvetlenül megelőző fázis) és az elárasztás végső fázisára is el kell végezni a fent meghatározott terhelési körülményeknek megfelelően.</w:t>
      </w:r>
    </w:p>
    <w:p w:rsidR="005624E3" w:rsidRPr="00DB7D1E" w:rsidRDefault="005624E3" w:rsidP="005624E3">
      <w:pPr>
        <w:pStyle w:val="ESch"/>
        <w:rPr>
          <w:noProof/>
          <w:szCs w:val="20"/>
          <w:lang w:val="pt-PT"/>
        </w:rPr>
      </w:pPr>
    </w:p>
    <w:p w:rsidR="005624E3" w:rsidRPr="00DB7D1E" w:rsidRDefault="005624E3" w:rsidP="005624E3">
      <w:pPr>
        <w:pStyle w:val="ESch"/>
        <w:rPr>
          <w:noProof/>
          <w:szCs w:val="20"/>
          <w:lang w:val="pt-PT"/>
        </w:rPr>
      </w:pPr>
      <w:r w:rsidRPr="00DB7D1E">
        <w:rPr>
          <w:lang w:val="pt-PT"/>
        </w:rPr>
        <w:t>4.</w:t>
      </w:r>
      <w:r w:rsidRPr="00DB7D1E">
        <w:rPr>
          <w:lang w:val="pt-PT"/>
        </w:rPr>
        <w:tab/>
        <w:t>A sérült állapotra vonatkozóan az alábbi feltételezésekkel kell élni:</w:t>
      </w:r>
    </w:p>
    <w:p w:rsidR="005624E3" w:rsidRPr="00DB7D1E" w:rsidRDefault="005624E3" w:rsidP="005624E3">
      <w:pPr>
        <w:pStyle w:val="ESlet"/>
        <w:rPr>
          <w:noProof/>
          <w:lang w:val="pt-PT"/>
        </w:rPr>
      </w:pPr>
      <w:r w:rsidRPr="00DB7D1E">
        <w:rPr>
          <w:lang w:val="pt-PT"/>
        </w:rPr>
        <w:t>a)</w:t>
      </w:r>
      <w:r w:rsidRPr="00DB7D1E">
        <w:rPr>
          <w:lang w:val="pt-PT"/>
        </w:rPr>
        <w:tab/>
        <w:t>Oldalsó sérülés mértéke:</w:t>
      </w:r>
    </w:p>
    <w:p w:rsidR="005624E3" w:rsidRPr="00DB7D1E" w:rsidRDefault="005624E3" w:rsidP="005624E3">
      <w:pPr>
        <w:pStyle w:val="ESletpar"/>
        <w:rPr>
          <w:noProof/>
          <w:lang w:val="pt-PT"/>
        </w:rPr>
      </w:pPr>
      <w:r w:rsidRPr="00DB7D1E">
        <w:rPr>
          <w:lang w:val="pt-PT"/>
        </w:rPr>
        <w:t>hosszanti kiterjedés:</w:t>
      </w:r>
      <w:r w:rsidRPr="00DB7D1E">
        <w:rPr>
          <w:lang w:val="pt-PT"/>
        </w:rPr>
        <w:tab/>
        <w:t xml:space="preserve">legalább 0,10 </w:t>
      </w:r>
      <m:oMath>
        <m:r>
          <w:rPr>
            <w:rFonts w:ascii="Cambria Math" w:hAnsi="Cambria Math"/>
            <w:noProof/>
          </w:rPr>
          <m:t>L</m:t>
        </m:r>
        <m:r>
          <w:rPr>
            <w:rFonts w:ascii="Cambria Math" w:hAnsi="Cambria Math"/>
            <w:noProof/>
            <w:lang w:val="pt-PT"/>
          </w:rPr>
          <m:t xml:space="preserve"> </m:t>
        </m:r>
      </m:oMath>
      <w:r w:rsidRPr="00DB7D1E">
        <w:rPr>
          <w:lang w:val="pt-PT"/>
        </w:rPr>
        <w:t>,</w:t>
      </w:r>
    </w:p>
    <w:p w:rsidR="005624E3" w:rsidRPr="00DB7D1E" w:rsidRDefault="005624E3" w:rsidP="005624E3">
      <w:pPr>
        <w:pStyle w:val="ESletpar"/>
        <w:rPr>
          <w:noProof/>
          <w:lang w:val="pt-PT"/>
        </w:rPr>
      </w:pPr>
      <w:r w:rsidRPr="00DB7D1E">
        <w:rPr>
          <w:lang w:val="pt-PT"/>
        </w:rPr>
        <w:t>keresztirányú kiterjedés:</w:t>
      </w:r>
      <w:r w:rsidRPr="00DB7D1E">
        <w:rPr>
          <w:lang w:val="pt-PT"/>
        </w:rPr>
        <w:tab/>
        <w:t>0,59 m,</w:t>
      </w:r>
    </w:p>
    <w:p w:rsidR="005624E3" w:rsidRPr="00DB7D1E" w:rsidRDefault="005624E3" w:rsidP="005624E3">
      <w:pPr>
        <w:pStyle w:val="ESletpar"/>
        <w:rPr>
          <w:noProof/>
          <w:lang w:val="pt-PT"/>
        </w:rPr>
      </w:pPr>
      <w:r w:rsidRPr="00DB7D1E">
        <w:rPr>
          <w:lang w:val="pt-PT"/>
        </w:rPr>
        <w:t>függőleges kiterjedés:</w:t>
      </w:r>
      <w:r w:rsidRPr="00DB7D1E">
        <w:rPr>
          <w:lang w:val="pt-PT"/>
        </w:rPr>
        <w:tab/>
        <w:t>a hajófenéktől felfelé, korlátozás nélkül.</w:t>
      </w:r>
    </w:p>
    <w:p w:rsidR="005624E3" w:rsidRPr="00DB7D1E" w:rsidRDefault="005624E3" w:rsidP="005624E3">
      <w:pPr>
        <w:pStyle w:val="ESlet"/>
        <w:rPr>
          <w:noProof/>
          <w:lang w:val="pt-PT"/>
        </w:rPr>
      </w:pPr>
    </w:p>
    <w:p w:rsidR="005624E3" w:rsidRPr="00DB7D1E" w:rsidRDefault="005624E3" w:rsidP="005624E3">
      <w:pPr>
        <w:pStyle w:val="ESlet"/>
        <w:rPr>
          <w:noProof/>
          <w:lang w:val="pt-PT"/>
        </w:rPr>
      </w:pPr>
      <w:r w:rsidRPr="00DB7D1E">
        <w:rPr>
          <w:lang w:val="pt-PT"/>
        </w:rPr>
        <w:br w:type="page"/>
      </w:r>
    </w:p>
    <w:p w:rsidR="005624E3" w:rsidRPr="00DB7D1E" w:rsidRDefault="005624E3" w:rsidP="005624E3">
      <w:pPr>
        <w:pStyle w:val="ESlet"/>
        <w:rPr>
          <w:noProof/>
          <w:lang w:val="pt-PT"/>
        </w:rPr>
      </w:pPr>
      <w:r w:rsidRPr="00DB7D1E">
        <w:rPr>
          <w:lang w:val="pt-PT"/>
        </w:rPr>
        <w:t>b)</w:t>
      </w:r>
      <w:r w:rsidRPr="00DB7D1E">
        <w:rPr>
          <w:lang w:val="pt-PT"/>
        </w:rPr>
        <w:tab/>
        <w:t>A hajófenék sérülésének mértéke:</w:t>
      </w:r>
    </w:p>
    <w:p w:rsidR="005624E3" w:rsidRPr="00DB7D1E" w:rsidRDefault="005624E3" w:rsidP="005624E3">
      <w:pPr>
        <w:pStyle w:val="ESletpar"/>
        <w:rPr>
          <w:noProof/>
          <w:lang w:val="pt-PT"/>
        </w:rPr>
      </w:pPr>
      <w:r w:rsidRPr="00DB7D1E">
        <w:rPr>
          <w:lang w:val="pt-PT"/>
        </w:rPr>
        <w:t>hosszanti kiterjedés:</w:t>
      </w:r>
      <w:r w:rsidRPr="00DB7D1E">
        <w:rPr>
          <w:lang w:val="pt-PT"/>
        </w:rPr>
        <w:tab/>
        <w:t xml:space="preserve">legalább </w:t>
      </w:r>
      <m:oMath>
        <m:r>
          <w:rPr>
            <w:rFonts w:ascii="Cambria Math" w:hAnsi="Cambria Math"/>
            <w:noProof/>
            <w:lang w:val="pt-PT"/>
          </w:rPr>
          <m:t xml:space="preserve">0,10 </m:t>
        </m:r>
        <m:r>
          <w:rPr>
            <w:rFonts w:ascii="Cambria Math" w:hAnsi="Cambria Math"/>
            <w:noProof/>
          </w:rPr>
          <m:t>L</m:t>
        </m:r>
      </m:oMath>
      <w:r w:rsidRPr="00DB7D1E">
        <w:rPr>
          <w:lang w:val="pt-PT"/>
        </w:rPr>
        <w:t>,</w:t>
      </w:r>
    </w:p>
    <w:p w:rsidR="005624E3" w:rsidRPr="00DB7D1E" w:rsidRDefault="005624E3" w:rsidP="005624E3">
      <w:pPr>
        <w:pStyle w:val="ESletpar"/>
        <w:rPr>
          <w:noProof/>
          <w:lang w:val="pt-PT"/>
        </w:rPr>
      </w:pPr>
      <w:r w:rsidRPr="00DB7D1E">
        <w:rPr>
          <w:lang w:val="pt-PT"/>
        </w:rPr>
        <w:t>keresztirányú kiterjedés:</w:t>
      </w:r>
      <w:r w:rsidRPr="00DB7D1E">
        <w:rPr>
          <w:lang w:val="pt-PT"/>
        </w:rPr>
        <w:tab/>
        <w:t>3,00 m,</w:t>
      </w:r>
    </w:p>
    <w:p w:rsidR="005624E3" w:rsidRPr="00DB7D1E" w:rsidRDefault="005624E3" w:rsidP="005624E3">
      <w:pPr>
        <w:pStyle w:val="ESletpar"/>
        <w:rPr>
          <w:noProof/>
          <w:lang w:val="pt-PT"/>
        </w:rPr>
      </w:pPr>
      <w:r w:rsidRPr="00DB7D1E">
        <w:rPr>
          <w:lang w:val="pt-PT"/>
        </w:rPr>
        <w:t>függőleges kiterjedés:</w:t>
      </w:r>
      <w:r w:rsidRPr="00DB7D1E">
        <w:rPr>
          <w:lang w:val="pt-PT"/>
        </w:rPr>
        <w:tab/>
        <w:t>az alaptól 0,39 m-re felfelé, kivéve a zsompot.</w:t>
      </w:r>
    </w:p>
    <w:p w:rsidR="005624E3" w:rsidRPr="00DB7D1E" w:rsidRDefault="005624E3" w:rsidP="005624E3">
      <w:pPr>
        <w:pStyle w:val="ESlet"/>
        <w:rPr>
          <w:noProof/>
          <w:lang w:val="pt-PT"/>
        </w:rPr>
      </w:pPr>
      <w:r w:rsidRPr="00DB7D1E">
        <w:rPr>
          <w:lang w:val="pt-PT"/>
        </w:rPr>
        <w:t>c)</w:t>
      </w:r>
      <w:r w:rsidRPr="00DB7D1E">
        <w:rPr>
          <w:lang w:val="pt-PT"/>
        </w:rPr>
        <w:tab/>
        <w:t>A sérült területen belül minden válaszfalat sérültnek kell tekinteni, ami azt jelenti, hogy a térbeosztást úgy kell megválasztani, hogy a hajó még azt követően is úszóképes maradjon, hogy hosszanti irányban két vagy több egymás melletti rekesz elárasztásra került. A főgéptérre vonatkozóan csak az egyteres elárasztást kell figyelembe venni, azaz a géptér záró válaszfalait sértetlennek kell tekinteni.</w:t>
      </w:r>
    </w:p>
    <w:p w:rsidR="005624E3" w:rsidRPr="00DB7D1E" w:rsidRDefault="005624E3" w:rsidP="005624E3">
      <w:pPr>
        <w:pStyle w:val="ESletpar"/>
        <w:rPr>
          <w:rFonts w:cs="Arial"/>
          <w:lang w:val="pt-PT"/>
        </w:rPr>
      </w:pPr>
      <w:r w:rsidRPr="00DB7D1E">
        <w:rPr>
          <w:lang w:val="pt-PT"/>
        </w:rPr>
        <w:t>A hajó fenéksérülése esetén az egymással haránt irányban szomszédos hajórekeszeket is elárasztottnak kell tekinteni.</w:t>
      </w:r>
    </w:p>
    <w:p w:rsidR="005624E3" w:rsidRPr="00DB7D1E" w:rsidRDefault="005624E3" w:rsidP="005624E3">
      <w:pPr>
        <w:pStyle w:val="ESlet"/>
        <w:rPr>
          <w:noProof/>
          <w:lang w:val="pt-PT"/>
        </w:rPr>
      </w:pPr>
      <w:r w:rsidRPr="00DB7D1E">
        <w:rPr>
          <w:lang w:val="pt-PT"/>
        </w:rPr>
        <w:t>d)</w:t>
      </w:r>
      <w:r w:rsidRPr="00DB7D1E">
        <w:rPr>
          <w:lang w:val="pt-PT"/>
        </w:rPr>
        <w:tab/>
        <w:t>Vízáteresztő képesség</w:t>
      </w:r>
    </w:p>
    <w:p w:rsidR="005624E3" w:rsidRPr="00DB7D1E" w:rsidRDefault="005624E3" w:rsidP="005624E3">
      <w:pPr>
        <w:pStyle w:val="ESletpar"/>
        <w:rPr>
          <w:noProof/>
          <w:lang w:val="pt-PT"/>
        </w:rPr>
      </w:pPr>
      <w:r w:rsidRPr="00DB7D1E">
        <w:rPr>
          <w:lang w:val="pt-PT"/>
        </w:rPr>
        <w:t>95 %-os vízáteresztő képességet kell feltételezni.</w:t>
      </w:r>
    </w:p>
    <w:p w:rsidR="005624E3" w:rsidRPr="00DB7D1E" w:rsidRDefault="005624E3" w:rsidP="005624E3">
      <w:pPr>
        <w:pStyle w:val="ESletpar"/>
        <w:rPr>
          <w:noProof/>
          <w:lang w:val="pt-PT"/>
        </w:rPr>
      </w:pPr>
      <w:r w:rsidRPr="00DB7D1E">
        <w:rPr>
          <w:lang w:val="pt-PT"/>
        </w:rPr>
        <w:t>Ha számítás igazolja, hogy valamely rekesz átlagos vízáteresztő képessége 95 %-nál kevesebb, akkor a számított érték alkalmazható.</w:t>
      </w:r>
    </w:p>
    <w:p w:rsidR="005624E3" w:rsidRPr="00DB7D1E" w:rsidRDefault="005624E3" w:rsidP="005624E3">
      <w:pPr>
        <w:pStyle w:val="ESletpar"/>
        <w:rPr>
          <w:noProof/>
          <w:lang w:val="pt-PT"/>
        </w:rPr>
      </w:pPr>
      <w:r w:rsidRPr="00DB7D1E">
        <w:rPr>
          <w:lang w:val="pt-PT"/>
        </w:rPr>
        <w:t>A figyelembe vett értékek nem lehetnek kisebbek a következőknél:</w:t>
      </w:r>
    </w:p>
    <w:p w:rsidR="005624E3" w:rsidRPr="00DB7D1E" w:rsidRDefault="005624E3" w:rsidP="005624E3">
      <w:pPr>
        <w:pStyle w:val="ESch"/>
        <w:rPr>
          <w:noProof/>
          <w:lang w:val="pt-PT"/>
        </w:rPr>
      </w:pPr>
    </w:p>
    <w:tbl>
      <w:tblPr>
        <w:tblW w:w="0" w:type="auto"/>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7"/>
        <w:gridCol w:w="1418"/>
      </w:tblGrid>
      <w:tr w:rsidR="005624E3" w:rsidRPr="00C903F8" w:rsidTr="00101A80">
        <w:tc>
          <w:tcPr>
            <w:tcW w:w="6747" w:type="dxa"/>
            <w:shd w:val="clear" w:color="auto" w:fill="auto"/>
            <w:vAlign w:val="center"/>
          </w:tcPr>
          <w:p w:rsidR="005624E3" w:rsidRPr="00C903F8" w:rsidRDefault="005624E3" w:rsidP="00101A80">
            <w:pPr>
              <w:pStyle w:val="ESletpar"/>
              <w:spacing w:after="60"/>
              <w:ind w:left="0"/>
              <w:rPr>
                <w:rFonts w:eastAsia="Batang"/>
              </w:rPr>
            </w:pPr>
            <w:r>
              <w:t>Géptér és műveleti helyiségek</w:t>
            </w:r>
          </w:p>
        </w:tc>
        <w:tc>
          <w:tcPr>
            <w:tcW w:w="1418" w:type="dxa"/>
            <w:shd w:val="clear" w:color="auto" w:fill="auto"/>
            <w:vAlign w:val="center"/>
          </w:tcPr>
          <w:p w:rsidR="005624E3" w:rsidRPr="00C903F8" w:rsidRDefault="005624E3" w:rsidP="00101A80">
            <w:pPr>
              <w:pStyle w:val="ESletpar"/>
              <w:spacing w:after="60"/>
              <w:ind w:left="0"/>
              <w:jc w:val="center"/>
              <w:rPr>
                <w:rFonts w:eastAsia="Batang"/>
              </w:rPr>
            </w:pPr>
            <w:r>
              <w:t>85 %</w:t>
            </w:r>
          </w:p>
        </w:tc>
      </w:tr>
      <w:tr w:rsidR="005624E3" w:rsidRPr="00C903F8" w:rsidTr="00101A80">
        <w:tc>
          <w:tcPr>
            <w:tcW w:w="6747" w:type="dxa"/>
            <w:shd w:val="clear" w:color="auto" w:fill="auto"/>
            <w:vAlign w:val="center"/>
          </w:tcPr>
          <w:p w:rsidR="005624E3" w:rsidRPr="00C903F8" w:rsidRDefault="005624E3" w:rsidP="00101A80">
            <w:pPr>
              <w:pStyle w:val="ESletpar"/>
              <w:spacing w:after="60"/>
              <w:ind w:left="0"/>
              <w:rPr>
                <w:rFonts w:eastAsia="Batang"/>
              </w:rPr>
            </w:pPr>
            <w:r>
              <w:t>Rakományterek</w:t>
            </w:r>
          </w:p>
        </w:tc>
        <w:tc>
          <w:tcPr>
            <w:tcW w:w="1418" w:type="dxa"/>
            <w:shd w:val="clear" w:color="auto" w:fill="auto"/>
            <w:vAlign w:val="center"/>
          </w:tcPr>
          <w:p w:rsidR="005624E3" w:rsidRPr="00C903F8" w:rsidRDefault="005624E3" w:rsidP="00101A80">
            <w:pPr>
              <w:pStyle w:val="ESletpar"/>
              <w:spacing w:after="60"/>
              <w:ind w:left="0"/>
              <w:jc w:val="center"/>
              <w:rPr>
                <w:rFonts w:eastAsia="Batang"/>
              </w:rPr>
            </w:pPr>
            <w:r>
              <w:t>70 %</w:t>
            </w:r>
          </w:p>
        </w:tc>
      </w:tr>
      <w:tr w:rsidR="005624E3" w:rsidRPr="00C903F8" w:rsidTr="00101A80">
        <w:tc>
          <w:tcPr>
            <w:tcW w:w="6747" w:type="dxa"/>
            <w:shd w:val="clear" w:color="auto" w:fill="auto"/>
            <w:vAlign w:val="center"/>
          </w:tcPr>
          <w:p w:rsidR="005624E3" w:rsidRPr="00C903F8" w:rsidRDefault="005624E3" w:rsidP="00101A80">
            <w:pPr>
              <w:pStyle w:val="ESletpar"/>
              <w:spacing w:after="60"/>
              <w:ind w:left="0"/>
              <w:rPr>
                <w:rFonts w:eastAsia="Batang"/>
              </w:rPr>
            </w:pPr>
            <w:r>
              <w:t>Duplafenekek, tüzelőanyag-tartályok, ballaszttartályok stb. attól függően, hogy funkciójuk szerint telinek vagy üresnek tekintendők-e a hajó legnagyobb megengedett merülése mellett</w:t>
            </w:r>
          </w:p>
        </w:tc>
        <w:tc>
          <w:tcPr>
            <w:tcW w:w="1418" w:type="dxa"/>
            <w:shd w:val="clear" w:color="auto" w:fill="auto"/>
            <w:vAlign w:val="center"/>
          </w:tcPr>
          <w:p w:rsidR="005624E3" w:rsidRPr="00C903F8" w:rsidRDefault="005624E3" w:rsidP="00101A80">
            <w:pPr>
              <w:pStyle w:val="ESletpar"/>
              <w:spacing w:after="60"/>
              <w:ind w:left="0"/>
              <w:jc w:val="center"/>
              <w:rPr>
                <w:rFonts w:eastAsia="Batang"/>
              </w:rPr>
            </w:pPr>
            <w:r>
              <w:t>0 vagy 95 %</w:t>
            </w:r>
          </w:p>
        </w:tc>
      </w:tr>
    </w:tbl>
    <w:p w:rsidR="005624E3" w:rsidRPr="00C903F8" w:rsidRDefault="005624E3" w:rsidP="005624E3">
      <w:pPr>
        <w:pStyle w:val="ESch"/>
        <w:rPr>
          <w:noProof/>
        </w:rPr>
      </w:pPr>
    </w:p>
    <w:p w:rsidR="005624E3" w:rsidRPr="00C903F8" w:rsidRDefault="005624E3" w:rsidP="005624E3">
      <w:pPr>
        <w:pStyle w:val="ESlet"/>
        <w:rPr>
          <w:rFonts w:cs="Arial"/>
        </w:rPr>
      </w:pPr>
      <w:r>
        <w:t>e)</w:t>
      </w:r>
      <w:r>
        <w:tab/>
        <w:t>Az elárasztás közbenső fázisaiban a szabad folyadékfelületek hatásának számításakor a sérült rekeszek teljes felületét kell figyelembe venni.</w:t>
      </w:r>
    </w:p>
    <w:p w:rsidR="005624E3" w:rsidRPr="00C903F8" w:rsidRDefault="005624E3" w:rsidP="005624E3">
      <w:pPr>
        <w:pStyle w:val="ESch"/>
        <w:rPr>
          <w:noProof/>
          <w:szCs w:val="20"/>
        </w:rPr>
      </w:pPr>
    </w:p>
    <w:p w:rsidR="005624E3" w:rsidRPr="00C903F8" w:rsidRDefault="005624E3" w:rsidP="005624E3">
      <w:pPr>
        <w:pStyle w:val="ESch"/>
        <w:rPr>
          <w:noProof/>
          <w:szCs w:val="20"/>
        </w:rPr>
      </w:pPr>
      <w:r>
        <w:t>5.</w:t>
      </w:r>
      <w:r>
        <w:tab/>
        <w:t>A 3. bekezdésben említett elárasztás minden közbenső fázisára vonatkozóan az alábbi követelményeknek kell teljesülniük:</w:t>
      </w:r>
    </w:p>
    <w:p w:rsidR="005624E3" w:rsidRPr="00C903F8" w:rsidRDefault="005624E3" w:rsidP="005624E3">
      <w:pPr>
        <w:pStyle w:val="ESlet"/>
        <w:rPr>
          <w:noProof/>
        </w:rPr>
      </w:pPr>
      <w:r>
        <w:t>a)</w:t>
      </w:r>
      <w:r>
        <w:tab/>
        <w:t>A szóban forgó közbenső fázis egyensúlyi helyzetének dőlésszöge (</w:t>
      </w:r>
      <m:oMath>
        <m:r>
          <w:rPr>
            <w:rFonts w:ascii="Cambria Math" w:hAnsi="Cambria Math"/>
            <w:noProof/>
          </w:rPr>
          <m:t>φ</m:t>
        </m:r>
      </m:oMath>
      <w:r>
        <w:t>) nem lépheti túl a 15°-ot (5°-ot, amennyiben a konténerek nincsenek rögzítve).</w:t>
      </w:r>
    </w:p>
    <w:p w:rsidR="005624E3" w:rsidRPr="00C903F8" w:rsidRDefault="005624E3" w:rsidP="005624E3">
      <w:pPr>
        <w:pStyle w:val="ESlet"/>
        <w:rPr>
          <w:rFonts w:cs="Arial"/>
        </w:rPr>
      </w:pPr>
      <w:r>
        <w:t>b)</w:t>
      </w:r>
      <w:r>
        <w:tab/>
        <w:t xml:space="preserve">A szóban forgó közbenső fázis egyensúlyi helyzetéhez tartozó dőlésen túl a stabilizáló kar görbéje pozitív szakaszának </w:t>
      </w:r>
      <m:oMath>
        <m:r>
          <w:rPr>
            <w:rFonts w:ascii="Cambria Math" w:hAnsi="Cambria Math"/>
            <w:noProof/>
          </w:rPr>
          <m:t>GZ ≥0,02 m</m:t>
        </m:r>
      </m:oMath>
      <w:r>
        <w:t xml:space="preserve"> értéket kell mutatnia (0,03 m, ha a konténerek nincsenek rögzítve), mielőtt az első védelem nélküli nyílás víz alá kerül, vagy a dőlésszög (</w:t>
      </w:r>
      <m:oMath>
        <m:r>
          <w:rPr>
            <w:rFonts w:ascii="Cambria Math" w:hAnsi="Cambria Math"/>
            <w:noProof/>
          </w:rPr>
          <m:t>φ</m:t>
        </m:r>
      </m:oMath>
      <w:r>
        <w:t>) eléri a 27°-ot (15°-ot, ha a konténerek nincsenek rögzítve).</w:t>
      </w:r>
    </w:p>
    <w:p w:rsidR="005624E3" w:rsidRPr="00C903F8" w:rsidRDefault="005624E3" w:rsidP="005624E3">
      <w:pPr>
        <w:pStyle w:val="ESlet"/>
        <w:rPr>
          <w:noProof/>
        </w:rPr>
      </w:pPr>
      <w:r>
        <w:t>c)</w:t>
      </w:r>
      <w:r>
        <w:tab/>
        <w:t>A nem vízmentes nyílások a szóban forgó közbenső fázis egyensúlyi helyzetéhez tartozó dőlésszög eléréséig nem kerülhetnek víz alá.</w:t>
      </w:r>
    </w:p>
    <w:p w:rsidR="005624E3" w:rsidRPr="00C903F8" w:rsidRDefault="005624E3" w:rsidP="005624E3">
      <w:pPr>
        <w:pStyle w:val="ESch"/>
        <w:rPr>
          <w:noProof/>
          <w:szCs w:val="20"/>
        </w:rPr>
      </w:pPr>
    </w:p>
    <w:p w:rsidR="005624E3" w:rsidRPr="00C903F8" w:rsidRDefault="005624E3" w:rsidP="005624E3">
      <w:pPr>
        <w:pStyle w:val="ESch"/>
        <w:rPr>
          <w:noProof/>
          <w:szCs w:val="20"/>
        </w:rPr>
      </w:pPr>
      <w:r>
        <w:t>6.</w:t>
      </w:r>
      <w:r>
        <w:tab/>
        <w:t>Az elárasztás végső fázisában a következő feltételeknek kell teljesülniük:</w:t>
      </w:r>
    </w:p>
    <w:p w:rsidR="005624E3" w:rsidRPr="00C903F8" w:rsidRDefault="005624E3" w:rsidP="005624E3">
      <w:pPr>
        <w:pStyle w:val="ESlet"/>
        <w:rPr>
          <w:noProof/>
        </w:rPr>
      </w:pPr>
      <w:r>
        <w:t>a)</w:t>
      </w:r>
      <w:r>
        <w:tab/>
        <w:t>A nem vízmentes nyílások (pl. ajtók, ablakok, lejárók) alsó szélének a sérülési vízszintvonal felett legalább 0,10 m-rel kell lennie.</w:t>
      </w:r>
    </w:p>
    <w:p w:rsidR="005624E3" w:rsidRPr="00C903F8" w:rsidRDefault="005624E3" w:rsidP="005624E3">
      <w:pPr>
        <w:pStyle w:val="ESlet"/>
        <w:rPr>
          <w:noProof/>
        </w:rPr>
      </w:pPr>
      <w:r>
        <w:t>b)</w:t>
      </w:r>
      <w:r>
        <w:tab/>
        <w:t>Az egyensúlyi helyzet dőlésszöge (</w:t>
      </w:r>
      <m:oMath>
        <m:r>
          <w:rPr>
            <w:rFonts w:ascii="Cambria Math" w:hAnsi="Cambria Math"/>
            <w:noProof/>
          </w:rPr>
          <m:t>φ</m:t>
        </m:r>
      </m:oMath>
      <w:r>
        <w:t>) nem lépheti túl a 12°-ot (5°-ot, ha a konténerek nincsenek rögzítve).</w:t>
      </w:r>
    </w:p>
    <w:p w:rsidR="005624E3" w:rsidRPr="00C903F8" w:rsidRDefault="005624E3" w:rsidP="005624E3">
      <w:pPr>
        <w:pStyle w:val="ESlet"/>
        <w:rPr>
          <w:noProof/>
        </w:rPr>
      </w:pPr>
    </w:p>
    <w:p w:rsidR="005624E3" w:rsidRPr="00C903F8" w:rsidRDefault="005624E3" w:rsidP="005624E3">
      <w:pPr>
        <w:pStyle w:val="ESlet"/>
        <w:rPr>
          <w:noProof/>
        </w:rPr>
      </w:pPr>
      <w:r>
        <w:br w:type="page"/>
      </w:r>
    </w:p>
    <w:p w:rsidR="005624E3" w:rsidRPr="00C903F8" w:rsidRDefault="005624E3" w:rsidP="005624E3">
      <w:pPr>
        <w:pStyle w:val="ESlet"/>
        <w:rPr>
          <w:noProof/>
        </w:rPr>
      </w:pPr>
      <w:r>
        <w:t>c)</w:t>
      </w:r>
      <w:r>
        <w:tab/>
        <w:t xml:space="preserve">A szóban forgó közbenső fázis egyensúlyi helyzetéhez tartozó dőlésen túl a stabilizáló kar görbéje pozitív szakaszának </w:t>
      </w:r>
      <m:oMath>
        <m:sSub>
          <m:sSubPr>
            <m:ctrlPr>
              <w:rPr>
                <w:rFonts w:ascii="Cambria Math" w:hAnsi="Cambria Math"/>
                <w:i/>
                <w:noProof/>
              </w:rPr>
            </m:ctrlPr>
          </m:sSubPr>
          <m:e>
            <m:r>
              <w:rPr>
                <w:rFonts w:ascii="Cambria Math" w:hAnsi="Cambria Math"/>
                <w:noProof/>
              </w:rPr>
              <m:t>GZ</m:t>
            </m:r>
          </m:e>
          <m:sub>
            <m:r>
              <w:rPr>
                <w:rFonts w:ascii="Cambria Math" w:hAnsi="Cambria Math"/>
                <w:noProof/>
              </w:rPr>
              <m:t>R</m:t>
            </m:r>
          </m:sub>
        </m:sSub>
        <m:r>
          <w:rPr>
            <w:rFonts w:ascii="Cambria Math" w:hAnsi="Cambria Math"/>
            <w:noProof/>
          </w:rPr>
          <m:t xml:space="preserve"> ≥0,05 m</m:t>
        </m:r>
      </m:oMath>
      <w:r>
        <w:t xml:space="preserve"> értéket kell mutatnia, a görbe alatti területnek pedig legalább </w:t>
      </w:r>
      <m:oMath>
        <m:r>
          <w:rPr>
            <w:rFonts w:ascii="Cambria Math" w:hAnsi="Cambria Math"/>
            <w:noProof/>
          </w:rPr>
          <m:t>0,0065 m ∙ra</m:t>
        </m:r>
        <m:r>
          <w:rPr>
            <w:rFonts w:ascii="Cambria Math" w:hAnsi="Cambria Math"/>
            <w:noProof/>
          </w:rPr>
          <m:t>d</m:t>
        </m:r>
      </m:oMath>
      <w:r>
        <w:t>-nak kell lennie, mielőtt az első védelem nélküli nyílás víz alá kerül, vagy a dőlésszög (</w:t>
      </w:r>
      <m:oMath>
        <m:r>
          <w:rPr>
            <w:rFonts w:ascii="Cambria Math" w:hAnsi="Cambria Math"/>
            <w:noProof/>
          </w:rPr>
          <m:t>φ</m:t>
        </m:r>
      </m:oMath>
      <w:r>
        <w:t>) eléri a 27°-ot (10°-ot, ha a konténerek nincsenek rögzítve).</w:t>
      </w:r>
    </w:p>
    <w:p w:rsidR="005624E3" w:rsidRPr="00C903F8" w:rsidRDefault="005624E3" w:rsidP="005624E3">
      <w:pPr>
        <w:pStyle w:val="ESch"/>
        <w:rPr>
          <w:noProof/>
          <w:szCs w:val="20"/>
        </w:rPr>
      </w:pPr>
    </w:p>
    <w:p w:rsidR="005624E3" w:rsidRPr="00C903F8" w:rsidRDefault="005624E3" w:rsidP="005624E3">
      <w:pPr>
        <w:pStyle w:val="ESch"/>
        <w:ind w:firstLine="0"/>
        <w:jc w:val="center"/>
        <w:rPr>
          <w:noProof/>
          <w:szCs w:val="20"/>
        </w:rPr>
      </w:pPr>
      <w:r>
        <w:rPr>
          <w:noProof/>
          <w:szCs w:val="20"/>
        </w:rPr>
        <w:drawing>
          <wp:inline distT="0" distB="0" distL="0" distR="0" wp14:anchorId="41928A0E" wp14:editId="2DC70C16">
            <wp:extent cx="4782312" cy="2740152"/>
            <wp:effectExtent l="0" t="0" r="0" b="317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courbe_28_03_6c_en.jpg"/>
                    <pic:cNvPicPr/>
                  </pic:nvPicPr>
                  <pic:blipFill>
                    <a:blip r:embed="rId26">
                      <a:extLst>
                        <a:ext uri="{28A0092B-C50C-407E-A947-70E740481C1C}">
                          <a14:useLocalDpi xmlns:a14="http://schemas.microsoft.com/office/drawing/2010/main" val="0"/>
                        </a:ext>
                      </a:extLst>
                    </a:blip>
                    <a:stretch>
                      <a:fillRect/>
                    </a:stretch>
                  </pic:blipFill>
                  <pic:spPr>
                    <a:xfrm>
                      <a:off x="0" y="0"/>
                      <a:ext cx="4782312" cy="2740152"/>
                    </a:xfrm>
                    <a:prstGeom prst="rect">
                      <a:avLst/>
                    </a:prstGeom>
                  </pic:spPr>
                </pic:pic>
              </a:graphicData>
            </a:graphic>
          </wp:inline>
        </w:drawing>
      </w:r>
    </w:p>
    <w:p w:rsidR="005624E3" w:rsidRPr="00C903F8" w:rsidRDefault="005624E3" w:rsidP="005624E3">
      <w:pPr>
        <w:pStyle w:val="ESlet"/>
        <w:rPr>
          <w:noProof/>
        </w:rPr>
      </w:pPr>
    </w:p>
    <w:p w:rsidR="005624E3" w:rsidRPr="00C903F8" w:rsidRDefault="005624E3" w:rsidP="005624E3">
      <w:pPr>
        <w:pStyle w:val="ESlet"/>
        <w:rPr>
          <w:noProof/>
        </w:rPr>
      </w:pPr>
      <w:r>
        <w:t>d)</w:t>
      </w:r>
      <w:r>
        <w:tab/>
        <w:t>Ha a nem vízmentes nyílások az egyensúlyi helyzet elérése előtt víz alá kerülnek, akkor a sérült stabilitás számítása céljából az átjárást biztosító helyiségeket elárasztottnak kell tekinteni.</w:t>
      </w:r>
    </w:p>
    <w:p w:rsidR="005624E3" w:rsidRPr="00C903F8" w:rsidRDefault="005624E3" w:rsidP="005624E3">
      <w:pPr>
        <w:pStyle w:val="ESch"/>
        <w:rPr>
          <w:noProof/>
          <w:szCs w:val="20"/>
        </w:rPr>
      </w:pPr>
    </w:p>
    <w:p w:rsidR="005624E3" w:rsidRPr="00C903F8" w:rsidRDefault="005624E3" w:rsidP="005624E3">
      <w:pPr>
        <w:pStyle w:val="ESch"/>
        <w:rPr>
          <w:noProof/>
          <w:szCs w:val="20"/>
        </w:rPr>
      </w:pPr>
      <w:r>
        <w:t>7.</w:t>
      </w:r>
      <w:r>
        <w:tab/>
        <w:t>Ha rendelkezésre állnak aszimmetrikus elárasztást csökkentő átfolyónyílások, azok tekintetében a következő feltételeknek kell teljesülniük:</w:t>
      </w:r>
    </w:p>
    <w:p w:rsidR="005624E3" w:rsidRPr="00C903F8" w:rsidRDefault="005624E3" w:rsidP="005624E3">
      <w:pPr>
        <w:pStyle w:val="ESlet"/>
        <w:rPr>
          <w:noProof/>
        </w:rPr>
      </w:pPr>
      <w:r>
        <w:t>a)</w:t>
      </w:r>
      <w:r>
        <w:tab/>
        <w:t>az átfolyás kiszámítását az A.266 (VIII). sz. IMO-határozat szerint kell végezni;</w:t>
      </w:r>
    </w:p>
    <w:p w:rsidR="005624E3" w:rsidRPr="00C903F8" w:rsidRDefault="005624E3" w:rsidP="005624E3">
      <w:pPr>
        <w:pStyle w:val="ESlet"/>
        <w:rPr>
          <w:noProof/>
        </w:rPr>
      </w:pPr>
      <w:r>
        <w:t>b)</w:t>
      </w:r>
      <w:r>
        <w:tab/>
        <w:t>önműködőnek kell lenniük;</w:t>
      </w:r>
    </w:p>
    <w:p w:rsidR="005624E3" w:rsidRPr="00C903F8" w:rsidRDefault="005624E3" w:rsidP="005624E3">
      <w:pPr>
        <w:pStyle w:val="ESlet"/>
        <w:rPr>
          <w:noProof/>
        </w:rPr>
      </w:pPr>
      <w:r>
        <w:t>c)</w:t>
      </w:r>
      <w:r>
        <w:tab/>
        <w:t>nem lehet rajtuk elzárószerkezet;</w:t>
      </w:r>
    </w:p>
    <w:p w:rsidR="005624E3" w:rsidRPr="00C903F8" w:rsidRDefault="005624E3" w:rsidP="005624E3">
      <w:pPr>
        <w:pStyle w:val="ESlet"/>
        <w:rPr>
          <w:noProof/>
        </w:rPr>
      </w:pPr>
      <w:r>
        <w:t>d)</w:t>
      </w:r>
      <w:r>
        <w:tab/>
        <w:t>a kiegyenlítődés teljes megengedett időtartama nem lehet hosszabb 15 percnél.</w:t>
      </w:r>
    </w:p>
    <w:p w:rsidR="005624E3" w:rsidRPr="00C903F8" w:rsidRDefault="005624E3" w:rsidP="005624E3">
      <w:pPr>
        <w:pStyle w:val="ESch"/>
        <w:rPr>
          <w:noProof/>
          <w:szCs w:val="20"/>
        </w:rPr>
      </w:pPr>
    </w:p>
    <w:p w:rsidR="005624E3" w:rsidRPr="00C903F8" w:rsidRDefault="005624E3" w:rsidP="005624E3">
      <w:pPr>
        <w:pStyle w:val="ESch"/>
        <w:rPr>
          <w:noProof/>
          <w:szCs w:val="20"/>
        </w:rPr>
      </w:pPr>
      <w:r>
        <w:t>8.</w:t>
      </w:r>
      <w:r>
        <w:tab/>
        <w:t>Ha az olyan nyílásokat, amelyeken keresztül az ép rekeszek is elárasztásra kerülhetnek, vízmentesen be lehet zárni, akkor az elzárószerkezetek mindkét oldalára az alábbi, jól olvasható utasítást kell elhelyezni:</w:t>
      </w:r>
    </w:p>
    <w:p w:rsidR="005624E3" w:rsidRPr="00C903F8" w:rsidRDefault="005624E3" w:rsidP="005624E3">
      <w:pPr>
        <w:pStyle w:val="ESlet"/>
        <w:jc w:val="center"/>
        <w:rPr>
          <w:noProof/>
        </w:rPr>
      </w:pPr>
      <w:r>
        <w:t>„Áthaladás után azonnal be</w:t>
      </w:r>
      <w:r w:rsidR="00343813">
        <w:t xml:space="preserve"> kell csukni</w:t>
      </w:r>
      <w:r>
        <w:t>.”</w:t>
      </w:r>
    </w:p>
    <w:p w:rsidR="005624E3" w:rsidRPr="00C903F8" w:rsidRDefault="005624E3" w:rsidP="005624E3">
      <w:pPr>
        <w:pStyle w:val="ESch"/>
        <w:rPr>
          <w:noProof/>
          <w:szCs w:val="20"/>
        </w:rPr>
      </w:pPr>
    </w:p>
    <w:p w:rsidR="005624E3" w:rsidRPr="00C903F8" w:rsidRDefault="005624E3" w:rsidP="005624E3">
      <w:pPr>
        <w:pStyle w:val="ESch"/>
        <w:rPr>
          <w:noProof/>
          <w:szCs w:val="20"/>
        </w:rPr>
      </w:pPr>
      <w:r>
        <w:t>9.</w:t>
      </w:r>
      <w:r>
        <w:tab/>
        <w:t>A 3–7. bekezdés szerinti számításos igazolást teljesültnek kell tekinteni, ha az ADN 9. része szerinti, sérült stabilitásra vonatkozó számítások pozitív eredményt mutatnak.</w:t>
      </w:r>
    </w:p>
    <w:p w:rsidR="005624E3" w:rsidRPr="00C903F8" w:rsidRDefault="005624E3" w:rsidP="005624E3">
      <w:pPr>
        <w:pStyle w:val="ESch"/>
        <w:rPr>
          <w:noProof/>
          <w:szCs w:val="20"/>
        </w:rPr>
      </w:pPr>
    </w:p>
    <w:p w:rsidR="005624E3" w:rsidRPr="00C903F8" w:rsidRDefault="005624E3" w:rsidP="005624E3">
      <w:pPr>
        <w:pStyle w:val="ESch"/>
        <w:rPr>
          <w:noProof/>
          <w:szCs w:val="20"/>
        </w:rPr>
      </w:pPr>
      <w:r>
        <w:t>10.</w:t>
      </w:r>
      <w:r>
        <w:tab/>
        <w:t>Ha az a 3. bekezdésben foglalt követelmények teljesítéséhez szükséges, akkor a legnagyobb merülés síkját újból meg kell határozni.</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r>
        <w:br w:type="page"/>
      </w:r>
    </w:p>
    <w:p w:rsidR="005624E3" w:rsidRPr="00C903F8" w:rsidRDefault="005624E3" w:rsidP="005624E3">
      <w:pPr>
        <w:pStyle w:val="ES-Titre3"/>
        <w:rPr>
          <w:i/>
          <w:noProof/>
        </w:rPr>
      </w:pPr>
      <w:bookmarkStart w:id="502" w:name="_Toc491854247"/>
      <w:bookmarkStart w:id="503" w:name="_Toc535854028"/>
      <w:r>
        <w:t>28.04. cikk</w:t>
      </w:r>
      <w:r>
        <w:br/>
      </w:r>
      <w:r>
        <w:rPr>
          <w:i/>
          <w:noProof/>
        </w:rPr>
        <w:t>További követelmények</w:t>
      </w:r>
      <w:bookmarkEnd w:id="502"/>
      <w:bookmarkEnd w:id="503"/>
    </w:p>
    <w:p w:rsidR="005624E3" w:rsidRPr="00C903F8" w:rsidRDefault="005624E3" w:rsidP="005624E3">
      <w:pPr>
        <w:pStyle w:val="ESch"/>
        <w:rPr>
          <w:b/>
          <w:noProof/>
          <w:szCs w:val="20"/>
        </w:rPr>
      </w:pPr>
    </w:p>
    <w:p w:rsidR="005624E3" w:rsidRPr="00C903F8" w:rsidRDefault="005624E3" w:rsidP="005624E3">
      <w:pPr>
        <w:pStyle w:val="ESch"/>
        <w:rPr>
          <w:noProof/>
          <w:szCs w:val="20"/>
        </w:rPr>
      </w:pPr>
      <w:r>
        <w:t>1.</w:t>
      </w:r>
      <w:r>
        <w:tab/>
        <w:t>A 110 m hosszúságot (</w:t>
      </w:r>
      <m:oMath>
        <m:r>
          <w:rPr>
            <w:rFonts w:ascii="Cambria Math" w:hAnsi="Cambria Math"/>
            <w:noProof/>
            <w:szCs w:val="20"/>
          </w:rPr>
          <m:t>L</m:t>
        </m:r>
      </m:oMath>
      <w:r>
        <w:t>) meghaladó vízi járműveknek:</w:t>
      </w:r>
    </w:p>
    <w:p w:rsidR="005624E3" w:rsidRPr="00C903F8" w:rsidRDefault="005624E3" w:rsidP="005624E3">
      <w:pPr>
        <w:pStyle w:val="ESlet"/>
        <w:rPr>
          <w:noProof/>
        </w:rPr>
      </w:pPr>
      <w:r>
        <w:t>a)</w:t>
      </w:r>
      <w:r>
        <w:tab/>
        <w:t xml:space="preserve">rendelkezniük kell egy többpropelleres propulziós rendszerrel, legalább két, egymástól független, egyforma teljesítményű motorral, valamint egy olyan orrsugárkormánnyal, amely a kormányállásból vezérelhető, és akkor is hatékony, ha a hajó üres; </w:t>
      </w:r>
    </w:p>
    <w:p w:rsidR="005624E3" w:rsidRPr="00C903F8" w:rsidRDefault="005624E3" w:rsidP="005624E3">
      <w:pPr>
        <w:pStyle w:val="ESletpar"/>
        <w:rPr>
          <w:noProof/>
        </w:rPr>
      </w:pPr>
      <w:r>
        <w:t>vagy</w:t>
      </w:r>
    </w:p>
    <w:p w:rsidR="005624E3" w:rsidRPr="00C903F8" w:rsidRDefault="005624E3" w:rsidP="005624E3">
      <w:pPr>
        <w:pStyle w:val="ESletpar"/>
        <w:rPr>
          <w:noProof/>
        </w:rPr>
      </w:pPr>
      <w:r>
        <w:t>rendelkezniük kell egy egypropelleres propulziós rendszerrel és egy olyan, saját áramforrással rendelkező orrsugárkormánnyal, amely a kormányállásból vezérelhető, és akkor is hatékony, ha a hajó üres, továbbá a fő propulziós rendszer meghibásodása esetén is lehetővé teszi a hajó saját erejéből történő továbbhaladását;</w:t>
      </w:r>
    </w:p>
    <w:p w:rsidR="005624E3" w:rsidRPr="00C903F8" w:rsidRDefault="005624E3" w:rsidP="005624E3">
      <w:pPr>
        <w:pStyle w:val="ESlet"/>
        <w:rPr>
          <w:noProof/>
        </w:rPr>
      </w:pPr>
      <w:r>
        <w:t>b)</w:t>
      </w:r>
      <w:r>
        <w:tab/>
        <w:t>rendelkezniük kell navigációs radarberendezéssel, valamint a 7.06. cikk 1. bekezdése szerinti fordulási szögsebességjelzővel;</w:t>
      </w:r>
    </w:p>
    <w:p w:rsidR="005624E3" w:rsidRPr="00C903F8" w:rsidRDefault="005624E3" w:rsidP="005624E3">
      <w:pPr>
        <w:pStyle w:val="ESlet"/>
        <w:rPr>
          <w:noProof/>
        </w:rPr>
      </w:pPr>
      <w:r>
        <w:t>c)</w:t>
      </w:r>
      <w:r>
        <w:tab/>
        <w:t>rendelkezniük kell a 8.08. cikk szerinti tartósan rögzített fenékvízszivattyú-rendszerrel;</w:t>
      </w:r>
    </w:p>
    <w:p w:rsidR="005624E3" w:rsidRPr="00C903F8" w:rsidRDefault="005624E3" w:rsidP="005624E3">
      <w:pPr>
        <w:pStyle w:val="ESlet"/>
        <w:rPr>
          <w:noProof/>
        </w:rPr>
      </w:pPr>
      <w:r>
        <w:t>d)</w:t>
      </w:r>
      <w:r>
        <w:tab/>
        <w:t>meg kell felelniük a 31.09. cikk 1.1. pontjában foglalt követelményeknek.</w:t>
      </w:r>
    </w:p>
    <w:p w:rsidR="005624E3" w:rsidRPr="00C903F8" w:rsidRDefault="005624E3" w:rsidP="005624E3">
      <w:pPr>
        <w:pStyle w:val="ESch"/>
        <w:rPr>
          <w:noProof/>
          <w:szCs w:val="20"/>
        </w:rPr>
      </w:pPr>
    </w:p>
    <w:p w:rsidR="005624E3" w:rsidRPr="00C903F8" w:rsidRDefault="005624E3" w:rsidP="005624E3">
      <w:pPr>
        <w:pStyle w:val="ESch"/>
        <w:rPr>
          <w:noProof/>
          <w:szCs w:val="20"/>
        </w:rPr>
      </w:pPr>
      <w:r>
        <w:t>2.</w:t>
      </w:r>
      <w:r>
        <w:tab/>
        <w:t>Az 1. bekezdéstől eltérve és tekintettel a tagállamok egyes hajózási területekre vonatkozó alkalmazandó hajózási szabályzataira, a személyhajók kivételével a 110 m hosszúságot (</w:t>
      </w:r>
      <m:oMath>
        <m:r>
          <w:rPr>
            <w:rFonts w:ascii="Cambria Math" w:hAnsi="Cambria Math"/>
            <w:noProof/>
            <w:szCs w:val="20"/>
          </w:rPr>
          <m:t>L</m:t>
        </m:r>
      </m:oMath>
      <w:r>
        <w:t>) meghaladó azon vízi járművek esetében, amelyek:</w:t>
      </w:r>
    </w:p>
    <w:p w:rsidR="005624E3" w:rsidRDefault="005624E3" w:rsidP="005624E3">
      <w:pPr>
        <w:pStyle w:val="ESlet"/>
        <w:rPr>
          <w:noProof/>
        </w:rPr>
      </w:pPr>
      <w:r>
        <w:t>a)</w:t>
      </w:r>
      <w:r>
        <w:tab/>
        <w:t>megfelelnek az 1. bekezdés a)–d) pontjának;</w:t>
      </w:r>
    </w:p>
    <w:p w:rsidR="005624E3" w:rsidRPr="00C903F8" w:rsidRDefault="005624E3" w:rsidP="005624E3">
      <w:pPr>
        <w:pStyle w:val="ESlet"/>
        <w:rPr>
          <w:noProof/>
        </w:rPr>
      </w:pPr>
      <w:r>
        <w:t>b)</w:t>
      </w:r>
      <w:r>
        <w:tab/>
        <w:t>baleset esetén középső harmadukban nehéz mentőfelszerelés nélkül szétválaszthatók, és a vízi jármű szétválasztott részei továbbra is úszóképesek maradnak;</w:t>
      </w:r>
    </w:p>
    <w:p w:rsidR="005624E3" w:rsidRPr="00C903F8" w:rsidRDefault="005624E3" w:rsidP="005624E3">
      <w:pPr>
        <w:pStyle w:val="ESlet"/>
        <w:rPr>
          <w:noProof/>
        </w:rPr>
      </w:pPr>
      <w:r>
        <w:t>c)</w:t>
      </w:r>
      <w:r>
        <w:tab/>
        <w:t>olyan, a fedélzeten tartandó igazolással rendelkeznek, amelyet egy elismert hajóosztályozó társaság adott ki a hajó szétválasztott részeinek úszóképességére, e részek hosszanti úszáshelyzetére (trimm) és stabilitására vonatkozóan, megjelölve azt a terhelési szintet, amely felett a két rész tekintetében már nem biztosított az úszóképesség;</w:t>
      </w:r>
    </w:p>
    <w:p w:rsidR="005624E3" w:rsidRPr="00C903F8" w:rsidRDefault="005624E3" w:rsidP="005624E3">
      <w:pPr>
        <w:pStyle w:val="ESlet"/>
        <w:rPr>
          <w:rFonts w:cs="Arial"/>
        </w:rPr>
      </w:pPr>
      <w:r>
        <w:t>d)</w:t>
      </w:r>
      <w:r>
        <w:tab/>
        <w:t>az ADN-nel összhangban duplatestű hajókként kerültek megépítésre, amelyek közül az önjáró hajókra az ADN 9. részének 9.1.0.91– 9.1.0.95. szakasza, az önjáró tartályhajókra pedig az említett rész 9.3.2.11.7 és 9.3.2.13–9.3.2.15. szakasza vonatkozik;</w:t>
      </w:r>
    </w:p>
    <w:p w:rsidR="005624E3" w:rsidRPr="00C903F8" w:rsidRDefault="005624E3" w:rsidP="005624E3">
      <w:pPr>
        <w:pStyle w:val="ESlet"/>
        <w:rPr>
          <w:rFonts w:cs="Arial"/>
        </w:rPr>
      </w:pPr>
      <w:r>
        <w:t>e)</w:t>
      </w:r>
      <w:r>
        <w:tab/>
        <w:t>fel vannak szerelve egy többpropelleres propulziós rendszerrel az 1. bekezdés a) pontja első félmondatának megfelelően;</w:t>
      </w:r>
    </w:p>
    <w:p w:rsidR="005624E3" w:rsidRDefault="005624E3" w:rsidP="005624E3">
      <w:pPr>
        <w:pStyle w:val="ESchpar"/>
        <w:rPr>
          <w:noProof/>
        </w:rPr>
      </w:pPr>
    </w:p>
    <w:p w:rsidR="005624E3" w:rsidRPr="00C903F8" w:rsidRDefault="005624E3" w:rsidP="005624E3">
      <w:pPr>
        <w:pStyle w:val="ESchpar"/>
        <w:rPr>
          <w:rFonts w:cs="Arial"/>
        </w:rPr>
      </w:pPr>
      <w:r>
        <w:t>be kell jegyezni a belvízi hajóbizonyítvány 52. rovatába, hogy a vízi jármű megfelel az a)–e) pont valamennyi követelményének.</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3.</w:t>
      </w:r>
      <w:r>
        <w:tab/>
        <w:t>Az 1. bekezdéstől eltérve és tekintettel a tagállamok egyes hajózási területekre vonatkozó alkalmazandó hajózási szabályzataira a 110 m hosszúságot (</w:t>
      </w:r>
      <m:oMath>
        <m:r>
          <w:rPr>
            <w:rFonts w:ascii="Cambria Math" w:hAnsi="Cambria Math"/>
            <w:noProof/>
            <w:szCs w:val="20"/>
          </w:rPr>
          <m:t>L</m:t>
        </m:r>
      </m:oMath>
      <w:r>
        <w:t>) meghaladó azon személyhajók esetében, amelyek:</w:t>
      </w:r>
    </w:p>
    <w:p w:rsidR="005624E3" w:rsidRDefault="005624E3" w:rsidP="005624E3">
      <w:pPr>
        <w:pStyle w:val="ESlet"/>
        <w:rPr>
          <w:noProof/>
        </w:rPr>
      </w:pPr>
      <w:r>
        <w:t>a)</w:t>
      </w:r>
      <w:r>
        <w:tab/>
        <w:t>megfelelnek az 1. bekezdés a)–d) pontjának;</w:t>
      </w:r>
    </w:p>
    <w:p w:rsidR="005624E3" w:rsidRPr="00C903F8" w:rsidRDefault="005624E3" w:rsidP="005624E3">
      <w:pPr>
        <w:pStyle w:val="ESlet"/>
        <w:rPr>
          <w:rFonts w:cs="Arial"/>
        </w:rPr>
      </w:pPr>
      <w:r>
        <w:t>b)</w:t>
      </w:r>
      <w:r>
        <w:tab/>
        <w:t>elismert hajóosztályozó társaság felügyelete alatt a legmagasabb osztályban kerültek megépítésre, illetve a legmagasabb osztályba kerültek átépítésre, amely esetben a megfelelést a hajóosztályozó társaság által kiadott bizonyítvánnyal kell igazolni. A mindenkori osztályt nem szükséges megtartani;</w:t>
      </w:r>
    </w:p>
    <w:p w:rsidR="005624E3" w:rsidRPr="00C903F8" w:rsidRDefault="005624E3" w:rsidP="005624E3">
      <w:pPr>
        <w:pStyle w:val="ESlet"/>
        <w:rPr>
          <w:noProof/>
        </w:rPr>
      </w:pPr>
      <w:r>
        <w:br w:type="page"/>
      </w:r>
    </w:p>
    <w:p w:rsidR="005624E3" w:rsidRPr="00C903F8" w:rsidRDefault="005624E3" w:rsidP="005624E3">
      <w:pPr>
        <w:pStyle w:val="ESlet"/>
        <w:rPr>
          <w:noProof/>
        </w:rPr>
      </w:pPr>
      <w:r>
        <w:t>c)</w:t>
      </w:r>
      <w:r>
        <w:tab/>
        <w:t>legalább 600 mm magas duplafenékkel, valamint olyan térbeosztással rendelkeznek, amely biztosítja, hogy bármelyik két szomszédos vízmentes rekesz elárasztása esetén a hajó a biztonsági peremvonalnál nem merül mélyebbre, és a fennmaradó biztonsági távolság legalább 100 mm marad,</w:t>
      </w:r>
    </w:p>
    <w:p w:rsidR="005624E3" w:rsidRPr="00C903F8" w:rsidRDefault="005624E3" w:rsidP="005624E3">
      <w:pPr>
        <w:pStyle w:val="ESletpar"/>
        <w:rPr>
          <w:noProof/>
        </w:rPr>
      </w:pPr>
      <w:r>
        <w:t>vagy</w:t>
      </w:r>
    </w:p>
    <w:p w:rsidR="005624E3" w:rsidRPr="00C903F8" w:rsidRDefault="005624E3" w:rsidP="005624E3">
      <w:pPr>
        <w:pStyle w:val="ESletpar"/>
        <w:rPr>
          <w:noProof/>
        </w:rPr>
      </w:pPr>
      <w:r>
        <w:t>legalább 600 mm magas duplafenékkel, valamint olyan dupla hajótesttel rendelkeznek, amelynél a hajó oldalfala és a hosszanti válaszfal közötti távolság legalább 800 mm;</w:t>
      </w:r>
    </w:p>
    <w:p w:rsidR="005624E3" w:rsidRPr="00C903F8" w:rsidRDefault="005624E3" w:rsidP="005624E3">
      <w:pPr>
        <w:pStyle w:val="ESlet"/>
        <w:rPr>
          <w:noProof/>
        </w:rPr>
      </w:pPr>
      <w:r>
        <w:t>d)</w:t>
      </w:r>
      <w:r>
        <w:tab/>
        <w:t>fel vannak szerelve egy többpropelleres propulziós rendszerrel, legalább két, egymástól független, egyforma teljesítményű motorral és egy olyan orrsugárkormány-rendszerrel, amely a kormányállásból vezérelhető, és amely hosszanti és keresztirányban is működik;</w:t>
      </w:r>
    </w:p>
    <w:p w:rsidR="005624E3" w:rsidRPr="00C903F8" w:rsidRDefault="005624E3" w:rsidP="005624E3">
      <w:pPr>
        <w:pStyle w:val="ESlet"/>
        <w:rPr>
          <w:noProof/>
        </w:rPr>
      </w:pPr>
      <w:r>
        <w:t>e)</w:t>
      </w:r>
      <w:r>
        <w:tab/>
        <w:t>farhorgonyai közvetlenül a kormányállásból működtethetők;</w:t>
      </w:r>
    </w:p>
    <w:p w:rsidR="005624E3" w:rsidRDefault="005624E3" w:rsidP="005624E3">
      <w:pPr>
        <w:pStyle w:val="ESchpar"/>
        <w:rPr>
          <w:noProof/>
        </w:rPr>
      </w:pPr>
    </w:p>
    <w:p w:rsidR="005624E3" w:rsidRPr="00C903F8" w:rsidRDefault="005624E3" w:rsidP="005624E3">
      <w:pPr>
        <w:pStyle w:val="ESchpar"/>
        <w:rPr>
          <w:noProof/>
        </w:rPr>
      </w:pPr>
      <w:r>
        <w:t>be kell jegyezni a belvízi hajóbizonyítvány 52. rovatába, hogy a vízi jármű megfelel az a)–e) pont valamennyi követelményének.</w:t>
      </w:r>
    </w:p>
    <w:p w:rsidR="005624E3" w:rsidRPr="00C903F8" w:rsidRDefault="005624E3" w:rsidP="005624E3">
      <w:pPr>
        <w:pStyle w:val="ESch"/>
        <w:rPr>
          <w:rFonts w:eastAsia="Arial" w:cs="Arial"/>
          <w:noProof/>
          <w:snapToGrid w:val="0"/>
          <w:color w:val="000000"/>
          <w:szCs w:val="20"/>
        </w:rPr>
      </w:pP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r>
        <w:br w:type="page"/>
      </w:r>
    </w:p>
    <w:p w:rsidR="005624E3" w:rsidRPr="00C903F8" w:rsidRDefault="005624E3" w:rsidP="005624E3">
      <w:pPr>
        <w:pStyle w:val="ESch"/>
        <w:rPr>
          <w:rFonts w:cs="Arial"/>
          <w:szCs w:val="20"/>
        </w:rPr>
      </w:pPr>
    </w:p>
    <w:p w:rsidR="005624E3" w:rsidRPr="00C903F8" w:rsidRDefault="005624E3" w:rsidP="005624E3">
      <w:pPr>
        <w:pStyle w:val="ES-Titre2"/>
      </w:pPr>
      <w:bookmarkStart w:id="504" w:name="_Toc491854248"/>
      <w:bookmarkStart w:id="505" w:name="_Toc535854029"/>
      <w:r>
        <w:t>29. fejezet</w:t>
      </w:r>
      <w:r>
        <w:br/>
      </w:r>
      <w:r>
        <w:rPr>
          <w:noProof/>
        </w:rPr>
        <w:t>A gyorsjáratú hajókra alkalmazandó külön rendelkezések</w:t>
      </w:r>
      <w:bookmarkEnd w:id="504"/>
      <w:bookmarkEnd w:id="505"/>
    </w:p>
    <w:p w:rsidR="005624E3" w:rsidRPr="00C903F8" w:rsidRDefault="005624E3" w:rsidP="005624E3">
      <w:pPr>
        <w:pStyle w:val="ESgauche"/>
      </w:pPr>
    </w:p>
    <w:p w:rsidR="005624E3" w:rsidRPr="00C903F8" w:rsidRDefault="005624E3" w:rsidP="005624E3">
      <w:pPr>
        <w:pStyle w:val="ES-Titre3"/>
      </w:pPr>
      <w:bookmarkStart w:id="506" w:name="_Toc491854249"/>
      <w:bookmarkStart w:id="507" w:name="_Toc535854030"/>
      <w:r>
        <w:t>29.01. cikk</w:t>
      </w:r>
      <w:r>
        <w:br/>
      </w:r>
      <w:r>
        <w:rPr>
          <w:i/>
          <w:noProof/>
        </w:rPr>
        <w:t>Általános rendelkezések</w:t>
      </w:r>
      <w:bookmarkEnd w:id="506"/>
      <w:bookmarkEnd w:id="507"/>
    </w:p>
    <w:p w:rsidR="005624E3" w:rsidRPr="00C903F8" w:rsidRDefault="005624E3" w:rsidP="005624E3">
      <w:pPr>
        <w:pStyle w:val="ESch"/>
        <w:rPr>
          <w:noProof/>
        </w:rPr>
      </w:pPr>
    </w:p>
    <w:p w:rsidR="005624E3" w:rsidRPr="00C903F8" w:rsidRDefault="005624E3" w:rsidP="005624E3">
      <w:pPr>
        <w:pStyle w:val="ESch"/>
        <w:rPr>
          <w:noProof/>
        </w:rPr>
      </w:pPr>
      <w:r>
        <w:t>1.</w:t>
      </w:r>
      <w:r>
        <w:tab/>
        <w:t>A gyorsjáratú hajók nem építhetők kabinos hajókként.</w:t>
      </w:r>
    </w:p>
    <w:p w:rsidR="005624E3" w:rsidRPr="00C903F8" w:rsidRDefault="005624E3" w:rsidP="005624E3">
      <w:pPr>
        <w:pStyle w:val="ESch"/>
        <w:rPr>
          <w:noProof/>
        </w:rPr>
      </w:pPr>
    </w:p>
    <w:p w:rsidR="005624E3" w:rsidRPr="00C903F8" w:rsidRDefault="005624E3" w:rsidP="005624E3">
      <w:pPr>
        <w:pStyle w:val="ESch"/>
        <w:rPr>
          <w:noProof/>
        </w:rPr>
      </w:pPr>
      <w:r>
        <w:t>2.</w:t>
      </w:r>
      <w:r>
        <w:tab/>
        <w:t>A gyorsjáratú hajókat tilos felszerelni a következőkkel:</w:t>
      </w:r>
    </w:p>
    <w:p w:rsidR="005624E3" w:rsidRPr="00C903F8" w:rsidRDefault="005624E3" w:rsidP="005624E3">
      <w:pPr>
        <w:pStyle w:val="ESlet"/>
        <w:rPr>
          <w:noProof/>
        </w:rPr>
      </w:pPr>
      <w:r>
        <w:t>a)</w:t>
      </w:r>
      <w:r>
        <w:tab/>
        <w:t>a 16.02. cikk szerinti, kanócos égőfejekkel felszerelt berendezések;</w:t>
      </w:r>
    </w:p>
    <w:p w:rsidR="005624E3" w:rsidRPr="00C903F8" w:rsidRDefault="005624E3" w:rsidP="005624E3">
      <w:pPr>
        <w:pStyle w:val="ESlet"/>
        <w:rPr>
          <w:noProof/>
        </w:rPr>
      </w:pPr>
      <w:r>
        <w:t>b)</w:t>
      </w:r>
      <w:r>
        <w:tab/>
        <w:t>a 16.03. és 16.04. cikk szerinti motorpetróleum-égető kályhák;</w:t>
      </w:r>
    </w:p>
    <w:p w:rsidR="005624E3" w:rsidRPr="00C903F8" w:rsidRDefault="005624E3" w:rsidP="005624E3">
      <w:pPr>
        <w:pStyle w:val="ESlet"/>
        <w:rPr>
          <w:noProof/>
        </w:rPr>
      </w:pPr>
      <w:r>
        <w:t>c)</w:t>
      </w:r>
      <w:r>
        <w:tab/>
        <w:t>a 16.07. cikk szerinti, szilárd tüzelőanyaggal működő fűtőberendezések;</w:t>
      </w:r>
    </w:p>
    <w:p w:rsidR="005624E3" w:rsidRPr="00C903F8" w:rsidRDefault="005624E3" w:rsidP="005624E3">
      <w:pPr>
        <w:pStyle w:val="ESlet"/>
        <w:rPr>
          <w:noProof/>
        </w:rPr>
      </w:pPr>
      <w:r>
        <w:t>d)</w:t>
      </w:r>
      <w:r>
        <w:tab/>
        <w:t>a 17. fejezet szerinti, cseppfolyósított gázzal üzemelő berendezések.</w:t>
      </w:r>
    </w:p>
    <w:p w:rsidR="005624E3" w:rsidRPr="00C903F8" w:rsidRDefault="005624E3" w:rsidP="005624E3">
      <w:pPr>
        <w:pStyle w:val="ESch"/>
        <w:rPr>
          <w:rFonts w:cs="Arial"/>
          <w:szCs w:val="20"/>
        </w:rPr>
      </w:pPr>
    </w:p>
    <w:p w:rsidR="005624E3" w:rsidRPr="00C903F8" w:rsidRDefault="005624E3" w:rsidP="005624E3">
      <w:pPr>
        <w:pStyle w:val="ESch"/>
        <w:rPr>
          <w:noProof/>
          <w:szCs w:val="20"/>
        </w:rPr>
      </w:pPr>
      <w:r>
        <w:t>3.</w:t>
      </w:r>
      <w:r>
        <w:tab/>
        <w:t>A gyorsjáratú hajókat egy elismert, a gyorsjáratú hajókra vonatkozóan különleges előírásokkal rendelkező hajóosztályozó társaság felügyelete alatt és vonatkozó előírásai szerint kell megépíteni és osztályozni. A mindenkori osztály megtartandó.</w:t>
      </w:r>
    </w:p>
    <w:p w:rsidR="005624E3" w:rsidRPr="00C903F8" w:rsidRDefault="005624E3" w:rsidP="005624E3">
      <w:pPr>
        <w:pStyle w:val="ESch"/>
        <w:rPr>
          <w:noProof/>
          <w:szCs w:val="20"/>
        </w:rPr>
      </w:pPr>
    </w:p>
    <w:p w:rsidR="005624E3" w:rsidRPr="00C903F8" w:rsidRDefault="005624E3" w:rsidP="005624E3">
      <w:pPr>
        <w:pStyle w:val="ESch"/>
        <w:rPr>
          <w:noProof/>
          <w:szCs w:val="20"/>
        </w:rPr>
      </w:pPr>
    </w:p>
    <w:p w:rsidR="005624E3" w:rsidRPr="00C903F8" w:rsidRDefault="005624E3" w:rsidP="005624E3">
      <w:pPr>
        <w:pStyle w:val="ES-Titre3"/>
        <w:rPr>
          <w:i/>
          <w:noProof/>
        </w:rPr>
      </w:pPr>
      <w:bookmarkStart w:id="508" w:name="_Toc491854250"/>
      <w:bookmarkStart w:id="509" w:name="_Toc535854031"/>
      <w:r>
        <w:t>29.02. cikk</w:t>
      </w:r>
      <w:r>
        <w:br/>
      </w:r>
      <w:r>
        <w:rPr>
          <w:i/>
          <w:noProof/>
        </w:rPr>
        <w:t>A II. és III. rész alkalmazása</w:t>
      </w:r>
      <w:bookmarkEnd w:id="508"/>
      <w:bookmarkEnd w:id="509"/>
    </w:p>
    <w:p w:rsidR="005624E3" w:rsidRPr="00C903F8" w:rsidRDefault="005624E3" w:rsidP="005624E3">
      <w:pPr>
        <w:pStyle w:val="ESch"/>
        <w:rPr>
          <w:noProof/>
          <w:szCs w:val="20"/>
        </w:rPr>
      </w:pPr>
    </w:p>
    <w:p w:rsidR="005624E3" w:rsidRPr="00C903F8" w:rsidRDefault="005624E3" w:rsidP="005624E3">
      <w:pPr>
        <w:pStyle w:val="ESch"/>
        <w:rPr>
          <w:noProof/>
          <w:szCs w:val="20"/>
        </w:rPr>
      </w:pPr>
      <w:r>
        <w:t>1.</w:t>
      </w:r>
      <w:r>
        <w:tab/>
        <w:t>A 2. bekezdés ellenére a 3–19. fejezetet a gyorsjáratú hajókra is alkalmazni kell az alábbi rendelkezések kivételével:</w:t>
      </w:r>
    </w:p>
    <w:p w:rsidR="005624E3" w:rsidRPr="00B2629C" w:rsidRDefault="005624E3" w:rsidP="005624E3">
      <w:pPr>
        <w:pStyle w:val="ESlet"/>
        <w:rPr>
          <w:noProof/>
        </w:rPr>
      </w:pPr>
      <w:r>
        <w:t>a)</w:t>
      </w:r>
      <w:r>
        <w:tab/>
        <w:t>a 3.04. cikk 6. bekezdésének második albekezdése;</w:t>
      </w:r>
    </w:p>
    <w:p w:rsidR="005624E3" w:rsidRPr="00B2629C" w:rsidRDefault="005624E3" w:rsidP="005624E3">
      <w:pPr>
        <w:pStyle w:val="ESlet"/>
        <w:rPr>
          <w:noProof/>
        </w:rPr>
      </w:pPr>
      <w:r>
        <w:t>b)</w:t>
      </w:r>
      <w:r>
        <w:tab/>
        <w:t>a 8.08. cikk 2. bekezdésének második mondata;</w:t>
      </w:r>
    </w:p>
    <w:p w:rsidR="005624E3" w:rsidRPr="00C903F8" w:rsidRDefault="005624E3" w:rsidP="005624E3">
      <w:pPr>
        <w:pStyle w:val="ESlet"/>
        <w:rPr>
          <w:noProof/>
        </w:rPr>
      </w:pPr>
      <w:r>
        <w:t>c)</w:t>
      </w:r>
      <w:r>
        <w:tab/>
        <w:t>a 14.02. cikk 4. bekezdésének második és harmadik mondata;</w:t>
      </w:r>
    </w:p>
    <w:p w:rsidR="005624E3" w:rsidRPr="00B2629C" w:rsidRDefault="005624E3" w:rsidP="005624E3">
      <w:pPr>
        <w:pStyle w:val="ESlet"/>
        <w:rPr>
          <w:noProof/>
        </w:rPr>
      </w:pPr>
      <w:r>
        <w:t>d)</w:t>
      </w:r>
      <w:r>
        <w:tab/>
        <w:t>a 15.02. cikk 4. bekezdésének második mondata;</w:t>
      </w:r>
    </w:p>
    <w:p w:rsidR="005624E3" w:rsidRPr="00C903F8" w:rsidRDefault="005624E3" w:rsidP="005624E3">
      <w:pPr>
        <w:pStyle w:val="ESlet"/>
        <w:rPr>
          <w:noProof/>
        </w:rPr>
      </w:pPr>
      <w:r>
        <w:t>e)</w:t>
      </w:r>
      <w:r>
        <w:tab/>
        <w:t>a 19.06. cikk 3. bekezdése a) pontjának második mondata.</w:t>
      </w:r>
    </w:p>
    <w:p w:rsidR="005624E3" w:rsidRPr="00B2629C" w:rsidRDefault="005624E3" w:rsidP="005624E3">
      <w:pPr>
        <w:pStyle w:val="ESch"/>
        <w:rPr>
          <w:noProof/>
          <w:szCs w:val="20"/>
        </w:rPr>
      </w:pPr>
    </w:p>
    <w:p w:rsidR="005624E3" w:rsidRPr="00C903F8" w:rsidRDefault="005624E3" w:rsidP="005624E3">
      <w:pPr>
        <w:pStyle w:val="ESch"/>
        <w:rPr>
          <w:noProof/>
          <w:szCs w:val="20"/>
        </w:rPr>
      </w:pPr>
      <w:r>
        <w:t>2.</w:t>
      </w:r>
      <w:r>
        <w:tab/>
        <w:t>A 19.02. cikk 9. bekezdésétől és a 19.15. cikk 7. bekezdésétől eltérve, a vízmentes válaszfalak valamennyi ajtajának táv</w:t>
      </w:r>
      <w:r w:rsidR="00D3541D">
        <w:t>vezérelhetőnek</w:t>
      </w:r>
      <w:r>
        <w:t xml:space="preserve"> kell lennie.</w:t>
      </w:r>
    </w:p>
    <w:p w:rsidR="005624E3" w:rsidRPr="00C903F8" w:rsidRDefault="005624E3" w:rsidP="005624E3">
      <w:pPr>
        <w:pStyle w:val="ESch"/>
        <w:rPr>
          <w:noProof/>
          <w:szCs w:val="20"/>
        </w:rPr>
      </w:pPr>
    </w:p>
    <w:p w:rsidR="005624E3" w:rsidRPr="00C903F8" w:rsidRDefault="005624E3" w:rsidP="005624E3">
      <w:pPr>
        <w:pStyle w:val="ESch"/>
        <w:rPr>
          <w:noProof/>
          <w:szCs w:val="20"/>
        </w:rPr>
      </w:pPr>
      <w:r>
        <w:t>3.</w:t>
      </w:r>
      <w:r>
        <w:tab/>
        <w:t>A 6.02. cikk 1. bekezdésétől eltérve, a kormánygép meghajtóegységének leállása vagy meghibásodása esetén egy második, független kormánygép-meghajtóegységnek vagy egy kézzel működtetett meghajtóegységnek kell késedelem nélkül működésbe lépnie.</w:t>
      </w:r>
    </w:p>
    <w:p w:rsidR="005624E3" w:rsidRPr="00C903F8" w:rsidRDefault="005624E3" w:rsidP="005624E3">
      <w:pPr>
        <w:pStyle w:val="ESch"/>
        <w:rPr>
          <w:noProof/>
          <w:szCs w:val="20"/>
        </w:rPr>
      </w:pPr>
    </w:p>
    <w:p w:rsidR="005624E3" w:rsidRPr="00C903F8" w:rsidRDefault="005624E3" w:rsidP="005624E3">
      <w:pPr>
        <w:pStyle w:val="ESch"/>
        <w:rPr>
          <w:noProof/>
          <w:szCs w:val="20"/>
        </w:rPr>
      </w:pPr>
      <w:r>
        <w:t>4.</w:t>
      </w:r>
      <w:r>
        <w:tab/>
        <w:t>Az 1–3. bekezdés követelményein túlmenően, a gyorsjáratú hajóknak meg kell felelniük a 29.03–29.10. cikk követelményeinek.</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r>
        <w:br w:type="page"/>
      </w:r>
    </w:p>
    <w:p w:rsidR="005624E3" w:rsidRPr="00C903F8" w:rsidRDefault="005624E3" w:rsidP="005624E3">
      <w:pPr>
        <w:pStyle w:val="ES-Titre3"/>
        <w:rPr>
          <w:i/>
          <w:noProof/>
        </w:rPr>
      </w:pPr>
      <w:bookmarkStart w:id="510" w:name="_Toc491854251"/>
      <w:bookmarkStart w:id="511" w:name="_Toc535854032"/>
      <w:r>
        <w:t>29.03. cikk</w:t>
      </w:r>
      <w:r>
        <w:br/>
      </w:r>
      <w:r>
        <w:rPr>
          <w:i/>
          <w:noProof/>
        </w:rPr>
        <w:t>Ülések és biztonsági övek</w:t>
      </w:r>
      <w:bookmarkEnd w:id="510"/>
      <w:bookmarkEnd w:id="511"/>
    </w:p>
    <w:p w:rsidR="005624E3" w:rsidRPr="00C903F8" w:rsidRDefault="005624E3" w:rsidP="005624E3">
      <w:pPr>
        <w:pStyle w:val="ESch"/>
        <w:rPr>
          <w:noProof/>
          <w:szCs w:val="20"/>
        </w:rPr>
      </w:pPr>
    </w:p>
    <w:p w:rsidR="005624E3" w:rsidRPr="00C903F8" w:rsidRDefault="005624E3" w:rsidP="005624E3">
      <w:pPr>
        <w:pStyle w:val="ESgauche"/>
      </w:pPr>
      <w:r>
        <w:t>A fedélzeten a legnagyobb megengedett utaslétszámnak megfelelő számú ülést kell biztosítani. Az üléseket fel kell szerelni biztonsági övekkel. A biztonsági övtől el lehet tekinteni, ha biztosított az ütközés elleni megfelelő védelem, vagy ha a nagysebességű vízi járművekre vonatkozó 2000. évi szabályzat 4. fejezete 6. részének értelmében a biztonsági öv nem követelmény.</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i/>
          <w:noProof/>
        </w:rPr>
      </w:pPr>
      <w:bookmarkStart w:id="512" w:name="_Toc491854252"/>
      <w:bookmarkStart w:id="513" w:name="_Toc535854033"/>
      <w:r>
        <w:t>29.04. cikk</w:t>
      </w:r>
      <w:r>
        <w:br/>
      </w:r>
      <w:r>
        <w:rPr>
          <w:i/>
          <w:noProof/>
        </w:rPr>
        <w:t>Szabadoldal</w:t>
      </w:r>
      <w:bookmarkEnd w:id="512"/>
      <w:bookmarkEnd w:id="513"/>
    </w:p>
    <w:p w:rsidR="005624E3" w:rsidRPr="00C903F8" w:rsidRDefault="005624E3" w:rsidP="005624E3">
      <w:pPr>
        <w:pStyle w:val="ESch"/>
        <w:rPr>
          <w:noProof/>
          <w:szCs w:val="20"/>
        </w:rPr>
      </w:pPr>
    </w:p>
    <w:p w:rsidR="005624E3" w:rsidRPr="00C903F8" w:rsidRDefault="005624E3" w:rsidP="005624E3">
      <w:pPr>
        <w:pStyle w:val="ESgauche"/>
      </w:pPr>
      <w:r>
        <w:t>A 4.02. és 4.03. cikktől eltérve, a szabadoldal legalább 500 mm.</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i/>
          <w:noProof/>
        </w:rPr>
      </w:pPr>
      <w:bookmarkStart w:id="514" w:name="_Toc491854253"/>
      <w:bookmarkStart w:id="515" w:name="_Toc535854034"/>
      <w:r>
        <w:t>29.05. cikk</w:t>
      </w:r>
      <w:r>
        <w:br/>
      </w:r>
      <w:r>
        <w:rPr>
          <w:i/>
          <w:noProof/>
        </w:rPr>
        <w:t>Úszóképesség, stabilitás és térbeosztás</w:t>
      </w:r>
      <w:bookmarkEnd w:id="514"/>
      <w:bookmarkEnd w:id="515"/>
    </w:p>
    <w:p w:rsidR="005624E3" w:rsidRPr="00C903F8" w:rsidRDefault="005624E3" w:rsidP="005624E3">
      <w:pPr>
        <w:pStyle w:val="ESch"/>
        <w:rPr>
          <w:noProof/>
          <w:szCs w:val="20"/>
        </w:rPr>
      </w:pPr>
    </w:p>
    <w:p w:rsidR="005624E3" w:rsidRPr="00C903F8" w:rsidRDefault="005624E3" w:rsidP="005624E3">
      <w:pPr>
        <w:pStyle w:val="ESgauche"/>
      </w:pPr>
      <w:r>
        <w:t>A gyorsjáratú hajók esetében megfelelően igazolni kell a következőket:</w:t>
      </w:r>
    </w:p>
    <w:p w:rsidR="005624E3" w:rsidRPr="00C903F8" w:rsidRDefault="005624E3" w:rsidP="005624E3">
      <w:pPr>
        <w:pStyle w:val="ESletgauche"/>
        <w:rPr>
          <w:noProof/>
        </w:rPr>
      </w:pPr>
      <w:r>
        <w:t>a)</w:t>
      </w:r>
      <w:r>
        <w:tab/>
        <w:t xml:space="preserve">a biztonság szempontjából megfelelő </w:t>
      </w:r>
      <w:r w:rsidR="009156D0">
        <w:t xml:space="preserve"> </w:t>
      </w:r>
      <w:r w:rsidR="00380C1C">
        <w:t xml:space="preserve"> </w:t>
      </w:r>
      <w:r>
        <w:t>és stabilitási jellemzők, amikor a hajót a vízkiszorításos módban üzemeltetik, ép és sérült állapotra vonatkozóan egyaránt;</w:t>
      </w:r>
    </w:p>
    <w:p w:rsidR="005624E3" w:rsidRPr="00C903F8" w:rsidRDefault="005624E3" w:rsidP="005624E3">
      <w:pPr>
        <w:pStyle w:val="ESletgauche"/>
        <w:rPr>
          <w:noProof/>
        </w:rPr>
      </w:pPr>
      <w:r>
        <w:t>b)</w:t>
      </w:r>
      <w:r>
        <w:tab/>
        <w:t>a biztonság szempontjából megfelelő stabilitási jellemzők és stabilizáló berendezések, amikor a hajót a dinamikus úszó fázisban és az átmeneti fázisban üzemeltetik;</w:t>
      </w:r>
    </w:p>
    <w:p w:rsidR="005624E3" w:rsidRPr="00C903F8" w:rsidRDefault="005624E3" w:rsidP="005624E3">
      <w:pPr>
        <w:pStyle w:val="ESletgauche"/>
        <w:rPr>
          <w:noProof/>
        </w:rPr>
      </w:pPr>
      <w:r>
        <w:t>c)</w:t>
      </w:r>
      <w:r>
        <w:tab/>
        <w:t>a biztonság szempontjából megfelelő stabilitási jellemzők, amikor a hajót a dinamikus úszó fázisban és az átmeneti fázisban üzemeltetik, és amelyek lehetővé teszik a hajó biztonságos áttérését a vízkiszorításos módba bármelyik rendszer meghibásodása esetén.</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i/>
          <w:noProof/>
        </w:rPr>
      </w:pPr>
      <w:bookmarkStart w:id="516" w:name="_Toc491854254"/>
      <w:bookmarkStart w:id="517" w:name="_Toc535854035"/>
      <w:r>
        <w:t>29.06. cikk</w:t>
      </w:r>
      <w:r>
        <w:br/>
      </w:r>
      <w:r>
        <w:rPr>
          <w:i/>
          <w:noProof/>
        </w:rPr>
        <w:t>Kormányállás</w:t>
      </w:r>
      <w:bookmarkEnd w:id="516"/>
      <w:bookmarkEnd w:id="517"/>
    </w:p>
    <w:p w:rsidR="005624E3" w:rsidRPr="00C903F8" w:rsidRDefault="005624E3" w:rsidP="005624E3">
      <w:pPr>
        <w:pStyle w:val="ESch"/>
        <w:rPr>
          <w:noProof/>
          <w:szCs w:val="20"/>
        </w:rPr>
      </w:pPr>
      <w:r>
        <w:t>1.</w:t>
      </w:r>
      <w:r>
        <w:tab/>
        <w:t>Elrendezés</w:t>
      </w:r>
    </w:p>
    <w:p w:rsidR="005624E3" w:rsidRPr="00C903F8" w:rsidRDefault="005624E3" w:rsidP="005624E3">
      <w:pPr>
        <w:pStyle w:val="ESlet"/>
        <w:rPr>
          <w:rFonts w:cs="Arial"/>
        </w:rPr>
      </w:pPr>
      <w:r>
        <w:t>a)</w:t>
      </w:r>
      <w:r>
        <w:tab/>
        <w:t>A 7.01. cikk 1. bekezdésétől eltérve, a kormányállásokat úgy kell elrendezni, hogy a kormányos és a legénység egy további tagja mindenkor el tudja látni feladatát a menetben lévő hajón.</w:t>
      </w:r>
    </w:p>
    <w:p w:rsidR="005624E3" w:rsidRPr="00C903F8" w:rsidRDefault="005624E3" w:rsidP="005624E3">
      <w:pPr>
        <w:pStyle w:val="ESlet"/>
        <w:rPr>
          <w:noProof/>
        </w:rPr>
      </w:pPr>
      <w:r>
        <w:t>b)</w:t>
      </w:r>
      <w:r>
        <w:tab/>
        <w:t>A kormányvezérlő-állást úgy kell elrendezni, hogy abban helyet kapjanak az a) pontban említett személyek munkaállomásai. A navigációs, kormányzási, ellenőrző és kommunikációs műszereknek és egyéb fontos kezelőszerveknek elég közel kell lenniük egymáshoz, hogy mind a kormányos, mind a legénység egy további tagja ülő helyzetben hozzájuthasson a szükséges információkhoz, és szükség szerint kezelhesse a kezelőszerveket és a berendezéseket. Az alábbi követelmények minden esetben alkalmazandók:</w:t>
      </w:r>
    </w:p>
    <w:p w:rsidR="005624E3" w:rsidRPr="00C903F8" w:rsidRDefault="005624E3" w:rsidP="005624E3">
      <w:pPr>
        <w:pStyle w:val="EStiret"/>
      </w:pPr>
      <w:r>
        <w:t>aa)</w:t>
      </w:r>
      <w:r>
        <w:tab/>
        <w:t>a kormányvezérlő-állást az egyszemélyes radarhajózást lehetővé tévő módon kell elrendezni;</w:t>
      </w:r>
    </w:p>
    <w:p w:rsidR="005624E3" w:rsidRPr="00C903F8" w:rsidRDefault="005624E3" w:rsidP="005624E3">
      <w:pPr>
        <w:pStyle w:val="EStiret"/>
      </w:pPr>
      <w:r>
        <w:t>bb)</w:t>
      </w:r>
      <w:r>
        <w:tab/>
        <w:t>biztosítani kell, hogy a legénység további tagja is rendelkezzen saját radarképernyővel (segédmonitorral) a munkaállomásán, és képes legyen beavatkozni munkaállomásáról az információáramlásba és a hajó propulziós rendszerének vezérlésébe.</w:t>
      </w:r>
    </w:p>
    <w:p w:rsidR="005624E3" w:rsidRPr="00C903F8" w:rsidRDefault="005624E3" w:rsidP="005624E3">
      <w:pPr>
        <w:pStyle w:val="ESlet"/>
        <w:rPr>
          <w:noProof/>
        </w:rPr>
      </w:pPr>
      <w:r>
        <w:t>c)</w:t>
      </w:r>
      <w:r>
        <w:tab/>
        <w:t>Az a) pontban említett személyeknek képeseknek kell lenniük a b) pontban említett berendezések működtetésére minden akadályoztatás nélkül, akkor is, amikor a biztonsági öveik előírás szerint be vannak kapcsolva.</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r>
        <w:br w:type="page"/>
      </w:r>
    </w:p>
    <w:p w:rsidR="005624E3" w:rsidRPr="00C903F8" w:rsidRDefault="005624E3" w:rsidP="005624E3">
      <w:pPr>
        <w:pStyle w:val="ESch"/>
        <w:rPr>
          <w:noProof/>
          <w:szCs w:val="20"/>
        </w:rPr>
      </w:pPr>
      <w:r>
        <w:t>2.</w:t>
      </w:r>
      <w:r>
        <w:tab/>
      </w:r>
      <w:r w:rsidR="00C323D2">
        <w:t>Szabad</w:t>
      </w:r>
      <w:r>
        <w:t xml:space="preserve"> kilátás</w:t>
      </w:r>
    </w:p>
    <w:p w:rsidR="005624E3" w:rsidRPr="00C903F8" w:rsidRDefault="005624E3" w:rsidP="005624E3">
      <w:pPr>
        <w:pStyle w:val="ESlet"/>
        <w:rPr>
          <w:noProof/>
        </w:rPr>
      </w:pPr>
      <w:r>
        <w:t>a)</w:t>
      </w:r>
      <w:r>
        <w:tab/>
        <w:t xml:space="preserve">A 7.02. cikk 2. bekezdésétől eltérve, az ülő helyzetben lévő kormányos </w:t>
      </w:r>
      <w:r w:rsidR="009156D0">
        <w:t>korlátozott látó</w:t>
      </w:r>
      <w:r>
        <w:t>tere a hajó előtt a terhelési körülményektől függetlenül nem haladhatja meg az egy hajóhosszt.</w:t>
      </w:r>
    </w:p>
    <w:p w:rsidR="005624E3" w:rsidRPr="00C903F8" w:rsidRDefault="005624E3" w:rsidP="005624E3">
      <w:pPr>
        <w:pStyle w:val="ESlet"/>
        <w:rPr>
          <w:noProof/>
        </w:rPr>
      </w:pPr>
      <w:r>
        <w:t>b)</w:t>
      </w:r>
      <w:r>
        <w:tab/>
        <w:t xml:space="preserve">A 7.02. cikk 3. bekezdésétől eltérve, a holtterek ívének összege a hajó orrától a fedélzettartó gerenda mögötti 22,5°-ig terjedő íven belül egyik oldalon sem haladhatja meg a 20°-ot. Egyenként egyik holttér sem haladhatja meg az 5°-ot. Két </w:t>
      </w:r>
      <w:r w:rsidR="00C323D2">
        <w:t>holttér között a szabad látótér</w:t>
      </w:r>
      <w:r>
        <w:t xml:space="preserve"> nem lehet kevesebb 10°-nál.</w:t>
      </w:r>
    </w:p>
    <w:p w:rsidR="005624E3" w:rsidRPr="00C903F8" w:rsidRDefault="005624E3" w:rsidP="005624E3">
      <w:pPr>
        <w:pStyle w:val="ESch"/>
        <w:rPr>
          <w:noProof/>
          <w:szCs w:val="20"/>
        </w:rPr>
      </w:pPr>
    </w:p>
    <w:p w:rsidR="005624E3" w:rsidRPr="00C903F8" w:rsidRDefault="005624E3" w:rsidP="005624E3">
      <w:pPr>
        <w:pStyle w:val="ESch"/>
        <w:rPr>
          <w:noProof/>
          <w:szCs w:val="20"/>
        </w:rPr>
      </w:pPr>
      <w:r>
        <w:t>3.</w:t>
      </w:r>
      <w:r>
        <w:tab/>
        <w:t>Műszerek</w:t>
      </w:r>
    </w:p>
    <w:p w:rsidR="005624E3" w:rsidRPr="00C903F8" w:rsidRDefault="005624E3" w:rsidP="005624E3">
      <w:pPr>
        <w:pStyle w:val="ESchpar"/>
        <w:rPr>
          <w:noProof/>
        </w:rPr>
      </w:pPr>
    </w:p>
    <w:p w:rsidR="005624E3" w:rsidRPr="00C903F8" w:rsidRDefault="005624E3" w:rsidP="005624E3">
      <w:pPr>
        <w:pStyle w:val="ESchpar"/>
        <w:rPr>
          <w:noProof/>
        </w:rPr>
      </w:pPr>
      <w:r>
        <w:t>A 29.10. cikkben említett berendezések vezérlő és ellenőrző műszerei kapcsolótábláinak külön és egyértelműen jelölt helyet kell biztosítani a kormányállásban. Ez indokolt esetben vonatkozik a csoportos életmentő felszerelések vízre bocsátásának vezérlésére is.</w:t>
      </w:r>
    </w:p>
    <w:p w:rsidR="005624E3" w:rsidRPr="00C903F8" w:rsidRDefault="005624E3" w:rsidP="005624E3">
      <w:pPr>
        <w:pStyle w:val="ESch"/>
        <w:rPr>
          <w:noProof/>
          <w:szCs w:val="20"/>
        </w:rPr>
      </w:pPr>
    </w:p>
    <w:p w:rsidR="005624E3" w:rsidRPr="00C903F8" w:rsidRDefault="005624E3" w:rsidP="005624E3">
      <w:pPr>
        <w:pStyle w:val="ESch"/>
        <w:rPr>
          <w:noProof/>
          <w:szCs w:val="20"/>
        </w:rPr>
      </w:pPr>
      <w:r>
        <w:t>4.</w:t>
      </w:r>
      <w:r>
        <w:tab/>
        <w:t>Megvilágítás</w:t>
      </w:r>
    </w:p>
    <w:p w:rsidR="005624E3" w:rsidRPr="00C903F8" w:rsidRDefault="005624E3" w:rsidP="005624E3">
      <w:pPr>
        <w:pStyle w:val="ESchpar"/>
        <w:rPr>
          <w:noProof/>
        </w:rPr>
      </w:pPr>
    </w:p>
    <w:p w:rsidR="005624E3" w:rsidRPr="00C903F8" w:rsidRDefault="005624E3" w:rsidP="005624E3">
      <w:pPr>
        <w:pStyle w:val="ESchpar"/>
        <w:rPr>
          <w:noProof/>
        </w:rPr>
      </w:pPr>
      <w:r>
        <w:t>Azokat a helyeket vagy műszereket, amelyek használat közben világítanak, piros fénnyel kell megvilágítani.</w:t>
      </w:r>
    </w:p>
    <w:p w:rsidR="005624E3" w:rsidRPr="00C903F8" w:rsidRDefault="005624E3" w:rsidP="005624E3">
      <w:pPr>
        <w:pStyle w:val="ESch"/>
        <w:rPr>
          <w:noProof/>
          <w:szCs w:val="20"/>
        </w:rPr>
      </w:pPr>
    </w:p>
    <w:p w:rsidR="005624E3" w:rsidRPr="00C903F8" w:rsidRDefault="005624E3" w:rsidP="005624E3">
      <w:pPr>
        <w:pStyle w:val="ESch"/>
        <w:rPr>
          <w:noProof/>
          <w:szCs w:val="20"/>
        </w:rPr>
      </w:pPr>
      <w:r>
        <w:t>5.</w:t>
      </w:r>
      <w:r>
        <w:tab/>
        <w:t>Ablakok</w:t>
      </w:r>
    </w:p>
    <w:p w:rsidR="005624E3" w:rsidRPr="00C903F8" w:rsidRDefault="005624E3" w:rsidP="005624E3">
      <w:pPr>
        <w:pStyle w:val="ESchpar"/>
        <w:rPr>
          <w:noProof/>
        </w:rPr>
      </w:pPr>
    </w:p>
    <w:p w:rsidR="005624E3" w:rsidRPr="00C903F8" w:rsidRDefault="005624E3" w:rsidP="005624E3">
      <w:pPr>
        <w:pStyle w:val="ESchpar"/>
        <w:rPr>
          <w:noProof/>
        </w:rPr>
      </w:pPr>
      <w:r>
        <w:t>A tükröződést kerülni kell. Biztosítani kell olyan eszközt, amely megakadályozza a napfény általi vakítást.</w:t>
      </w:r>
    </w:p>
    <w:p w:rsidR="005624E3" w:rsidRPr="00C903F8" w:rsidRDefault="005624E3" w:rsidP="005624E3">
      <w:pPr>
        <w:pStyle w:val="ESch"/>
        <w:rPr>
          <w:noProof/>
          <w:szCs w:val="20"/>
        </w:rPr>
      </w:pPr>
    </w:p>
    <w:p w:rsidR="005624E3" w:rsidRPr="00C903F8" w:rsidRDefault="005624E3" w:rsidP="005624E3">
      <w:pPr>
        <w:pStyle w:val="ESch"/>
        <w:rPr>
          <w:noProof/>
          <w:szCs w:val="20"/>
        </w:rPr>
      </w:pPr>
      <w:r>
        <w:t>6.</w:t>
      </w:r>
      <w:r>
        <w:tab/>
        <w:t>Felületek borítása</w:t>
      </w:r>
    </w:p>
    <w:p w:rsidR="005624E3" w:rsidRPr="00C903F8" w:rsidRDefault="005624E3" w:rsidP="005624E3">
      <w:pPr>
        <w:pStyle w:val="ESchpar"/>
        <w:rPr>
          <w:noProof/>
        </w:rPr>
      </w:pPr>
    </w:p>
    <w:p w:rsidR="005624E3" w:rsidRPr="00C903F8" w:rsidRDefault="005624E3" w:rsidP="005624E3">
      <w:pPr>
        <w:pStyle w:val="ESchpar"/>
        <w:rPr>
          <w:noProof/>
        </w:rPr>
      </w:pPr>
      <w:r>
        <w:t>A kormányállásban kerülni kell a tükröződő felületű anyagok használatát.</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rFonts w:cs="Arial"/>
          <w:i/>
        </w:rPr>
      </w:pPr>
      <w:bookmarkStart w:id="518" w:name="_Toc491854255"/>
      <w:bookmarkStart w:id="519" w:name="_Toc535854036"/>
      <w:r>
        <w:t>29.07. cikk</w:t>
      </w:r>
      <w:r>
        <w:br/>
      </w:r>
      <w:r>
        <w:rPr>
          <w:i/>
          <w:noProof/>
        </w:rPr>
        <w:t>Kiegészítő berendezések</w:t>
      </w:r>
      <w:bookmarkEnd w:id="518"/>
      <w:bookmarkEnd w:id="519"/>
    </w:p>
    <w:p w:rsidR="005624E3" w:rsidRPr="00C903F8" w:rsidRDefault="005624E3" w:rsidP="005624E3">
      <w:pPr>
        <w:pStyle w:val="ESch"/>
        <w:rPr>
          <w:rFonts w:cs="Arial"/>
          <w:szCs w:val="20"/>
        </w:rPr>
      </w:pPr>
    </w:p>
    <w:p w:rsidR="005624E3" w:rsidRPr="00C903F8" w:rsidRDefault="005624E3" w:rsidP="005624E3">
      <w:pPr>
        <w:pStyle w:val="ESgauche"/>
      </w:pPr>
      <w:r>
        <w:t>A gyorsjáratú vízi járműveknek rendelkezniük kell az alábbi berendezésekkel:</w:t>
      </w:r>
    </w:p>
    <w:p w:rsidR="005624E3" w:rsidRPr="00C903F8" w:rsidRDefault="005624E3" w:rsidP="005624E3">
      <w:pPr>
        <w:pStyle w:val="ESletgauche"/>
      </w:pPr>
      <w:r>
        <w:t>a)</w:t>
      </w:r>
      <w:r>
        <w:tab/>
        <w:t>a 7.06. cikk 1. bekezdése szerinti navigációs radarberendezés és fordulási szögsebességjelző; és</w:t>
      </w:r>
    </w:p>
    <w:p w:rsidR="005624E3" w:rsidRPr="00C903F8" w:rsidRDefault="005624E3" w:rsidP="005624E3">
      <w:pPr>
        <w:pStyle w:val="ESletgauche"/>
      </w:pPr>
      <w:r>
        <w:t>b)</w:t>
      </w:r>
      <w:r>
        <w:tab/>
        <w:t>a 19.09. cikk 4. bekezdésének megfelelően biztosított könnyen hozzáférhető egyéni életmentő felszerelés.</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i/>
          <w:noProof/>
        </w:rPr>
      </w:pPr>
      <w:bookmarkStart w:id="520" w:name="_Toc491854256"/>
      <w:bookmarkStart w:id="521" w:name="_Toc535854037"/>
      <w:r>
        <w:t>29.08. cikk</w:t>
      </w:r>
      <w:r>
        <w:br/>
      </w:r>
      <w:r>
        <w:rPr>
          <w:i/>
          <w:noProof/>
        </w:rPr>
        <w:t>Zárt terek</w:t>
      </w:r>
      <w:bookmarkEnd w:id="520"/>
      <w:bookmarkEnd w:id="521"/>
    </w:p>
    <w:p w:rsidR="005624E3" w:rsidRPr="00C903F8" w:rsidRDefault="005624E3" w:rsidP="005624E3">
      <w:pPr>
        <w:pStyle w:val="ESch"/>
        <w:rPr>
          <w:noProof/>
          <w:szCs w:val="20"/>
        </w:rPr>
      </w:pPr>
    </w:p>
    <w:p w:rsidR="005624E3" w:rsidRPr="00C903F8" w:rsidRDefault="005624E3" w:rsidP="005624E3">
      <w:pPr>
        <w:pStyle w:val="ESch"/>
        <w:rPr>
          <w:noProof/>
          <w:szCs w:val="20"/>
        </w:rPr>
      </w:pPr>
      <w:r>
        <w:t>1.</w:t>
      </w:r>
      <w:r>
        <w:tab/>
        <w:t>Általános rendelkezések</w:t>
      </w:r>
    </w:p>
    <w:p w:rsidR="005624E3" w:rsidRPr="00C903F8" w:rsidRDefault="005624E3" w:rsidP="005624E3">
      <w:pPr>
        <w:pStyle w:val="ESchpar"/>
        <w:rPr>
          <w:noProof/>
        </w:rPr>
      </w:pPr>
    </w:p>
    <w:p w:rsidR="005624E3" w:rsidRPr="00C903F8" w:rsidRDefault="005624E3" w:rsidP="005624E3">
      <w:pPr>
        <w:pStyle w:val="ESchpar"/>
        <w:rPr>
          <w:noProof/>
        </w:rPr>
      </w:pPr>
      <w:r>
        <w:t>A közösen használt helyiségeket és lakótereket, valamint ezek berendezéseit úgy kell megtervezni, hogy bárki, aki rendeltetésszerűen használja ezeket a helyiségeket és berendezéseket, ne szenvedhessen sérülést szokásos vagy vészhelyzeti indításkor vagy leállításkor, illetve szokásos menetben való manőverezés közben és leállás vagy üzemzavar esetén.</w:t>
      </w:r>
    </w:p>
    <w:p w:rsidR="005624E3" w:rsidRPr="00C903F8" w:rsidRDefault="005624E3" w:rsidP="005624E3">
      <w:pPr>
        <w:pStyle w:val="ESch"/>
        <w:rPr>
          <w:noProof/>
          <w:szCs w:val="20"/>
        </w:rPr>
      </w:pPr>
    </w:p>
    <w:p w:rsidR="005624E3" w:rsidRPr="00C903F8" w:rsidRDefault="005624E3" w:rsidP="005624E3">
      <w:pPr>
        <w:pStyle w:val="ESch"/>
        <w:rPr>
          <w:noProof/>
          <w:szCs w:val="20"/>
        </w:rPr>
      </w:pPr>
      <w:r>
        <w:br w:type="page"/>
      </w:r>
    </w:p>
    <w:p w:rsidR="005624E3" w:rsidRPr="00C903F8" w:rsidRDefault="005624E3" w:rsidP="005624E3">
      <w:pPr>
        <w:pStyle w:val="ESch"/>
        <w:rPr>
          <w:noProof/>
          <w:szCs w:val="20"/>
        </w:rPr>
      </w:pPr>
      <w:r>
        <w:t>2.</w:t>
      </w:r>
      <w:r>
        <w:tab/>
        <w:t>Kommunikáció</w:t>
      </w:r>
    </w:p>
    <w:p w:rsidR="005624E3" w:rsidRPr="00C903F8" w:rsidRDefault="005624E3" w:rsidP="005624E3">
      <w:pPr>
        <w:pStyle w:val="ESlet"/>
        <w:rPr>
          <w:noProof/>
        </w:rPr>
      </w:pPr>
      <w:r>
        <w:t>a)</w:t>
      </w:r>
      <w:r>
        <w:tab/>
        <w:t>Az utasoknak a biztonsági intézkedésekről való tájékoztatása érdekében minden személyhajót fel kell szerelni olyan optikai és akusztikai berendezésekkel, amelyek jelzései minden fedélzeten tartózkodó számára láthatók, illetve hallhatók.</w:t>
      </w:r>
    </w:p>
    <w:p w:rsidR="005624E3" w:rsidRPr="00C903F8" w:rsidRDefault="005624E3" w:rsidP="005624E3">
      <w:pPr>
        <w:pStyle w:val="ESlet"/>
        <w:rPr>
          <w:noProof/>
        </w:rPr>
      </w:pPr>
      <w:r>
        <w:t>b)</w:t>
      </w:r>
      <w:r>
        <w:tab/>
        <w:t>Az a) pontban leírt berendezéseknek lehetővé kell tenniük a hajó vezetője számára, hogy utasításokat adjon az utasoknak.</w:t>
      </w:r>
    </w:p>
    <w:p w:rsidR="005624E3" w:rsidRPr="00C903F8" w:rsidRDefault="005624E3" w:rsidP="005624E3">
      <w:pPr>
        <w:pStyle w:val="ESlet"/>
        <w:rPr>
          <w:noProof/>
        </w:rPr>
      </w:pPr>
      <w:r>
        <w:t>c)</w:t>
      </w:r>
      <w:r>
        <w:tab/>
        <w:t>Minden utas számára az ülése közelében hozzáférhetővé kell tenni a vészhelyzeti utasításokat, beleértve a hajó valamennyi kijáratot, menekülési útvonalat, vészhelyzeti felszerelését, életmentő felszerelést feltüntető alaprajzát, valamint a mentőmellények használati utasítását.</w:t>
      </w:r>
    </w:p>
    <w:p w:rsidR="005624E3" w:rsidRPr="00C903F8" w:rsidRDefault="005624E3" w:rsidP="005624E3">
      <w:pPr>
        <w:pStyle w:val="ESch"/>
        <w:rPr>
          <w:noProof/>
          <w:szCs w:val="20"/>
        </w:rPr>
      </w:pPr>
    </w:p>
    <w:p w:rsidR="005624E3" w:rsidRPr="00C903F8" w:rsidRDefault="005624E3" w:rsidP="005624E3">
      <w:pPr>
        <w:pStyle w:val="ESch"/>
        <w:rPr>
          <w:noProof/>
          <w:szCs w:val="20"/>
        </w:rPr>
      </w:pPr>
    </w:p>
    <w:p w:rsidR="005624E3" w:rsidRPr="00C903F8" w:rsidRDefault="005624E3" w:rsidP="005624E3">
      <w:pPr>
        <w:pStyle w:val="ES-Titre3"/>
        <w:rPr>
          <w:i/>
          <w:noProof/>
        </w:rPr>
      </w:pPr>
      <w:bookmarkStart w:id="522" w:name="_Toc491854257"/>
      <w:bookmarkStart w:id="523" w:name="_Toc535854038"/>
      <w:r>
        <w:t>29.09. cikk</w:t>
      </w:r>
      <w:r>
        <w:br/>
      </w:r>
      <w:r>
        <w:rPr>
          <w:i/>
          <w:noProof/>
        </w:rPr>
        <w:t>Kijáratok és menekülési útvonalak</w:t>
      </w:r>
      <w:bookmarkEnd w:id="522"/>
      <w:bookmarkEnd w:id="523"/>
    </w:p>
    <w:p w:rsidR="005624E3" w:rsidRPr="00C903F8" w:rsidRDefault="005624E3" w:rsidP="005624E3">
      <w:pPr>
        <w:pStyle w:val="ESch"/>
        <w:rPr>
          <w:noProof/>
          <w:szCs w:val="20"/>
        </w:rPr>
      </w:pPr>
    </w:p>
    <w:p w:rsidR="005624E3" w:rsidRPr="00C903F8" w:rsidRDefault="005624E3" w:rsidP="005624E3">
      <w:pPr>
        <w:pStyle w:val="ESgauche"/>
      </w:pPr>
      <w:r>
        <w:t>A kijáratoknak és a menekülési útvonalaknak meg kell felelniük az alábbi követelményeknek:</w:t>
      </w:r>
    </w:p>
    <w:p w:rsidR="005624E3" w:rsidRPr="00C903F8" w:rsidRDefault="005624E3" w:rsidP="005624E3">
      <w:pPr>
        <w:pStyle w:val="ESletgauche"/>
        <w:rPr>
          <w:noProof/>
        </w:rPr>
      </w:pPr>
      <w:r>
        <w:t>a)</w:t>
      </w:r>
      <w:r>
        <w:tab/>
        <w:t>a kormányvezérlő-állásból könnyű, biztonságos és gyors hozzáférést kell biztosítani azokhoz a helyiségekhez és lakóterekhez, amelyhez az utasok hozzáférhetnek;</w:t>
      </w:r>
    </w:p>
    <w:p w:rsidR="005624E3" w:rsidRPr="00C903F8" w:rsidRDefault="005624E3" w:rsidP="005624E3">
      <w:pPr>
        <w:pStyle w:val="ESletgauche"/>
        <w:rPr>
          <w:noProof/>
        </w:rPr>
      </w:pPr>
      <w:r>
        <w:t>b)</w:t>
      </w:r>
      <w:r>
        <w:tab/>
        <w:t>a vészkijáratokhoz vezető menekülési útvonalakat egyértelműen és tartós módon jelölni kell;</w:t>
      </w:r>
    </w:p>
    <w:p w:rsidR="005624E3" w:rsidRPr="00C903F8" w:rsidRDefault="005624E3" w:rsidP="005624E3">
      <w:pPr>
        <w:pStyle w:val="ESletgauche"/>
        <w:rPr>
          <w:noProof/>
        </w:rPr>
      </w:pPr>
      <w:r>
        <w:t>c)</w:t>
      </w:r>
      <w:r>
        <w:tab/>
        <w:t>minden kijáratot megfelelően jelölni kell. A nyitómechanizmus működtetésének kívülről és belülről is egyértelműnek kell lennie;</w:t>
      </w:r>
    </w:p>
    <w:p w:rsidR="005624E3" w:rsidRPr="00C903F8" w:rsidRDefault="005624E3" w:rsidP="005624E3">
      <w:pPr>
        <w:pStyle w:val="ESletgauche"/>
        <w:rPr>
          <w:noProof/>
        </w:rPr>
      </w:pPr>
      <w:r>
        <w:t>d)</w:t>
      </w:r>
      <w:r>
        <w:tab/>
        <w:t>a menekülési útvonalaknak és a vészkijáratoknak megfelelő biztonsági útvonal-kijelölő rendszerrel kell rendelkezniük;</w:t>
      </w:r>
    </w:p>
    <w:p w:rsidR="005624E3" w:rsidRPr="00C903F8" w:rsidRDefault="005624E3" w:rsidP="005624E3">
      <w:pPr>
        <w:pStyle w:val="ESletgauche"/>
        <w:rPr>
          <w:noProof/>
        </w:rPr>
      </w:pPr>
      <w:r>
        <w:t>e)</w:t>
      </w:r>
      <w:r>
        <w:tab/>
        <w:t>a kijáratok mellett elegendő helyet kell hagyni a legénység egy tagja számára.</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3"/>
        <w:rPr>
          <w:i/>
          <w:noProof/>
        </w:rPr>
      </w:pPr>
      <w:bookmarkStart w:id="524" w:name="_Toc491854258"/>
      <w:bookmarkStart w:id="525" w:name="_Toc535854039"/>
      <w:r>
        <w:t>29.10. cikk</w:t>
      </w:r>
      <w:r>
        <w:br/>
      </w:r>
      <w:r>
        <w:rPr>
          <w:i/>
          <w:noProof/>
        </w:rPr>
        <w:t>Tűzvédele</w:t>
      </w:r>
      <w:bookmarkEnd w:id="524"/>
      <w:r w:rsidR="00166EA9">
        <w:rPr>
          <w:i/>
          <w:noProof/>
        </w:rPr>
        <w:t>m</w:t>
      </w:r>
      <w:bookmarkEnd w:id="525"/>
    </w:p>
    <w:p w:rsidR="005624E3" w:rsidRPr="00C903F8" w:rsidRDefault="005624E3" w:rsidP="005624E3">
      <w:pPr>
        <w:pStyle w:val="ESch"/>
        <w:rPr>
          <w:noProof/>
          <w:szCs w:val="20"/>
        </w:rPr>
      </w:pPr>
    </w:p>
    <w:p w:rsidR="005624E3" w:rsidRPr="00C903F8" w:rsidRDefault="005624E3" w:rsidP="005624E3">
      <w:pPr>
        <w:pStyle w:val="ESch"/>
        <w:rPr>
          <w:noProof/>
          <w:szCs w:val="20"/>
        </w:rPr>
      </w:pPr>
      <w:r>
        <w:t>1.</w:t>
      </w:r>
      <w:r>
        <w:tab/>
        <w:t>Az utasok számára hozzáférhető folyosókat, helyiségeket és lakótereket, valamint a konyhákat és a géptereket csatlakoztatni kell egy megfelelő tűzriasztó rendszerhez. Minden tűzesetet és annak helyét automatikusan ki kell jelezni egy olyan helyen, ahol állandóan tartózkodik kiszolgáló személyzet vagy legénység.</w:t>
      </w:r>
    </w:p>
    <w:p w:rsidR="005624E3" w:rsidRPr="00C903F8" w:rsidRDefault="005624E3" w:rsidP="005624E3">
      <w:pPr>
        <w:pStyle w:val="ESch"/>
        <w:rPr>
          <w:noProof/>
          <w:szCs w:val="20"/>
        </w:rPr>
      </w:pPr>
    </w:p>
    <w:p w:rsidR="005624E3" w:rsidRPr="00C903F8" w:rsidRDefault="005624E3" w:rsidP="005624E3">
      <w:pPr>
        <w:pStyle w:val="ESch"/>
        <w:rPr>
          <w:noProof/>
          <w:szCs w:val="20"/>
        </w:rPr>
      </w:pPr>
      <w:r>
        <w:t>2.</w:t>
      </w:r>
      <w:r>
        <w:tab/>
        <w:t>A géptereket fel kell szerelni a 13.05. cikk szerinti, tartósan rögzített tűzvédelmi rendszerekkel.</w:t>
      </w:r>
    </w:p>
    <w:p w:rsidR="005624E3" w:rsidRPr="00C903F8" w:rsidRDefault="005624E3" w:rsidP="005624E3">
      <w:pPr>
        <w:pStyle w:val="ESch"/>
        <w:rPr>
          <w:noProof/>
          <w:szCs w:val="20"/>
        </w:rPr>
      </w:pPr>
    </w:p>
    <w:p w:rsidR="005624E3" w:rsidRPr="00C903F8" w:rsidRDefault="005624E3" w:rsidP="005624E3">
      <w:pPr>
        <w:pStyle w:val="ESch"/>
        <w:rPr>
          <w:rFonts w:cs="Arial"/>
          <w:szCs w:val="20"/>
        </w:rPr>
      </w:pPr>
      <w:r>
        <w:t>3.</w:t>
      </w:r>
      <w:r>
        <w:tab/>
        <w:t>Az utasok számára hozzáférhető helyiségeket és lakótereket, valamint ezek menekülési útvonalait fel kell szerelni a 13.04. cikk szerinti vízpermettel oltó túlnyomásos berendezésekkel. Biztosítani kell az elhasznált víz gyors leürítését és a szabadba történő közvetlen kivezetését.</w:t>
      </w:r>
    </w:p>
    <w:p w:rsidR="005624E3" w:rsidRPr="00C903F8" w:rsidRDefault="005624E3" w:rsidP="005624E3">
      <w:pPr>
        <w:pStyle w:val="ESch"/>
        <w:rPr>
          <w:rFonts w:cs="Arial"/>
          <w:szCs w:val="20"/>
        </w:rPr>
      </w:pPr>
    </w:p>
    <w:p w:rsidR="005624E3" w:rsidRPr="00C903F8" w:rsidRDefault="005624E3" w:rsidP="005624E3">
      <w:pPr>
        <w:pStyle w:val="ESch"/>
        <w:rPr>
          <w:rFonts w:cs="Arial"/>
          <w:szCs w:val="20"/>
        </w:rPr>
      </w:pPr>
    </w:p>
    <w:p w:rsidR="005624E3" w:rsidRPr="00C903F8" w:rsidRDefault="005624E3" w:rsidP="005624E3">
      <w:pPr>
        <w:pStyle w:val="ES-Titre2"/>
      </w:pPr>
      <w:bookmarkStart w:id="526" w:name="_Toc491854259"/>
      <w:bookmarkStart w:id="527" w:name="_Toc535854040"/>
      <w:r>
        <w:t>30. fejezet</w:t>
      </w:r>
      <w:r>
        <w:br/>
        <w:t>Az 55 °C vagy annál alacsonyabb lobbanáspontú tüzelőanyaggal üzemelő propulziós vagy kiegészítő rendszerekkel felszerelt vízi járművekre vonatkozó külön rendelkezések</w:t>
      </w:r>
      <w:bookmarkEnd w:id="526"/>
      <w:bookmarkEnd w:id="527"/>
    </w:p>
    <w:p w:rsidR="005624E3" w:rsidRPr="00C903F8" w:rsidRDefault="005624E3" w:rsidP="005624E3">
      <w:pPr>
        <w:pStyle w:val="ESgauche"/>
      </w:pPr>
    </w:p>
    <w:p w:rsidR="005624E3" w:rsidRPr="00C903F8" w:rsidRDefault="005624E3" w:rsidP="005624E3">
      <w:pPr>
        <w:pStyle w:val="ES-Titre3"/>
        <w:rPr>
          <w:i/>
        </w:rPr>
      </w:pPr>
      <w:bookmarkStart w:id="528" w:name="_Toc491854260"/>
      <w:bookmarkStart w:id="529" w:name="_Toc535854041"/>
      <w:r>
        <w:t>30.01. cikk</w:t>
      </w:r>
      <w:r>
        <w:br/>
      </w:r>
      <w:r>
        <w:rPr>
          <w:i/>
        </w:rPr>
        <w:t>Általános rendelkezések</w:t>
      </w:r>
      <w:bookmarkEnd w:id="528"/>
      <w:bookmarkEnd w:id="529"/>
    </w:p>
    <w:p w:rsidR="005624E3" w:rsidRPr="00C903F8" w:rsidRDefault="005624E3" w:rsidP="005624E3">
      <w:pPr>
        <w:spacing w:line="240" w:lineRule="atLeast"/>
        <w:rPr>
          <w:rFonts w:cs="Arial"/>
          <w:color w:val="000000"/>
          <w:szCs w:val="20"/>
        </w:rPr>
      </w:pPr>
    </w:p>
    <w:p w:rsidR="005624E3" w:rsidRPr="00C903F8" w:rsidRDefault="005624E3" w:rsidP="005624E3">
      <w:pPr>
        <w:pStyle w:val="ESch"/>
      </w:pPr>
      <w:r>
        <w:t>1.</w:t>
      </w:r>
      <w:r>
        <w:tab/>
        <w:t>E fejezet alkalmazásában a „propulziós és kiegészítő rendszer”: tüzelőanyagot használó bármely rendszer, ideértve:</w:t>
      </w:r>
    </w:p>
    <w:p w:rsidR="005624E3" w:rsidRPr="00C903F8" w:rsidRDefault="005624E3" w:rsidP="005624E3">
      <w:pPr>
        <w:pStyle w:val="ESlet"/>
      </w:pPr>
      <w:r>
        <w:t>a)</w:t>
      </w:r>
      <w:r>
        <w:tab/>
        <w:t>a tüzelőanyag-tartályokat és a tartály-összeköttetéseket,</w:t>
      </w:r>
    </w:p>
    <w:p w:rsidR="005624E3" w:rsidRPr="00C903F8" w:rsidRDefault="005624E3" w:rsidP="005624E3">
      <w:pPr>
        <w:pStyle w:val="ESlet"/>
      </w:pPr>
      <w:r>
        <w:t>b)</w:t>
      </w:r>
      <w:r>
        <w:tab/>
        <w:t>a gázelőkészítő rendszereket,</w:t>
      </w:r>
    </w:p>
    <w:p w:rsidR="005624E3" w:rsidRPr="00C903F8" w:rsidRDefault="005624E3" w:rsidP="005624E3">
      <w:pPr>
        <w:pStyle w:val="ESlet"/>
      </w:pPr>
      <w:r>
        <w:t>c)</w:t>
      </w:r>
      <w:r>
        <w:tab/>
        <w:t>a csöveket és szelepeket,</w:t>
      </w:r>
    </w:p>
    <w:p w:rsidR="005624E3" w:rsidRPr="00C903F8" w:rsidRDefault="005624E3" w:rsidP="005624E3">
      <w:pPr>
        <w:pStyle w:val="ESlet"/>
      </w:pPr>
      <w:r>
        <w:t>d)</w:t>
      </w:r>
      <w:r>
        <w:tab/>
        <w:t>a motorokat és turbinákat,</w:t>
      </w:r>
    </w:p>
    <w:p w:rsidR="005624E3" w:rsidRPr="00C903F8" w:rsidRDefault="005624E3" w:rsidP="005624E3">
      <w:pPr>
        <w:pStyle w:val="ESlet"/>
      </w:pPr>
      <w:r>
        <w:t>e)</w:t>
      </w:r>
      <w:r>
        <w:tab/>
        <w:t>a vezérlő, ellenőrző és biztonsági rendszereket.</w:t>
      </w:r>
    </w:p>
    <w:p w:rsidR="005624E3" w:rsidRPr="00C903F8" w:rsidRDefault="005624E3" w:rsidP="005624E3">
      <w:pPr>
        <w:pStyle w:val="ESch"/>
      </w:pPr>
    </w:p>
    <w:p w:rsidR="005624E3" w:rsidRPr="00C903F8" w:rsidRDefault="005624E3" w:rsidP="005624E3">
      <w:pPr>
        <w:pStyle w:val="ESch"/>
      </w:pPr>
      <w:r>
        <w:t xml:space="preserve">2. </w:t>
      </w:r>
      <w:r>
        <w:tab/>
        <w:t xml:space="preserve">A 8.01. cikk 3. bekezdésétől és a 8.05. cikk 1., 6., 9., 11 és 12. bekezdésétől, valamint a 9. fejezet rendelkezéseitől eltérve, 55 °C vagy annál alacsonyabb lobbanáspontú tüzelőanyaggal üzemelő propulziós és kiegészítő rendszerek akkor telepíthetők a vízi járművekre, ha teljesülnek az e tüzelőanyagokra az e fejezetben és a 8. mellékletben meghatározott követelmények. </w:t>
      </w:r>
    </w:p>
    <w:p w:rsidR="005624E3" w:rsidRPr="00C903F8" w:rsidRDefault="005624E3" w:rsidP="005624E3">
      <w:pPr>
        <w:pStyle w:val="ESch"/>
      </w:pPr>
    </w:p>
    <w:p w:rsidR="005624E3" w:rsidRPr="00C903F8" w:rsidRDefault="005624E3" w:rsidP="005624E3">
      <w:pPr>
        <w:pStyle w:val="ESch"/>
      </w:pPr>
      <w:r>
        <w:t>3.</w:t>
      </w:r>
      <w:r>
        <w:tab/>
        <w:t xml:space="preserve">A 2. bekezdés szerinti propulziós és kiegészítő rendszereket az ellenőrző szerv felügyelete alatt kell megépíteni és telepíteni. </w:t>
      </w:r>
    </w:p>
    <w:p w:rsidR="005624E3" w:rsidRPr="00C903F8" w:rsidRDefault="005624E3" w:rsidP="005624E3">
      <w:pPr>
        <w:pStyle w:val="ESch"/>
      </w:pPr>
    </w:p>
    <w:p w:rsidR="005624E3" w:rsidRPr="00C903F8" w:rsidRDefault="005624E3" w:rsidP="005624E3">
      <w:pPr>
        <w:pStyle w:val="ESch"/>
      </w:pPr>
      <w:r>
        <w:t>4.</w:t>
      </w:r>
      <w:r>
        <w:tab/>
        <w:t xml:space="preserve">Az e fejezetben szereplő feladatok ellátásának céljából az ellenőrző szerv műszaki szolgálatot alkalmazhat a 30.07. cikkel összhangban. </w:t>
      </w:r>
    </w:p>
    <w:p w:rsidR="005624E3" w:rsidRPr="00C903F8" w:rsidRDefault="005624E3" w:rsidP="005624E3">
      <w:pPr>
        <w:pStyle w:val="ESch"/>
      </w:pPr>
    </w:p>
    <w:p w:rsidR="005624E3" w:rsidRPr="00C903F8" w:rsidRDefault="005624E3" w:rsidP="005624E3">
      <w:pPr>
        <w:pStyle w:val="ESch"/>
      </w:pPr>
      <w:r>
        <w:t>5.</w:t>
      </w:r>
      <w:r>
        <w:tab/>
        <w:t>A 2. bekezdés szerinti propulziós vagy kiegészítő rendszer üzembe helyezése előtt a következő dokumentumokat kell benyújtani az ellenőrző szervhez:</w:t>
      </w:r>
    </w:p>
    <w:p w:rsidR="005624E3" w:rsidRPr="00C903F8" w:rsidRDefault="005624E3" w:rsidP="005624E3">
      <w:pPr>
        <w:pStyle w:val="ESlet"/>
      </w:pPr>
      <w:r>
        <w:t>a)</w:t>
      </w:r>
      <w:r>
        <w:tab/>
        <w:t>a 8. melléklet szerinti kockázatértékelés,</w:t>
      </w:r>
    </w:p>
    <w:p w:rsidR="005624E3" w:rsidRPr="00C903F8" w:rsidRDefault="005624E3" w:rsidP="005624E3">
      <w:pPr>
        <w:pStyle w:val="ESlet"/>
      </w:pPr>
      <w:r>
        <w:t>b)</w:t>
      </w:r>
      <w:r>
        <w:tab/>
        <w:t>a propulziós vagy kiegészítő rendszer leírása,</w:t>
      </w:r>
    </w:p>
    <w:p w:rsidR="005624E3" w:rsidRPr="00C903F8" w:rsidRDefault="005624E3" w:rsidP="005624E3">
      <w:pPr>
        <w:pStyle w:val="ESlet"/>
      </w:pPr>
      <w:r>
        <w:t>c)</w:t>
      </w:r>
      <w:r>
        <w:tab/>
        <w:t>a propulziós vagy kiegészítő rendszer tervrajzai,</w:t>
      </w:r>
    </w:p>
    <w:p w:rsidR="005624E3" w:rsidRPr="00C903F8" w:rsidRDefault="005624E3" w:rsidP="005624E3">
      <w:pPr>
        <w:pStyle w:val="ESlet"/>
      </w:pPr>
      <w:r>
        <w:t>d)</w:t>
      </w:r>
      <w:r>
        <w:tab/>
        <w:t>a rendszerben uralkodó nyomás és hőmérséklet diagramja,</w:t>
      </w:r>
    </w:p>
    <w:p w:rsidR="005624E3" w:rsidRPr="00C903F8" w:rsidRDefault="005624E3" w:rsidP="005624E3">
      <w:pPr>
        <w:pStyle w:val="ESlet"/>
      </w:pPr>
      <w:r>
        <w:t>e)</w:t>
      </w:r>
      <w:r>
        <w:tab/>
        <w:t>a rendszer gyakorlati használatát segítő, valamennyi alkalmazandó eljárást tartalmazó üzemeltetési kézikönyv,</w:t>
      </w:r>
    </w:p>
    <w:p w:rsidR="005624E3" w:rsidRPr="00C903F8" w:rsidRDefault="005624E3" w:rsidP="005624E3">
      <w:pPr>
        <w:pStyle w:val="ESlet"/>
      </w:pPr>
      <w:r>
        <w:t>f)</w:t>
      </w:r>
      <w:r>
        <w:tab/>
        <w:t>a 30.03. cikk szerinti biztonsági szolgálati beosztás-;</w:t>
      </w:r>
    </w:p>
    <w:p w:rsidR="005624E3" w:rsidRPr="00C903F8" w:rsidRDefault="005624E3" w:rsidP="005624E3">
      <w:pPr>
        <w:pStyle w:val="ESlet"/>
      </w:pPr>
      <w:r>
        <w:t>g)</w:t>
      </w:r>
      <w:r>
        <w:tab/>
        <w:t>a 30.02. cikk 4. bekezdésében említett ellenőrzési tanúsítvány másolata.</w:t>
      </w:r>
    </w:p>
    <w:p w:rsidR="005624E3" w:rsidRPr="00C903F8" w:rsidRDefault="005624E3" w:rsidP="005624E3">
      <w:pPr>
        <w:pStyle w:val="ESch"/>
      </w:pPr>
    </w:p>
    <w:p w:rsidR="005624E3" w:rsidRPr="00DB7D1E" w:rsidRDefault="005624E3" w:rsidP="005624E3">
      <w:pPr>
        <w:pStyle w:val="ESch"/>
        <w:rPr>
          <w:lang w:val="sv-SE"/>
        </w:rPr>
      </w:pPr>
      <w:r w:rsidRPr="00DB7D1E">
        <w:rPr>
          <w:lang w:val="sv-SE"/>
        </w:rPr>
        <w:t>6.</w:t>
      </w:r>
      <w:r w:rsidRPr="00DB7D1E">
        <w:rPr>
          <w:lang w:val="sv-SE"/>
        </w:rPr>
        <w:tab/>
        <w:t>Az 5. bekezdésben említett dokumentumok másolatát a fedélzeten kell tartani.</w:t>
      </w:r>
    </w:p>
    <w:p w:rsidR="005624E3" w:rsidRPr="00DB7D1E" w:rsidRDefault="005624E3" w:rsidP="005624E3">
      <w:pPr>
        <w:pStyle w:val="ESch"/>
        <w:rPr>
          <w:b/>
          <w:lang w:val="sv-SE"/>
        </w:rPr>
      </w:pPr>
      <w:r w:rsidRPr="00DB7D1E">
        <w:rPr>
          <w:lang w:val="sv-SE"/>
        </w:rPr>
        <w:br w:type="page"/>
      </w:r>
    </w:p>
    <w:p w:rsidR="005624E3" w:rsidRPr="00DB7D1E" w:rsidRDefault="005624E3" w:rsidP="005624E3">
      <w:pPr>
        <w:pStyle w:val="ES-Titre3"/>
        <w:rPr>
          <w:i/>
          <w:lang w:val="sv-SE"/>
        </w:rPr>
      </w:pPr>
      <w:bookmarkStart w:id="530" w:name="_Toc491854261"/>
      <w:bookmarkStart w:id="531" w:name="_Toc535854042"/>
      <w:r w:rsidRPr="00DB7D1E">
        <w:rPr>
          <w:lang w:val="sv-SE"/>
        </w:rPr>
        <w:t>30.02. cikk</w:t>
      </w:r>
      <w:r w:rsidRPr="00DB7D1E">
        <w:rPr>
          <w:lang w:val="sv-SE"/>
        </w:rPr>
        <w:br/>
      </w:r>
      <w:r w:rsidRPr="00DB7D1E">
        <w:rPr>
          <w:i/>
          <w:lang w:val="sv-SE"/>
        </w:rPr>
        <w:t>Vizsgálatok</w:t>
      </w:r>
      <w:bookmarkEnd w:id="530"/>
      <w:bookmarkEnd w:id="531"/>
    </w:p>
    <w:p w:rsidR="005624E3" w:rsidRPr="00DB7D1E" w:rsidRDefault="005624E3" w:rsidP="005624E3">
      <w:pPr>
        <w:pStyle w:val="ESch"/>
        <w:rPr>
          <w:lang w:val="sv-SE"/>
        </w:rPr>
      </w:pPr>
    </w:p>
    <w:p w:rsidR="005624E3" w:rsidRPr="00DB7D1E" w:rsidRDefault="005624E3" w:rsidP="005624E3">
      <w:pPr>
        <w:pStyle w:val="ESch"/>
        <w:rPr>
          <w:lang w:val="sv-SE"/>
        </w:rPr>
      </w:pPr>
      <w:r w:rsidRPr="00DB7D1E">
        <w:rPr>
          <w:lang w:val="sv-SE"/>
        </w:rPr>
        <w:t>1.</w:t>
      </w:r>
      <w:r w:rsidRPr="00DB7D1E">
        <w:rPr>
          <w:lang w:val="sv-SE"/>
        </w:rPr>
        <w:tab/>
        <w:t xml:space="preserve">Az 55 °C vagy annál alacsonyabb lobbanáspontú tüzelőanyaggal üzemelő propulziós és kiegészítő rendszereket egy ellenőrző szerv ellenőrzi: </w:t>
      </w:r>
    </w:p>
    <w:p w:rsidR="005624E3" w:rsidRPr="00DB7D1E" w:rsidRDefault="005624E3" w:rsidP="005624E3">
      <w:pPr>
        <w:pStyle w:val="ESlet"/>
        <w:rPr>
          <w:lang w:val="sv-SE"/>
        </w:rPr>
      </w:pPr>
      <w:r w:rsidRPr="00DB7D1E">
        <w:rPr>
          <w:lang w:val="sv-SE"/>
        </w:rPr>
        <w:t>a)</w:t>
      </w:r>
      <w:r w:rsidRPr="00DB7D1E">
        <w:rPr>
          <w:lang w:val="sv-SE"/>
        </w:rPr>
        <w:tab/>
        <w:t>üzembe helyezés előtt,</w:t>
      </w:r>
    </w:p>
    <w:p w:rsidR="005624E3" w:rsidRPr="00DB7D1E" w:rsidRDefault="005624E3" w:rsidP="005624E3">
      <w:pPr>
        <w:pStyle w:val="ESlet"/>
        <w:rPr>
          <w:lang w:val="sv-SE"/>
        </w:rPr>
      </w:pPr>
      <w:r w:rsidRPr="00DB7D1E">
        <w:rPr>
          <w:lang w:val="sv-SE"/>
        </w:rPr>
        <w:t>b)</w:t>
      </w:r>
      <w:r w:rsidRPr="00DB7D1E">
        <w:rPr>
          <w:lang w:val="sv-SE"/>
        </w:rPr>
        <w:tab/>
        <w:t>minden módosítás vagy javítás után,</w:t>
      </w:r>
    </w:p>
    <w:p w:rsidR="005624E3" w:rsidRPr="00DB7D1E" w:rsidRDefault="005624E3" w:rsidP="005624E3">
      <w:pPr>
        <w:pStyle w:val="ESlet"/>
        <w:rPr>
          <w:lang w:val="sv-SE"/>
        </w:rPr>
      </w:pPr>
      <w:r w:rsidRPr="00DB7D1E">
        <w:rPr>
          <w:lang w:val="sv-SE"/>
        </w:rPr>
        <w:t>c)</w:t>
      </w:r>
      <w:r w:rsidRPr="00DB7D1E">
        <w:rPr>
          <w:lang w:val="sv-SE"/>
        </w:rPr>
        <w:tab/>
        <w:t>rendszeresen, de legalább évente.</w:t>
      </w:r>
    </w:p>
    <w:p w:rsidR="005624E3" w:rsidRPr="00DB7D1E" w:rsidRDefault="005624E3" w:rsidP="005624E3">
      <w:pPr>
        <w:pStyle w:val="ESchpar"/>
        <w:rPr>
          <w:lang w:val="sv-SE"/>
        </w:rPr>
      </w:pPr>
    </w:p>
    <w:p w:rsidR="005624E3" w:rsidRPr="00DB7D1E" w:rsidRDefault="005624E3" w:rsidP="005624E3">
      <w:pPr>
        <w:pStyle w:val="ESchpar"/>
        <w:rPr>
          <w:lang w:val="sv-SE"/>
        </w:rPr>
      </w:pPr>
      <w:r w:rsidRPr="00DB7D1E">
        <w:rPr>
          <w:lang w:val="sv-SE"/>
        </w:rPr>
        <w:t>A folyamat során figyelembe kell venni a gyártók vonatkozó utasításait.</w:t>
      </w:r>
    </w:p>
    <w:p w:rsidR="005624E3" w:rsidRPr="00DB7D1E" w:rsidRDefault="005624E3" w:rsidP="005624E3">
      <w:pPr>
        <w:pStyle w:val="ESchpar"/>
        <w:rPr>
          <w:lang w:val="sv-SE"/>
        </w:rPr>
      </w:pPr>
    </w:p>
    <w:p w:rsidR="005624E3" w:rsidRPr="00DB7D1E" w:rsidRDefault="005624E3" w:rsidP="005624E3">
      <w:pPr>
        <w:pStyle w:val="ESch"/>
        <w:rPr>
          <w:lang w:val="sv-SE"/>
        </w:rPr>
      </w:pPr>
      <w:r w:rsidRPr="00DB7D1E">
        <w:rPr>
          <w:lang w:val="sv-SE"/>
        </w:rPr>
        <w:t>2.</w:t>
      </w:r>
      <w:r w:rsidRPr="00DB7D1E">
        <w:rPr>
          <w:lang w:val="sv-SE"/>
        </w:rPr>
        <w:tab/>
        <w:t>Az 1. bekezdés a) és c) pontjában említett ellenőrzéseknek ki kell terjedniük legalább a következőkre:</w:t>
      </w:r>
    </w:p>
    <w:p w:rsidR="005624E3" w:rsidRPr="00DB7D1E" w:rsidRDefault="005624E3" w:rsidP="005624E3">
      <w:pPr>
        <w:pStyle w:val="ESlet"/>
        <w:rPr>
          <w:lang w:val="sv-SE"/>
        </w:rPr>
      </w:pPr>
      <w:r w:rsidRPr="00DB7D1E">
        <w:rPr>
          <w:lang w:val="sv-SE"/>
        </w:rPr>
        <w:t>a)</w:t>
      </w:r>
      <w:r w:rsidRPr="00DB7D1E">
        <w:rPr>
          <w:lang w:val="sv-SE"/>
        </w:rPr>
        <w:tab/>
        <w:t>a propulziós és kiegészítő rendszerek jóváhagyott tervrajzoknak való megfelelésének ellenőrzése, továbbá az azt követő ellenőrzések során annak ellenőrzése, hogy módosították-e a propulziós vagy a kiegészítő rendszert;</w:t>
      </w:r>
    </w:p>
    <w:p w:rsidR="005624E3" w:rsidRPr="00DB7D1E" w:rsidRDefault="005624E3" w:rsidP="005624E3">
      <w:pPr>
        <w:pStyle w:val="ESlet"/>
        <w:rPr>
          <w:lang w:val="sv-SE"/>
        </w:rPr>
      </w:pPr>
      <w:r w:rsidRPr="00DB7D1E">
        <w:rPr>
          <w:lang w:val="sv-SE"/>
        </w:rPr>
        <w:t>b)</w:t>
      </w:r>
      <w:r w:rsidRPr="00DB7D1E">
        <w:rPr>
          <w:lang w:val="sv-SE"/>
        </w:rPr>
        <w:tab/>
        <w:t>szükség esetén a propulziós és kiegészítő rendszerek működésének a vizsgálata valamennyi lehetséges üzemmódra vonatkozóan;</w:t>
      </w:r>
    </w:p>
    <w:p w:rsidR="005624E3" w:rsidRPr="00DB7D1E" w:rsidRDefault="005624E3" w:rsidP="005624E3">
      <w:pPr>
        <w:pStyle w:val="ESlet"/>
        <w:rPr>
          <w:lang w:val="sv-SE"/>
        </w:rPr>
      </w:pPr>
      <w:r w:rsidRPr="00DB7D1E">
        <w:rPr>
          <w:lang w:val="sv-SE"/>
        </w:rPr>
        <w:t>c)</w:t>
      </w:r>
      <w:r w:rsidRPr="00DB7D1E">
        <w:rPr>
          <w:lang w:val="sv-SE"/>
        </w:rPr>
        <w:tab/>
        <w:t>szemrevételezés, valamint az összes rendszerelem – különösen szelepek, vezetékek, tömlők, dugattyúk, szivattyúk és szűrők – tömítettségének ellenőrzése;</w:t>
      </w:r>
    </w:p>
    <w:p w:rsidR="005624E3" w:rsidRPr="00DB7D1E" w:rsidRDefault="005624E3" w:rsidP="005624E3">
      <w:pPr>
        <w:pStyle w:val="ESlet"/>
        <w:rPr>
          <w:lang w:val="sv-SE"/>
        </w:rPr>
      </w:pPr>
      <w:r w:rsidRPr="00DB7D1E">
        <w:rPr>
          <w:lang w:val="sv-SE"/>
        </w:rPr>
        <w:t>d)</w:t>
      </w:r>
      <w:r w:rsidRPr="00DB7D1E">
        <w:rPr>
          <w:lang w:val="sv-SE"/>
        </w:rPr>
        <w:tab/>
        <w:t>a rendszer elektromos és elektronikus berendezéseinek szemrevételezése;</w:t>
      </w:r>
    </w:p>
    <w:p w:rsidR="005624E3" w:rsidRPr="00DB7D1E" w:rsidRDefault="005624E3" w:rsidP="005624E3">
      <w:pPr>
        <w:pStyle w:val="ESlet"/>
        <w:rPr>
          <w:lang w:val="sv-SE"/>
        </w:rPr>
      </w:pPr>
      <w:r w:rsidRPr="00DB7D1E">
        <w:rPr>
          <w:lang w:val="sv-SE"/>
        </w:rPr>
        <w:t>e)</w:t>
      </w:r>
      <w:r w:rsidRPr="00DB7D1E">
        <w:rPr>
          <w:lang w:val="sv-SE"/>
        </w:rPr>
        <w:tab/>
        <w:t>a vezérlő, ellenőrző és biztonsági rendszerek ellenőrzése.</w:t>
      </w:r>
    </w:p>
    <w:p w:rsidR="005624E3" w:rsidRPr="00DB7D1E" w:rsidRDefault="005624E3" w:rsidP="005624E3">
      <w:pPr>
        <w:pStyle w:val="ESch"/>
        <w:rPr>
          <w:lang w:val="sv-SE"/>
        </w:rPr>
      </w:pPr>
    </w:p>
    <w:p w:rsidR="005624E3" w:rsidRPr="00DB7D1E" w:rsidRDefault="005624E3" w:rsidP="005624E3">
      <w:pPr>
        <w:pStyle w:val="ESch"/>
        <w:rPr>
          <w:spacing w:val="-2"/>
          <w:lang w:val="sv-SE"/>
        </w:rPr>
      </w:pPr>
      <w:r w:rsidRPr="00DB7D1E">
        <w:rPr>
          <w:lang w:val="sv-SE"/>
        </w:rPr>
        <w:t>3.</w:t>
      </w:r>
      <w:r w:rsidRPr="00DB7D1E">
        <w:rPr>
          <w:lang w:val="sv-SE"/>
        </w:rPr>
        <w:tab/>
        <w:t>Az 1. bekezdés b) pontjában említett ellenőrzések kiterjednek a 2. bekezdés szerinti érintett részekre is.</w:t>
      </w:r>
    </w:p>
    <w:p w:rsidR="005624E3" w:rsidRPr="00DB7D1E" w:rsidRDefault="005624E3" w:rsidP="005624E3">
      <w:pPr>
        <w:pStyle w:val="ESch"/>
        <w:rPr>
          <w:lang w:val="sv-SE"/>
        </w:rPr>
      </w:pPr>
    </w:p>
    <w:p w:rsidR="005624E3" w:rsidRPr="00DB7D1E" w:rsidRDefault="005624E3" w:rsidP="005624E3">
      <w:pPr>
        <w:pStyle w:val="ESch"/>
        <w:rPr>
          <w:lang w:val="sv-SE"/>
        </w:rPr>
      </w:pPr>
      <w:r w:rsidRPr="00DB7D1E">
        <w:rPr>
          <w:lang w:val="sv-SE"/>
        </w:rPr>
        <w:t>4.</w:t>
      </w:r>
      <w:r w:rsidRPr="00DB7D1E">
        <w:rPr>
          <w:lang w:val="sv-SE"/>
        </w:rPr>
        <w:tab/>
        <w:t>Az 1. bekezdés szerinti egyes ellenőrzésekről ellenőrzési igazolást kell kiadni, amely tartalmazza az adott ellenőrzés dátumát.</w:t>
      </w:r>
    </w:p>
    <w:p w:rsidR="005624E3" w:rsidRPr="00DB7D1E" w:rsidRDefault="005624E3" w:rsidP="005624E3">
      <w:pPr>
        <w:pStyle w:val="ESch"/>
        <w:rPr>
          <w:lang w:val="sv-SE"/>
        </w:rPr>
      </w:pPr>
    </w:p>
    <w:p w:rsidR="005624E3" w:rsidRPr="00DB7D1E" w:rsidRDefault="005624E3" w:rsidP="005624E3">
      <w:pPr>
        <w:pStyle w:val="ESch"/>
        <w:rPr>
          <w:lang w:val="sv-SE"/>
        </w:rPr>
      </w:pPr>
    </w:p>
    <w:p w:rsidR="005624E3" w:rsidRPr="00DB7D1E" w:rsidRDefault="005624E3" w:rsidP="005624E3">
      <w:pPr>
        <w:pStyle w:val="ES-Titre3"/>
        <w:rPr>
          <w:i/>
          <w:lang w:val="sv-SE"/>
        </w:rPr>
      </w:pPr>
      <w:bookmarkStart w:id="532" w:name="_Toc491854262"/>
      <w:bookmarkStart w:id="533" w:name="_Toc535854043"/>
      <w:r w:rsidRPr="00DB7D1E">
        <w:rPr>
          <w:lang w:val="sv-SE"/>
        </w:rPr>
        <w:t>30.03. cikk</w:t>
      </w:r>
      <w:r w:rsidRPr="00DB7D1E">
        <w:rPr>
          <w:lang w:val="sv-SE"/>
        </w:rPr>
        <w:br/>
      </w:r>
      <w:r w:rsidRPr="00DB7D1E">
        <w:rPr>
          <w:i/>
          <w:lang w:val="sv-SE"/>
        </w:rPr>
        <w:t>Biztonságtechnikai szervezés</w:t>
      </w:r>
      <w:bookmarkEnd w:id="532"/>
      <w:bookmarkEnd w:id="533"/>
    </w:p>
    <w:p w:rsidR="005624E3" w:rsidRPr="00DB7D1E" w:rsidRDefault="005624E3" w:rsidP="005624E3">
      <w:pPr>
        <w:pStyle w:val="ESch"/>
        <w:rPr>
          <w:lang w:val="sv-SE"/>
        </w:rPr>
      </w:pPr>
    </w:p>
    <w:p w:rsidR="005624E3" w:rsidRPr="00DB7D1E" w:rsidRDefault="005624E3" w:rsidP="005624E3">
      <w:pPr>
        <w:pStyle w:val="ESch"/>
        <w:rPr>
          <w:color w:val="000000"/>
          <w:lang w:val="sv-SE"/>
        </w:rPr>
      </w:pPr>
      <w:r w:rsidRPr="00DB7D1E">
        <w:rPr>
          <w:color w:val="000000"/>
          <w:lang w:val="sv-SE"/>
        </w:rPr>
        <w:t>1.</w:t>
      </w:r>
      <w:r w:rsidRPr="00DB7D1E">
        <w:rPr>
          <w:lang w:val="sv-SE"/>
        </w:rPr>
        <w:tab/>
      </w:r>
      <w:r w:rsidRPr="00DB7D1E">
        <w:rPr>
          <w:color w:val="000000"/>
          <w:lang w:val="sv-SE"/>
        </w:rPr>
        <w:t>Az 55 °C vagy annál alacsonyabb lobbanáspontú tüzelőanyaggal üzemelő propulziós vagy kiegészítő rendszerekkel felszerelt vízi járművek fedélzetén biztosítani kell egy biztonsági szolgálati beosztást. A biztonsági szolgálati beosztásnak magában kell foglalnia a 2. bekezdés szerinti biztonsági utasításokat és a vízi jármű 3. bekezdés szerinti biztonsági tervét.</w:t>
      </w:r>
    </w:p>
    <w:p w:rsidR="005624E3" w:rsidRPr="00DB7D1E" w:rsidRDefault="005624E3" w:rsidP="005624E3">
      <w:pPr>
        <w:pStyle w:val="ESch"/>
        <w:rPr>
          <w:color w:val="000000"/>
          <w:lang w:val="sv-SE"/>
        </w:rPr>
      </w:pPr>
    </w:p>
    <w:p w:rsidR="005624E3" w:rsidRPr="00DB7D1E" w:rsidRDefault="005624E3" w:rsidP="005624E3">
      <w:pPr>
        <w:pStyle w:val="ESch"/>
        <w:rPr>
          <w:lang w:val="sv-SE"/>
        </w:rPr>
      </w:pPr>
      <w:r w:rsidRPr="00DB7D1E">
        <w:rPr>
          <w:color w:val="000000"/>
          <w:lang w:val="sv-SE"/>
        </w:rPr>
        <w:t>2.</w:t>
      </w:r>
      <w:r w:rsidRPr="00DB7D1E">
        <w:rPr>
          <w:lang w:val="sv-SE"/>
        </w:rPr>
        <w:tab/>
        <w:t>E biztonsági utasításoknak legalább a következőkre vonatkozó információkat kell tartalmazniuk:</w:t>
      </w:r>
    </w:p>
    <w:p w:rsidR="005624E3" w:rsidRPr="00DB7D1E" w:rsidRDefault="005624E3" w:rsidP="005624E3">
      <w:pPr>
        <w:pStyle w:val="ESlet"/>
        <w:rPr>
          <w:lang w:val="sv-SE"/>
        </w:rPr>
      </w:pPr>
      <w:r w:rsidRPr="00DB7D1E">
        <w:rPr>
          <w:lang w:val="sv-SE"/>
        </w:rPr>
        <w:t>a)</w:t>
      </w:r>
      <w:r w:rsidRPr="00DB7D1E">
        <w:rPr>
          <w:lang w:val="sv-SE"/>
        </w:rPr>
        <w:tab/>
        <w:t xml:space="preserve">a rendszer vészhelyzeti leállítása, </w:t>
      </w:r>
    </w:p>
    <w:p w:rsidR="005624E3" w:rsidRPr="00DB7D1E" w:rsidRDefault="005624E3" w:rsidP="005624E3">
      <w:pPr>
        <w:pStyle w:val="ESlet"/>
        <w:rPr>
          <w:lang w:val="sv-SE"/>
        </w:rPr>
      </w:pPr>
      <w:r w:rsidRPr="00DB7D1E">
        <w:rPr>
          <w:lang w:val="sv-SE"/>
        </w:rPr>
        <w:t>b)</w:t>
      </w:r>
      <w:r w:rsidRPr="00DB7D1E">
        <w:rPr>
          <w:lang w:val="sv-SE"/>
        </w:rPr>
        <w:tab/>
        <w:t xml:space="preserve">folyékony vagy gáz halmazállapotú tüzelőanyag – például tüzelőanyag-töltés során történő – véletlen kibocsátása esetén meghozandó intézkedések, </w:t>
      </w:r>
    </w:p>
    <w:p w:rsidR="005624E3" w:rsidRPr="00DB7D1E" w:rsidRDefault="005624E3" w:rsidP="005624E3">
      <w:pPr>
        <w:pStyle w:val="ESlet"/>
        <w:rPr>
          <w:lang w:val="sv-SE"/>
        </w:rPr>
      </w:pPr>
      <w:r w:rsidRPr="00DB7D1E">
        <w:rPr>
          <w:lang w:val="sv-SE"/>
        </w:rPr>
        <w:t>c)</w:t>
      </w:r>
      <w:r w:rsidRPr="00DB7D1E">
        <w:rPr>
          <w:lang w:val="sv-SE"/>
        </w:rPr>
        <w:tab/>
        <w:t>a fedélzeten keletkező tűz vagy egyéb események esetén meghozandó intézkedések,</w:t>
      </w:r>
    </w:p>
    <w:p w:rsidR="005624E3" w:rsidRPr="00DB7D1E" w:rsidRDefault="005624E3" w:rsidP="005624E3">
      <w:pPr>
        <w:pStyle w:val="ESlet"/>
        <w:rPr>
          <w:lang w:val="sv-SE"/>
        </w:rPr>
      </w:pPr>
      <w:r w:rsidRPr="00DB7D1E">
        <w:rPr>
          <w:lang w:val="sv-SE"/>
        </w:rPr>
        <w:t>d)</w:t>
      </w:r>
      <w:r w:rsidRPr="00DB7D1E">
        <w:rPr>
          <w:lang w:val="sv-SE"/>
        </w:rPr>
        <w:tab/>
        <w:t>ütközés esetén meghozandó intézkedések,</w:t>
      </w:r>
    </w:p>
    <w:p w:rsidR="005624E3" w:rsidRPr="00DB7D1E" w:rsidRDefault="005624E3" w:rsidP="005624E3">
      <w:pPr>
        <w:pStyle w:val="ESlet"/>
        <w:rPr>
          <w:lang w:val="sv-SE"/>
        </w:rPr>
      </w:pPr>
      <w:r w:rsidRPr="00DB7D1E">
        <w:rPr>
          <w:lang w:val="sv-SE"/>
        </w:rPr>
        <w:t>e)</w:t>
      </w:r>
      <w:r w:rsidRPr="00DB7D1E">
        <w:rPr>
          <w:lang w:val="sv-SE"/>
        </w:rPr>
        <w:tab/>
        <w:t>a biztonsági berendezések használata,</w:t>
      </w:r>
    </w:p>
    <w:p w:rsidR="005624E3" w:rsidRPr="00DB7D1E" w:rsidRDefault="005624E3" w:rsidP="005624E3">
      <w:pPr>
        <w:pStyle w:val="ESlet"/>
        <w:rPr>
          <w:lang w:val="sv-SE"/>
        </w:rPr>
      </w:pPr>
      <w:r w:rsidRPr="00DB7D1E">
        <w:rPr>
          <w:lang w:val="sv-SE"/>
        </w:rPr>
        <w:t>f)</w:t>
      </w:r>
      <w:r w:rsidRPr="00DB7D1E">
        <w:rPr>
          <w:lang w:val="sv-SE"/>
        </w:rPr>
        <w:tab/>
        <w:t>riasztás,</w:t>
      </w:r>
    </w:p>
    <w:p w:rsidR="005624E3" w:rsidRPr="00DB7D1E" w:rsidRDefault="005624E3" w:rsidP="005624E3">
      <w:pPr>
        <w:pStyle w:val="ESlet"/>
        <w:rPr>
          <w:lang w:val="sv-SE"/>
        </w:rPr>
      </w:pPr>
      <w:r w:rsidRPr="00DB7D1E">
        <w:rPr>
          <w:lang w:val="sv-SE"/>
        </w:rPr>
        <w:t>g)</w:t>
      </w:r>
      <w:r w:rsidRPr="00DB7D1E">
        <w:rPr>
          <w:lang w:val="sv-SE"/>
        </w:rPr>
        <w:tab/>
        <w:t>evakuálási eljárások.</w:t>
      </w:r>
    </w:p>
    <w:p w:rsidR="005624E3" w:rsidRPr="00DB7D1E" w:rsidRDefault="005624E3" w:rsidP="005624E3">
      <w:pPr>
        <w:pStyle w:val="ESch"/>
        <w:rPr>
          <w:lang w:val="sv-SE"/>
        </w:rPr>
      </w:pPr>
    </w:p>
    <w:p w:rsidR="005624E3" w:rsidRPr="00DB7D1E" w:rsidRDefault="005624E3" w:rsidP="005624E3">
      <w:pPr>
        <w:rPr>
          <w:lang w:val="sv-SE"/>
        </w:rPr>
      </w:pPr>
      <w:r w:rsidRPr="00DB7D1E">
        <w:rPr>
          <w:lang w:val="sv-SE"/>
        </w:rPr>
        <w:br w:type="page"/>
      </w:r>
    </w:p>
    <w:p w:rsidR="005624E3" w:rsidRPr="00DB7D1E" w:rsidRDefault="005624E3" w:rsidP="005624E3">
      <w:pPr>
        <w:pStyle w:val="ESch"/>
        <w:rPr>
          <w:lang w:val="sv-SE"/>
        </w:rPr>
      </w:pPr>
    </w:p>
    <w:p w:rsidR="005624E3" w:rsidRPr="00DB7D1E" w:rsidRDefault="005624E3" w:rsidP="005624E3">
      <w:pPr>
        <w:pStyle w:val="ESch"/>
        <w:rPr>
          <w:color w:val="000000"/>
          <w:lang w:val="sv-SE"/>
        </w:rPr>
      </w:pPr>
      <w:r w:rsidRPr="00DB7D1E">
        <w:rPr>
          <w:color w:val="000000"/>
          <w:lang w:val="sv-SE"/>
        </w:rPr>
        <w:t>3.</w:t>
      </w:r>
      <w:r w:rsidRPr="00DB7D1E">
        <w:rPr>
          <w:lang w:val="sv-SE"/>
        </w:rPr>
        <w:tab/>
        <w:t>A biztonsági tervnek legalább a következőkre vonatkozó információkat kell tartalmaznia:</w:t>
      </w:r>
    </w:p>
    <w:p w:rsidR="005624E3" w:rsidRPr="00DB7D1E" w:rsidRDefault="005624E3" w:rsidP="005624E3">
      <w:pPr>
        <w:pStyle w:val="ESlet"/>
        <w:rPr>
          <w:lang w:val="sv-SE"/>
        </w:rPr>
      </w:pPr>
      <w:r w:rsidRPr="00DB7D1E">
        <w:rPr>
          <w:lang w:val="sv-SE"/>
        </w:rPr>
        <w:t>a)</w:t>
      </w:r>
      <w:r w:rsidRPr="00DB7D1E">
        <w:rPr>
          <w:lang w:val="sv-SE"/>
        </w:rPr>
        <w:tab/>
        <w:t>veszélyes területek,</w:t>
      </w:r>
    </w:p>
    <w:p w:rsidR="005624E3" w:rsidRPr="00DB7D1E" w:rsidRDefault="005624E3" w:rsidP="005624E3">
      <w:pPr>
        <w:pStyle w:val="ESlet"/>
        <w:rPr>
          <w:lang w:val="sv-SE"/>
        </w:rPr>
      </w:pPr>
      <w:r w:rsidRPr="00DB7D1E">
        <w:rPr>
          <w:lang w:val="sv-SE"/>
        </w:rPr>
        <w:t>b)</w:t>
      </w:r>
      <w:r w:rsidRPr="00DB7D1E">
        <w:rPr>
          <w:lang w:val="sv-SE"/>
        </w:rPr>
        <w:tab/>
        <w:t>menekülési útvonalak, vészkijáratok és gázzáró terek,</w:t>
      </w:r>
    </w:p>
    <w:p w:rsidR="005624E3" w:rsidRPr="00DB7D1E" w:rsidRDefault="005624E3" w:rsidP="005624E3">
      <w:pPr>
        <w:pStyle w:val="ESlet"/>
        <w:rPr>
          <w:lang w:val="sv-SE"/>
        </w:rPr>
      </w:pPr>
      <w:r w:rsidRPr="00DB7D1E">
        <w:rPr>
          <w:lang w:val="sv-SE"/>
        </w:rPr>
        <w:t>c)</w:t>
      </w:r>
      <w:r w:rsidRPr="00DB7D1E">
        <w:rPr>
          <w:lang w:val="sv-SE"/>
        </w:rPr>
        <w:tab/>
        <w:t>életmentő felszerelések és szolgálati csónakok,</w:t>
      </w:r>
    </w:p>
    <w:p w:rsidR="005624E3" w:rsidRPr="00DB7D1E" w:rsidRDefault="005624E3" w:rsidP="005624E3">
      <w:pPr>
        <w:pStyle w:val="ESlet"/>
        <w:rPr>
          <w:lang w:val="sv-SE"/>
        </w:rPr>
      </w:pPr>
      <w:r w:rsidRPr="00DB7D1E">
        <w:rPr>
          <w:lang w:val="sv-SE"/>
        </w:rPr>
        <w:t>d)</w:t>
      </w:r>
      <w:r w:rsidRPr="00DB7D1E">
        <w:rPr>
          <w:lang w:val="sv-SE"/>
        </w:rPr>
        <w:tab/>
        <w:t>tűzoltó készülékek, tűzvédelmi rendszerek és vízpermettel oltó berendezések,</w:t>
      </w:r>
    </w:p>
    <w:p w:rsidR="005624E3" w:rsidRPr="00DB7D1E" w:rsidRDefault="005624E3" w:rsidP="005624E3">
      <w:pPr>
        <w:pStyle w:val="ESlet"/>
        <w:rPr>
          <w:lang w:val="sv-SE"/>
        </w:rPr>
      </w:pPr>
      <w:r w:rsidRPr="00DB7D1E">
        <w:rPr>
          <w:lang w:val="sv-SE"/>
        </w:rPr>
        <w:t>e)</w:t>
      </w:r>
      <w:r w:rsidRPr="00DB7D1E">
        <w:rPr>
          <w:lang w:val="sv-SE"/>
        </w:rPr>
        <w:tab/>
        <w:t>riasztórendszerek,</w:t>
      </w:r>
    </w:p>
    <w:p w:rsidR="005624E3" w:rsidRPr="00DB7D1E" w:rsidRDefault="005624E3" w:rsidP="005624E3">
      <w:pPr>
        <w:pStyle w:val="ESlet"/>
        <w:rPr>
          <w:lang w:val="sv-SE"/>
        </w:rPr>
      </w:pPr>
      <w:r w:rsidRPr="00DB7D1E">
        <w:rPr>
          <w:lang w:val="sv-SE"/>
        </w:rPr>
        <w:t>f)</w:t>
      </w:r>
      <w:r w:rsidRPr="00DB7D1E">
        <w:rPr>
          <w:lang w:val="sv-SE"/>
        </w:rPr>
        <w:tab/>
        <w:t>vészhelyzeti áramkör-megszakítók,</w:t>
      </w:r>
    </w:p>
    <w:p w:rsidR="005624E3" w:rsidRPr="00DB7D1E" w:rsidRDefault="005624E3" w:rsidP="005624E3">
      <w:pPr>
        <w:pStyle w:val="ESlet"/>
        <w:rPr>
          <w:lang w:val="sv-SE"/>
        </w:rPr>
      </w:pPr>
      <w:r w:rsidRPr="00DB7D1E">
        <w:rPr>
          <w:lang w:val="sv-SE"/>
        </w:rPr>
        <w:t>g)</w:t>
      </w:r>
      <w:r w:rsidRPr="00DB7D1E">
        <w:rPr>
          <w:lang w:val="sv-SE"/>
        </w:rPr>
        <w:tab/>
        <w:t>tűzvédelmi csappantyúk,</w:t>
      </w:r>
    </w:p>
    <w:p w:rsidR="005624E3" w:rsidRPr="00DB7D1E" w:rsidRDefault="005624E3" w:rsidP="005624E3">
      <w:pPr>
        <w:pStyle w:val="ESlet"/>
        <w:rPr>
          <w:lang w:val="sv-SE"/>
        </w:rPr>
      </w:pPr>
      <w:r w:rsidRPr="00DB7D1E">
        <w:rPr>
          <w:lang w:val="sv-SE"/>
        </w:rPr>
        <w:t>h)</w:t>
      </w:r>
      <w:r w:rsidRPr="00DB7D1E">
        <w:rPr>
          <w:lang w:val="sv-SE"/>
        </w:rPr>
        <w:tab/>
        <w:t>vészüzemi áramforrások,</w:t>
      </w:r>
    </w:p>
    <w:p w:rsidR="005624E3" w:rsidRPr="00DB7D1E" w:rsidRDefault="005624E3" w:rsidP="005624E3">
      <w:pPr>
        <w:pStyle w:val="ESlet"/>
        <w:rPr>
          <w:lang w:val="sv-SE"/>
        </w:rPr>
      </w:pPr>
      <w:r w:rsidRPr="00DB7D1E">
        <w:rPr>
          <w:lang w:val="sv-SE"/>
        </w:rPr>
        <w:t>i)</w:t>
      </w:r>
      <w:r w:rsidRPr="00DB7D1E">
        <w:rPr>
          <w:lang w:val="sv-SE"/>
        </w:rPr>
        <w:tab/>
        <w:t>a szellőzőrendszer kapcsolói,</w:t>
      </w:r>
    </w:p>
    <w:p w:rsidR="005624E3" w:rsidRPr="00DB7D1E" w:rsidRDefault="005624E3" w:rsidP="005624E3">
      <w:pPr>
        <w:pStyle w:val="ESlet"/>
        <w:rPr>
          <w:lang w:val="sv-SE"/>
        </w:rPr>
      </w:pPr>
      <w:r w:rsidRPr="00DB7D1E">
        <w:rPr>
          <w:lang w:val="sv-SE"/>
        </w:rPr>
        <w:t>j)</w:t>
      </w:r>
      <w:r w:rsidRPr="00DB7D1E">
        <w:rPr>
          <w:lang w:val="sv-SE"/>
        </w:rPr>
        <w:tab/>
        <w:t>tüzelőanyagvezeték-elzárók,</w:t>
      </w:r>
    </w:p>
    <w:p w:rsidR="005624E3" w:rsidRPr="00DB7D1E" w:rsidRDefault="005624E3" w:rsidP="005624E3">
      <w:pPr>
        <w:pStyle w:val="ESlet"/>
        <w:rPr>
          <w:lang w:val="sv-SE"/>
        </w:rPr>
      </w:pPr>
      <w:r w:rsidRPr="00DB7D1E">
        <w:rPr>
          <w:lang w:val="sv-SE"/>
        </w:rPr>
        <w:t>k)</w:t>
      </w:r>
      <w:r w:rsidRPr="00DB7D1E">
        <w:rPr>
          <w:lang w:val="sv-SE"/>
        </w:rPr>
        <w:tab/>
        <w:t>biztonsági berendezések.</w:t>
      </w:r>
    </w:p>
    <w:p w:rsidR="005624E3" w:rsidRPr="00DB7D1E" w:rsidRDefault="005624E3" w:rsidP="005624E3">
      <w:pPr>
        <w:pStyle w:val="ESch"/>
        <w:rPr>
          <w:lang w:val="sv-SE"/>
        </w:rPr>
      </w:pPr>
    </w:p>
    <w:p w:rsidR="005624E3" w:rsidRPr="00DB7D1E" w:rsidRDefault="005624E3" w:rsidP="005624E3">
      <w:pPr>
        <w:pStyle w:val="ESch"/>
        <w:rPr>
          <w:lang w:val="sv-SE"/>
        </w:rPr>
      </w:pPr>
      <w:r w:rsidRPr="00DB7D1E">
        <w:rPr>
          <w:lang w:val="sv-SE"/>
        </w:rPr>
        <w:t>4.</w:t>
      </w:r>
      <w:r w:rsidRPr="00DB7D1E">
        <w:rPr>
          <w:lang w:val="sv-SE"/>
        </w:rPr>
        <w:tab/>
        <w:t>A biztonsági szolgálati beosztást:</w:t>
      </w:r>
    </w:p>
    <w:p w:rsidR="005624E3" w:rsidRPr="00DB7D1E" w:rsidRDefault="005624E3" w:rsidP="005624E3">
      <w:pPr>
        <w:pStyle w:val="ESlet"/>
        <w:rPr>
          <w:lang w:val="sv-SE"/>
        </w:rPr>
      </w:pPr>
      <w:r w:rsidRPr="00DB7D1E">
        <w:rPr>
          <w:lang w:val="sv-SE"/>
        </w:rPr>
        <w:t>a)</w:t>
      </w:r>
      <w:r w:rsidRPr="00DB7D1E">
        <w:rPr>
          <w:lang w:val="sv-SE"/>
        </w:rPr>
        <w:tab/>
        <w:t xml:space="preserve">az ellenőrző szerv megfelelően lepecsételi, továbbá </w:t>
      </w:r>
    </w:p>
    <w:p w:rsidR="005624E3" w:rsidRPr="00DB7D1E" w:rsidRDefault="005624E3" w:rsidP="005624E3">
      <w:pPr>
        <w:pStyle w:val="ESlet"/>
        <w:rPr>
          <w:lang w:val="sv-SE"/>
        </w:rPr>
      </w:pPr>
      <w:r w:rsidRPr="00DB7D1E">
        <w:rPr>
          <w:lang w:val="sv-SE"/>
        </w:rPr>
        <w:t>b)</w:t>
      </w:r>
      <w:r w:rsidRPr="00DB7D1E">
        <w:rPr>
          <w:lang w:val="sv-SE"/>
        </w:rPr>
        <w:tab/>
        <w:t>a fedélzeten egy vagy több megfelelő helyen jól látható módon ki kell függeszteni.</w:t>
      </w:r>
    </w:p>
    <w:p w:rsidR="005624E3" w:rsidRPr="00DB7D1E" w:rsidRDefault="005624E3" w:rsidP="005624E3">
      <w:pPr>
        <w:pStyle w:val="ESch"/>
        <w:rPr>
          <w:lang w:val="sv-SE"/>
        </w:rPr>
      </w:pPr>
    </w:p>
    <w:p w:rsidR="005624E3" w:rsidRPr="00DB7D1E" w:rsidRDefault="005624E3" w:rsidP="005624E3">
      <w:pPr>
        <w:pStyle w:val="ESch"/>
        <w:rPr>
          <w:lang w:val="sv-SE"/>
        </w:rPr>
      </w:pPr>
    </w:p>
    <w:p w:rsidR="005624E3" w:rsidRPr="00DB7D1E" w:rsidRDefault="005624E3" w:rsidP="005624E3">
      <w:pPr>
        <w:pStyle w:val="ES-Titre3"/>
        <w:rPr>
          <w:i/>
          <w:lang w:val="sv-SE"/>
        </w:rPr>
      </w:pPr>
      <w:bookmarkStart w:id="534" w:name="_Toc491854263"/>
      <w:bookmarkStart w:id="535" w:name="_Toc535854044"/>
      <w:r w:rsidRPr="00DB7D1E">
        <w:rPr>
          <w:lang w:val="sv-SE"/>
        </w:rPr>
        <w:t>30.04. cikk</w:t>
      </w:r>
      <w:r w:rsidRPr="00DB7D1E">
        <w:rPr>
          <w:lang w:val="sv-SE"/>
        </w:rPr>
        <w:br/>
      </w:r>
      <w:r w:rsidRPr="00DB7D1E">
        <w:rPr>
          <w:i/>
          <w:lang w:val="sv-SE"/>
        </w:rPr>
        <w:t>(Üres)</w:t>
      </w:r>
      <w:bookmarkEnd w:id="534"/>
      <w:bookmarkEnd w:id="535"/>
    </w:p>
    <w:p w:rsidR="005624E3" w:rsidRPr="00DB7D1E" w:rsidRDefault="005624E3" w:rsidP="005624E3">
      <w:pPr>
        <w:pStyle w:val="ESch"/>
        <w:rPr>
          <w:lang w:val="sv-SE"/>
        </w:rPr>
      </w:pPr>
    </w:p>
    <w:p w:rsidR="005624E3" w:rsidRPr="00DB7D1E" w:rsidRDefault="005624E3" w:rsidP="005624E3">
      <w:pPr>
        <w:pStyle w:val="ESch"/>
        <w:rPr>
          <w:lang w:val="sv-SE"/>
        </w:rPr>
      </w:pPr>
    </w:p>
    <w:p w:rsidR="005624E3" w:rsidRPr="00DB7D1E" w:rsidRDefault="005624E3" w:rsidP="005624E3">
      <w:pPr>
        <w:pStyle w:val="ES-Titre3"/>
        <w:rPr>
          <w:i/>
          <w:lang w:val="sv-SE"/>
        </w:rPr>
      </w:pPr>
      <w:bookmarkStart w:id="536" w:name="_Toc491854264"/>
      <w:bookmarkStart w:id="537" w:name="_Toc535854045"/>
      <w:r w:rsidRPr="00DB7D1E">
        <w:rPr>
          <w:lang w:val="sv-SE"/>
        </w:rPr>
        <w:t>30.05. cikk</w:t>
      </w:r>
      <w:r w:rsidRPr="00DB7D1E">
        <w:rPr>
          <w:lang w:val="sv-SE"/>
        </w:rPr>
        <w:br/>
      </w:r>
      <w:r w:rsidRPr="00DB7D1E">
        <w:rPr>
          <w:i/>
          <w:lang w:val="sv-SE"/>
        </w:rPr>
        <w:t>Jelölés</w:t>
      </w:r>
      <w:bookmarkEnd w:id="536"/>
      <w:bookmarkEnd w:id="537"/>
    </w:p>
    <w:p w:rsidR="005624E3" w:rsidRPr="00DB7D1E" w:rsidRDefault="005624E3" w:rsidP="005624E3">
      <w:pPr>
        <w:pStyle w:val="ESgauche"/>
        <w:rPr>
          <w:lang w:val="sv-SE"/>
        </w:rPr>
      </w:pPr>
    </w:p>
    <w:p w:rsidR="005624E3" w:rsidRPr="00DB7D1E" w:rsidRDefault="005624E3" w:rsidP="005624E3">
      <w:pPr>
        <w:pStyle w:val="ESgauche"/>
        <w:rPr>
          <w:lang w:val="sv-SE"/>
        </w:rPr>
      </w:pPr>
      <w:r w:rsidRPr="00DB7D1E">
        <w:rPr>
          <w:lang w:val="sv-SE"/>
        </w:rPr>
        <w:t>A műveleti helyiségeket és a rendszerelemeket megfelelően jelölni kell, hogy egyértelmű legyen, milyen tüzelőanyagokhoz használják őket.</w:t>
      </w:r>
    </w:p>
    <w:p w:rsidR="005624E3" w:rsidRPr="00DB7D1E" w:rsidRDefault="005624E3" w:rsidP="005624E3">
      <w:pPr>
        <w:pStyle w:val="ESgauche"/>
        <w:rPr>
          <w:lang w:val="sv-SE"/>
        </w:rPr>
      </w:pPr>
    </w:p>
    <w:p w:rsidR="005624E3" w:rsidRPr="00DB7D1E" w:rsidRDefault="005624E3" w:rsidP="005624E3">
      <w:pPr>
        <w:pStyle w:val="ESgauche"/>
        <w:rPr>
          <w:lang w:val="sv-SE"/>
        </w:rPr>
      </w:pPr>
    </w:p>
    <w:p w:rsidR="005624E3" w:rsidRPr="00DB7D1E" w:rsidRDefault="005624E3" w:rsidP="005624E3">
      <w:pPr>
        <w:pStyle w:val="ES-Titre3"/>
        <w:rPr>
          <w:i/>
          <w:lang w:val="sv-SE"/>
        </w:rPr>
      </w:pPr>
      <w:bookmarkStart w:id="538" w:name="_Toc491854265"/>
      <w:bookmarkStart w:id="539" w:name="_Toc535854046"/>
      <w:r w:rsidRPr="00DB7D1E">
        <w:rPr>
          <w:lang w:val="sv-SE"/>
        </w:rPr>
        <w:t>30.06. cikk</w:t>
      </w:r>
      <w:r w:rsidRPr="00DB7D1E">
        <w:rPr>
          <w:lang w:val="sv-SE"/>
        </w:rPr>
        <w:br/>
      </w:r>
      <w:r w:rsidRPr="00DB7D1E">
        <w:rPr>
          <w:i/>
          <w:lang w:val="sv-SE"/>
        </w:rPr>
        <w:t>Független propulziós rendszerek</w:t>
      </w:r>
      <w:bookmarkEnd w:id="538"/>
      <w:bookmarkEnd w:id="539"/>
    </w:p>
    <w:p w:rsidR="005624E3" w:rsidRPr="00DB7D1E" w:rsidRDefault="005624E3" w:rsidP="005624E3">
      <w:pPr>
        <w:pStyle w:val="ESgauche"/>
        <w:rPr>
          <w:lang w:val="sv-SE"/>
        </w:rPr>
      </w:pPr>
    </w:p>
    <w:p w:rsidR="005624E3" w:rsidRPr="00DB7D1E" w:rsidRDefault="005624E3" w:rsidP="005624E3">
      <w:pPr>
        <w:pStyle w:val="ESgauche"/>
        <w:rPr>
          <w:rFonts w:eastAsia="Calibri"/>
          <w:lang w:val="sv-SE"/>
        </w:rPr>
      </w:pPr>
      <w:r w:rsidRPr="00DB7D1E">
        <w:rPr>
          <w:lang w:val="sv-SE"/>
        </w:rPr>
        <w:t xml:space="preserve">A propulziós rendszer vagy részei automatikus leállása esetén a </w:t>
      </w:r>
      <w:r w:rsidRPr="00DB7D1E">
        <w:rPr>
          <w:color w:val="000000"/>
          <w:lang w:val="sv-SE"/>
        </w:rPr>
        <w:t>vízi járműnek</w:t>
      </w:r>
      <w:r w:rsidRPr="00DB7D1E">
        <w:rPr>
          <w:lang w:val="sv-SE"/>
        </w:rPr>
        <w:t xml:space="preserve"> képesnek kell lennie arra, hogy saját erejéből kormányozható maradjon. </w:t>
      </w:r>
    </w:p>
    <w:p w:rsidR="005624E3" w:rsidRPr="00DB7D1E" w:rsidRDefault="005624E3" w:rsidP="005624E3">
      <w:pPr>
        <w:pStyle w:val="ESgauche"/>
        <w:rPr>
          <w:rFonts w:eastAsia="Calibri"/>
          <w:iCs/>
          <w:lang w:val="sv-SE"/>
        </w:rPr>
      </w:pPr>
    </w:p>
    <w:p w:rsidR="005624E3" w:rsidRPr="00DB7D1E" w:rsidRDefault="005624E3" w:rsidP="005624E3">
      <w:pPr>
        <w:pStyle w:val="ESgauche"/>
        <w:rPr>
          <w:rFonts w:eastAsia="Calibri"/>
          <w:iCs/>
          <w:lang w:val="sv-SE"/>
        </w:rPr>
      </w:pPr>
    </w:p>
    <w:p w:rsidR="005624E3" w:rsidRPr="00DB7D1E" w:rsidRDefault="005624E3" w:rsidP="005624E3">
      <w:pPr>
        <w:pStyle w:val="ES-Titre3"/>
        <w:rPr>
          <w:i/>
          <w:lang w:val="sv-SE"/>
        </w:rPr>
      </w:pPr>
      <w:bookmarkStart w:id="540" w:name="_Toc491854266"/>
      <w:bookmarkStart w:id="541" w:name="_Toc535854047"/>
      <w:r w:rsidRPr="00DB7D1E">
        <w:rPr>
          <w:lang w:val="sv-SE"/>
        </w:rPr>
        <w:t>30.07. cikk</w:t>
      </w:r>
      <w:r w:rsidRPr="00DB7D1E">
        <w:rPr>
          <w:lang w:val="sv-SE"/>
        </w:rPr>
        <w:br/>
      </w:r>
      <w:r w:rsidRPr="00DB7D1E">
        <w:rPr>
          <w:i/>
          <w:lang w:val="sv-SE"/>
        </w:rPr>
        <w:t>Műszaki szolgálatok</w:t>
      </w:r>
      <w:bookmarkEnd w:id="540"/>
      <w:bookmarkEnd w:id="541"/>
    </w:p>
    <w:p w:rsidR="005624E3" w:rsidRPr="00DB7D1E" w:rsidRDefault="005624E3" w:rsidP="005624E3">
      <w:pPr>
        <w:pStyle w:val="ESch"/>
        <w:rPr>
          <w:rFonts w:eastAsia="Calibri"/>
          <w:lang w:val="sv-SE"/>
        </w:rPr>
      </w:pPr>
    </w:p>
    <w:p w:rsidR="005624E3" w:rsidRPr="00DB7D1E" w:rsidRDefault="005624E3" w:rsidP="005624E3">
      <w:pPr>
        <w:pStyle w:val="ESch"/>
        <w:rPr>
          <w:rFonts w:eastAsia="Calibri"/>
          <w:lang w:val="sv-SE"/>
        </w:rPr>
      </w:pPr>
      <w:r w:rsidRPr="00DB7D1E">
        <w:rPr>
          <w:lang w:val="sv-SE"/>
        </w:rPr>
        <w:t>1.</w:t>
      </w:r>
      <w:r w:rsidRPr="00DB7D1E">
        <w:rPr>
          <w:lang w:val="sv-SE"/>
        </w:rPr>
        <w:tab/>
        <w:t>A műszaki szolgálatoknak teljesíteniük kell az EN ISO 17020:2012 európai szabvány előírásait.</w:t>
      </w:r>
    </w:p>
    <w:p w:rsidR="005624E3" w:rsidRPr="00DB7D1E" w:rsidRDefault="005624E3" w:rsidP="005624E3">
      <w:pPr>
        <w:pStyle w:val="ESch"/>
        <w:rPr>
          <w:rFonts w:eastAsia="Calibri"/>
          <w:lang w:val="sv-SE"/>
        </w:rPr>
      </w:pPr>
    </w:p>
    <w:p w:rsidR="005624E3" w:rsidRPr="00DB7D1E" w:rsidRDefault="005624E3" w:rsidP="005624E3">
      <w:pPr>
        <w:pStyle w:val="ESch"/>
        <w:rPr>
          <w:rFonts w:eastAsia="Calibri"/>
          <w:lang w:val="sv-SE"/>
        </w:rPr>
      </w:pPr>
      <w:r w:rsidRPr="00DB7D1E">
        <w:rPr>
          <w:lang w:val="sv-SE"/>
        </w:rPr>
        <w:t>2.</w:t>
      </w:r>
      <w:r w:rsidRPr="00DB7D1E">
        <w:rPr>
          <w:lang w:val="sv-SE"/>
        </w:rPr>
        <w:tab/>
        <w:t>A propulziós vagy kiegészítő rendszereknek és e rendszerek részelemeinek gyártói és forgalmazói nem ismerhetők el műszaki szolgálatként.</w:t>
      </w:r>
    </w:p>
    <w:p w:rsidR="005624E3" w:rsidRPr="00DB7D1E" w:rsidRDefault="005624E3" w:rsidP="005624E3">
      <w:pPr>
        <w:pStyle w:val="ESch"/>
        <w:rPr>
          <w:rFonts w:eastAsia="Calibri"/>
          <w:lang w:val="sv-SE"/>
        </w:rPr>
      </w:pPr>
    </w:p>
    <w:p w:rsidR="005624E3" w:rsidRPr="00DB7D1E" w:rsidRDefault="005624E3" w:rsidP="005624E3">
      <w:pPr>
        <w:pStyle w:val="ESch"/>
        <w:rPr>
          <w:rFonts w:eastAsia="Calibri"/>
          <w:lang w:val="sv-SE"/>
        </w:rPr>
      </w:pPr>
      <w:r w:rsidRPr="00DB7D1E">
        <w:rPr>
          <w:lang w:val="sv-SE"/>
        </w:rPr>
        <w:t>3.</w:t>
      </w:r>
      <w:r w:rsidRPr="00DB7D1E">
        <w:rPr>
          <w:lang w:val="sv-SE"/>
        </w:rPr>
        <w:tab/>
        <w:t>A műszaki szolgálat szakvéleményének meg kell felelnie a 8. melléklet vonatkozó követelményeinek.</w:t>
      </w:r>
    </w:p>
    <w:p w:rsidR="005624E3" w:rsidRPr="00DB7D1E" w:rsidRDefault="005624E3" w:rsidP="005624E3">
      <w:pPr>
        <w:pStyle w:val="ESch"/>
        <w:rPr>
          <w:rFonts w:eastAsia="Calibri"/>
          <w:lang w:val="sv-SE"/>
        </w:rPr>
      </w:pPr>
    </w:p>
    <w:p w:rsidR="005624E3" w:rsidRPr="00DB7D1E" w:rsidRDefault="005624E3" w:rsidP="005624E3">
      <w:pPr>
        <w:pStyle w:val="ESch"/>
        <w:rPr>
          <w:rFonts w:eastAsia="Calibri"/>
          <w:lang w:val="sv-SE"/>
        </w:rPr>
      </w:pPr>
      <w:r w:rsidRPr="00DB7D1E">
        <w:rPr>
          <w:lang w:val="sv-SE"/>
        </w:rPr>
        <w:t>4.</w:t>
      </w:r>
      <w:r w:rsidRPr="00DB7D1E">
        <w:rPr>
          <w:lang w:val="sv-SE"/>
        </w:rPr>
        <w:tab/>
        <w:t xml:space="preserve">A 30.01. és 30.02. cikk szerinti ellenőrzéseket és vizsgálatokat végezhetik különböző műszaki szolgálatok is, feltéve, hogy a folyamat során figyelembe veszik valamennyi, a 3. bekezdésben leírt szakvéleményt. </w:t>
      </w:r>
    </w:p>
    <w:p w:rsidR="005624E3" w:rsidRPr="00DB7D1E" w:rsidRDefault="005624E3" w:rsidP="005624E3">
      <w:pPr>
        <w:pStyle w:val="ESch"/>
        <w:rPr>
          <w:rFonts w:eastAsia="Calibri"/>
          <w:lang w:val="sv-SE"/>
        </w:rPr>
      </w:pPr>
    </w:p>
    <w:p w:rsidR="005624E3" w:rsidRPr="00DB7D1E" w:rsidRDefault="005624E3" w:rsidP="005624E3">
      <w:pPr>
        <w:rPr>
          <w:rFonts w:eastAsia="Calibri"/>
          <w:lang w:val="sv-SE"/>
        </w:rPr>
      </w:pPr>
      <w:r w:rsidRPr="00DB7D1E">
        <w:rPr>
          <w:lang w:val="sv-SE"/>
        </w:rPr>
        <w:br w:type="page"/>
      </w:r>
    </w:p>
    <w:p w:rsidR="005624E3" w:rsidRPr="00DB7D1E" w:rsidRDefault="005624E3" w:rsidP="005624E3">
      <w:pPr>
        <w:pStyle w:val="ESch"/>
        <w:rPr>
          <w:rFonts w:eastAsia="Calibri"/>
          <w:lang w:val="sv-SE"/>
        </w:rPr>
      </w:pPr>
    </w:p>
    <w:p w:rsidR="005624E3" w:rsidRPr="00DB7D1E" w:rsidRDefault="005624E3" w:rsidP="005624E3">
      <w:pPr>
        <w:pStyle w:val="ESch"/>
        <w:rPr>
          <w:rFonts w:cs="Arial"/>
          <w:szCs w:val="20"/>
          <w:lang w:val="sv-SE"/>
        </w:rPr>
      </w:pPr>
    </w:p>
    <w:p w:rsidR="005624E3" w:rsidRPr="00166EA9" w:rsidRDefault="005624E3" w:rsidP="005624E3">
      <w:pPr>
        <w:pStyle w:val="ES-Titre2"/>
        <w:rPr>
          <w:lang w:val="sv-SE"/>
        </w:rPr>
      </w:pPr>
      <w:bookmarkStart w:id="542" w:name="_Toc491854267"/>
      <w:bookmarkStart w:id="543" w:name="_Toc535854048"/>
      <w:r w:rsidRPr="00166EA9">
        <w:rPr>
          <w:lang w:val="sv-SE"/>
        </w:rPr>
        <w:t>31. fejezet</w:t>
      </w:r>
      <w:r w:rsidRPr="00166EA9">
        <w:rPr>
          <w:lang w:val="sv-SE"/>
        </w:rPr>
        <w:br/>
      </w:r>
      <w:r w:rsidRPr="00166EA9">
        <w:rPr>
          <w:noProof/>
          <w:lang w:val="sv-SE"/>
        </w:rPr>
        <w:t>A minimális létszámú legénységgel közlekedő hajókra alkalmazandó külön rendelkezések</w:t>
      </w:r>
      <w:bookmarkEnd w:id="542"/>
      <w:bookmarkEnd w:id="543"/>
    </w:p>
    <w:p w:rsidR="005624E3" w:rsidRPr="00DB7D1E" w:rsidRDefault="005624E3" w:rsidP="005624E3">
      <w:pPr>
        <w:rPr>
          <w:lang w:val="sv-SE"/>
        </w:rPr>
      </w:pPr>
    </w:p>
    <w:p w:rsidR="005624E3" w:rsidRPr="00DB7D1E" w:rsidRDefault="005624E3" w:rsidP="005624E3">
      <w:pPr>
        <w:pStyle w:val="ES-Titre3"/>
        <w:rPr>
          <w:lang w:val="sv-SE"/>
        </w:rPr>
      </w:pPr>
      <w:bookmarkStart w:id="544" w:name="_Toc491854268"/>
      <w:bookmarkStart w:id="545" w:name="_Toc535854049"/>
      <w:r w:rsidRPr="00DB7D1E">
        <w:rPr>
          <w:lang w:val="sv-SE"/>
        </w:rPr>
        <w:t>31.01. cikk</w:t>
      </w:r>
      <w:r w:rsidRPr="00DB7D1E">
        <w:rPr>
          <w:lang w:val="sv-SE"/>
        </w:rPr>
        <w:br/>
      </w:r>
      <w:r w:rsidRPr="00DB7D1E">
        <w:rPr>
          <w:i/>
          <w:noProof/>
          <w:lang w:val="sv-SE"/>
        </w:rPr>
        <w:t>A hajó felszerelése</w:t>
      </w:r>
      <w:bookmarkEnd w:id="544"/>
      <w:bookmarkEnd w:id="545"/>
    </w:p>
    <w:p w:rsidR="005624E3" w:rsidRPr="00DB7D1E" w:rsidRDefault="005624E3" w:rsidP="005624E3">
      <w:pPr>
        <w:pStyle w:val="ESch"/>
        <w:rPr>
          <w:rFonts w:cs="Arial"/>
          <w:szCs w:val="20"/>
          <w:lang w:val="sv-SE"/>
        </w:rPr>
      </w:pPr>
    </w:p>
    <w:p w:rsidR="005624E3" w:rsidRPr="00DB7D1E" w:rsidRDefault="005624E3" w:rsidP="005624E3">
      <w:pPr>
        <w:pStyle w:val="ESgauche"/>
        <w:rPr>
          <w:szCs w:val="18"/>
          <w:lang w:val="sv-SE"/>
        </w:rPr>
      </w:pPr>
      <w:r w:rsidRPr="00DB7D1E">
        <w:rPr>
          <w:lang w:val="sv-SE"/>
        </w:rPr>
        <w:t>Az önjáró hajók, tolóhajók, tolt kötelékek és személyhajók esetében a 31.02. vagy 31.03. cikk rendelkezéseinek való megfelelést vagy annak hiányát az ellenőrző szerv bejegyzi a belvízi hajóbizonyítvány 47. rovatába.</w:t>
      </w:r>
    </w:p>
    <w:p w:rsidR="005624E3" w:rsidRPr="00DB7D1E" w:rsidRDefault="005624E3" w:rsidP="005624E3">
      <w:pPr>
        <w:pStyle w:val="ESch"/>
        <w:rPr>
          <w:lang w:val="sv-SE"/>
        </w:rPr>
      </w:pPr>
    </w:p>
    <w:p w:rsidR="005624E3" w:rsidRPr="00DB7D1E" w:rsidRDefault="005624E3" w:rsidP="005624E3">
      <w:pPr>
        <w:pStyle w:val="ESch"/>
        <w:rPr>
          <w:lang w:val="sv-SE"/>
        </w:rPr>
      </w:pPr>
    </w:p>
    <w:p w:rsidR="005624E3" w:rsidRPr="00DB7D1E" w:rsidRDefault="005624E3" w:rsidP="005624E3">
      <w:pPr>
        <w:pStyle w:val="ES-Titre3"/>
        <w:rPr>
          <w:rFonts w:cs="Arial"/>
          <w:szCs w:val="18"/>
          <w:lang w:val="sv-SE"/>
        </w:rPr>
      </w:pPr>
      <w:bookmarkStart w:id="546" w:name="_Toc491854269"/>
      <w:bookmarkStart w:id="547" w:name="_Toc535854050"/>
      <w:r w:rsidRPr="00DB7D1E">
        <w:rPr>
          <w:lang w:val="sv-SE"/>
        </w:rPr>
        <w:t>31.02. cikk</w:t>
      </w:r>
      <w:r w:rsidRPr="00DB7D1E">
        <w:rPr>
          <w:lang w:val="sv-SE"/>
        </w:rPr>
        <w:br/>
      </w:r>
      <w:r w:rsidRPr="00DB7D1E">
        <w:rPr>
          <w:i/>
          <w:noProof/>
          <w:lang w:val="sv-SE"/>
        </w:rPr>
        <w:t>S1 standard</w:t>
      </w:r>
      <w:bookmarkEnd w:id="546"/>
      <w:bookmarkEnd w:id="547"/>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1.</w:t>
      </w:r>
      <w:r w:rsidRPr="00DB7D1E">
        <w:rPr>
          <w:lang w:val="sv-SE"/>
        </w:rPr>
        <w:tab/>
        <w:t>A propulziós berendezéseket úgy kell kialakítani, hogy a menetsebesség változtatását és a hajócsavar tolóerőirányának megfordítását a kormányvezérlő-állásból végre lehessen hajtani.</w:t>
      </w:r>
    </w:p>
    <w:p w:rsidR="005624E3" w:rsidRPr="00DB7D1E" w:rsidRDefault="005624E3" w:rsidP="005624E3">
      <w:pPr>
        <w:pStyle w:val="ESch"/>
        <w:rPr>
          <w:noProof/>
          <w:lang w:val="sv-SE"/>
        </w:rPr>
      </w:pPr>
    </w:p>
    <w:p w:rsidR="005624E3" w:rsidRPr="00DB7D1E" w:rsidRDefault="005624E3" w:rsidP="005624E3">
      <w:pPr>
        <w:pStyle w:val="ESchpar"/>
        <w:rPr>
          <w:noProof/>
          <w:szCs w:val="18"/>
          <w:lang w:val="sv-SE"/>
        </w:rPr>
      </w:pPr>
      <w:r w:rsidRPr="00DB7D1E">
        <w:rPr>
          <w:lang w:val="sv-SE"/>
        </w:rPr>
        <w:t>Lehetővé kell tenni az üzemi célú segédmotorok kormányvezérlő-állásból történő be- és kikapcsolását, kivéve, ha ez automatikusan történik, vagy ha a motorok minden út során folyamatosan működnek.</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2.</w:t>
      </w:r>
      <w:r w:rsidRPr="00DB7D1E">
        <w:rPr>
          <w:lang w:val="sv-SE"/>
        </w:rPr>
        <w:tab/>
        <w:t>Olyan kritikus értékek esetében, mint:</w:t>
      </w:r>
    </w:p>
    <w:p w:rsidR="005624E3" w:rsidRPr="00DB7D1E" w:rsidRDefault="005624E3" w:rsidP="005624E3">
      <w:pPr>
        <w:pStyle w:val="ESlet"/>
        <w:rPr>
          <w:noProof/>
          <w:szCs w:val="18"/>
          <w:lang w:val="sv-SE"/>
        </w:rPr>
      </w:pPr>
      <w:r w:rsidRPr="00DB7D1E">
        <w:rPr>
          <w:lang w:val="sv-SE"/>
        </w:rPr>
        <w:t>-</w:t>
      </w:r>
      <w:r w:rsidRPr="00DB7D1E">
        <w:rPr>
          <w:lang w:val="sv-SE"/>
        </w:rPr>
        <w:tab/>
        <w:t>a főmotor hűtővizének hőmérséklete,</w:t>
      </w:r>
    </w:p>
    <w:p w:rsidR="005624E3" w:rsidRPr="00DB7D1E" w:rsidRDefault="005624E3" w:rsidP="005624E3">
      <w:pPr>
        <w:pStyle w:val="ESlet"/>
        <w:rPr>
          <w:noProof/>
          <w:szCs w:val="18"/>
          <w:lang w:val="sv-SE"/>
        </w:rPr>
      </w:pPr>
      <w:r w:rsidRPr="00DB7D1E">
        <w:rPr>
          <w:lang w:val="sv-SE"/>
        </w:rPr>
        <w:t>-</w:t>
      </w:r>
      <w:r w:rsidRPr="00DB7D1E">
        <w:rPr>
          <w:lang w:val="sv-SE"/>
        </w:rPr>
        <w:tab/>
        <w:t>a főmotor és az erőátviteli rendszerek kenőolajnyomása,</w:t>
      </w:r>
    </w:p>
    <w:p w:rsidR="005624E3" w:rsidRPr="00DB7D1E" w:rsidRDefault="005624E3" w:rsidP="005624E3">
      <w:pPr>
        <w:pStyle w:val="ESlet"/>
        <w:rPr>
          <w:noProof/>
          <w:szCs w:val="18"/>
          <w:lang w:val="sv-SE"/>
        </w:rPr>
      </w:pPr>
      <w:r w:rsidRPr="00DB7D1E">
        <w:rPr>
          <w:lang w:val="sv-SE"/>
        </w:rPr>
        <w:t>-</w:t>
      </w:r>
      <w:r w:rsidRPr="00DB7D1E">
        <w:rPr>
          <w:lang w:val="sv-SE"/>
        </w:rPr>
        <w:tab/>
        <w:t>a főmotor hátrameneti egységeinek, megfordítható áttételeinek vagy propellereinek olaj- és levegőnyomása,</w:t>
      </w:r>
    </w:p>
    <w:p w:rsidR="005624E3" w:rsidRPr="00DB7D1E" w:rsidRDefault="005624E3" w:rsidP="005624E3">
      <w:pPr>
        <w:pStyle w:val="ESlet"/>
        <w:rPr>
          <w:noProof/>
          <w:szCs w:val="18"/>
          <w:lang w:val="sv-SE"/>
        </w:rPr>
      </w:pPr>
      <w:r w:rsidRPr="00DB7D1E">
        <w:rPr>
          <w:lang w:val="sv-SE"/>
        </w:rPr>
        <w:t>-</w:t>
      </w:r>
      <w:r w:rsidRPr="00DB7D1E">
        <w:rPr>
          <w:lang w:val="sv-SE"/>
        </w:rPr>
        <w:tab/>
        <w:t>fenékvízszint a főgéptérben,</w:t>
      </w:r>
    </w:p>
    <w:p w:rsidR="005624E3" w:rsidRPr="00DB7D1E" w:rsidRDefault="005624E3" w:rsidP="005624E3">
      <w:pPr>
        <w:pStyle w:val="ESchpar"/>
        <w:spacing w:before="60"/>
        <w:rPr>
          <w:noProof/>
          <w:szCs w:val="18"/>
          <w:lang w:val="sv-SE"/>
        </w:rPr>
      </w:pPr>
      <w:r w:rsidRPr="00DB7D1E">
        <w:rPr>
          <w:lang w:val="sv-SE"/>
        </w:rPr>
        <w:t>biztosítani kell az ellenőrzést olyan műszerekkel, amelyek üzemzavar esetén a kormányállásban hang- és fényjelzést adnak. A riasztó hangjelzések céljára igénybe vehető egyetlen hangjelző készülék is. A riasztó hangjelzést vételének nyugtázását követően azonnal ki lehet kapcsolni. A riasztó fényjelzést csak akkor lehet kikapcsolni, ha az azt kiváltó működési zavart elhárították.</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3.</w:t>
      </w:r>
      <w:r w:rsidRPr="00DB7D1E">
        <w:rPr>
          <w:lang w:val="sv-SE"/>
        </w:rPr>
        <w:tab/>
        <w:t>A tüzelőanyag-ellátásnak és a főmotorok hűtésének automatikusnak kell lennie.</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4.</w:t>
      </w:r>
      <w:r w:rsidRPr="00DB7D1E">
        <w:rPr>
          <w:lang w:val="sv-SE"/>
        </w:rPr>
        <w:tab/>
        <w:t>Biztosítani kell, hogy a kormányberendezést egy személy különösebb erőkifejtés nélkül képes legyen kezelni a legnagyobb merülés mellett is.</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5.</w:t>
      </w:r>
      <w:r w:rsidRPr="00DB7D1E">
        <w:rPr>
          <w:lang w:val="sv-SE"/>
        </w:rPr>
        <w:tab/>
        <w:t>Biztosítani kell, hogy a tagállamok hivatalos hajózási szabályzata szerinti optikai és akusztikai jelzéseket a menetben lévő hajó kormányvezérlő-állásából le lehessen adni.</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6.</w:t>
      </w:r>
      <w:r w:rsidRPr="00DB7D1E">
        <w:rPr>
          <w:lang w:val="sv-SE"/>
        </w:rPr>
        <w:tab/>
        <w:t>Ha a kormányvezérlő-állás és a hajó eleje, fara, a lakótér és a gépterek között nincs közvetlen kommunikáció, ki kell építeni egy hangalapú kommunikációs rendszert. A gépterekkel való kommunikáció helyettesíthető optikai vagy akusztikai jelzéssel.</w:t>
      </w:r>
    </w:p>
    <w:p w:rsidR="005624E3" w:rsidRPr="00DB7D1E" w:rsidRDefault="005624E3" w:rsidP="005624E3">
      <w:pPr>
        <w:pStyle w:val="ESch"/>
        <w:rPr>
          <w:noProof/>
          <w:lang w:val="sv-SE"/>
        </w:rPr>
      </w:pPr>
    </w:p>
    <w:p w:rsidR="005624E3" w:rsidRPr="00DB7D1E" w:rsidRDefault="005624E3" w:rsidP="005624E3">
      <w:pPr>
        <w:pStyle w:val="ESch"/>
        <w:rPr>
          <w:rFonts w:cs="Arial"/>
          <w:szCs w:val="18"/>
          <w:lang w:val="sv-SE"/>
        </w:rPr>
      </w:pPr>
      <w:r w:rsidRPr="00DB7D1E">
        <w:rPr>
          <w:lang w:val="sv-SE"/>
        </w:rPr>
        <w:t>7.</w:t>
      </w:r>
      <w:r w:rsidRPr="00DB7D1E">
        <w:rPr>
          <w:lang w:val="sv-SE"/>
        </w:rPr>
        <w:tab/>
        <w:t>Az emelőszerkezetek hajtókarjainak és hasonló forgatható kezelőrészeinek működtetése nem igényelhet 160 N-nál nagyobb erőkifejtést.</w:t>
      </w:r>
    </w:p>
    <w:p w:rsidR="005624E3" w:rsidRPr="00DB7D1E" w:rsidRDefault="005624E3" w:rsidP="005624E3">
      <w:pPr>
        <w:pStyle w:val="ESch"/>
        <w:rPr>
          <w:noProof/>
          <w:lang w:val="sv-SE"/>
        </w:rPr>
      </w:pPr>
    </w:p>
    <w:p w:rsidR="005624E3" w:rsidRPr="00DB7D1E" w:rsidRDefault="005624E3" w:rsidP="005624E3">
      <w:pPr>
        <w:pStyle w:val="ESch"/>
        <w:rPr>
          <w:noProof/>
          <w:lang w:val="sv-SE"/>
        </w:rPr>
      </w:pPr>
      <w:r w:rsidRPr="00DB7D1E">
        <w:rPr>
          <w:lang w:val="sv-SE"/>
        </w:rPr>
        <w:br w:type="page"/>
      </w:r>
    </w:p>
    <w:p w:rsidR="005624E3" w:rsidRPr="00DB7D1E" w:rsidRDefault="005624E3" w:rsidP="005624E3">
      <w:pPr>
        <w:pStyle w:val="ESch"/>
        <w:rPr>
          <w:noProof/>
          <w:szCs w:val="18"/>
          <w:lang w:val="sv-SE"/>
        </w:rPr>
      </w:pPr>
      <w:r w:rsidRPr="00DB7D1E">
        <w:rPr>
          <w:lang w:val="sv-SE"/>
        </w:rPr>
        <w:t>8.</w:t>
      </w:r>
      <w:r w:rsidRPr="00DB7D1E">
        <w:rPr>
          <w:lang w:val="sv-SE"/>
        </w:rPr>
        <w:tab/>
        <w:t>A belvízi hajóbizonyítványba bejegyzett vontatócsörlőknek gépi hajtásúaknak kell lenniük.</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9.</w:t>
      </w:r>
      <w:r w:rsidRPr="00DB7D1E">
        <w:rPr>
          <w:lang w:val="sv-SE"/>
        </w:rPr>
        <w:tab/>
        <w:t>A fenékvíz- és a fedélzetmosó szivattyúknak gépi hajtásúaknak kell lenniük.</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10.</w:t>
      </w:r>
      <w:r w:rsidRPr="00DB7D1E">
        <w:rPr>
          <w:lang w:val="sv-SE"/>
        </w:rPr>
        <w:tab/>
        <w:t>A fontos vezérlőegységeket és az ellenőrző műszereket ergonómiailag helyesen kell elrendezni.</w:t>
      </w:r>
    </w:p>
    <w:p w:rsidR="005624E3" w:rsidRPr="00DB7D1E" w:rsidRDefault="005624E3" w:rsidP="005624E3">
      <w:pPr>
        <w:pStyle w:val="ESch"/>
        <w:rPr>
          <w:noProof/>
          <w:lang w:val="sv-SE"/>
        </w:rPr>
      </w:pPr>
    </w:p>
    <w:p w:rsidR="005624E3" w:rsidRPr="00DB7D1E" w:rsidRDefault="005624E3" w:rsidP="005624E3">
      <w:pPr>
        <w:pStyle w:val="ESch"/>
        <w:rPr>
          <w:noProof/>
          <w:lang w:val="sv-SE"/>
        </w:rPr>
      </w:pPr>
      <w:r w:rsidRPr="00DB7D1E">
        <w:rPr>
          <w:lang w:val="sv-SE"/>
        </w:rPr>
        <w:t>11.</w:t>
      </w:r>
      <w:r w:rsidRPr="00DB7D1E">
        <w:rPr>
          <w:lang w:val="sv-SE"/>
        </w:rPr>
        <w:tab/>
        <w:t>A 6.01. cikk 1. bekezdésében előírt berendezésnek a kormányvezérlő-állásból táv</w:t>
      </w:r>
      <w:r w:rsidR="000855F0">
        <w:rPr>
          <w:lang w:val="sv-SE"/>
        </w:rPr>
        <w:t>vezérelhetőnek</w:t>
      </w:r>
      <w:r w:rsidRPr="00DB7D1E">
        <w:rPr>
          <w:lang w:val="sv-SE"/>
        </w:rPr>
        <w:t xml:space="preserve"> kell lennie.</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p>
    <w:p w:rsidR="005624E3" w:rsidRPr="00DB7D1E" w:rsidRDefault="005624E3" w:rsidP="005624E3">
      <w:pPr>
        <w:pStyle w:val="ES-Titre3"/>
        <w:rPr>
          <w:rFonts w:cs="Arial"/>
          <w:szCs w:val="18"/>
          <w:lang w:val="sv-SE"/>
        </w:rPr>
      </w:pPr>
      <w:bookmarkStart w:id="548" w:name="_Toc491854270"/>
      <w:bookmarkStart w:id="549" w:name="_Toc535854051"/>
      <w:r w:rsidRPr="00DB7D1E">
        <w:rPr>
          <w:lang w:val="sv-SE"/>
        </w:rPr>
        <w:t>31.03. cikk</w:t>
      </w:r>
      <w:r w:rsidRPr="00DB7D1E">
        <w:rPr>
          <w:lang w:val="sv-SE"/>
        </w:rPr>
        <w:br/>
      </w:r>
      <w:r w:rsidRPr="00DB7D1E">
        <w:rPr>
          <w:i/>
          <w:noProof/>
          <w:lang w:val="sv-SE"/>
        </w:rPr>
        <w:t>S2 standard</w:t>
      </w:r>
      <w:bookmarkEnd w:id="548"/>
      <w:bookmarkEnd w:id="549"/>
    </w:p>
    <w:p w:rsidR="005624E3" w:rsidRPr="00DB7D1E" w:rsidRDefault="005624E3" w:rsidP="005624E3">
      <w:pPr>
        <w:pStyle w:val="ESch"/>
        <w:rPr>
          <w:noProof/>
          <w:lang w:val="sv-SE"/>
        </w:rPr>
      </w:pPr>
    </w:p>
    <w:p w:rsidR="005624E3" w:rsidRPr="00DB7D1E" w:rsidRDefault="005624E3" w:rsidP="005624E3">
      <w:pPr>
        <w:pStyle w:val="ESch"/>
        <w:rPr>
          <w:noProof/>
          <w:lang w:val="sv-SE"/>
        </w:rPr>
      </w:pPr>
      <w:r w:rsidRPr="00DB7D1E">
        <w:rPr>
          <w:lang w:val="sv-SE"/>
        </w:rPr>
        <w:t>Az S1 standard kiegészítve a következő berendezésekkel:</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1.</w:t>
      </w:r>
      <w:r w:rsidRPr="00DB7D1E">
        <w:rPr>
          <w:lang w:val="sv-SE"/>
        </w:rPr>
        <w:tab/>
        <w:t>Önállóan üzemelő önjáró hajók esetében:</w:t>
      </w:r>
    </w:p>
    <w:p w:rsidR="005624E3" w:rsidRPr="00DB7D1E" w:rsidRDefault="005624E3" w:rsidP="005624E3">
      <w:pPr>
        <w:pStyle w:val="ESch"/>
        <w:rPr>
          <w:noProof/>
          <w:lang w:val="sv-SE"/>
        </w:rPr>
      </w:pPr>
    </w:p>
    <w:p w:rsidR="005624E3" w:rsidRPr="00DB7D1E" w:rsidRDefault="005624E3" w:rsidP="005624E3">
      <w:pPr>
        <w:pStyle w:val="ESchpar"/>
        <w:rPr>
          <w:noProof/>
          <w:szCs w:val="18"/>
          <w:lang w:val="sv-SE"/>
        </w:rPr>
      </w:pPr>
      <w:r w:rsidRPr="00DB7D1E">
        <w:rPr>
          <w:lang w:val="sv-SE"/>
        </w:rPr>
        <w:t>egy orrsugárkormány, amelyet a kormányvezérlő-állásból lehet működtetni.</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2.</w:t>
      </w:r>
      <w:r w:rsidRPr="00DB7D1E">
        <w:rPr>
          <w:lang w:val="sv-SE"/>
        </w:rPr>
        <w:tab/>
        <w:t>Mellévett alakzatban haladó önjáró hajók esetében:</w:t>
      </w:r>
    </w:p>
    <w:p w:rsidR="005624E3" w:rsidRPr="00DB7D1E" w:rsidRDefault="005624E3" w:rsidP="005624E3">
      <w:pPr>
        <w:pStyle w:val="ESch"/>
        <w:rPr>
          <w:noProof/>
          <w:lang w:val="sv-SE"/>
        </w:rPr>
      </w:pPr>
    </w:p>
    <w:p w:rsidR="005624E3" w:rsidRPr="00DB7D1E" w:rsidRDefault="005624E3" w:rsidP="005624E3">
      <w:pPr>
        <w:pStyle w:val="ESchpar"/>
        <w:rPr>
          <w:noProof/>
          <w:szCs w:val="18"/>
          <w:lang w:val="sv-SE"/>
        </w:rPr>
      </w:pPr>
      <w:r w:rsidRPr="00DB7D1E">
        <w:rPr>
          <w:lang w:val="sv-SE"/>
        </w:rPr>
        <w:t>egy orrsugárkormány, amelyet a kormányvezérlő-állásból lehet működtetni.</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3.</w:t>
      </w:r>
      <w:r w:rsidRPr="00DB7D1E">
        <w:rPr>
          <w:lang w:val="sv-SE"/>
        </w:rPr>
        <w:tab/>
        <w:t>A magából az önjáró hajóból és egy előtte lévő vízi járműből álló tolt köteléket továbbító önjáró hajók esetében:</w:t>
      </w:r>
    </w:p>
    <w:p w:rsidR="005624E3" w:rsidRPr="00DB7D1E" w:rsidRDefault="005624E3" w:rsidP="005624E3">
      <w:pPr>
        <w:pStyle w:val="ESch"/>
        <w:rPr>
          <w:noProof/>
          <w:lang w:val="sv-SE"/>
        </w:rPr>
      </w:pPr>
    </w:p>
    <w:p w:rsidR="005624E3" w:rsidRPr="00DB7D1E" w:rsidRDefault="005624E3" w:rsidP="005624E3">
      <w:pPr>
        <w:pStyle w:val="ESchpar"/>
        <w:rPr>
          <w:noProof/>
          <w:szCs w:val="18"/>
          <w:lang w:val="sv-SE"/>
        </w:rPr>
      </w:pPr>
      <w:r w:rsidRPr="00DB7D1E">
        <w:rPr>
          <w:lang w:val="sv-SE"/>
        </w:rPr>
        <w:t>hidraulikusan vagy elektromosan működő csatolócsörlők. Ez a berendezés azonban nem kötelező, ha a tolt kötelékben a legelső vízi jármű fel van szerelve olyan orrsugárkormánnyal, amely az önjáró toló önjáró hajó kormányvezérlő-állásából működtethető.</w:t>
      </w:r>
    </w:p>
    <w:p w:rsidR="005624E3" w:rsidRPr="00DB7D1E" w:rsidRDefault="005624E3" w:rsidP="005624E3">
      <w:pPr>
        <w:pStyle w:val="ESch"/>
        <w:rPr>
          <w:noProof/>
          <w:lang w:val="sv-SE"/>
        </w:rPr>
      </w:pPr>
    </w:p>
    <w:p w:rsidR="005624E3" w:rsidRPr="00DB7D1E" w:rsidRDefault="005624E3" w:rsidP="005624E3">
      <w:pPr>
        <w:pStyle w:val="ESch"/>
        <w:rPr>
          <w:noProof/>
          <w:szCs w:val="18"/>
          <w:lang w:val="sv-SE"/>
        </w:rPr>
      </w:pPr>
      <w:r w:rsidRPr="00DB7D1E">
        <w:rPr>
          <w:lang w:val="sv-SE"/>
        </w:rPr>
        <w:t>4.</w:t>
      </w:r>
      <w:r w:rsidRPr="00DB7D1E">
        <w:rPr>
          <w:lang w:val="sv-SE"/>
        </w:rPr>
        <w:tab/>
        <w:t>Tolt köteléket továbbító tolóhajók esetében:</w:t>
      </w:r>
    </w:p>
    <w:p w:rsidR="005624E3" w:rsidRPr="00DB7D1E" w:rsidRDefault="005624E3" w:rsidP="005624E3">
      <w:pPr>
        <w:pStyle w:val="ESch"/>
        <w:rPr>
          <w:noProof/>
          <w:lang w:val="sv-SE"/>
        </w:rPr>
      </w:pPr>
    </w:p>
    <w:p w:rsidR="005624E3" w:rsidRPr="00DB7D1E" w:rsidRDefault="005624E3" w:rsidP="005624E3">
      <w:pPr>
        <w:pStyle w:val="ESchpar"/>
        <w:rPr>
          <w:noProof/>
          <w:szCs w:val="18"/>
          <w:lang w:val="sv-SE"/>
        </w:rPr>
      </w:pPr>
      <w:r w:rsidRPr="00DB7D1E">
        <w:rPr>
          <w:lang w:val="sv-SE"/>
        </w:rPr>
        <w:t>hidraulikusan vagy elektromosan működő csatolócsörlők. Ez a berendezés azonban nem kötelező, ha a tolt kötelékben a legelső vízi jármű fel van szerelve olyan orrsugárkormánnyal, amely a tolóhajó kormányvezérlő-állásából működtethető.</w:t>
      </w:r>
    </w:p>
    <w:p w:rsidR="005624E3" w:rsidRPr="00DB7D1E" w:rsidRDefault="005624E3" w:rsidP="005624E3">
      <w:pPr>
        <w:pStyle w:val="ESchpar"/>
        <w:rPr>
          <w:noProof/>
          <w:lang w:val="sv-SE"/>
        </w:rPr>
      </w:pPr>
    </w:p>
    <w:p w:rsidR="005624E3" w:rsidRPr="00DB7D1E" w:rsidRDefault="005624E3" w:rsidP="005624E3">
      <w:pPr>
        <w:pStyle w:val="ESch"/>
        <w:rPr>
          <w:noProof/>
          <w:szCs w:val="18"/>
          <w:lang w:val="sv-SE"/>
        </w:rPr>
      </w:pPr>
      <w:r w:rsidRPr="00DB7D1E">
        <w:rPr>
          <w:lang w:val="sv-SE"/>
        </w:rPr>
        <w:t>5.</w:t>
      </w:r>
      <w:r w:rsidRPr="00DB7D1E">
        <w:rPr>
          <w:lang w:val="sv-SE"/>
        </w:rPr>
        <w:tab/>
        <w:t>Személyhajók esetében:</w:t>
      </w:r>
    </w:p>
    <w:p w:rsidR="005624E3" w:rsidRPr="00DB7D1E" w:rsidRDefault="005624E3" w:rsidP="005624E3">
      <w:pPr>
        <w:pStyle w:val="ESch"/>
        <w:rPr>
          <w:noProof/>
          <w:lang w:val="sv-SE"/>
        </w:rPr>
      </w:pPr>
    </w:p>
    <w:p w:rsidR="005624E3" w:rsidRPr="00DB7D1E" w:rsidRDefault="005624E3" w:rsidP="005624E3">
      <w:pPr>
        <w:pStyle w:val="ESchpar"/>
        <w:rPr>
          <w:noProof/>
          <w:lang w:val="sv-SE"/>
        </w:rPr>
      </w:pPr>
      <w:r w:rsidRPr="00DB7D1E">
        <w:rPr>
          <w:lang w:val="sv-SE"/>
        </w:rPr>
        <w:t>egy orrsugárkormány, amely a kormányvezérlő-állásból működtethető. Ez a berendezés azonban nem kötelező, ha a személyhajó propulziós berendezése és kormányberendezése ugyanolyan műveletképességet biztosít.</w:t>
      </w:r>
    </w:p>
    <w:p w:rsidR="005624E3" w:rsidRPr="00DB7D1E" w:rsidRDefault="005624E3" w:rsidP="005624E3">
      <w:pPr>
        <w:pStyle w:val="ESchpar"/>
        <w:rPr>
          <w:noProof/>
          <w:lang w:val="sv-SE"/>
        </w:rPr>
      </w:pPr>
    </w:p>
    <w:p w:rsidR="005624E3" w:rsidRPr="00DB7D1E" w:rsidRDefault="005624E3" w:rsidP="005624E3">
      <w:pPr>
        <w:pStyle w:val="ESchpar"/>
        <w:rPr>
          <w:noProof/>
          <w:lang w:val="sv-SE"/>
        </w:rPr>
      </w:pPr>
    </w:p>
    <w:p w:rsidR="005624E3" w:rsidRPr="00DB7D1E" w:rsidRDefault="005624E3" w:rsidP="005624E3">
      <w:pPr>
        <w:pStyle w:val="ESchpar"/>
        <w:rPr>
          <w:noProof/>
          <w:lang w:val="sv-SE"/>
        </w:rPr>
      </w:pPr>
    </w:p>
    <w:p w:rsidR="005624E3" w:rsidRPr="00DB7D1E" w:rsidRDefault="005624E3" w:rsidP="005624E3">
      <w:pPr>
        <w:pStyle w:val="ESchpar"/>
        <w:rPr>
          <w:noProof/>
          <w:lang w:val="sv-SE"/>
        </w:rPr>
      </w:pPr>
    </w:p>
    <w:p w:rsidR="005624E3" w:rsidRPr="00DB7D1E" w:rsidRDefault="005624E3" w:rsidP="005624E3">
      <w:pPr>
        <w:pStyle w:val="ESch"/>
        <w:rPr>
          <w:rFonts w:cs="Arial"/>
          <w:szCs w:val="20"/>
          <w:lang w:val="sv-SE"/>
        </w:rPr>
      </w:pPr>
    </w:p>
    <w:p w:rsidR="005624E3" w:rsidRPr="00DB7D1E" w:rsidRDefault="005624E3" w:rsidP="005624E3">
      <w:pPr>
        <w:pStyle w:val="ESch"/>
        <w:rPr>
          <w:lang w:val="sv-SE"/>
        </w:rPr>
        <w:sectPr w:rsidR="005624E3" w:rsidRPr="00DB7D1E" w:rsidSect="00AC5CC1">
          <w:headerReference w:type="first" r:id="rId27"/>
          <w:footnotePr>
            <w:numRestart w:val="eachPage"/>
          </w:footnotePr>
          <w:pgSz w:w="11906" w:h="16838" w:code="9"/>
          <w:pgMar w:top="1418" w:right="1418" w:bottom="1418" w:left="1418" w:header="709" w:footer="709" w:gutter="0"/>
          <w:cols w:space="709"/>
          <w:titlePg/>
          <w:docGrid w:linePitch="272"/>
        </w:sectPr>
      </w:pPr>
    </w:p>
    <w:p w:rsidR="005624E3" w:rsidRPr="00166EA9" w:rsidRDefault="005624E3" w:rsidP="005624E3">
      <w:pPr>
        <w:pStyle w:val="ES-Titre1"/>
        <w:rPr>
          <w:lang w:val="sv-SE"/>
        </w:rPr>
      </w:pPr>
      <w:bookmarkStart w:id="550" w:name="_Toc491854271"/>
      <w:bookmarkStart w:id="551" w:name="_Toc535854052"/>
      <w:r w:rsidRPr="00166EA9">
        <w:rPr>
          <w:lang w:val="sv-SE"/>
        </w:rPr>
        <w:t>IV. RÉSZ</w:t>
      </w:r>
      <w:r w:rsidRPr="00166EA9">
        <w:rPr>
          <w:lang w:val="sv-SE"/>
        </w:rPr>
        <w:br/>
        <w:t>ÁTMENETI RENDELKEZÉSEK</w:t>
      </w:r>
      <w:bookmarkEnd w:id="550"/>
      <w:bookmarkEnd w:id="551"/>
    </w:p>
    <w:p w:rsidR="005624E3" w:rsidRPr="00DB7D1E" w:rsidRDefault="005624E3" w:rsidP="005624E3">
      <w:pPr>
        <w:rPr>
          <w:lang w:val="sv-SE"/>
        </w:rPr>
      </w:pPr>
    </w:p>
    <w:p w:rsidR="005624E3" w:rsidRPr="00166EA9" w:rsidRDefault="005624E3" w:rsidP="005624E3">
      <w:pPr>
        <w:pStyle w:val="ES-Titre2"/>
        <w:pageBreakBefore w:val="0"/>
        <w:rPr>
          <w:lang w:val="sv-SE"/>
        </w:rPr>
      </w:pPr>
      <w:bookmarkStart w:id="552" w:name="_Toc491854272"/>
      <w:bookmarkStart w:id="553" w:name="_Toc535854053"/>
      <w:r w:rsidRPr="00166EA9">
        <w:rPr>
          <w:lang w:val="sv-SE"/>
        </w:rPr>
        <w:t>32. fejezet</w:t>
      </w:r>
      <w:r w:rsidRPr="00166EA9">
        <w:rPr>
          <w:lang w:val="sv-SE"/>
        </w:rPr>
        <w:br/>
        <w:t>A Rajnán (R zóna) közlekedő vízi járművekre vonatkozó átmeneti rendelkezések</w:t>
      </w:r>
      <w:bookmarkEnd w:id="552"/>
      <w:bookmarkEnd w:id="553"/>
    </w:p>
    <w:p w:rsidR="005624E3" w:rsidRPr="00DB7D1E" w:rsidRDefault="005624E3" w:rsidP="005624E3">
      <w:pPr>
        <w:overflowPunct w:val="0"/>
        <w:adjustRightInd w:val="0"/>
        <w:spacing w:line="240" w:lineRule="exact"/>
        <w:jc w:val="center"/>
        <w:textAlignment w:val="baseline"/>
        <w:rPr>
          <w:rFonts w:eastAsia="Calibri"/>
          <w:b/>
          <w:lang w:val="sv-SE"/>
        </w:rPr>
      </w:pPr>
    </w:p>
    <w:p w:rsidR="005624E3" w:rsidRPr="00166EA9" w:rsidRDefault="005624E3" w:rsidP="005624E3">
      <w:pPr>
        <w:pStyle w:val="ES-Titre3prchap32"/>
        <w:rPr>
          <w:lang w:val="sv-SE"/>
        </w:rPr>
      </w:pPr>
      <w:bookmarkStart w:id="554" w:name="_Toc491854273"/>
      <w:bookmarkStart w:id="555" w:name="_Toc535854054"/>
      <w:r w:rsidRPr="00166EA9">
        <w:rPr>
          <w:lang w:val="sv-SE"/>
        </w:rPr>
        <w:t>32.01. cikk</w:t>
      </w:r>
      <w:bookmarkEnd w:id="554"/>
      <w:bookmarkEnd w:id="555"/>
    </w:p>
    <w:p w:rsidR="005624E3" w:rsidRPr="00DB7D1E" w:rsidRDefault="005624E3" w:rsidP="005624E3">
      <w:pPr>
        <w:pStyle w:val="ES-Titre3a"/>
        <w:rPr>
          <w:lang w:val="sv-SE"/>
        </w:rPr>
      </w:pPr>
      <w:bookmarkStart w:id="556" w:name="_Toc421775883"/>
      <w:bookmarkStart w:id="557" w:name="_Toc491854274"/>
      <w:bookmarkStart w:id="558" w:name="_Toc535854055"/>
      <w:r w:rsidRPr="00DB7D1E">
        <w:rPr>
          <w:lang w:val="sv-SE"/>
        </w:rPr>
        <w:t>Az átmeneti rendelkezések alkalmazhatósága már üzemelő vízi járművekre</w:t>
      </w:r>
      <w:bookmarkEnd w:id="556"/>
      <w:bookmarkEnd w:id="557"/>
      <w:bookmarkEnd w:id="558"/>
    </w:p>
    <w:p w:rsidR="005624E3" w:rsidRPr="00DB7D1E" w:rsidRDefault="005624E3" w:rsidP="005624E3">
      <w:pPr>
        <w:spacing w:line="240" w:lineRule="atLeast"/>
        <w:ind w:left="567" w:hanging="567"/>
        <w:rPr>
          <w:lang w:val="sv-SE"/>
        </w:rPr>
      </w:pPr>
    </w:p>
    <w:p w:rsidR="005624E3" w:rsidRPr="00DB7D1E" w:rsidRDefault="005624E3" w:rsidP="005624E3">
      <w:pPr>
        <w:spacing w:line="240" w:lineRule="atLeast"/>
        <w:ind w:left="567" w:hanging="567"/>
        <w:rPr>
          <w:lang w:val="sv-SE"/>
        </w:rPr>
      </w:pPr>
      <w:r w:rsidRPr="00DB7D1E">
        <w:rPr>
          <w:lang w:val="sv-SE"/>
        </w:rPr>
        <w:t>1.</w:t>
      </w:r>
      <w:r w:rsidRPr="00DB7D1E">
        <w:rPr>
          <w:lang w:val="sv-SE"/>
        </w:rPr>
        <w:tab/>
        <w:t>A 32.02–32.04. cikk rendelkezései csak azokra a hajókra vonatkoznak, amelyek:</w:t>
      </w:r>
    </w:p>
    <w:p w:rsidR="005624E3" w:rsidRPr="00DB7D1E" w:rsidRDefault="005624E3" w:rsidP="005624E3">
      <w:pPr>
        <w:spacing w:before="60" w:line="240" w:lineRule="atLeast"/>
        <w:ind w:left="992"/>
        <w:rPr>
          <w:lang w:val="sv-SE"/>
        </w:rPr>
      </w:pPr>
      <w:r w:rsidRPr="00DB7D1E">
        <w:rPr>
          <w:lang w:val="sv-SE"/>
        </w:rPr>
        <w:t>a)</w:t>
      </w:r>
      <w:r w:rsidRPr="00DB7D1E">
        <w:rPr>
          <w:lang w:val="sv-SE"/>
        </w:rPr>
        <w:tab/>
        <w:t xml:space="preserve">olyan érvényes rajnai hajóellenőrzési tanúsítvánnyal rendelkeznek, melyet első ízben a rajnai hajók 1994. december 31-én hatályban lévő szemleszabályzata szerint bocsátottak ki, vagy </w:t>
      </w:r>
    </w:p>
    <w:p w:rsidR="005624E3" w:rsidRPr="00DB7D1E" w:rsidRDefault="005624E3" w:rsidP="005624E3">
      <w:pPr>
        <w:spacing w:before="60" w:line="240" w:lineRule="atLeast"/>
        <w:ind w:left="992"/>
        <w:rPr>
          <w:lang w:val="sv-SE"/>
        </w:rPr>
      </w:pPr>
      <w:r w:rsidRPr="00DB7D1E">
        <w:rPr>
          <w:lang w:val="sv-SE"/>
        </w:rPr>
        <w:t>b)</w:t>
      </w:r>
      <w:r w:rsidRPr="00DB7D1E">
        <w:rPr>
          <w:lang w:val="sv-SE"/>
        </w:rPr>
        <w:tab/>
        <w:t>olyan érvényes rajnai hajóellenőrzési tanúsítvánnyal rendelkeznek, melyet 1994. december 31. előtt legalább egyszer megújítottak, vagy</w:t>
      </w:r>
    </w:p>
    <w:p w:rsidR="005624E3" w:rsidRPr="00DB7D1E" w:rsidRDefault="005624E3" w:rsidP="005624E3">
      <w:pPr>
        <w:spacing w:before="60" w:line="240" w:lineRule="atLeast"/>
        <w:ind w:left="992"/>
        <w:rPr>
          <w:lang w:val="sv-SE"/>
        </w:rPr>
      </w:pPr>
      <w:r w:rsidRPr="00DB7D1E">
        <w:rPr>
          <w:lang w:val="sv-SE"/>
        </w:rPr>
        <w:t>c)</w:t>
      </w:r>
      <w:r w:rsidRPr="00DB7D1E">
        <w:rPr>
          <w:lang w:val="sv-SE"/>
        </w:rPr>
        <w:tab/>
        <w:t>amelyek 1994. december 31-én építés vagy átépítés alatt álltak.</w:t>
      </w:r>
    </w:p>
    <w:p w:rsidR="005624E3" w:rsidRPr="00DB7D1E" w:rsidRDefault="005624E3" w:rsidP="005624E3">
      <w:pPr>
        <w:spacing w:line="240" w:lineRule="atLeast"/>
        <w:ind w:left="567"/>
        <w:rPr>
          <w:lang w:val="sv-SE"/>
        </w:rPr>
      </w:pPr>
    </w:p>
    <w:p w:rsidR="005624E3" w:rsidRPr="00DB7D1E" w:rsidRDefault="005624E3" w:rsidP="005624E3">
      <w:pPr>
        <w:spacing w:line="240" w:lineRule="atLeast"/>
        <w:ind w:left="567" w:hanging="567"/>
        <w:rPr>
          <w:lang w:val="sv-SE"/>
        </w:rPr>
      </w:pPr>
      <w:r w:rsidRPr="00DB7D1E">
        <w:rPr>
          <w:lang w:val="sv-SE"/>
        </w:rPr>
        <w:t>2.</w:t>
      </w:r>
      <w:r w:rsidRPr="00DB7D1E">
        <w:rPr>
          <w:lang w:val="sv-SE"/>
        </w:rPr>
        <w:tab/>
        <w:t>Az 1. bekezdésben nem említett vízi járművekre a 32.05. cikk rendelkezései vonatkoznak.</w:t>
      </w:r>
    </w:p>
    <w:p w:rsidR="005624E3" w:rsidRPr="00DB7D1E" w:rsidRDefault="005624E3" w:rsidP="005624E3">
      <w:pPr>
        <w:spacing w:line="240" w:lineRule="atLeast"/>
        <w:ind w:left="567" w:hanging="567"/>
        <w:rPr>
          <w:lang w:val="sv-SE"/>
        </w:rPr>
      </w:pPr>
    </w:p>
    <w:p w:rsidR="005624E3" w:rsidRPr="00DB7D1E" w:rsidRDefault="005624E3" w:rsidP="005624E3">
      <w:pPr>
        <w:spacing w:line="240" w:lineRule="atLeast"/>
        <w:ind w:left="567" w:hanging="567"/>
        <w:rPr>
          <w:lang w:val="sv-SE"/>
        </w:rPr>
      </w:pPr>
    </w:p>
    <w:p w:rsidR="005624E3" w:rsidRPr="00DB7D1E" w:rsidRDefault="005624E3" w:rsidP="005624E3">
      <w:pPr>
        <w:pStyle w:val="ES-Titre3"/>
        <w:rPr>
          <w:lang w:val="sv-SE"/>
        </w:rPr>
      </w:pPr>
      <w:bookmarkStart w:id="559" w:name="_Toc491854275"/>
      <w:bookmarkStart w:id="560" w:name="_Toc535854056"/>
      <w:r w:rsidRPr="00DB7D1E">
        <w:rPr>
          <w:lang w:val="sv-SE"/>
        </w:rPr>
        <w:t>32.02. cikk</w:t>
      </w:r>
      <w:bookmarkEnd w:id="559"/>
      <w:bookmarkEnd w:id="560"/>
    </w:p>
    <w:p w:rsidR="005624E3" w:rsidRPr="00DB7D1E" w:rsidRDefault="005624E3" w:rsidP="005624E3">
      <w:pPr>
        <w:pStyle w:val="ES-Titre3a"/>
        <w:rPr>
          <w:lang w:val="sv-SE"/>
        </w:rPr>
      </w:pPr>
      <w:bookmarkStart w:id="561" w:name="_Toc421775885"/>
      <w:bookmarkStart w:id="562" w:name="_Toc491854276"/>
      <w:bookmarkStart w:id="563" w:name="_Toc535854057"/>
      <w:r w:rsidRPr="00DB7D1E">
        <w:rPr>
          <w:lang w:val="sv-SE"/>
        </w:rPr>
        <w:t>Már üzemelő vízi járművekre vonatkozó átmeneti rendelkezések</w:t>
      </w:r>
      <w:bookmarkEnd w:id="561"/>
      <w:bookmarkEnd w:id="562"/>
      <w:bookmarkEnd w:id="563"/>
    </w:p>
    <w:p w:rsidR="005624E3" w:rsidRPr="00DB7D1E" w:rsidRDefault="005624E3" w:rsidP="005624E3">
      <w:pPr>
        <w:spacing w:line="240" w:lineRule="atLeast"/>
        <w:ind w:left="567" w:hanging="567"/>
        <w:rPr>
          <w:lang w:val="sv-SE"/>
        </w:rPr>
      </w:pPr>
    </w:p>
    <w:p w:rsidR="005624E3" w:rsidRPr="00DB7D1E" w:rsidRDefault="005624E3" w:rsidP="005624E3">
      <w:pPr>
        <w:spacing w:line="240" w:lineRule="atLeast"/>
        <w:ind w:left="567" w:hanging="567"/>
        <w:rPr>
          <w:b/>
          <w:lang w:val="sv-SE"/>
        </w:rPr>
      </w:pPr>
      <w:r w:rsidRPr="00DB7D1E">
        <w:rPr>
          <w:lang w:val="sv-SE"/>
        </w:rPr>
        <w:t>1.</w:t>
      </w:r>
      <w:r w:rsidRPr="00DB7D1E">
        <w:rPr>
          <w:lang w:val="sv-SE"/>
        </w:rPr>
        <w:tab/>
        <w:t>Az e szabvány követelményeinek maradéktalanul meg nem felelő vízi járműveknek:</w:t>
      </w:r>
    </w:p>
    <w:p w:rsidR="005624E3" w:rsidRPr="00DB7D1E" w:rsidRDefault="005624E3" w:rsidP="005624E3">
      <w:pPr>
        <w:spacing w:before="60" w:line="240" w:lineRule="atLeast"/>
        <w:ind w:left="992"/>
        <w:rPr>
          <w:lang w:val="sv-SE"/>
        </w:rPr>
      </w:pPr>
      <w:r w:rsidRPr="00DB7D1E">
        <w:rPr>
          <w:lang w:val="sv-SE"/>
        </w:rPr>
        <w:t>a)</w:t>
      </w:r>
      <w:r w:rsidRPr="00DB7D1E">
        <w:rPr>
          <w:lang w:val="sv-SE"/>
        </w:rPr>
        <w:tab/>
        <w:t>átalakításra kell kerülniük, hogy az alábbi táblázatban felsorolt átmeneti rendelkezésekkel összhangban megfeleljenek a szóban forgó rendelkezéseknek; és</w:t>
      </w:r>
    </w:p>
    <w:p w:rsidR="005624E3" w:rsidRPr="00DB7D1E" w:rsidRDefault="005624E3" w:rsidP="005624E3">
      <w:pPr>
        <w:spacing w:before="60" w:line="240" w:lineRule="atLeast"/>
        <w:ind w:left="992"/>
        <w:rPr>
          <w:lang w:val="sv-SE"/>
        </w:rPr>
      </w:pPr>
      <w:r w:rsidRPr="00DB7D1E">
        <w:rPr>
          <w:lang w:val="sv-SE"/>
        </w:rPr>
        <w:t>b)</w:t>
      </w:r>
      <w:r w:rsidRPr="00DB7D1E">
        <w:rPr>
          <w:lang w:val="sv-SE"/>
        </w:rPr>
        <w:tab/>
        <w:t>átalakításukig meg kell felelniük a rajnai hajók 1994. december 31-én hatályban lévő szemleszabályzatának.</w:t>
      </w:r>
    </w:p>
    <w:p w:rsidR="005624E3" w:rsidRPr="00DB7D1E" w:rsidRDefault="005624E3" w:rsidP="005624E3">
      <w:pPr>
        <w:spacing w:line="240" w:lineRule="atLeast"/>
        <w:ind w:left="567" w:hanging="567"/>
        <w:rPr>
          <w:rFonts w:cs="Arial"/>
          <w:sz w:val="18"/>
          <w:szCs w:val="18"/>
          <w:lang w:val="sv-SE"/>
        </w:rPr>
      </w:pPr>
    </w:p>
    <w:p w:rsidR="005624E3" w:rsidRPr="00DB7D1E" w:rsidRDefault="005624E3" w:rsidP="005624E3">
      <w:pPr>
        <w:spacing w:before="60" w:line="240" w:lineRule="atLeast"/>
        <w:ind w:left="567"/>
        <w:rPr>
          <w:lang w:val="sv-SE"/>
        </w:rPr>
      </w:pPr>
      <w:r w:rsidRPr="00DB7D1E">
        <w:rPr>
          <w:lang w:val="sv-SE"/>
        </w:rPr>
        <w:t>Abban az esetben, ha a 32.01. cikk 1. bekezdésében meghatározott vízi jármű számára új belvízi hajóbizonyítványt állítanak ki, a rajnai hajóellenőrzési tanúsítványt megerősítésként be kell nyújtani, a rajnai hajóellenőrzési tanúsítványt vissza kell vonni, és az új belvízi hajóbizonyítvány 52. rovatába be kell jegyezni a rajnai hajók 1994. december 31-én hatályban lévő szemleszabályzata szerinti rajnai hajóellenőrzési tanúsítvány kiállításának dátumát az alábbiak szerint:</w:t>
      </w:r>
    </w:p>
    <w:p w:rsidR="005624E3" w:rsidRPr="00DB7D1E" w:rsidRDefault="005624E3" w:rsidP="005624E3">
      <w:pPr>
        <w:spacing w:before="60" w:line="240" w:lineRule="atLeast"/>
        <w:ind w:left="567"/>
        <w:rPr>
          <w:lang w:val="sv-SE"/>
        </w:rPr>
      </w:pPr>
      <w:r w:rsidRPr="00DB7D1E">
        <w:rPr>
          <w:lang w:val="sv-SE"/>
        </w:rPr>
        <w:t>„A rajnai hajók 1994. december 31-én hatályban lévő szemleszabályzata szerinti rajnai hajóellenőrzési tanúsítvány kibocsátásra került: …-án/-én.”</w:t>
      </w:r>
    </w:p>
    <w:p w:rsidR="005624E3" w:rsidRPr="00DB7D1E" w:rsidRDefault="005624E3" w:rsidP="005624E3">
      <w:pPr>
        <w:spacing w:line="240" w:lineRule="atLeast"/>
        <w:ind w:left="567" w:hanging="567"/>
        <w:rPr>
          <w:lang w:val="sv-SE"/>
        </w:rPr>
      </w:pPr>
    </w:p>
    <w:p w:rsidR="005624E3" w:rsidRPr="00DB7D1E" w:rsidRDefault="005624E3" w:rsidP="005624E3">
      <w:pPr>
        <w:rPr>
          <w:lang w:val="sv-SE"/>
        </w:rPr>
      </w:pPr>
      <w:r w:rsidRPr="00DB7D1E">
        <w:rPr>
          <w:lang w:val="sv-SE"/>
        </w:rPr>
        <w:br w:type="page"/>
      </w:r>
    </w:p>
    <w:p w:rsidR="005624E3" w:rsidRPr="00DB7D1E" w:rsidRDefault="005624E3" w:rsidP="005624E3">
      <w:pPr>
        <w:spacing w:line="240" w:lineRule="atLeast"/>
        <w:ind w:left="567" w:hanging="567"/>
        <w:rPr>
          <w:lang w:val="sv-SE"/>
        </w:rPr>
      </w:pPr>
      <w:r w:rsidRPr="00DB7D1E">
        <w:rPr>
          <w:lang w:val="sv-SE"/>
        </w:rPr>
        <w:t>2.</w:t>
      </w:r>
      <w:r w:rsidRPr="00DB7D1E">
        <w:rPr>
          <w:lang w:val="sv-SE"/>
        </w:rPr>
        <w:tab/>
        <w:t>Az alábbi táblázat alkalmazásában:</w:t>
      </w:r>
    </w:p>
    <w:p w:rsidR="005624E3" w:rsidRPr="00DB7D1E" w:rsidRDefault="005624E3" w:rsidP="005624E3">
      <w:pPr>
        <w:spacing w:line="240" w:lineRule="atLeast"/>
        <w:ind w:left="567" w:hanging="567"/>
        <w:rPr>
          <w:lang w:val="sv-SE"/>
        </w:rPr>
      </w:pPr>
    </w:p>
    <w:p w:rsidR="005624E3" w:rsidRPr="00DB7D1E" w:rsidRDefault="005624E3" w:rsidP="005624E3">
      <w:pPr>
        <w:spacing w:line="240" w:lineRule="atLeast"/>
        <w:ind w:left="567"/>
        <w:rPr>
          <w:lang w:val="sv-SE"/>
        </w:rPr>
      </w:pPr>
      <w:r w:rsidRPr="00DB7D1E">
        <w:rPr>
          <w:lang w:val="sv-SE"/>
        </w:rPr>
        <w:t>„N.R.C.”: arra utaló angol rövidítés, hogy a rendelkezés nem vonatkozik a már üzemelő vízi járművekre, kivéve, ha az érintett alkatrészeket kicserélik vagy átalakítják; azaz a rendelkezés csak újonnan épített (</w:t>
      </w:r>
      <w:r w:rsidRPr="00DB7D1E">
        <w:rPr>
          <w:u w:val="single"/>
          <w:lang w:val="sv-SE"/>
        </w:rPr>
        <w:t>N</w:t>
      </w:r>
      <w:r w:rsidRPr="00DB7D1E">
        <w:rPr>
          <w:lang w:val="sv-SE"/>
        </w:rPr>
        <w:t>ewly-built) vízi járművekre és az érintett alkatrészek vagy területek cseréjére (</w:t>
      </w:r>
      <w:r w:rsidRPr="00DB7D1E">
        <w:rPr>
          <w:u w:val="single"/>
          <w:lang w:val="sv-SE"/>
        </w:rPr>
        <w:t>R</w:t>
      </w:r>
      <w:r w:rsidRPr="00DB7D1E">
        <w:rPr>
          <w:lang w:val="sv-SE"/>
        </w:rPr>
        <w:t>eplacement) vagy átalakítására (</w:t>
      </w:r>
      <w:r w:rsidRPr="00DB7D1E">
        <w:rPr>
          <w:u w:val="single"/>
          <w:lang w:val="sv-SE"/>
        </w:rPr>
        <w:t>C</w:t>
      </w:r>
      <w:r w:rsidRPr="00DB7D1E">
        <w:rPr>
          <w:lang w:val="sv-SE"/>
        </w:rPr>
        <w:t xml:space="preserve">onversion) vonatkozik. Az átmeneti rendelkezések értelmében nem minősül cserének (R.), ha a meglevő alkatrészeket olyan cseredarabokkal váltották ki, amelyek ugyanolyan technológiájúak és ugyanolyan típusúak; </w:t>
      </w:r>
    </w:p>
    <w:p w:rsidR="005624E3" w:rsidRPr="00DB7D1E" w:rsidRDefault="005624E3" w:rsidP="005624E3">
      <w:pPr>
        <w:spacing w:line="240" w:lineRule="atLeast"/>
        <w:ind w:left="567"/>
        <w:rPr>
          <w:lang w:val="sv-SE"/>
        </w:rPr>
      </w:pPr>
    </w:p>
    <w:p w:rsidR="005624E3" w:rsidRPr="00DB7D1E" w:rsidRDefault="005624E3" w:rsidP="005624E3">
      <w:pPr>
        <w:tabs>
          <w:tab w:val="left" w:pos="4678"/>
        </w:tabs>
        <w:spacing w:line="240" w:lineRule="atLeast"/>
        <w:ind w:left="567"/>
        <w:rPr>
          <w:lang w:val="sv-SE"/>
        </w:rPr>
      </w:pPr>
      <w:r w:rsidRPr="00DB7D1E">
        <w:rPr>
          <w:lang w:val="sv-SE"/>
        </w:rPr>
        <w:t>„a belvízi hajóbizonyítvány kiadása/megújítása”: arra utaló bejegyzés, hogy a rendelkezésnek a belvízi hajóbizonyítványnak a táblázatban megadott időpontot követő következő kiadásáig vagy megújításáig eleget kell tenni.</w:t>
      </w:r>
    </w:p>
    <w:p w:rsidR="005624E3" w:rsidRPr="00DB7D1E" w:rsidRDefault="005624E3" w:rsidP="005624E3">
      <w:pPr>
        <w:spacing w:line="240" w:lineRule="atLeast"/>
        <w:ind w:left="567"/>
        <w:rPr>
          <w:lang w:val="sv-SE"/>
        </w:rPr>
      </w:pPr>
    </w:p>
    <w:p w:rsidR="005624E3" w:rsidRPr="00DB7D1E" w:rsidRDefault="005624E3" w:rsidP="005624E3">
      <w:pPr>
        <w:spacing w:line="240" w:lineRule="atLeast"/>
        <w:ind w:left="567"/>
        <w:rPr>
          <w:lang w:val="sv-SE"/>
        </w:rPr>
      </w:pPr>
    </w:p>
    <w:p w:rsidR="005624E3" w:rsidRPr="00DB7D1E" w:rsidRDefault="005624E3" w:rsidP="005624E3">
      <w:pPr>
        <w:spacing w:line="240" w:lineRule="atLeast"/>
        <w:ind w:left="567"/>
        <w:rPr>
          <w:lang w:val="sv-SE"/>
        </w:rPr>
        <w:sectPr w:rsidR="005624E3" w:rsidRPr="00DB7D1E" w:rsidSect="001E2331">
          <w:headerReference w:type="default" r:id="rId28"/>
          <w:footerReference w:type="default" r:id="rId29"/>
          <w:headerReference w:type="first" r:id="rId30"/>
          <w:footerReference w:type="first" r:id="rId31"/>
          <w:footnotePr>
            <w:numRestart w:val="eachPage"/>
          </w:footnotePr>
          <w:pgSz w:w="16838" w:h="11906" w:orient="landscape" w:code="9"/>
          <w:pgMar w:top="1418" w:right="1418" w:bottom="1418" w:left="1418" w:header="709" w:footer="709" w:gutter="0"/>
          <w:cols w:space="709"/>
          <w:titlePg/>
          <w:docGrid w:linePitch="272"/>
        </w:sectPr>
      </w:pPr>
    </w:p>
    <w:p w:rsidR="005624E3" w:rsidRPr="00DB7D1E" w:rsidRDefault="005624E3" w:rsidP="005624E3">
      <w:pPr>
        <w:spacing w:line="240" w:lineRule="atLeast"/>
        <w:ind w:left="567"/>
        <w:rPr>
          <w:lang w:val="sv-S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5624E3" w:rsidRPr="00C903F8" w:rsidTr="005758C9">
        <w:trPr>
          <w:cantSplit/>
          <w:tblHeader/>
          <w:jc w:val="center"/>
        </w:trPr>
        <w:tc>
          <w:tcPr>
            <w:tcW w:w="2800" w:type="dxa"/>
            <w:gridSpan w:val="2"/>
            <w:shd w:val="clear" w:color="auto" w:fill="auto"/>
          </w:tcPr>
          <w:p w:rsidR="005624E3" w:rsidRPr="00C903F8" w:rsidRDefault="005624E3" w:rsidP="00101A80">
            <w:pPr>
              <w:spacing w:before="120" w:after="120" w:line="240" w:lineRule="atLeast"/>
              <w:jc w:val="center"/>
              <w:rPr>
                <w:rFonts w:cs="Arial"/>
                <w:sz w:val="18"/>
                <w:szCs w:val="18"/>
              </w:rPr>
            </w:pPr>
            <w:r>
              <w:rPr>
                <w:i/>
                <w:sz w:val="18"/>
              </w:rPr>
              <w:t>Cikk és bekezdés</w:t>
            </w:r>
          </w:p>
        </w:tc>
        <w:tc>
          <w:tcPr>
            <w:tcW w:w="3296" w:type="dxa"/>
            <w:shd w:val="clear" w:color="auto" w:fill="auto"/>
          </w:tcPr>
          <w:p w:rsidR="005624E3" w:rsidRPr="00C903F8" w:rsidRDefault="005624E3" w:rsidP="00101A80">
            <w:pPr>
              <w:spacing w:before="120" w:after="120" w:line="240" w:lineRule="atLeast"/>
              <w:jc w:val="center"/>
              <w:rPr>
                <w:rFonts w:cs="Arial"/>
                <w:sz w:val="18"/>
                <w:szCs w:val="18"/>
              </w:rPr>
            </w:pPr>
            <w:r>
              <w:rPr>
                <w:i/>
                <w:sz w:val="18"/>
              </w:rPr>
              <w:t>Tartalom</w:t>
            </w:r>
          </w:p>
        </w:tc>
        <w:tc>
          <w:tcPr>
            <w:tcW w:w="7797" w:type="dxa"/>
            <w:gridSpan w:val="2"/>
            <w:shd w:val="clear" w:color="auto" w:fill="auto"/>
          </w:tcPr>
          <w:p w:rsidR="005624E3" w:rsidRPr="00C903F8" w:rsidRDefault="005624E3" w:rsidP="00101A80">
            <w:pPr>
              <w:spacing w:before="120" w:after="120" w:line="240" w:lineRule="atLeast"/>
              <w:jc w:val="center"/>
              <w:rPr>
                <w:rFonts w:cs="Arial"/>
                <w:sz w:val="18"/>
                <w:szCs w:val="18"/>
              </w:rPr>
            </w:pPr>
            <w:r>
              <w:rPr>
                <w:i/>
                <w:sz w:val="18"/>
              </w:rPr>
              <w:t>Határidő és megjegyzések</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b/>
                <w:sz w:val="18"/>
                <w:szCs w:val="18"/>
              </w:rPr>
            </w:pPr>
            <w:r>
              <w:rPr>
                <w:b/>
                <w:sz w:val="18"/>
              </w:rPr>
              <w:t>3. FEJEZET</w:t>
            </w:r>
          </w:p>
        </w:tc>
        <w:tc>
          <w:tcPr>
            <w:tcW w:w="6521" w:type="dxa"/>
            <w:shd w:val="clear" w:color="auto" w:fill="auto"/>
          </w:tcPr>
          <w:p w:rsidR="005624E3" w:rsidRPr="00C903F8" w:rsidRDefault="005624E3" w:rsidP="00101A80">
            <w:pPr>
              <w:spacing w:before="100" w:after="100" w:line="240" w:lineRule="atLeast"/>
              <w:jc w:val="center"/>
              <w:rPr>
                <w:rFonts w:cs="Arial"/>
                <w:sz w:val="18"/>
                <w:szCs w:val="18"/>
              </w:rPr>
            </w:pPr>
          </w:p>
        </w:tc>
        <w:tc>
          <w:tcPr>
            <w:tcW w:w="1276" w:type="dxa"/>
            <w:shd w:val="clear" w:color="auto" w:fill="auto"/>
          </w:tcPr>
          <w:p w:rsidR="005624E3" w:rsidRPr="00C903F8" w:rsidRDefault="005624E3" w:rsidP="00101A80">
            <w:pPr>
              <w:spacing w:before="100" w:after="100" w:line="240" w:lineRule="atLeast"/>
              <w:jc w:val="center"/>
              <w:rPr>
                <w:rFonts w:cs="Arial"/>
                <w:sz w:val="18"/>
                <w:szCs w:val="18"/>
              </w:rPr>
            </w:pPr>
          </w:p>
        </w:tc>
      </w:tr>
      <w:tr w:rsidR="005624E3" w:rsidRPr="00C903F8" w:rsidTr="005758C9">
        <w:trPr>
          <w:cantSplit/>
          <w:jc w:val="center"/>
        </w:trPr>
        <w:tc>
          <w:tcPr>
            <w:tcW w:w="1342" w:type="dxa"/>
            <w:vMerge w:val="restart"/>
            <w:shd w:val="clear" w:color="auto" w:fill="auto"/>
          </w:tcPr>
          <w:p w:rsidR="005624E3" w:rsidRPr="00C903F8" w:rsidRDefault="005624E3" w:rsidP="00101A80">
            <w:pPr>
              <w:spacing w:before="160" w:after="160" w:line="240" w:lineRule="atLeast"/>
              <w:rPr>
                <w:rFonts w:cs="Arial"/>
                <w:sz w:val="18"/>
                <w:szCs w:val="18"/>
              </w:rPr>
            </w:pPr>
            <w:r>
              <w:rPr>
                <w:sz w:val="18"/>
              </w:rPr>
              <w:t>3.03.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 bekezdés a) pont</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Az ütközési válaszfal helyzete</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b/>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 b) pont</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A farválaszfal helyzete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2035.01.01.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b/>
                <w:sz w:val="18"/>
                <w:szCs w:val="18"/>
              </w:rPr>
            </w:pPr>
          </w:p>
        </w:tc>
        <w:tc>
          <w:tcPr>
            <w:tcW w:w="1458"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Lakótér az ütközési válaszfal előtt</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b/>
                <w:sz w:val="18"/>
                <w:szCs w:val="18"/>
              </w:rPr>
            </w:pPr>
          </w:p>
        </w:tc>
        <w:tc>
          <w:tcPr>
            <w:tcW w:w="1458" w:type="dxa"/>
            <w:vMerge/>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tabs>
                <w:tab w:val="left" w:pos="2790"/>
              </w:tabs>
              <w:spacing w:before="120" w:after="120" w:line="240" w:lineRule="atLeast"/>
              <w:rPr>
                <w:rFonts w:cs="Arial"/>
                <w:sz w:val="18"/>
                <w:szCs w:val="18"/>
              </w:rPr>
            </w:pPr>
            <w:r>
              <w:rPr>
                <w:sz w:val="18"/>
              </w:rPr>
              <w:t>Lakótér a farválaszfal mögött</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trHeight w:val="675"/>
          <w:jc w:val="center"/>
        </w:trPr>
        <w:tc>
          <w:tcPr>
            <w:tcW w:w="1342" w:type="dxa"/>
            <w:vMerge/>
            <w:shd w:val="clear" w:color="auto" w:fill="auto"/>
          </w:tcPr>
          <w:p w:rsidR="005624E3" w:rsidRPr="00C903F8" w:rsidRDefault="005624E3" w:rsidP="00101A80">
            <w:pPr>
              <w:spacing w:before="120" w:after="120" w:line="240" w:lineRule="atLeast"/>
              <w:rPr>
                <w:rFonts w:cs="Arial"/>
                <w:b/>
                <w:sz w:val="18"/>
                <w:szCs w:val="18"/>
              </w:rPr>
            </w:pPr>
          </w:p>
        </w:tc>
        <w:tc>
          <w:tcPr>
            <w:tcW w:w="1458" w:type="dxa"/>
            <w:vMerge/>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Biztonsági berendezések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b/>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sz w:val="18"/>
              </w:rPr>
              <w:t>A lakóterek gázzáró módon való elválasztása a gépterektől, kazánterektől és rakományterektől</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b/>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5. bekezdés második albekezdés</w:t>
            </w:r>
          </w:p>
        </w:tc>
        <w:tc>
          <w:tcPr>
            <w:tcW w:w="3296" w:type="dxa"/>
            <w:shd w:val="clear" w:color="auto" w:fill="auto"/>
          </w:tcPr>
          <w:p w:rsidR="005624E3" w:rsidRPr="00C903F8" w:rsidRDefault="005624E3" w:rsidP="00101A80">
            <w:pPr>
              <w:tabs>
                <w:tab w:val="left" w:pos="1260"/>
              </w:tabs>
              <w:spacing w:before="80" w:after="80" w:line="240" w:lineRule="atLeast"/>
              <w:rPr>
                <w:rFonts w:cs="Arial"/>
                <w:sz w:val="18"/>
                <w:szCs w:val="18"/>
              </w:rPr>
            </w:pPr>
            <w:r>
              <w:rPr>
                <w:sz w:val="18"/>
              </w:rPr>
              <w:t>A farválaszfalon lévő ajtók ellenőrzése</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b/>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sz w:val="18"/>
              </w:rPr>
              <w:t>A hajók orr-részén túl nem nyúló horgonyok</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2041.01.01.</w:t>
            </w:r>
          </w:p>
        </w:tc>
      </w:tr>
      <w:tr w:rsidR="005624E3" w:rsidRPr="00C903F8" w:rsidTr="005758C9">
        <w:trPr>
          <w:cantSplit/>
          <w:jc w:val="center"/>
        </w:trPr>
        <w:tc>
          <w:tcPr>
            <w:tcW w:w="1342" w:type="dxa"/>
            <w:shd w:val="clear" w:color="auto" w:fill="auto"/>
          </w:tcPr>
          <w:p w:rsidR="005624E3" w:rsidRPr="00C903F8" w:rsidRDefault="005624E3" w:rsidP="00101A80">
            <w:pPr>
              <w:spacing w:before="80" w:after="80" w:line="240" w:lineRule="atLeast"/>
              <w:rPr>
                <w:rFonts w:cs="Arial"/>
                <w:sz w:val="18"/>
                <w:szCs w:val="18"/>
              </w:rPr>
            </w:pPr>
            <w:r>
              <w:rPr>
                <w:sz w:val="18"/>
              </w:rPr>
              <w:t>3.04. cikk</w:t>
            </w: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sz w:val="18"/>
              </w:rPr>
              <w:t>Gépterek kijáratai</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Azokat a géptereket, amelyeket az 1.01. cikk értelmében nem tekintettek géptérnek 1995 előtt, fel kell szerelni egy második kijárattal, 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2035.01.01.</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40" w:after="140" w:line="240" w:lineRule="atLeast"/>
              <w:jc w:val="center"/>
              <w:rPr>
                <w:rFonts w:cs="Arial"/>
                <w:sz w:val="18"/>
                <w:szCs w:val="18"/>
              </w:rPr>
            </w:pPr>
            <w:r>
              <w:rPr>
                <w:b/>
                <w:sz w:val="18"/>
              </w:rPr>
              <w:t>5. FEJEZET</w:t>
            </w:r>
          </w:p>
        </w:tc>
        <w:tc>
          <w:tcPr>
            <w:tcW w:w="6521" w:type="dxa"/>
            <w:shd w:val="clear" w:color="auto" w:fill="auto"/>
          </w:tcPr>
          <w:p w:rsidR="005624E3" w:rsidRPr="00C903F8" w:rsidRDefault="005624E3" w:rsidP="00101A80">
            <w:pPr>
              <w:spacing w:before="140" w:after="140" w:line="240" w:lineRule="atLeast"/>
              <w:jc w:val="center"/>
              <w:rPr>
                <w:rFonts w:cs="Arial"/>
                <w:b/>
                <w:sz w:val="18"/>
                <w:szCs w:val="18"/>
              </w:rPr>
            </w:pPr>
          </w:p>
        </w:tc>
        <w:tc>
          <w:tcPr>
            <w:tcW w:w="1276" w:type="dxa"/>
            <w:shd w:val="clear" w:color="auto" w:fill="auto"/>
          </w:tcPr>
          <w:p w:rsidR="005624E3" w:rsidRPr="00C903F8" w:rsidRDefault="005624E3" w:rsidP="00101A80">
            <w:pPr>
              <w:spacing w:before="140" w:after="140" w:line="240" w:lineRule="atLeast"/>
              <w:jc w:val="center"/>
              <w:rPr>
                <w:rFonts w:cs="Arial"/>
                <w:sz w:val="18"/>
                <w:szCs w:val="18"/>
              </w:rPr>
            </w:pPr>
          </w:p>
        </w:tc>
      </w:tr>
      <w:tr w:rsidR="005624E3" w:rsidRPr="00C903F8" w:rsidTr="005758C9">
        <w:trPr>
          <w:cantSplit/>
          <w:trHeight w:val="832"/>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5.06.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 első mondat</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Minimális menetsebesség</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2035.01.01.</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80" w:after="80" w:line="240" w:lineRule="atLeast"/>
              <w:jc w:val="center"/>
              <w:rPr>
                <w:rFonts w:cs="Arial"/>
                <w:sz w:val="18"/>
                <w:szCs w:val="18"/>
              </w:rPr>
            </w:pPr>
            <w:r>
              <w:rPr>
                <w:b/>
                <w:sz w:val="18"/>
              </w:rPr>
              <w:t>6. FEJEZET</w:t>
            </w:r>
          </w:p>
        </w:tc>
        <w:tc>
          <w:tcPr>
            <w:tcW w:w="6521" w:type="dxa"/>
            <w:shd w:val="clear" w:color="auto" w:fill="auto"/>
          </w:tcPr>
          <w:p w:rsidR="005624E3" w:rsidRPr="00C903F8" w:rsidRDefault="005624E3" w:rsidP="00101A80">
            <w:pPr>
              <w:spacing w:before="80" w:after="80" w:line="240" w:lineRule="atLeast"/>
              <w:jc w:val="center"/>
              <w:rPr>
                <w:rFonts w:cs="Arial"/>
                <w:sz w:val="18"/>
                <w:szCs w:val="18"/>
              </w:rPr>
            </w:pPr>
          </w:p>
        </w:tc>
        <w:tc>
          <w:tcPr>
            <w:tcW w:w="1276" w:type="dxa"/>
            <w:shd w:val="clear" w:color="auto" w:fill="auto"/>
          </w:tcPr>
          <w:p w:rsidR="005624E3" w:rsidRPr="00C903F8" w:rsidRDefault="005624E3" w:rsidP="00101A80">
            <w:pPr>
              <w:spacing w:before="80" w:after="80" w:line="240" w:lineRule="atLeast"/>
              <w:jc w:val="center"/>
              <w:rPr>
                <w:rFonts w:cs="Arial"/>
                <w:sz w:val="18"/>
                <w:szCs w:val="18"/>
              </w:rPr>
            </w:pPr>
          </w:p>
        </w:tc>
      </w:tr>
      <w:tr w:rsidR="005624E3" w:rsidRPr="00C903F8" w:rsidTr="005758C9">
        <w:trPr>
          <w:cantSplit/>
          <w:jc w:val="center"/>
        </w:trPr>
        <w:tc>
          <w:tcPr>
            <w:tcW w:w="1342" w:type="dxa"/>
            <w:vMerge w:val="restart"/>
            <w:shd w:val="clear" w:color="auto" w:fill="auto"/>
          </w:tcPr>
          <w:p w:rsidR="005624E3" w:rsidRPr="00C903F8" w:rsidRDefault="005624E3" w:rsidP="00101A80">
            <w:pPr>
              <w:spacing w:before="140" w:after="140" w:line="240" w:lineRule="atLeast"/>
              <w:rPr>
                <w:rFonts w:cs="Arial"/>
                <w:sz w:val="18"/>
                <w:szCs w:val="18"/>
              </w:rPr>
            </w:pPr>
            <w:r>
              <w:rPr>
                <w:sz w:val="18"/>
              </w:rPr>
              <w:t>6.01.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40" w:after="140"/>
              <w:rPr>
                <w:rFonts w:cs="Arial"/>
                <w:sz w:val="18"/>
                <w:szCs w:val="18"/>
              </w:rPr>
            </w:pPr>
            <w:r>
              <w:rPr>
                <w:sz w:val="18"/>
              </w:rPr>
              <w:t>Az 5. fejezetben előírt műveletképesség</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2035.01.01.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3. bekezdés</w:t>
            </w:r>
          </w:p>
        </w:tc>
        <w:tc>
          <w:tcPr>
            <w:tcW w:w="3296" w:type="dxa"/>
            <w:shd w:val="clear" w:color="auto" w:fill="auto"/>
          </w:tcPr>
          <w:p w:rsidR="005624E3" w:rsidRPr="00C903F8" w:rsidRDefault="00166EA9" w:rsidP="00101A80">
            <w:pPr>
              <w:spacing w:before="140" w:after="140"/>
              <w:rPr>
                <w:rFonts w:cs="Arial"/>
                <w:sz w:val="18"/>
                <w:szCs w:val="18"/>
              </w:rPr>
            </w:pPr>
            <w:r w:rsidRPr="00166EA9">
              <w:rPr>
                <w:sz w:val="18"/>
              </w:rPr>
              <w:t>Állandó dőlésszög és környezeti hőmérséklet</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2010.01.01.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spacing w:before="140" w:after="140"/>
              <w:rPr>
                <w:rFonts w:cs="Arial"/>
                <w:sz w:val="18"/>
                <w:szCs w:val="18"/>
              </w:rPr>
            </w:pPr>
            <w:r>
              <w:rPr>
                <w:sz w:val="18"/>
              </w:rPr>
              <w:t>A kormányszár szerkezete</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2015.01.01.</w:t>
            </w:r>
          </w:p>
        </w:tc>
      </w:tr>
      <w:tr w:rsidR="005624E3" w:rsidRPr="00C903F8" w:rsidTr="005758C9">
        <w:trPr>
          <w:cantSplit/>
          <w:jc w:val="center"/>
        </w:trPr>
        <w:tc>
          <w:tcPr>
            <w:tcW w:w="1342"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6.02. cikk</w:t>
            </w:r>
          </w:p>
        </w:tc>
        <w:tc>
          <w:tcPr>
            <w:tcW w:w="1458"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20" w:after="120"/>
              <w:rPr>
                <w:rFonts w:cs="Arial"/>
                <w:sz w:val="18"/>
                <w:szCs w:val="18"/>
              </w:rPr>
            </w:pPr>
            <w:r>
              <w:rPr>
                <w:sz w:val="18"/>
              </w:rPr>
              <w:t xml:space="preserve">Külön hidraulikatartályok megléte </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sz w:val="18"/>
                <w:szCs w:val="18"/>
              </w:rPr>
            </w:pPr>
          </w:p>
        </w:tc>
        <w:tc>
          <w:tcPr>
            <w:tcW w:w="1458" w:type="dxa"/>
            <w:vMerge/>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Két vezérlőszelep hidraulikus meghajtóegységek esetében</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sz w:val="18"/>
                <w:szCs w:val="18"/>
              </w:rPr>
            </w:pPr>
          </w:p>
        </w:tc>
        <w:tc>
          <w:tcPr>
            <w:tcW w:w="1458" w:type="dxa"/>
            <w:vMerge/>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tabs>
                <w:tab w:val="left" w:pos="1125"/>
              </w:tabs>
              <w:spacing w:before="120" w:after="120" w:line="240" w:lineRule="atLeast"/>
              <w:rPr>
                <w:rFonts w:cs="Arial"/>
                <w:sz w:val="18"/>
                <w:szCs w:val="18"/>
              </w:rPr>
            </w:pPr>
            <w:r>
              <w:rPr>
                <w:sz w:val="18"/>
              </w:rPr>
              <w:t>Külön csővezeték a második meghajtóegység számára hidraulikus meghajtóegységek esetében</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Külön csővezeték a második meghajtóegység számára hidraulikus meghajtóegységek esetében</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Az 5. fejezetben előírt műveletképesség biztosítása egy második meghajtóegységgel vagy kézi hajtással</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2035.01.01.</w:t>
            </w:r>
          </w:p>
        </w:tc>
      </w:tr>
      <w:tr w:rsidR="005624E3" w:rsidRPr="00C903F8" w:rsidTr="005758C9">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6.03.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Egyéb fogyasztók rákapcsolása a kormánygép hidraulikus meghajtóegységére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6.05.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Gépi meghajtóegység nélküli, kézi kormánykerék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C903F8" w:rsidRDefault="005624E3" w:rsidP="00101A80">
            <w:pPr>
              <w:spacing w:before="140" w:after="140" w:line="240" w:lineRule="atLeast"/>
              <w:rPr>
                <w:rFonts w:cs="Arial"/>
                <w:sz w:val="18"/>
                <w:szCs w:val="18"/>
              </w:rPr>
            </w:pPr>
            <w:r>
              <w:rPr>
                <w:sz w:val="18"/>
              </w:rPr>
              <w:t>6.06.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Két egymástól független kormányvezérlés</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2015.01.01.</w:t>
            </w:r>
          </w:p>
        </w:tc>
      </w:tr>
      <w:tr w:rsidR="005624E3" w:rsidRPr="00C903F8" w:rsidTr="005758C9">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6.07.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2. bekezdés a)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A hidraulikatartályok szintjére és a hidraulikus rendszer üzemi nyomására vonatkozó riasztás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6.08.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Az elektromos berendezésekre vonatkozó, 10.20. cikk szerinti követelmények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20" w:after="120" w:line="240" w:lineRule="atLeast"/>
              <w:jc w:val="center"/>
              <w:rPr>
                <w:rFonts w:cs="Arial"/>
                <w:sz w:val="18"/>
                <w:szCs w:val="18"/>
              </w:rPr>
            </w:pPr>
            <w:r>
              <w:rPr>
                <w:b/>
                <w:sz w:val="18"/>
              </w:rPr>
              <w:t>7. FEJEZET</w:t>
            </w:r>
          </w:p>
        </w:tc>
        <w:tc>
          <w:tcPr>
            <w:tcW w:w="6521" w:type="dxa"/>
            <w:shd w:val="clear" w:color="auto" w:fill="auto"/>
          </w:tcPr>
          <w:p w:rsidR="005624E3" w:rsidRPr="00C903F8" w:rsidRDefault="005624E3" w:rsidP="00101A80">
            <w:pPr>
              <w:spacing w:before="120" w:after="120" w:line="240" w:lineRule="atLeast"/>
              <w:rPr>
                <w:rFonts w:cs="Arial"/>
                <w:sz w:val="18"/>
                <w:szCs w:val="18"/>
              </w:rPr>
            </w:pP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5758C9">
        <w:trPr>
          <w:cantSplit/>
          <w:jc w:val="center"/>
        </w:trPr>
        <w:tc>
          <w:tcPr>
            <w:tcW w:w="1342"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7.02.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3. bekezdés második albekezdés</w:t>
            </w:r>
          </w:p>
        </w:tc>
        <w:tc>
          <w:tcPr>
            <w:tcW w:w="3296" w:type="dxa"/>
            <w:shd w:val="clear" w:color="auto" w:fill="auto"/>
          </w:tcPr>
          <w:p w:rsidR="005624E3" w:rsidRPr="00C903F8" w:rsidRDefault="005758C9" w:rsidP="00101A80">
            <w:pPr>
              <w:spacing w:before="120" w:after="120" w:line="240" w:lineRule="atLeast"/>
              <w:rPr>
                <w:rFonts w:cs="Arial"/>
                <w:sz w:val="18"/>
                <w:szCs w:val="18"/>
              </w:rPr>
            </w:pPr>
            <w:r w:rsidRPr="005758C9">
              <w:rPr>
                <w:color w:val="000000"/>
                <w:sz w:val="18"/>
              </w:rPr>
              <w:t>Szabad kilátás a kormányos szokásos látóterének tengelyében</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sz w:val="18"/>
                <w:szCs w:val="18"/>
              </w:rPr>
            </w:pPr>
          </w:p>
        </w:tc>
        <w:tc>
          <w:tcPr>
            <w:tcW w:w="1458"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6. bekezdés</w:t>
            </w:r>
          </w:p>
        </w:tc>
        <w:tc>
          <w:tcPr>
            <w:tcW w:w="3296"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Minimális fényátbocsátás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A0619C"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sz w:val="18"/>
                <w:szCs w:val="18"/>
              </w:rPr>
            </w:pPr>
          </w:p>
        </w:tc>
        <w:tc>
          <w:tcPr>
            <w:tcW w:w="1458" w:type="dxa"/>
            <w:vMerge/>
            <w:shd w:val="clear" w:color="auto" w:fill="auto"/>
          </w:tcPr>
          <w:p w:rsidR="005624E3" w:rsidRPr="00C903F8" w:rsidRDefault="005624E3" w:rsidP="00101A80">
            <w:pPr>
              <w:spacing w:before="120" w:after="120" w:line="240" w:lineRule="atLeast"/>
              <w:rPr>
                <w:rFonts w:cs="Arial"/>
                <w:sz w:val="18"/>
                <w:szCs w:val="18"/>
              </w:rPr>
            </w:pPr>
          </w:p>
        </w:tc>
        <w:tc>
          <w:tcPr>
            <w:tcW w:w="3296" w:type="dxa"/>
            <w:vMerge/>
            <w:shd w:val="clear" w:color="auto" w:fill="auto"/>
          </w:tcPr>
          <w:p w:rsidR="005624E3" w:rsidRPr="00C903F8" w:rsidRDefault="005624E3" w:rsidP="00101A80">
            <w:pPr>
              <w:spacing w:before="120" w:after="120" w:line="240" w:lineRule="atLeast"/>
              <w:rPr>
                <w:rFonts w:cs="Arial"/>
                <w:sz w:val="18"/>
                <w:szCs w:val="18"/>
              </w:rPr>
            </w:pP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színezett üvegezéssel rendelkező hajók esetében, ha teljesülnek az alábbi feltételek:</w:t>
            </w:r>
          </w:p>
          <w:p w:rsidR="005624E3" w:rsidRPr="00C903F8" w:rsidRDefault="005624E3" w:rsidP="00101A80">
            <w:pPr>
              <w:spacing w:before="120" w:after="120" w:line="240" w:lineRule="atLeast"/>
              <w:ind w:left="262" w:hanging="262"/>
              <w:rPr>
                <w:rFonts w:cs="Arial"/>
                <w:sz w:val="18"/>
                <w:szCs w:val="18"/>
              </w:rPr>
            </w:pPr>
            <w:r>
              <w:rPr>
                <w:sz w:val="18"/>
              </w:rPr>
              <w:t>-</w:t>
            </w:r>
            <w:r>
              <w:tab/>
            </w:r>
            <w:r>
              <w:rPr>
                <w:sz w:val="18"/>
              </w:rPr>
              <w:t>az ablakok színezése zöld, és fényátbocsátásuk legalább 60 %-os,</w:t>
            </w:r>
          </w:p>
          <w:p w:rsidR="005624E3" w:rsidRPr="00C903F8" w:rsidRDefault="005624E3" w:rsidP="00101A80">
            <w:pPr>
              <w:spacing w:before="120" w:after="120" w:line="240" w:lineRule="atLeast"/>
              <w:ind w:left="262" w:hanging="262"/>
              <w:rPr>
                <w:rFonts w:cs="Arial"/>
                <w:sz w:val="18"/>
                <w:szCs w:val="18"/>
              </w:rPr>
            </w:pPr>
            <w:r>
              <w:rPr>
                <w:sz w:val="18"/>
              </w:rPr>
              <w:t>-</w:t>
            </w:r>
            <w:r>
              <w:tab/>
            </w:r>
            <w:r>
              <w:rPr>
                <w:sz w:val="18"/>
              </w:rPr>
              <w:t>a kormányállás plafonját úgy alakították ki, hogy ne tükröződhessen az ablakokon,</w:t>
            </w:r>
          </w:p>
          <w:p w:rsidR="005624E3" w:rsidRPr="00C903F8" w:rsidRDefault="005624E3" w:rsidP="00101A80">
            <w:pPr>
              <w:spacing w:before="120" w:after="120" w:line="240" w:lineRule="atLeast"/>
              <w:ind w:left="262" w:hanging="262"/>
              <w:rPr>
                <w:rFonts w:cs="Arial"/>
                <w:sz w:val="18"/>
                <w:szCs w:val="18"/>
              </w:rPr>
            </w:pPr>
            <w:r>
              <w:rPr>
                <w:sz w:val="18"/>
              </w:rPr>
              <w:t>-</w:t>
            </w:r>
            <w:r>
              <w:tab/>
            </w:r>
            <w:r>
              <w:rPr>
                <w:sz w:val="18"/>
              </w:rPr>
              <w:t>a kormányállásban lévő fényforrások fokozatmentesen szabályozhatók vagy kikapcsolhatók,</w:t>
            </w:r>
          </w:p>
          <w:p w:rsidR="005624E3" w:rsidRPr="00C903F8" w:rsidRDefault="005624E3" w:rsidP="00101A80">
            <w:pPr>
              <w:spacing w:before="120" w:after="120" w:line="240" w:lineRule="atLeast"/>
              <w:ind w:left="262" w:hanging="262"/>
              <w:rPr>
                <w:rFonts w:cs="Arial"/>
                <w:sz w:val="18"/>
                <w:szCs w:val="18"/>
              </w:rPr>
            </w:pPr>
            <w:r>
              <w:rPr>
                <w:sz w:val="18"/>
              </w:rPr>
              <w:t>-</w:t>
            </w:r>
            <w:r>
              <w:tab/>
            </w:r>
            <w:r>
              <w:rPr>
                <w:sz w:val="18"/>
              </w:rPr>
              <w:t>minden észszerű intézkedést megtettek az egyéb tükröződések elkerülésére.</w:t>
            </w: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rPr>
                <w:rFonts w:cs="Arial"/>
                <w:sz w:val="18"/>
                <w:szCs w:val="18"/>
              </w:rPr>
            </w:pPr>
            <w:r>
              <w:rPr>
                <w:sz w:val="18"/>
              </w:rPr>
              <w:t>6. bekezdés</w:t>
            </w:r>
          </w:p>
        </w:tc>
        <w:tc>
          <w:tcPr>
            <w:tcW w:w="3296" w:type="dxa"/>
            <w:shd w:val="clear" w:color="auto" w:fill="auto"/>
          </w:tcPr>
          <w:p w:rsidR="005624E3" w:rsidRPr="00C903F8" w:rsidRDefault="005624E3" w:rsidP="00101A80">
            <w:pPr>
              <w:spacing w:before="120" w:after="120"/>
              <w:rPr>
                <w:rFonts w:cs="Arial"/>
                <w:sz w:val="18"/>
                <w:szCs w:val="18"/>
              </w:rPr>
            </w:pPr>
            <w:r>
              <w:rPr>
                <w:sz w:val="18"/>
              </w:rPr>
              <w:t>Biztonsági üvegből készült kivitel</w:t>
            </w:r>
          </w:p>
        </w:tc>
        <w:tc>
          <w:tcPr>
            <w:tcW w:w="6521" w:type="dxa"/>
            <w:shd w:val="clear" w:color="auto" w:fill="auto"/>
          </w:tcPr>
          <w:p w:rsidR="005624E3" w:rsidRPr="00C903F8" w:rsidRDefault="005624E3" w:rsidP="00101A80">
            <w:pPr>
              <w:spacing w:before="120" w:after="120"/>
              <w:rPr>
                <w:rFonts w:cs="Arial"/>
                <w:sz w:val="18"/>
                <w:szCs w:val="18"/>
              </w:rPr>
            </w:pPr>
            <w:r>
              <w:rPr>
                <w:sz w:val="18"/>
              </w:rPr>
              <w:t>N.R.C.</w:t>
            </w: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A0619C" w:rsidTr="005758C9">
        <w:trPr>
          <w:cantSplit/>
          <w:jc w:val="center"/>
        </w:trPr>
        <w:tc>
          <w:tcPr>
            <w:tcW w:w="1342"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7.03.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Riasztók leállítása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kivéve ha a kormányállást egyszemélyes radarhajózásra alakították ki</w:t>
            </w: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8. bekezdés</w:t>
            </w:r>
          </w:p>
        </w:tc>
        <w:tc>
          <w:tcPr>
            <w:tcW w:w="3296" w:type="dxa"/>
            <w:shd w:val="clear" w:color="auto" w:fill="auto"/>
          </w:tcPr>
          <w:p w:rsidR="005624E3" w:rsidRPr="009942A5" w:rsidRDefault="005624E3" w:rsidP="00101A80">
            <w:pPr>
              <w:spacing w:before="120" w:after="120" w:line="240" w:lineRule="atLeast"/>
              <w:rPr>
                <w:rFonts w:cs="Arial"/>
                <w:sz w:val="18"/>
                <w:szCs w:val="18"/>
              </w:rPr>
            </w:pPr>
            <w:r>
              <w:rPr>
                <w:sz w:val="18"/>
              </w:rPr>
              <w:t>Automatikus átkapcsolás másik áramforrásra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A0619C" w:rsidTr="005758C9">
        <w:trPr>
          <w:cantSplit/>
          <w:jc w:val="center"/>
        </w:trPr>
        <w:tc>
          <w:tcPr>
            <w:tcW w:w="1342" w:type="dxa"/>
            <w:vMerge w:val="restart"/>
            <w:shd w:val="clear" w:color="auto" w:fill="auto"/>
          </w:tcPr>
          <w:p w:rsidR="005624E3" w:rsidRPr="00C903F8" w:rsidRDefault="005624E3" w:rsidP="00101A80">
            <w:pPr>
              <w:spacing w:before="80" w:after="80" w:line="240" w:lineRule="atLeast"/>
              <w:rPr>
                <w:rFonts w:cs="Arial"/>
                <w:sz w:val="18"/>
                <w:szCs w:val="18"/>
              </w:rPr>
            </w:pPr>
            <w:r>
              <w:rPr>
                <w:sz w:val="18"/>
              </w:rPr>
              <w:t>7.04. cikk</w:t>
            </w: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Az egyes főmotorok vezérlése</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noProof/>
                <w:sz w:val="18"/>
              </w:rPr>
              <w:t>Ha a kormányállást nem egyszemélyes radarhajózásra alakították ki: 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 xml:space="preserve">2035.01.01. </w:t>
            </w:r>
            <w:r>
              <w:rPr>
                <w:rFonts w:cs="Arial"/>
                <w:sz w:val="18"/>
                <w:szCs w:val="18"/>
              </w:rPr>
              <w:br/>
            </w:r>
            <w:r>
              <w:rPr>
                <w:sz w:val="18"/>
              </w:rPr>
              <w:t>ha a mozgás iránya közvetlenül befolyásolható;</w:t>
            </w:r>
            <w:r>
              <w:rPr>
                <w:rFonts w:cs="Arial"/>
                <w:sz w:val="18"/>
                <w:szCs w:val="18"/>
              </w:rPr>
              <w:br/>
            </w:r>
            <w:r>
              <w:rPr>
                <w:sz w:val="18"/>
              </w:rPr>
              <w:t xml:space="preserve">2010.01.01. </w:t>
            </w:r>
            <w:r>
              <w:rPr>
                <w:rFonts w:cs="Arial"/>
                <w:sz w:val="18"/>
                <w:szCs w:val="18"/>
              </w:rPr>
              <w:br/>
            </w:r>
            <w:r>
              <w:rPr>
                <w:sz w:val="18"/>
              </w:rPr>
              <w:t>egyéb motoroknál.</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Kijelzés</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noProof/>
                <w:sz w:val="18"/>
              </w:rPr>
              <w:t>Ha a kormányállást nem egyszemélyes radarhajózásra alakították ki: 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9. bekezdés harmadik mondat</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Karral történő szabályozás</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9. bekezdés negyedik mondat</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A tolóerő irányának egyértelmű mutatása</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2010.01.01.</w:t>
            </w:r>
          </w:p>
        </w:tc>
      </w:tr>
      <w:tr w:rsidR="005624E3" w:rsidRPr="00A0619C" w:rsidTr="005758C9">
        <w:trPr>
          <w:cantSplit/>
          <w:jc w:val="center"/>
        </w:trPr>
        <w:tc>
          <w:tcPr>
            <w:tcW w:w="1342" w:type="dxa"/>
            <w:tcBorders>
              <w:bottom w:val="single" w:sz="4" w:space="0" w:color="auto"/>
            </w:tcBorders>
            <w:shd w:val="clear" w:color="auto" w:fill="auto"/>
          </w:tcPr>
          <w:p w:rsidR="005624E3" w:rsidRPr="00337011" w:rsidRDefault="005624E3" w:rsidP="00101A80">
            <w:pPr>
              <w:spacing w:before="60" w:after="60" w:line="240" w:lineRule="atLeast"/>
              <w:rPr>
                <w:rFonts w:cs="Arial"/>
                <w:sz w:val="18"/>
                <w:szCs w:val="18"/>
              </w:rPr>
            </w:pPr>
            <w:r>
              <w:rPr>
                <w:sz w:val="18"/>
              </w:rPr>
              <w:t>7.05. cikk</w:t>
            </w:r>
          </w:p>
        </w:tc>
        <w:tc>
          <w:tcPr>
            <w:tcW w:w="1458" w:type="dxa"/>
            <w:tcBorders>
              <w:bottom w:val="single" w:sz="4" w:space="0" w:color="auto"/>
            </w:tcBorders>
            <w:shd w:val="clear" w:color="auto" w:fill="auto"/>
          </w:tcPr>
          <w:p w:rsidR="005624E3" w:rsidRPr="00643C51" w:rsidRDefault="005624E3" w:rsidP="00101A80">
            <w:pPr>
              <w:spacing w:before="80" w:after="80" w:line="240" w:lineRule="atLeast"/>
              <w:rPr>
                <w:rFonts w:cs="Arial"/>
                <w:sz w:val="18"/>
                <w:szCs w:val="18"/>
              </w:rPr>
            </w:pPr>
            <w:r>
              <w:rPr>
                <w:sz w:val="18"/>
              </w:rPr>
              <w:t>1. bekezdés</w:t>
            </w:r>
          </w:p>
        </w:tc>
        <w:tc>
          <w:tcPr>
            <w:tcW w:w="3296" w:type="dxa"/>
            <w:shd w:val="clear" w:color="auto" w:fill="auto"/>
          </w:tcPr>
          <w:p w:rsidR="005624E3" w:rsidRPr="00643C51" w:rsidRDefault="005624E3" w:rsidP="00101A80">
            <w:pPr>
              <w:spacing w:before="80" w:after="80" w:line="240" w:lineRule="atLeast"/>
              <w:rPr>
                <w:rFonts w:cs="Arial"/>
                <w:sz w:val="18"/>
                <w:szCs w:val="18"/>
              </w:rPr>
            </w:pPr>
            <w:r>
              <w:rPr>
                <w:sz w:val="18"/>
              </w:rPr>
              <w:t>Navigációs fények, azok burkolata, tartozékai és fényforrásai</w:t>
            </w:r>
          </w:p>
        </w:tc>
        <w:tc>
          <w:tcPr>
            <w:tcW w:w="6521" w:type="dxa"/>
            <w:shd w:val="clear" w:color="auto" w:fill="auto"/>
          </w:tcPr>
          <w:p w:rsidR="005624E3" w:rsidRPr="00643C51" w:rsidRDefault="005624E3" w:rsidP="00101A80">
            <w:pPr>
              <w:spacing w:before="80" w:after="80" w:line="240" w:lineRule="atLeast"/>
              <w:rPr>
                <w:rFonts w:cs="Arial"/>
                <w:sz w:val="18"/>
                <w:szCs w:val="18"/>
              </w:rPr>
            </w:pPr>
            <w:r>
              <w:rPr>
                <w:sz w:val="18"/>
              </w:rPr>
              <w:t>Továbbra is használhatók azok a navigációs fények, burkolatok, tartozékok és fényforrások, amelyek megfelelnek a fedélzeti fények színére és erősségére, továbbá a navigációs fényeknek a rajnai hajózáshoz való elfogadására vonatkozó, 2009. november 30-től hatályos követelményeknek.</w:t>
            </w:r>
          </w:p>
        </w:tc>
        <w:tc>
          <w:tcPr>
            <w:tcW w:w="1276" w:type="dxa"/>
            <w:shd w:val="clear" w:color="auto" w:fill="auto"/>
          </w:tcPr>
          <w:p w:rsidR="005624E3" w:rsidRPr="00643C51"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vMerge w:val="restart"/>
            <w:tcBorders>
              <w:bottom w:val="nil"/>
            </w:tcBorders>
            <w:shd w:val="clear" w:color="auto" w:fill="auto"/>
          </w:tcPr>
          <w:p w:rsidR="005624E3" w:rsidRPr="00643C51" w:rsidRDefault="005624E3" w:rsidP="00101A80">
            <w:pPr>
              <w:spacing w:before="60" w:after="60" w:line="240" w:lineRule="atLeast"/>
              <w:rPr>
                <w:rFonts w:cs="Arial"/>
                <w:sz w:val="18"/>
                <w:szCs w:val="18"/>
              </w:rPr>
            </w:pPr>
            <w:r>
              <w:rPr>
                <w:sz w:val="18"/>
              </w:rPr>
              <w:t>7.06. cikk</w:t>
            </w:r>
          </w:p>
        </w:tc>
        <w:tc>
          <w:tcPr>
            <w:tcW w:w="1458" w:type="dxa"/>
            <w:tcBorders>
              <w:bottom w:val="nil"/>
            </w:tcBorders>
            <w:shd w:val="clear" w:color="auto" w:fill="auto"/>
          </w:tcPr>
          <w:p w:rsidR="005624E3" w:rsidRPr="00643C51"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643C51" w:rsidRDefault="005624E3" w:rsidP="00101A80">
            <w:pPr>
              <w:spacing w:before="60" w:after="60" w:line="240" w:lineRule="atLeast"/>
              <w:rPr>
                <w:rFonts w:cs="Arial"/>
                <w:sz w:val="18"/>
                <w:szCs w:val="18"/>
              </w:rPr>
            </w:pPr>
            <w:r>
              <w:rPr>
                <w:noProof/>
                <w:sz w:val="18"/>
              </w:rPr>
              <w:t>1990. január 1-je előtt jóváhagyott fordulási szögsebességjelzők</w:t>
            </w:r>
          </w:p>
        </w:tc>
        <w:tc>
          <w:tcPr>
            <w:tcW w:w="6521" w:type="dxa"/>
            <w:shd w:val="clear" w:color="auto" w:fill="auto"/>
          </w:tcPr>
          <w:p w:rsidR="005624E3" w:rsidRPr="00643C51" w:rsidRDefault="005624E3" w:rsidP="00101A80">
            <w:pPr>
              <w:spacing w:before="60" w:after="60" w:line="240" w:lineRule="atLeast"/>
              <w:rPr>
                <w:rFonts w:cs="Arial"/>
                <w:sz w:val="18"/>
                <w:szCs w:val="18"/>
              </w:rPr>
            </w:pPr>
            <w:r>
              <w:rPr>
                <w:sz w:val="18"/>
              </w:rPr>
              <w:t>Az 1990. január 1-je előtt jóváhagyott és 2000. január 1-je előtt beszerelt fordulási szögsebességjelzők a belvízi hajóbizonyítvány 2015. január 1-je után történő megújításáig megtarthatók és használhatók, amennyiben rendelkeznek a 2006/87/EK irányelv</w:t>
            </w:r>
            <w:r>
              <w:rPr>
                <w:rStyle w:val="FootnoteReference"/>
                <w:sz w:val="18"/>
              </w:rPr>
              <w:footnoteReference w:id="25"/>
            </w:r>
            <w:r>
              <w:rPr>
                <w:sz w:val="18"/>
              </w:rPr>
              <w:t xml:space="preserve"> vagy az 1989-II-35 CCNR-határozat szerinti érvényes beszerelési bizonyítvánnyal.</w:t>
            </w:r>
          </w:p>
        </w:tc>
        <w:tc>
          <w:tcPr>
            <w:tcW w:w="1276" w:type="dxa"/>
            <w:shd w:val="clear" w:color="auto" w:fill="auto"/>
          </w:tcPr>
          <w:p w:rsidR="005624E3" w:rsidRPr="00643C51"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vMerge/>
            <w:tcBorders>
              <w:top w:val="nil"/>
            </w:tcBorders>
            <w:shd w:val="clear" w:color="auto" w:fill="auto"/>
          </w:tcPr>
          <w:p w:rsidR="005624E3" w:rsidRPr="00643C51" w:rsidRDefault="005624E3" w:rsidP="00101A80">
            <w:pPr>
              <w:spacing w:before="40" w:after="40" w:line="240" w:lineRule="atLeast"/>
              <w:rPr>
                <w:rFonts w:cs="Arial"/>
                <w:sz w:val="18"/>
                <w:szCs w:val="18"/>
              </w:rPr>
            </w:pPr>
          </w:p>
        </w:tc>
        <w:tc>
          <w:tcPr>
            <w:tcW w:w="1458" w:type="dxa"/>
            <w:vMerge w:val="restart"/>
            <w:tcBorders>
              <w:top w:val="nil"/>
            </w:tcBorders>
            <w:shd w:val="clear" w:color="auto" w:fill="auto"/>
          </w:tcPr>
          <w:p w:rsidR="005624E3" w:rsidRPr="00643C51" w:rsidRDefault="005624E3" w:rsidP="00101A80">
            <w:pPr>
              <w:spacing w:before="40" w:after="40" w:line="240" w:lineRule="atLeast"/>
              <w:rPr>
                <w:rFonts w:cs="Arial"/>
                <w:sz w:val="18"/>
                <w:szCs w:val="18"/>
              </w:rPr>
            </w:pPr>
            <w:r>
              <w:rPr>
                <w:sz w:val="18"/>
              </w:rPr>
              <w:t>1. bekezdés</w:t>
            </w:r>
          </w:p>
        </w:tc>
        <w:tc>
          <w:tcPr>
            <w:tcW w:w="3296" w:type="dxa"/>
            <w:shd w:val="clear" w:color="auto" w:fill="auto"/>
          </w:tcPr>
          <w:p w:rsidR="005624E3" w:rsidRPr="00643C51" w:rsidRDefault="005624E3" w:rsidP="00101A80">
            <w:pPr>
              <w:spacing w:before="40" w:after="40" w:line="240" w:lineRule="atLeast"/>
              <w:rPr>
                <w:rFonts w:cs="Arial"/>
                <w:sz w:val="18"/>
                <w:szCs w:val="18"/>
              </w:rPr>
            </w:pPr>
            <w:r>
              <w:rPr>
                <w:noProof/>
                <w:sz w:val="18"/>
              </w:rPr>
              <w:t>Az 1990. január 1-je után jóváhagyott navigációs radarberendezések és fordulási szögsebességjelzők</w:t>
            </w:r>
          </w:p>
        </w:tc>
        <w:tc>
          <w:tcPr>
            <w:tcW w:w="6521" w:type="dxa"/>
            <w:shd w:val="clear" w:color="auto" w:fill="auto"/>
          </w:tcPr>
          <w:p w:rsidR="005624E3" w:rsidRPr="00643C51" w:rsidRDefault="005624E3" w:rsidP="00101A80">
            <w:pPr>
              <w:spacing w:before="40" w:after="40" w:line="240" w:lineRule="atLeast"/>
              <w:rPr>
                <w:rFonts w:cs="Arial"/>
                <w:sz w:val="18"/>
                <w:szCs w:val="18"/>
              </w:rPr>
            </w:pPr>
            <w:r>
              <w:rPr>
                <w:sz w:val="18"/>
              </w:rPr>
              <w:t>A rajnai belvízi hajózáshoz használt navigációs radarberendezésekre vonatkozó minimumkövetelményeknek és vizsgálati feltételeknek, valamint a rajnai belvízi hajózáshoz használt fordulási szögsebességjelzőkre vonatkozó minimumkövetelményeknek és vizsgálati feltételeknek megfelelően 1990. január 1-jén vagy az után jóváhagyott navigációs radarberendezések és fordulási szögsebességjelzők továbbra is beszerelhetők és használhatók, amennyiben rendelkeznek az e szabvány, a 2006/87/EK irányelv vagy az 1989-II-35 CCNR-határozat szerinti érvényes beszerelési bizonyítvánnyal.</w:t>
            </w:r>
          </w:p>
        </w:tc>
        <w:tc>
          <w:tcPr>
            <w:tcW w:w="1276" w:type="dxa"/>
            <w:shd w:val="clear" w:color="auto" w:fill="auto"/>
          </w:tcPr>
          <w:p w:rsidR="005624E3" w:rsidRPr="00643C51" w:rsidRDefault="005624E3" w:rsidP="00101A80">
            <w:pPr>
              <w:spacing w:before="40" w:after="40" w:line="240" w:lineRule="atLeast"/>
              <w:rPr>
                <w:rFonts w:cs="Arial"/>
                <w:sz w:val="18"/>
                <w:szCs w:val="18"/>
              </w:rPr>
            </w:pPr>
          </w:p>
        </w:tc>
      </w:tr>
      <w:tr w:rsidR="005624E3" w:rsidRPr="00A0619C" w:rsidTr="005758C9">
        <w:trPr>
          <w:cantSplit/>
          <w:jc w:val="center"/>
        </w:trPr>
        <w:tc>
          <w:tcPr>
            <w:tcW w:w="1342" w:type="dxa"/>
            <w:vMerge/>
            <w:shd w:val="clear" w:color="auto" w:fill="auto"/>
          </w:tcPr>
          <w:p w:rsidR="005624E3" w:rsidRPr="00643C51" w:rsidRDefault="005624E3" w:rsidP="00101A80">
            <w:pPr>
              <w:spacing w:before="40" w:after="40" w:line="240" w:lineRule="atLeast"/>
              <w:rPr>
                <w:rFonts w:cs="Arial"/>
                <w:sz w:val="18"/>
                <w:szCs w:val="18"/>
              </w:rPr>
            </w:pPr>
          </w:p>
        </w:tc>
        <w:tc>
          <w:tcPr>
            <w:tcW w:w="1458" w:type="dxa"/>
            <w:vMerge/>
            <w:shd w:val="clear" w:color="auto" w:fill="auto"/>
          </w:tcPr>
          <w:p w:rsidR="005624E3" w:rsidRPr="00643C51" w:rsidRDefault="005624E3" w:rsidP="00101A80">
            <w:pPr>
              <w:spacing w:before="40" w:after="40" w:line="240" w:lineRule="atLeast"/>
              <w:rPr>
                <w:rFonts w:cs="Arial"/>
                <w:sz w:val="18"/>
                <w:szCs w:val="18"/>
              </w:rPr>
            </w:pPr>
          </w:p>
        </w:tc>
        <w:tc>
          <w:tcPr>
            <w:tcW w:w="3296" w:type="dxa"/>
            <w:shd w:val="clear" w:color="auto" w:fill="auto"/>
          </w:tcPr>
          <w:p w:rsidR="005624E3" w:rsidRPr="00643C51" w:rsidRDefault="005624E3" w:rsidP="00101A80">
            <w:pPr>
              <w:spacing w:before="40" w:after="40" w:line="240" w:lineRule="atLeast"/>
              <w:rPr>
                <w:rFonts w:cs="Arial"/>
                <w:noProof/>
                <w:sz w:val="18"/>
                <w:szCs w:val="18"/>
              </w:rPr>
            </w:pPr>
            <w:r>
              <w:rPr>
                <w:noProof/>
                <w:sz w:val="18"/>
              </w:rPr>
              <w:t>A 2006. december 31. után jóváhagyott navigációs radarberendezések és fordulási szögsebességjelzők</w:t>
            </w:r>
          </w:p>
        </w:tc>
        <w:tc>
          <w:tcPr>
            <w:tcW w:w="6521" w:type="dxa"/>
            <w:shd w:val="clear" w:color="auto" w:fill="auto"/>
          </w:tcPr>
          <w:p w:rsidR="005624E3" w:rsidRPr="00643C51" w:rsidRDefault="005624E3" w:rsidP="00101A80">
            <w:pPr>
              <w:spacing w:before="40" w:after="40" w:line="240" w:lineRule="atLeast"/>
              <w:rPr>
                <w:rFonts w:cs="Arial"/>
                <w:sz w:val="18"/>
                <w:szCs w:val="18"/>
              </w:rPr>
            </w:pPr>
            <w:r>
              <w:rPr>
                <w:sz w:val="18"/>
              </w:rPr>
              <w:t>A 2006/87/EK irányelvben meghatározott minimumkövetelményeknek és vizsgálati feltételeknek megfelelően 2006. december 31-én vagy az után jóváhagyott navigációs radarberendezések és fordulási szögsebességjelzők továbbra is beszerelhetők és használhatók, amennyiben rendelkeznek az e szabvány vagy a 2006/87/EK irányelv szerinti érvényes beszerelési bizonyítvánnyal.</w:t>
            </w:r>
          </w:p>
        </w:tc>
        <w:tc>
          <w:tcPr>
            <w:tcW w:w="1276" w:type="dxa"/>
            <w:shd w:val="clear" w:color="auto" w:fill="auto"/>
          </w:tcPr>
          <w:p w:rsidR="005624E3" w:rsidRPr="00643C51" w:rsidRDefault="005624E3" w:rsidP="00101A80">
            <w:pPr>
              <w:spacing w:before="40" w:after="40" w:line="240" w:lineRule="atLeast"/>
              <w:rPr>
                <w:rFonts w:cs="Arial"/>
                <w:sz w:val="18"/>
                <w:szCs w:val="18"/>
              </w:rPr>
            </w:pPr>
          </w:p>
        </w:tc>
      </w:tr>
      <w:tr w:rsidR="005624E3" w:rsidRPr="00A0619C" w:rsidTr="005758C9">
        <w:trPr>
          <w:cantSplit/>
          <w:jc w:val="center"/>
        </w:trPr>
        <w:tc>
          <w:tcPr>
            <w:tcW w:w="1342" w:type="dxa"/>
            <w:vMerge/>
            <w:tcBorders>
              <w:bottom w:val="nil"/>
            </w:tcBorders>
            <w:shd w:val="clear" w:color="auto" w:fill="auto"/>
          </w:tcPr>
          <w:p w:rsidR="005624E3" w:rsidRPr="00643C51" w:rsidRDefault="005624E3" w:rsidP="00101A80">
            <w:pPr>
              <w:spacing w:before="40" w:after="40" w:line="240" w:lineRule="atLeast"/>
              <w:rPr>
                <w:rFonts w:cs="Arial"/>
                <w:sz w:val="18"/>
                <w:szCs w:val="18"/>
              </w:rPr>
            </w:pPr>
          </w:p>
        </w:tc>
        <w:tc>
          <w:tcPr>
            <w:tcW w:w="1458" w:type="dxa"/>
            <w:vMerge/>
            <w:tcBorders>
              <w:bottom w:val="nil"/>
            </w:tcBorders>
            <w:shd w:val="clear" w:color="auto" w:fill="auto"/>
          </w:tcPr>
          <w:p w:rsidR="005624E3" w:rsidRPr="00643C51" w:rsidRDefault="005624E3" w:rsidP="00101A80">
            <w:pPr>
              <w:spacing w:before="40" w:after="40" w:line="240" w:lineRule="atLeast"/>
              <w:rPr>
                <w:rFonts w:cs="Arial"/>
                <w:sz w:val="18"/>
                <w:szCs w:val="18"/>
              </w:rPr>
            </w:pPr>
          </w:p>
        </w:tc>
        <w:tc>
          <w:tcPr>
            <w:tcW w:w="3296" w:type="dxa"/>
            <w:tcBorders>
              <w:bottom w:val="single" w:sz="4" w:space="0" w:color="auto"/>
            </w:tcBorders>
            <w:shd w:val="clear" w:color="auto" w:fill="auto"/>
          </w:tcPr>
          <w:p w:rsidR="005624E3" w:rsidRPr="00643C51" w:rsidRDefault="005624E3" w:rsidP="00101A80">
            <w:pPr>
              <w:spacing w:before="40" w:after="40" w:line="240" w:lineRule="atLeast"/>
              <w:rPr>
                <w:rFonts w:cs="Arial"/>
                <w:noProof/>
                <w:sz w:val="18"/>
                <w:szCs w:val="18"/>
              </w:rPr>
            </w:pPr>
            <w:r>
              <w:rPr>
                <w:noProof/>
                <w:sz w:val="18"/>
              </w:rPr>
              <w:t>A 2009. december 1-je után jóváhagyott navigációs radarberendezések és fordulási szögsebességjelzők</w:t>
            </w:r>
          </w:p>
        </w:tc>
        <w:tc>
          <w:tcPr>
            <w:tcW w:w="6521" w:type="dxa"/>
            <w:shd w:val="clear" w:color="auto" w:fill="auto"/>
          </w:tcPr>
          <w:p w:rsidR="005624E3" w:rsidRPr="00643C51" w:rsidRDefault="005624E3" w:rsidP="00101A80">
            <w:pPr>
              <w:spacing w:before="40" w:after="40" w:line="240" w:lineRule="atLeast"/>
              <w:rPr>
                <w:rFonts w:cs="Arial"/>
                <w:sz w:val="18"/>
                <w:szCs w:val="18"/>
              </w:rPr>
            </w:pPr>
            <w:r>
              <w:rPr>
                <w:sz w:val="18"/>
              </w:rPr>
              <w:t>A 2008-II-11 CCNR-határozat minimumkövetelményeinek és vizsgálati feltételeinek megfelelően 2009. december 1-jén vagy az után jóváhagyott navigációs radarberendezések és fordulási szögsebességjelzők továbbra is beszerelhetők és használhatók, amennyiben rendelkeznek az e szabvány vagy a 2008-II-11 CCNR-határozat szerinti érvényes beszerelési bizonyítvánnyal.</w:t>
            </w:r>
          </w:p>
        </w:tc>
        <w:tc>
          <w:tcPr>
            <w:tcW w:w="1276" w:type="dxa"/>
            <w:shd w:val="clear" w:color="auto" w:fill="auto"/>
          </w:tcPr>
          <w:p w:rsidR="005624E3" w:rsidRPr="00643C51" w:rsidRDefault="005624E3" w:rsidP="00101A80">
            <w:pPr>
              <w:spacing w:before="40" w:after="40" w:line="240" w:lineRule="atLeast"/>
              <w:rPr>
                <w:rFonts w:cs="Arial"/>
                <w:sz w:val="18"/>
                <w:szCs w:val="18"/>
              </w:rPr>
            </w:pP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tcBorders>
              <w:top w:val="nil"/>
              <w:bottom w:val="nil"/>
            </w:tcBorders>
            <w:shd w:val="clear" w:color="auto" w:fill="auto"/>
          </w:tcPr>
          <w:p w:rsidR="005624E3" w:rsidRPr="00020C43" w:rsidRDefault="005624E3" w:rsidP="00101A80">
            <w:pPr>
              <w:spacing w:before="60" w:after="60" w:line="240" w:lineRule="atLeast"/>
              <w:rPr>
                <w:rFonts w:cs="Arial"/>
                <w:sz w:val="18"/>
                <w:szCs w:val="18"/>
              </w:rPr>
            </w:pPr>
            <w:r>
              <w:rPr>
                <w:sz w:val="18"/>
              </w:rPr>
              <w:t>3. bekezdés</w:t>
            </w:r>
          </w:p>
        </w:tc>
        <w:tc>
          <w:tcPr>
            <w:tcW w:w="3296" w:type="dxa"/>
            <w:tcBorders>
              <w:bottom w:val="nil"/>
            </w:tcBorders>
            <w:shd w:val="clear" w:color="auto" w:fill="auto"/>
          </w:tcPr>
          <w:p w:rsidR="005624E3" w:rsidRPr="00020C43" w:rsidRDefault="005624E3" w:rsidP="00101A80">
            <w:pPr>
              <w:spacing w:before="60" w:after="60" w:line="240" w:lineRule="atLeast"/>
              <w:rPr>
                <w:rFonts w:cs="Arial"/>
                <w:sz w:val="18"/>
                <w:szCs w:val="18"/>
              </w:rPr>
            </w:pPr>
            <w:r>
              <w:rPr>
                <w:sz w:val="18"/>
              </w:rPr>
              <w:t>Belvízi AIS-berendezés</w:t>
            </w:r>
          </w:p>
        </w:tc>
        <w:tc>
          <w:tcPr>
            <w:tcW w:w="6521" w:type="dxa"/>
            <w:shd w:val="clear" w:color="auto" w:fill="auto"/>
          </w:tcPr>
          <w:p w:rsidR="005624E3" w:rsidRPr="00643C51" w:rsidRDefault="005624E3" w:rsidP="00101A80">
            <w:pPr>
              <w:spacing w:before="40" w:after="40" w:line="240" w:lineRule="atLeast"/>
              <w:rPr>
                <w:rFonts w:cs="Arial"/>
                <w:sz w:val="18"/>
                <w:szCs w:val="18"/>
              </w:rPr>
            </w:pPr>
            <w:r>
              <w:rPr>
                <w:sz w:val="18"/>
              </w:rPr>
              <w:t>A belvízi AIS vizsgálati szabvány 1.0 és 1.01 kiadása szerinti típusjóváhagyással rendelkező és 2015. december 1-je előtt felszerelt belvízi AIS-berendezések továbbra is használhatók.</w:t>
            </w: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A0619C" w:rsidTr="005758C9">
        <w:trPr>
          <w:cantSplit/>
          <w:jc w:val="center"/>
        </w:trPr>
        <w:tc>
          <w:tcPr>
            <w:tcW w:w="1342" w:type="dxa"/>
            <w:tcBorders>
              <w:top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tcBorders>
              <w:top w:val="nil"/>
            </w:tcBorders>
            <w:shd w:val="clear" w:color="auto" w:fill="auto"/>
          </w:tcPr>
          <w:p w:rsidR="005624E3" w:rsidRPr="00EB50AB" w:rsidRDefault="005624E3" w:rsidP="00101A80">
            <w:pPr>
              <w:spacing w:before="60" w:after="60" w:line="240" w:lineRule="atLeast"/>
              <w:rPr>
                <w:rFonts w:cs="Arial"/>
                <w:sz w:val="18"/>
                <w:szCs w:val="18"/>
              </w:rPr>
            </w:pPr>
          </w:p>
        </w:tc>
        <w:tc>
          <w:tcPr>
            <w:tcW w:w="3296" w:type="dxa"/>
            <w:tcBorders>
              <w:top w:val="nil"/>
            </w:tcBorders>
            <w:shd w:val="clear" w:color="auto" w:fill="auto"/>
          </w:tcPr>
          <w:p w:rsidR="005624E3" w:rsidRPr="00EB50AB" w:rsidRDefault="005624E3" w:rsidP="00101A80">
            <w:pPr>
              <w:spacing w:before="60" w:after="60" w:line="240" w:lineRule="atLeast"/>
              <w:rPr>
                <w:rFonts w:cs="Arial"/>
                <w:sz w:val="18"/>
                <w:szCs w:val="18"/>
              </w:rPr>
            </w:pPr>
          </w:p>
        </w:tc>
        <w:tc>
          <w:tcPr>
            <w:tcW w:w="6521" w:type="dxa"/>
            <w:shd w:val="clear" w:color="auto" w:fill="auto"/>
          </w:tcPr>
          <w:p w:rsidR="005624E3" w:rsidRPr="00020C43" w:rsidRDefault="005624E3" w:rsidP="00101A80">
            <w:pPr>
              <w:spacing w:before="40" w:after="40" w:line="240" w:lineRule="atLeast"/>
              <w:rPr>
                <w:rFonts w:cs="Arial"/>
                <w:sz w:val="18"/>
                <w:szCs w:val="18"/>
              </w:rPr>
            </w:pPr>
            <w:r>
              <w:rPr>
                <w:sz w:val="18"/>
              </w:rPr>
              <w:t>A 2012-II-20 CCNR-határozattal elfogadott belvízi AIS vizsgálati szabvány 2.0 kiadásának követelményei szerinti jóváhagyást 2012. október 19-én vagy azt követően elnyerő belvízi AIS-berendezések továbbra is felszerelhetők és használhatók.</w:t>
            </w: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5758C9">
        <w:trPr>
          <w:cantSplit/>
          <w:jc w:val="center"/>
        </w:trPr>
        <w:tc>
          <w:tcPr>
            <w:tcW w:w="1342" w:type="dxa"/>
            <w:shd w:val="clear" w:color="auto" w:fill="auto"/>
          </w:tcPr>
          <w:p w:rsidR="005624E3" w:rsidRPr="00C903F8" w:rsidRDefault="005624E3" w:rsidP="00101A80">
            <w:pPr>
              <w:spacing w:before="240" w:after="240" w:line="240" w:lineRule="atLeast"/>
              <w:rPr>
                <w:rFonts w:cs="Arial"/>
                <w:sz w:val="18"/>
                <w:szCs w:val="18"/>
              </w:rPr>
            </w:pPr>
            <w:r>
              <w:rPr>
                <w:sz w:val="18"/>
              </w:rPr>
              <w:t>7.09. cikk</w:t>
            </w:r>
          </w:p>
        </w:tc>
        <w:tc>
          <w:tcPr>
            <w:tcW w:w="1458" w:type="dxa"/>
            <w:tcBorders>
              <w:bottom w:val="single" w:sz="4" w:space="0" w:color="auto"/>
            </w:tcBorders>
            <w:shd w:val="clear" w:color="auto" w:fill="auto"/>
          </w:tcPr>
          <w:p w:rsidR="005624E3" w:rsidRPr="00C903F8" w:rsidRDefault="005624E3" w:rsidP="00101A80">
            <w:pPr>
              <w:spacing w:before="240" w:after="240" w:line="240" w:lineRule="atLeast"/>
              <w:rPr>
                <w:rFonts w:cs="Arial"/>
                <w:sz w:val="18"/>
                <w:szCs w:val="18"/>
              </w:rPr>
            </w:pPr>
          </w:p>
        </w:tc>
        <w:tc>
          <w:tcPr>
            <w:tcW w:w="3296" w:type="dxa"/>
            <w:tcBorders>
              <w:bottom w:val="single" w:sz="4" w:space="0" w:color="auto"/>
            </w:tcBorders>
            <w:shd w:val="clear" w:color="auto" w:fill="auto"/>
          </w:tcPr>
          <w:p w:rsidR="005624E3" w:rsidRPr="00C903F8" w:rsidRDefault="005624E3" w:rsidP="00101A80">
            <w:pPr>
              <w:spacing w:before="240" w:after="240" w:line="240" w:lineRule="atLeast"/>
              <w:rPr>
                <w:rFonts w:cs="Arial"/>
                <w:sz w:val="18"/>
                <w:szCs w:val="18"/>
              </w:rPr>
            </w:pPr>
            <w:r>
              <w:rPr>
                <w:noProof/>
                <w:sz w:val="18"/>
              </w:rPr>
              <w:t>Riasztórendszer</w:t>
            </w:r>
          </w:p>
        </w:tc>
        <w:tc>
          <w:tcPr>
            <w:tcW w:w="6521" w:type="dxa"/>
            <w:shd w:val="clear" w:color="auto" w:fill="auto"/>
          </w:tcPr>
          <w:p w:rsidR="005624E3" w:rsidRPr="00C903F8" w:rsidRDefault="005624E3" w:rsidP="00101A80">
            <w:pPr>
              <w:spacing w:before="240" w:after="2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2010.01.01.</w:t>
            </w:r>
          </w:p>
        </w:tc>
      </w:tr>
      <w:tr w:rsidR="005624E3" w:rsidRPr="00A0619C" w:rsidTr="005758C9">
        <w:trPr>
          <w:cantSplit/>
          <w:jc w:val="center"/>
        </w:trPr>
        <w:tc>
          <w:tcPr>
            <w:tcW w:w="1342"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7.12. cikk</w:t>
            </w:r>
          </w:p>
        </w:tc>
        <w:tc>
          <w:tcPr>
            <w:tcW w:w="1458"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 xml:space="preserve">4. bekezdés </w:t>
            </w:r>
            <w:r>
              <w:rPr>
                <w:rFonts w:cs="Arial"/>
                <w:sz w:val="18"/>
                <w:szCs w:val="18"/>
              </w:rPr>
              <w:br/>
            </w:r>
            <w:r>
              <w:rPr>
                <w:sz w:val="18"/>
              </w:rPr>
              <w:t>második mondat</w:t>
            </w:r>
          </w:p>
        </w:tc>
        <w:tc>
          <w:tcPr>
            <w:tcW w:w="3296"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Kijelző</w:t>
            </w:r>
          </w:p>
        </w:tc>
        <w:tc>
          <w:tcPr>
            <w:tcW w:w="6521"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9942A5" w:rsidRDefault="005624E3" w:rsidP="00101A80">
            <w:pPr>
              <w:widowControl w:val="0"/>
              <w:spacing w:before="60" w:after="60" w:line="240" w:lineRule="atLeast"/>
              <w:rPr>
                <w:rFonts w:cs="Arial"/>
                <w:sz w:val="18"/>
                <w:szCs w:val="18"/>
              </w:rPr>
            </w:pPr>
          </w:p>
        </w:tc>
      </w:tr>
      <w:tr w:rsidR="005624E3" w:rsidRPr="0092687B" w:rsidTr="005758C9">
        <w:trPr>
          <w:cantSplit/>
          <w:trHeight w:val="517"/>
          <w:jc w:val="center"/>
        </w:trPr>
        <w:tc>
          <w:tcPr>
            <w:tcW w:w="1342" w:type="dxa"/>
            <w:vMerge/>
            <w:shd w:val="clear" w:color="auto" w:fill="auto"/>
          </w:tcPr>
          <w:p w:rsidR="005624E3" w:rsidRPr="007406CD" w:rsidRDefault="005624E3" w:rsidP="00101A80">
            <w:pPr>
              <w:spacing w:before="120" w:after="120" w:line="240" w:lineRule="atLeast"/>
              <w:rPr>
                <w:rFonts w:cs="Arial"/>
                <w:sz w:val="18"/>
                <w:szCs w:val="18"/>
              </w:rPr>
            </w:pPr>
          </w:p>
        </w:tc>
        <w:tc>
          <w:tcPr>
            <w:tcW w:w="1458"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5. bekezdés</w:t>
            </w:r>
          </w:p>
        </w:tc>
        <w:tc>
          <w:tcPr>
            <w:tcW w:w="3296"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Megállás és rögzítés</w:t>
            </w:r>
          </w:p>
        </w:tc>
        <w:tc>
          <w:tcPr>
            <w:tcW w:w="6521"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2025.01.01.</w:t>
            </w:r>
          </w:p>
        </w:tc>
      </w:tr>
      <w:tr w:rsidR="005624E3" w:rsidRPr="0092687B" w:rsidTr="005758C9">
        <w:trPr>
          <w:cantSplit/>
          <w:trHeight w:val="553"/>
          <w:jc w:val="center"/>
        </w:trPr>
        <w:tc>
          <w:tcPr>
            <w:tcW w:w="1342" w:type="dxa"/>
            <w:vMerge/>
            <w:shd w:val="clear" w:color="auto" w:fill="auto"/>
          </w:tcPr>
          <w:p w:rsidR="005624E3" w:rsidRPr="007406CD" w:rsidRDefault="005624E3" w:rsidP="00101A80">
            <w:pPr>
              <w:spacing w:before="120" w:after="120" w:line="240" w:lineRule="atLeast"/>
              <w:rPr>
                <w:rFonts w:cs="Arial"/>
                <w:sz w:val="18"/>
                <w:szCs w:val="18"/>
              </w:rPr>
            </w:pPr>
          </w:p>
        </w:tc>
        <w:tc>
          <w:tcPr>
            <w:tcW w:w="1458"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6. bekezdés</w:t>
            </w:r>
          </w:p>
        </w:tc>
        <w:tc>
          <w:tcPr>
            <w:tcW w:w="3296"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Automatikus kikapcsolás</w:t>
            </w:r>
          </w:p>
        </w:tc>
        <w:tc>
          <w:tcPr>
            <w:tcW w:w="6521"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2025.01.01.</w:t>
            </w:r>
          </w:p>
        </w:tc>
      </w:tr>
      <w:tr w:rsidR="005624E3" w:rsidRPr="0092687B" w:rsidTr="005758C9">
        <w:trPr>
          <w:cantSplit/>
          <w:jc w:val="center"/>
        </w:trPr>
        <w:tc>
          <w:tcPr>
            <w:tcW w:w="1342" w:type="dxa"/>
            <w:vMerge/>
            <w:shd w:val="clear" w:color="auto" w:fill="auto"/>
          </w:tcPr>
          <w:p w:rsidR="005624E3" w:rsidRPr="007406CD" w:rsidRDefault="005624E3" w:rsidP="00101A80">
            <w:pPr>
              <w:spacing w:before="120" w:after="120" w:line="240" w:lineRule="atLeast"/>
              <w:rPr>
                <w:rFonts w:cs="Arial"/>
                <w:sz w:val="18"/>
                <w:szCs w:val="18"/>
              </w:rPr>
            </w:pPr>
          </w:p>
        </w:tc>
        <w:tc>
          <w:tcPr>
            <w:tcW w:w="1458"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 xml:space="preserve">7. bekezdés </w:t>
            </w:r>
            <w:r>
              <w:rPr>
                <w:rFonts w:cs="Arial"/>
                <w:sz w:val="18"/>
                <w:szCs w:val="18"/>
              </w:rPr>
              <w:br/>
            </w:r>
            <w:r>
              <w:rPr>
                <w:sz w:val="18"/>
              </w:rPr>
              <w:t>első és második mondat</w:t>
            </w:r>
          </w:p>
        </w:tc>
        <w:tc>
          <w:tcPr>
            <w:tcW w:w="3296"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Szabályok és óvintézkedések</w:t>
            </w:r>
          </w:p>
        </w:tc>
        <w:tc>
          <w:tcPr>
            <w:tcW w:w="6521"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2025.01.01.</w:t>
            </w:r>
          </w:p>
        </w:tc>
      </w:tr>
      <w:tr w:rsidR="005624E3" w:rsidRPr="00A0619C" w:rsidTr="005758C9">
        <w:trPr>
          <w:cantSplit/>
          <w:jc w:val="center"/>
        </w:trPr>
        <w:tc>
          <w:tcPr>
            <w:tcW w:w="1342" w:type="dxa"/>
            <w:vMerge/>
            <w:shd w:val="clear" w:color="auto" w:fill="auto"/>
          </w:tcPr>
          <w:p w:rsidR="005624E3" w:rsidRPr="007406CD" w:rsidRDefault="005624E3" w:rsidP="00101A80">
            <w:pPr>
              <w:spacing w:before="120" w:after="120" w:line="240" w:lineRule="atLeast"/>
              <w:rPr>
                <w:rFonts w:cs="Arial"/>
                <w:sz w:val="18"/>
                <w:szCs w:val="18"/>
              </w:rPr>
            </w:pPr>
          </w:p>
        </w:tc>
        <w:tc>
          <w:tcPr>
            <w:tcW w:w="1458"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 xml:space="preserve">7. bekezdés </w:t>
            </w:r>
            <w:r>
              <w:rPr>
                <w:rFonts w:cs="Arial"/>
                <w:sz w:val="18"/>
                <w:szCs w:val="18"/>
              </w:rPr>
              <w:br/>
            </w:r>
            <w:r>
              <w:rPr>
                <w:sz w:val="18"/>
              </w:rPr>
              <w:t>harmadik mondat</w:t>
            </w:r>
          </w:p>
        </w:tc>
        <w:tc>
          <w:tcPr>
            <w:tcW w:w="3296"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Optikai jelzés</w:t>
            </w:r>
          </w:p>
        </w:tc>
        <w:tc>
          <w:tcPr>
            <w:tcW w:w="6521"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9942A5" w:rsidRDefault="005624E3" w:rsidP="00101A80">
            <w:pPr>
              <w:widowControl w:val="0"/>
              <w:spacing w:before="60" w:after="60" w:line="240" w:lineRule="atLeast"/>
              <w:rPr>
                <w:rFonts w:cs="Arial"/>
                <w:sz w:val="18"/>
                <w:szCs w:val="18"/>
              </w:rPr>
            </w:pPr>
          </w:p>
        </w:tc>
      </w:tr>
      <w:tr w:rsidR="005624E3" w:rsidRPr="0092687B" w:rsidTr="005758C9">
        <w:trPr>
          <w:cantSplit/>
          <w:jc w:val="center"/>
        </w:trPr>
        <w:tc>
          <w:tcPr>
            <w:tcW w:w="1342" w:type="dxa"/>
            <w:vMerge/>
            <w:shd w:val="clear" w:color="auto" w:fill="auto"/>
          </w:tcPr>
          <w:p w:rsidR="005624E3" w:rsidRPr="007406CD" w:rsidRDefault="005624E3" w:rsidP="00101A80">
            <w:pPr>
              <w:spacing w:before="120" w:after="120" w:line="240" w:lineRule="atLeast"/>
              <w:rPr>
                <w:rFonts w:cs="Arial"/>
                <w:sz w:val="18"/>
                <w:szCs w:val="18"/>
              </w:rPr>
            </w:pPr>
          </w:p>
        </w:tc>
        <w:tc>
          <w:tcPr>
            <w:tcW w:w="1458"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8. bekezdés</w:t>
            </w:r>
          </w:p>
        </w:tc>
        <w:tc>
          <w:tcPr>
            <w:tcW w:w="3296" w:type="dxa"/>
            <w:shd w:val="clear" w:color="auto" w:fill="auto"/>
          </w:tcPr>
          <w:p w:rsidR="005624E3" w:rsidRPr="009942A5" w:rsidRDefault="005624E3" w:rsidP="00101A80">
            <w:pPr>
              <w:widowControl w:val="0"/>
              <w:tabs>
                <w:tab w:val="left" w:pos="1260"/>
              </w:tabs>
              <w:adjustRightInd w:val="0"/>
              <w:spacing w:before="60" w:after="60" w:line="240" w:lineRule="atLeast"/>
              <w:rPr>
                <w:rFonts w:cs="Arial"/>
                <w:sz w:val="18"/>
                <w:szCs w:val="18"/>
              </w:rPr>
            </w:pPr>
            <w:r>
              <w:rPr>
                <w:sz w:val="18"/>
              </w:rPr>
              <w:t>Vészhelyzeti leeresztő funkció</w:t>
            </w:r>
          </w:p>
        </w:tc>
        <w:tc>
          <w:tcPr>
            <w:tcW w:w="6521"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 xml:space="preserve">Ha a hidraulikus leeresztés nem lehetséges: N.R.C., legkésőbb a belvízi hajóbizonyítvány megújításakor e dátumot követően: </w:t>
            </w:r>
          </w:p>
        </w:tc>
        <w:tc>
          <w:tcPr>
            <w:tcW w:w="1276"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2040.01.01.</w:t>
            </w:r>
          </w:p>
        </w:tc>
      </w:tr>
      <w:tr w:rsidR="005624E3" w:rsidRPr="00A0619C" w:rsidTr="005758C9">
        <w:trPr>
          <w:cantSplit/>
          <w:jc w:val="center"/>
        </w:trPr>
        <w:tc>
          <w:tcPr>
            <w:tcW w:w="1342" w:type="dxa"/>
            <w:vMerge/>
            <w:shd w:val="clear" w:color="auto" w:fill="auto"/>
          </w:tcPr>
          <w:p w:rsidR="005624E3" w:rsidRPr="007406CD" w:rsidRDefault="005624E3" w:rsidP="00101A80">
            <w:pPr>
              <w:spacing w:before="120" w:after="120" w:line="240" w:lineRule="atLeast"/>
              <w:rPr>
                <w:rFonts w:cs="Arial"/>
                <w:sz w:val="18"/>
                <w:szCs w:val="18"/>
              </w:rPr>
            </w:pPr>
          </w:p>
        </w:tc>
        <w:tc>
          <w:tcPr>
            <w:tcW w:w="1458" w:type="dxa"/>
            <w:vMerge w:val="restart"/>
            <w:shd w:val="clear" w:color="auto" w:fill="auto"/>
          </w:tcPr>
          <w:p w:rsidR="005624E3" w:rsidRPr="009942A5" w:rsidDel="00F12D85" w:rsidRDefault="005624E3" w:rsidP="00101A80">
            <w:pPr>
              <w:widowControl w:val="0"/>
              <w:spacing w:before="60" w:after="60" w:line="240" w:lineRule="atLeast"/>
              <w:rPr>
                <w:rFonts w:cs="Arial"/>
                <w:sz w:val="18"/>
                <w:szCs w:val="18"/>
              </w:rPr>
            </w:pPr>
            <w:r>
              <w:rPr>
                <w:sz w:val="18"/>
              </w:rPr>
              <w:t>12. bekezdés c) pont</w:t>
            </w:r>
          </w:p>
        </w:tc>
        <w:tc>
          <w:tcPr>
            <w:tcW w:w="3296" w:type="dxa"/>
            <w:vMerge w:val="restart"/>
            <w:shd w:val="clear" w:color="auto" w:fill="auto"/>
          </w:tcPr>
          <w:p w:rsidR="005624E3" w:rsidRPr="009942A5" w:rsidRDefault="005624E3" w:rsidP="00101A80">
            <w:pPr>
              <w:widowControl w:val="0"/>
              <w:tabs>
                <w:tab w:val="left" w:pos="1260"/>
              </w:tabs>
              <w:adjustRightInd w:val="0"/>
              <w:spacing w:before="60" w:after="60" w:line="240" w:lineRule="atLeast"/>
              <w:rPr>
                <w:rFonts w:cs="Arial"/>
                <w:sz w:val="18"/>
                <w:szCs w:val="18"/>
              </w:rPr>
            </w:pPr>
            <w:r>
              <w:rPr>
                <w:sz w:val="18"/>
              </w:rPr>
              <w:t>Vizsgálatok</w:t>
            </w:r>
          </w:p>
        </w:tc>
        <w:tc>
          <w:tcPr>
            <w:tcW w:w="6521"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N.R.C., legkésőbb a belvízi hajóbizonyítvány megújításakor.</w:t>
            </w:r>
          </w:p>
        </w:tc>
        <w:tc>
          <w:tcPr>
            <w:tcW w:w="1276" w:type="dxa"/>
            <w:vMerge w:val="restart"/>
            <w:shd w:val="clear" w:color="auto" w:fill="auto"/>
          </w:tcPr>
          <w:p w:rsidR="005624E3" w:rsidRPr="009942A5" w:rsidRDefault="005624E3" w:rsidP="00101A80">
            <w:pPr>
              <w:widowControl w:val="0"/>
              <w:spacing w:before="60" w:after="60" w:line="240" w:lineRule="atLeast"/>
              <w:rPr>
                <w:rFonts w:cs="Arial"/>
                <w:sz w:val="18"/>
                <w:szCs w:val="18"/>
              </w:rPr>
            </w:pPr>
          </w:p>
        </w:tc>
      </w:tr>
      <w:tr w:rsidR="005624E3" w:rsidRPr="00A0619C" w:rsidTr="005758C9">
        <w:trPr>
          <w:cantSplit/>
          <w:jc w:val="center"/>
        </w:trPr>
        <w:tc>
          <w:tcPr>
            <w:tcW w:w="1342" w:type="dxa"/>
            <w:vMerge/>
            <w:shd w:val="clear" w:color="auto" w:fill="auto"/>
          </w:tcPr>
          <w:p w:rsidR="005624E3" w:rsidRPr="00C903F8" w:rsidRDefault="005624E3" w:rsidP="00101A80">
            <w:pPr>
              <w:spacing w:before="120" w:after="120" w:line="240" w:lineRule="atLeast"/>
              <w:rPr>
                <w:rFonts w:cs="Arial"/>
                <w:sz w:val="18"/>
                <w:szCs w:val="18"/>
              </w:rPr>
            </w:pPr>
          </w:p>
        </w:tc>
        <w:tc>
          <w:tcPr>
            <w:tcW w:w="1458" w:type="dxa"/>
            <w:vMerge/>
            <w:shd w:val="clear" w:color="auto" w:fill="auto"/>
          </w:tcPr>
          <w:p w:rsidR="005624E3" w:rsidRPr="00C903F8" w:rsidRDefault="005624E3" w:rsidP="00101A80">
            <w:pPr>
              <w:spacing w:before="120" w:after="120" w:line="240" w:lineRule="atLeast"/>
              <w:rPr>
                <w:rFonts w:cs="Arial"/>
                <w:sz w:val="18"/>
                <w:szCs w:val="18"/>
              </w:rPr>
            </w:pPr>
          </w:p>
        </w:tc>
        <w:tc>
          <w:tcPr>
            <w:tcW w:w="3296" w:type="dxa"/>
            <w:vMerge/>
            <w:shd w:val="clear" w:color="auto" w:fill="auto"/>
          </w:tcPr>
          <w:p w:rsidR="005624E3" w:rsidRPr="00C903F8" w:rsidRDefault="005624E3" w:rsidP="00101A80">
            <w:pPr>
              <w:spacing w:before="120" w:after="120" w:line="240" w:lineRule="atLeast"/>
              <w:rPr>
                <w:rFonts w:cs="Arial"/>
                <w:sz w:val="18"/>
                <w:szCs w:val="18"/>
              </w:rPr>
            </w:pPr>
          </w:p>
        </w:tc>
        <w:tc>
          <w:tcPr>
            <w:tcW w:w="6521" w:type="dxa"/>
            <w:shd w:val="clear" w:color="auto" w:fill="auto"/>
          </w:tcPr>
          <w:p w:rsidR="005624E3" w:rsidRPr="009942A5" w:rsidRDefault="005624E3" w:rsidP="00101A80">
            <w:pPr>
              <w:widowControl w:val="0"/>
              <w:spacing w:before="60" w:after="60" w:line="240" w:lineRule="atLeast"/>
              <w:rPr>
                <w:rFonts w:cs="Arial"/>
                <w:sz w:val="18"/>
                <w:szCs w:val="18"/>
              </w:rPr>
            </w:pPr>
            <w:r>
              <w:rPr>
                <w:sz w:val="18"/>
              </w:rPr>
              <w:t>Ha nem szolgáltatható matematikai bizonyíték, az ellenőrző szerv más megfelelő bizonyítékot is elismerhet.</w:t>
            </w:r>
          </w:p>
        </w:tc>
        <w:tc>
          <w:tcPr>
            <w:tcW w:w="1276" w:type="dxa"/>
            <w:vMerge/>
            <w:shd w:val="clear" w:color="auto" w:fill="auto"/>
          </w:tcPr>
          <w:p w:rsidR="005624E3" w:rsidRPr="00E83191" w:rsidRDefault="005624E3" w:rsidP="00101A80">
            <w:pPr>
              <w:widowControl w:val="0"/>
              <w:spacing w:before="60" w:after="60" w:line="240" w:lineRule="atLeast"/>
              <w:rPr>
                <w:rFonts w:cs="Arial"/>
                <w:sz w:val="18"/>
                <w:szCs w:val="18"/>
                <w:highlight w:val="lightGray"/>
              </w:rPr>
            </w:pP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60" w:after="60" w:line="240" w:lineRule="atLeast"/>
              <w:jc w:val="center"/>
              <w:rPr>
                <w:rFonts w:cs="Arial"/>
                <w:sz w:val="18"/>
                <w:szCs w:val="18"/>
              </w:rPr>
            </w:pPr>
            <w:r>
              <w:rPr>
                <w:b/>
                <w:sz w:val="18"/>
              </w:rPr>
              <w:t>8.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r>
              <w:rPr>
                <w:sz w:val="18"/>
              </w:rPr>
              <w:t>8.01.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Csak 55 °C-nál magasabb lobbanáspontú tüzelőanyaggal üzemelő belsőégésű motorok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8.02.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Motorok biztosítása véletlen indítás ellen</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C903F8" w:rsidTr="005758C9">
        <w:trPr>
          <w:cantSplit/>
          <w:trHeight w:val="203"/>
          <w:jc w:val="center"/>
        </w:trPr>
        <w:tc>
          <w:tcPr>
            <w:tcW w:w="1342" w:type="dxa"/>
            <w:tcBorders>
              <w:top w:val="nil"/>
              <w:bottom w:val="single" w:sz="4" w:space="0" w:color="auto"/>
            </w:tcBorders>
            <w:shd w:val="clear" w:color="auto" w:fill="auto"/>
          </w:tcPr>
          <w:p w:rsidR="005624E3" w:rsidRPr="00C903F8" w:rsidRDefault="005624E3" w:rsidP="00101A80">
            <w:pPr>
              <w:spacing w:before="240" w:after="240" w:line="240" w:lineRule="atLeast"/>
              <w:rPr>
                <w:rFonts w:cs="Arial"/>
                <w:sz w:val="18"/>
                <w:szCs w:val="18"/>
              </w:rPr>
            </w:pPr>
          </w:p>
        </w:tc>
        <w:tc>
          <w:tcPr>
            <w:tcW w:w="1458" w:type="dxa"/>
            <w:tcBorders>
              <w:bottom w:val="single" w:sz="4" w:space="0" w:color="auto"/>
            </w:tcBorders>
            <w:shd w:val="clear" w:color="auto" w:fill="auto"/>
          </w:tcPr>
          <w:p w:rsidR="005624E3" w:rsidRPr="00E113D0" w:rsidRDefault="005624E3" w:rsidP="00101A80">
            <w:pPr>
              <w:spacing w:before="120" w:after="120" w:line="240" w:lineRule="atLeast"/>
              <w:rPr>
                <w:rFonts w:cs="Arial"/>
                <w:sz w:val="18"/>
                <w:szCs w:val="18"/>
              </w:rPr>
            </w:pPr>
            <w:r>
              <w:rPr>
                <w:sz w:val="18"/>
              </w:rPr>
              <w:t>4. bekezdés</w:t>
            </w:r>
          </w:p>
        </w:tc>
        <w:tc>
          <w:tcPr>
            <w:tcW w:w="3296" w:type="dxa"/>
            <w:tcBorders>
              <w:bottom w:val="single" w:sz="4" w:space="0" w:color="auto"/>
            </w:tcBorders>
            <w:shd w:val="clear" w:color="auto" w:fill="auto"/>
          </w:tcPr>
          <w:p w:rsidR="005624E3" w:rsidRPr="00E113D0" w:rsidRDefault="005624E3" w:rsidP="00101A80">
            <w:pPr>
              <w:spacing w:before="120" w:after="120" w:line="240" w:lineRule="atLeast"/>
              <w:rPr>
                <w:rFonts w:cs="Arial"/>
                <w:noProof/>
                <w:sz w:val="18"/>
                <w:szCs w:val="18"/>
              </w:rPr>
            </w:pPr>
            <w:r>
              <w:rPr>
                <w:noProof/>
                <w:sz w:val="18"/>
              </w:rPr>
              <w:t>Csövek védelme</w:t>
            </w:r>
          </w:p>
        </w:tc>
        <w:tc>
          <w:tcPr>
            <w:tcW w:w="6521" w:type="dxa"/>
            <w:tcBorders>
              <w:bottom w:val="single" w:sz="4" w:space="0" w:color="auto"/>
            </w:tcBorders>
            <w:shd w:val="clear" w:color="auto" w:fill="auto"/>
          </w:tcPr>
          <w:p w:rsidR="005624E3" w:rsidRPr="000E732C" w:rsidRDefault="005624E3" w:rsidP="00101A80">
            <w:pPr>
              <w:spacing w:before="120" w:after="120" w:line="240" w:lineRule="atLeast"/>
              <w:rPr>
                <w:rFonts w:cs="Arial"/>
                <w:noProof/>
                <w:sz w:val="18"/>
                <w:szCs w:val="18"/>
              </w:rPr>
            </w:pPr>
            <w:r>
              <w:rPr>
                <w:noProof/>
                <w:sz w:val="18"/>
              </w:rPr>
              <w:t>N.R.C., legkésőbb a belvízi hajóbizonyítvány megújításakor e dátumot követően:</w:t>
            </w:r>
          </w:p>
        </w:tc>
        <w:tc>
          <w:tcPr>
            <w:tcW w:w="1276" w:type="dxa"/>
            <w:tcBorders>
              <w:bottom w:val="single" w:sz="4" w:space="0" w:color="auto"/>
            </w:tcBorders>
            <w:shd w:val="clear" w:color="auto" w:fill="auto"/>
          </w:tcPr>
          <w:p w:rsidR="005624E3" w:rsidRPr="00C903F8" w:rsidRDefault="005624E3" w:rsidP="00101A80">
            <w:pPr>
              <w:spacing w:before="240" w:after="240" w:line="240" w:lineRule="atLeast"/>
              <w:rPr>
                <w:rFonts w:cs="Arial"/>
                <w:sz w:val="18"/>
                <w:szCs w:val="18"/>
              </w:rPr>
            </w:pPr>
            <w:r>
              <w:rPr>
                <w:sz w:val="18"/>
              </w:rPr>
              <w:t>2025.01.01.</w:t>
            </w:r>
          </w:p>
        </w:tc>
      </w:tr>
      <w:tr w:rsidR="005624E3" w:rsidRPr="00C903F8" w:rsidTr="005758C9">
        <w:trPr>
          <w:cantSplit/>
          <w:jc w:val="center"/>
        </w:trPr>
        <w:tc>
          <w:tcPr>
            <w:tcW w:w="1342" w:type="dxa"/>
            <w:tcBorders>
              <w:top w:val="single" w:sz="4" w:space="0" w:color="auto"/>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8.03. cikk</w:t>
            </w:r>
          </w:p>
        </w:tc>
        <w:tc>
          <w:tcPr>
            <w:tcW w:w="1458" w:type="dxa"/>
            <w:tcBorders>
              <w:top w:val="single" w:sz="4" w:space="0" w:color="auto"/>
            </w:tcBorders>
            <w:shd w:val="clear" w:color="auto" w:fill="auto"/>
          </w:tcPr>
          <w:p w:rsidR="005624E3" w:rsidRPr="00C903F8" w:rsidRDefault="005624E3" w:rsidP="00101A80">
            <w:pPr>
              <w:spacing w:before="120" w:after="120" w:line="240" w:lineRule="atLeast"/>
              <w:rPr>
                <w:rFonts w:cs="Arial"/>
                <w:sz w:val="18"/>
                <w:szCs w:val="18"/>
              </w:rPr>
            </w:pPr>
            <w:r>
              <w:rPr>
                <w:sz w:val="18"/>
              </w:rPr>
              <w:t>2. bekezdés</w:t>
            </w:r>
          </w:p>
        </w:tc>
        <w:tc>
          <w:tcPr>
            <w:tcW w:w="3296" w:type="dxa"/>
            <w:tcBorders>
              <w:top w:val="single" w:sz="4" w:space="0" w:color="auto"/>
            </w:tcBorders>
            <w:shd w:val="clear" w:color="auto" w:fill="auto"/>
          </w:tcPr>
          <w:p w:rsidR="005624E3" w:rsidRPr="00C903F8" w:rsidRDefault="005624E3" w:rsidP="00101A80">
            <w:pPr>
              <w:spacing w:before="120" w:after="120" w:line="240" w:lineRule="atLeast"/>
              <w:rPr>
                <w:rFonts w:cs="Arial"/>
                <w:sz w:val="18"/>
                <w:szCs w:val="18"/>
              </w:rPr>
            </w:pPr>
            <w:r>
              <w:rPr>
                <w:noProof/>
                <w:sz w:val="18"/>
              </w:rPr>
              <w:t>Ellenőrző berendezések</w:t>
            </w:r>
          </w:p>
        </w:tc>
        <w:tc>
          <w:tcPr>
            <w:tcW w:w="6521" w:type="dxa"/>
            <w:tcBorders>
              <w:top w:val="single" w:sz="4" w:space="0" w:color="auto"/>
            </w:tcBorders>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tcBorders>
              <w:top w:val="single" w:sz="4" w:space="0" w:color="auto"/>
            </w:tcBorders>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Túl nagy fordulatszám elleni automatikus védelem kijelzése és kikapcsolása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C903F8" w:rsidTr="005758C9">
        <w:trPr>
          <w:cantSplit/>
          <w:trHeight w:val="387"/>
          <w:jc w:val="center"/>
        </w:trPr>
        <w:tc>
          <w:tcPr>
            <w:tcW w:w="1342" w:type="dxa"/>
            <w:tcBorders>
              <w:top w:val="nil"/>
              <w:bottom w:val="single" w:sz="4" w:space="0" w:color="auto"/>
            </w:tcBorders>
            <w:shd w:val="clear" w:color="auto" w:fill="auto"/>
          </w:tcPr>
          <w:p w:rsidR="005624E3" w:rsidRPr="00C903F8" w:rsidRDefault="005624E3" w:rsidP="00101A80">
            <w:pPr>
              <w:spacing w:before="240" w:after="24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5. bekezdés</w:t>
            </w:r>
          </w:p>
        </w:tc>
        <w:tc>
          <w:tcPr>
            <w:tcW w:w="3296" w:type="dxa"/>
            <w:shd w:val="clear" w:color="auto" w:fill="auto"/>
          </w:tcPr>
          <w:p w:rsidR="005624E3" w:rsidRPr="00E113D0" w:rsidRDefault="005624E3" w:rsidP="00101A80">
            <w:pPr>
              <w:spacing w:before="120" w:after="120" w:line="240" w:lineRule="atLeast"/>
              <w:rPr>
                <w:rFonts w:cs="Arial"/>
                <w:sz w:val="18"/>
                <w:szCs w:val="18"/>
              </w:rPr>
            </w:pPr>
            <w:r>
              <w:rPr>
                <w:noProof/>
                <w:sz w:val="18"/>
              </w:rPr>
              <w:t>A tengelykilépések kialakítása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2015.01.01.</w:t>
            </w:r>
          </w:p>
        </w:tc>
      </w:tr>
      <w:tr w:rsidR="005624E3" w:rsidRPr="00C903F8" w:rsidTr="005758C9">
        <w:trPr>
          <w:cantSplit/>
          <w:trHeight w:val="355"/>
          <w:jc w:val="center"/>
        </w:trPr>
        <w:tc>
          <w:tcPr>
            <w:tcW w:w="1342" w:type="dxa"/>
            <w:tcBorders>
              <w:bottom w:val="nil"/>
            </w:tcBorders>
            <w:shd w:val="clear" w:color="auto" w:fill="auto"/>
          </w:tcPr>
          <w:p w:rsidR="005624E3" w:rsidRPr="00C903F8" w:rsidRDefault="005624E3" w:rsidP="00101A80">
            <w:pPr>
              <w:spacing w:before="120" w:after="240" w:line="240" w:lineRule="atLeast"/>
              <w:rPr>
                <w:rFonts w:cs="Arial"/>
                <w:sz w:val="18"/>
                <w:szCs w:val="18"/>
              </w:rPr>
            </w:pPr>
            <w:r>
              <w:rPr>
                <w:sz w:val="18"/>
              </w:rPr>
              <w:t>8.05.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Acéltartályok folyékony tüzelőanyagokhoz</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2015.01.01.</w:t>
            </w:r>
          </w:p>
        </w:tc>
      </w:tr>
      <w:tr w:rsidR="005624E3" w:rsidRPr="00C903F8" w:rsidTr="005758C9">
        <w:trPr>
          <w:cantSplit/>
          <w:jc w:val="center"/>
        </w:trPr>
        <w:tc>
          <w:tcPr>
            <w:tcW w:w="1342" w:type="dxa"/>
            <w:vMerge w:val="restart"/>
            <w:tcBorders>
              <w:top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tabs>
                <w:tab w:val="left" w:pos="1170"/>
              </w:tabs>
              <w:spacing w:before="120" w:after="120" w:line="240" w:lineRule="atLeast"/>
              <w:rPr>
                <w:rFonts w:cs="Arial"/>
                <w:sz w:val="18"/>
                <w:szCs w:val="18"/>
              </w:rPr>
            </w:pPr>
            <w:r>
              <w:rPr>
                <w:noProof/>
                <w:sz w:val="18"/>
              </w:rPr>
              <w:t>Tüzelőanyag-tartályok ütközési válaszfal előtti elhelyezésének tilalma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C903F8" w:rsidTr="005758C9">
        <w:trPr>
          <w:cantSplit/>
          <w:trHeight w:val="585"/>
          <w:jc w:val="center"/>
        </w:trPr>
        <w:tc>
          <w:tcPr>
            <w:tcW w:w="1342" w:type="dxa"/>
            <w:vMerge/>
            <w:tcBorders>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tcBorders>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p>
        </w:tc>
        <w:tc>
          <w:tcPr>
            <w:tcW w:w="3296" w:type="dxa"/>
            <w:tcBorders>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r>
              <w:rPr>
                <w:sz w:val="18"/>
              </w:rPr>
              <w:t>Tüzelőanyag-tartályok farválaszfal mögötti elhelyezésének tilalma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2035.01.01.</w:t>
            </w:r>
          </w:p>
        </w:tc>
      </w:tr>
      <w:tr w:rsidR="005624E3" w:rsidRPr="00C903F8" w:rsidTr="005758C9">
        <w:trPr>
          <w:cantSplit/>
          <w:jc w:val="center"/>
        </w:trPr>
        <w:tc>
          <w:tcPr>
            <w:tcW w:w="1342" w:type="dxa"/>
            <w:vMerge w:val="restart"/>
            <w:tcBorders>
              <w:top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4. bekezdés</w:t>
            </w:r>
          </w:p>
        </w:tc>
        <w:tc>
          <w:tcPr>
            <w:tcW w:w="3296" w:type="dxa"/>
            <w:vMerge w:val="restart"/>
            <w:shd w:val="clear" w:color="auto" w:fill="auto"/>
          </w:tcPr>
          <w:p w:rsidR="005624E3" w:rsidRPr="00C903F8" w:rsidRDefault="005624E3" w:rsidP="00101A80">
            <w:pPr>
              <w:spacing w:before="120" w:after="120" w:line="240" w:lineRule="atLeast"/>
              <w:rPr>
                <w:rFonts w:cs="Arial"/>
                <w:sz w:val="18"/>
                <w:szCs w:val="18"/>
              </w:rPr>
            </w:pPr>
            <w:r>
              <w:rPr>
                <w:noProof/>
                <w:sz w:val="18"/>
              </w:rPr>
              <w:t>Tüzelőanyag-tartályok és szerelvényeik motorok és kipufogócsövek feletti elhelyezésének tilalma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2010.01.01.</w:t>
            </w:r>
          </w:p>
        </w:tc>
      </w:tr>
      <w:tr w:rsidR="005624E3" w:rsidRPr="00A0619C" w:rsidTr="005758C9">
        <w:trPr>
          <w:cantSplit/>
          <w:jc w:val="center"/>
        </w:trPr>
        <w:tc>
          <w:tcPr>
            <w:tcW w:w="1342" w:type="dxa"/>
            <w:vMerge/>
            <w:tcBorders>
              <w:bottom w:val="nil"/>
            </w:tcBorders>
            <w:shd w:val="clear" w:color="auto" w:fill="auto"/>
          </w:tcPr>
          <w:p w:rsidR="005624E3" w:rsidRPr="00C903F8" w:rsidRDefault="005624E3" w:rsidP="00101A80">
            <w:pPr>
              <w:spacing w:before="240" w:after="240" w:line="240" w:lineRule="atLeast"/>
              <w:rPr>
                <w:rFonts w:cs="Arial"/>
                <w:sz w:val="18"/>
                <w:szCs w:val="18"/>
              </w:rPr>
            </w:pPr>
          </w:p>
        </w:tc>
        <w:tc>
          <w:tcPr>
            <w:tcW w:w="1458" w:type="dxa"/>
            <w:vMerge/>
            <w:shd w:val="clear" w:color="auto" w:fill="auto"/>
          </w:tcPr>
          <w:p w:rsidR="005624E3" w:rsidRPr="00C903F8" w:rsidRDefault="005624E3" w:rsidP="00101A80">
            <w:pPr>
              <w:spacing w:before="120" w:after="120" w:line="240" w:lineRule="atLeast"/>
              <w:rPr>
                <w:rFonts w:cs="Arial"/>
                <w:sz w:val="18"/>
                <w:szCs w:val="18"/>
              </w:rPr>
            </w:pPr>
          </w:p>
        </w:tc>
        <w:tc>
          <w:tcPr>
            <w:tcW w:w="3296" w:type="dxa"/>
            <w:vMerge/>
            <w:shd w:val="clear" w:color="auto" w:fill="auto"/>
          </w:tcPr>
          <w:p w:rsidR="005624E3" w:rsidRPr="00C903F8" w:rsidRDefault="005624E3" w:rsidP="00101A80">
            <w:pPr>
              <w:spacing w:before="120" w:after="120" w:line="240" w:lineRule="atLeast"/>
              <w:rPr>
                <w:rFonts w:cs="Arial"/>
                <w:sz w:val="18"/>
                <w:szCs w:val="18"/>
              </w:rPr>
            </w:pP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Addig megfelelő eszközzel biztosítani kell a tüzelőanyagok biztonságos elvezetését.</w:t>
            </w:r>
          </w:p>
        </w:tc>
        <w:tc>
          <w:tcPr>
            <w:tcW w:w="1276" w:type="dxa"/>
            <w:shd w:val="clear" w:color="auto" w:fill="auto"/>
          </w:tcPr>
          <w:p w:rsidR="005624E3" w:rsidRPr="00C903F8" w:rsidRDefault="005624E3" w:rsidP="00101A80">
            <w:pPr>
              <w:spacing w:before="240" w:after="240" w:line="240" w:lineRule="atLeast"/>
              <w:rPr>
                <w:rFonts w:cs="Arial"/>
                <w:sz w:val="18"/>
                <w:szCs w:val="18"/>
              </w:rPr>
            </w:pP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40" w:after="24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 harmadik, negyedik, ötödik mondat</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Légzőcsövek és csatlakozócsövek felszerelése és méretezése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240" w:line="240" w:lineRule="atLeast"/>
              <w:rPr>
                <w:rFonts w:cs="Arial"/>
                <w:sz w:val="18"/>
                <w:szCs w:val="18"/>
              </w:rPr>
            </w:pPr>
            <w:r>
              <w:rPr>
                <w:sz w:val="18"/>
              </w:rPr>
              <w:t>2020.01.01.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40" w:after="16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7. bekezdés első mondat</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Még az érintett helyiségek lezárásakor is a fedélzetről működtethető gyorszáró szelep a tartályon</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6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40" w:after="24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9. bekezdés második mondat</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A kapacitásmérő műszerek olvashatósága a maximális feltöltés szintje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240" w:line="240" w:lineRule="atLeast"/>
              <w:rPr>
                <w:rFonts w:cs="Arial"/>
                <w:sz w:val="18"/>
                <w:szCs w:val="18"/>
              </w:rPr>
            </w:pPr>
            <w:r>
              <w:rPr>
                <w:sz w:val="18"/>
              </w:rPr>
              <w:t>2010.01.01.</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240" w:after="16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13.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A tüzelőanyag-tartály töltöttségi szintjét jelző eszköz nemcsak a főmotorok, hanem a hajó biztonságos üzeméhez szükséges egyéb motorok tekintetében is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60" w:line="240" w:lineRule="atLeast"/>
              <w:rPr>
                <w:rFonts w:cs="Arial"/>
                <w:sz w:val="18"/>
                <w:szCs w:val="18"/>
              </w:rPr>
            </w:pPr>
            <w:r>
              <w:rPr>
                <w:sz w:val="18"/>
              </w:rPr>
              <w:t>2015.01.01.</w:t>
            </w:r>
          </w:p>
        </w:tc>
      </w:tr>
      <w:tr w:rsidR="005624E3" w:rsidRPr="00C903F8" w:rsidTr="005758C9">
        <w:trPr>
          <w:cantSplit/>
          <w:jc w:val="center"/>
        </w:trPr>
        <w:tc>
          <w:tcPr>
            <w:tcW w:w="1342" w:type="dxa"/>
            <w:shd w:val="clear" w:color="auto" w:fill="auto"/>
          </w:tcPr>
          <w:p w:rsidR="005624E3" w:rsidRPr="00C903F8" w:rsidRDefault="005624E3" w:rsidP="00101A80">
            <w:pPr>
              <w:spacing w:before="120" w:after="160" w:line="240" w:lineRule="atLeast"/>
              <w:rPr>
                <w:rFonts w:cs="Arial"/>
                <w:sz w:val="18"/>
                <w:szCs w:val="18"/>
              </w:rPr>
            </w:pPr>
            <w:r>
              <w:rPr>
                <w:sz w:val="18"/>
              </w:rPr>
              <w:t>8,06</w:t>
            </w:r>
          </w:p>
        </w:tc>
        <w:tc>
          <w:tcPr>
            <w:tcW w:w="1458" w:type="dxa"/>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Kenőolaj tárolására szolgáló tartályok; csövek és tartozékok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60" w:line="240" w:lineRule="atLeast"/>
              <w:rPr>
                <w:rFonts w:cs="Arial"/>
                <w:sz w:val="18"/>
                <w:szCs w:val="18"/>
              </w:rPr>
            </w:pPr>
            <w:r>
              <w:rPr>
                <w:sz w:val="18"/>
              </w:rPr>
              <w:t>2045.01.01.</w:t>
            </w: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80" w:after="100" w:line="240" w:lineRule="atLeast"/>
              <w:rPr>
                <w:rFonts w:cs="Arial"/>
                <w:sz w:val="18"/>
                <w:szCs w:val="18"/>
              </w:rPr>
            </w:pPr>
            <w:r>
              <w:rPr>
                <w:sz w:val="18"/>
              </w:rPr>
              <w:t>8.07. cikk</w:t>
            </w:r>
          </w:p>
        </w:tc>
        <w:tc>
          <w:tcPr>
            <w:tcW w:w="1458" w:type="dxa"/>
            <w:shd w:val="clear" w:color="auto" w:fill="auto"/>
          </w:tcPr>
          <w:p w:rsidR="005624E3" w:rsidRPr="00C903F8" w:rsidRDefault="005624E3" w:rsidP="00101A80">
            <w:pPr>
              <w:spacing w:before="80" w:after="100" w:line="240" w:lineRule="atLeast"/>
              <w:rPr>
                <w:rFonts w:cs="Arial"/>
                <w:sz w:val="18"/>
                <w:szCs w:val="18"/>
              </w:rPr>
            </w:pPr>
          </w:p>
        </w:tc>
        <w:tc>
          <w:tcPr>
            <w:tcW w:w="3296" w:type="dxa"/>
            <w:shd w:val="clear" w:color="auto" w:fill="auto"/>
          </w:tcPr>
          <w:p w:rsidR="005624E3" w:rsidRPr="00C903F8" w:rsidRDefault="005624E3" w:rsidP="00101A80">
            <w:pPr>
              <w:spacing w:before="80" w:after="100" w:line="240" w:lineRule="atLeast"/>
              <w:rPr>
                <w:rFonts w:cs="Arial"/>
                <w:sz w:val="18"/>
                <w:szCs w:val="18"/>
              </w:rPr>
            </w:pPr>
            <w:r>
              <w:rPr>
                <w:noProof/>
                <w:sz w:val="18"/>
              </w:rPr>
              <w:t>Az erőátviteli rendszerben, a vezérlő- és indítórendszerben, valamint a fűtőrendszerben olaj tárolására szolgáló tartályok; csövek és tartozékok</w:t>
            </w:r>
          </w:p>
        </w:tc>
        <w:tc>
          <w:tcPr>
            <w:tcW w:w="6521" w:type="dxa"/>
            <w:shd w:val="clear" w:color="auto" w:fill="auto"/>
          </w:tcPr>
          <w:p w:rsidR="005624E3" w:rsidRPr="00C903F8" w:rsidRDefault="005624E3" w:rsidP="00101A80">
            <w:pPr>
              <w:spacing w:before="8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100" w:line="240" w:lineRule="atLeast"/>
              <w:rPr>
                <w:rFonts w:cs="Arial"/>
                <w:sz w:val="18"/>
                <w:szCs w:val="18"/>
              </w:rPr>
            </w:pPr>
            <w:r>
              <w:rPr>
                <w:sz w:val="18"/>
              </w:rPr>
              <w:t>2045.01.01.</w:t>
            </w:r>
          </w:p>
        </w:tc>
      </w:tr>
      <w:tr w:rsidR="005624E3" w:rsidRPr="00C903F8" w:rsidTr="005758C9">
        <w:trPr>
          <w:cantSplit/>
          <w:trHeight w:val="1431"/>
          <w:jc w:val="center"/>
        </w:trPr>
        <w:tc>
          <w:tcPr>
            <w:tcW w:w="1342" w:type="dxa"/>
            <w:tcBorders>
              <w:bottom w:val="nil"/>
            </w:tcBorders>
            <w:shd w:val="clear" w:color="auto" w:fill="auto"/>
          </w:tcPr>
          <w:p w:rsidR="005624E3" w:rsidRPr="00C903F8" w:rsidRDefault="005624E3" w:rsidP="00101A80">
            <w:pPr>
              <w:spacing w:before="80" w:after="100" w:line="240" w:lineRule="atLeast"/>
              <w:rPr>
                <w:rFonts w:cs="Arial"/>
                <w:sz w:val="18"/>
                <w:szCs w:val="18"/>
              </w:rPr>
            </w:pPr>
            <w:r>
              <w:rPr>
                <w:sz w:val="18"/>
              </w:rPr>
              <w:t>8.08. cikk</w:t>
            </w:r>
          </w:p>
        </w:tc>
        <w:tc>
          <w:tcPr>
            <w:tcW w:w="1458" w:type="dxa"/>
            <w:shd w:val="clear" w:color="auto" w:fill="auto"/>
          </w:tcPr>
          <w:p w:rsidR="005624E3" w:rsidRPr="00C903F8" w:rsidRDefault="005624E3" w:rsidP="00101A80">
            <w:pPr>
              <w:spacing w:before="80" w:after="100" w:line="240" w:lineRule="atLeast"/>
              <w:rPr>
                <w:rFonts w:cs="Arial"/>
                <w:sz w:val="18"/>
                <w:szCs w:val="18"/>
              </w:rPr>
            </w:pPr>
            <w:r>
              <w:rPr>
                <w:sz w:val="18"/>
              </w:rPr>
              <w:t>8. bekezdés</w:t>
            </w:r>
          </w:p>
        </w:tc>
        <w:tc>
          <w:tcPr>
            <w:tcW w:w="3296" w:type="dxa"/>
            <w:shd w:val="clear" w:color="auto" w:fill="auto"/>
          </w:tcPr>
          <w:p w:rsidR="005624E3" w:rsidRPr="00C903F8" w:rsidRDefault="005624E3" w:rsidP="00101A80">
            <w:pPr>
              <w:spacing w:before="80" w:after="100" w:line="240" w:lineRule="atLeast"/>
              <w:rPr>
                <w:rFonts w:cs="Arial"/>
                <w:sz w:val="18"/>
                <w:szCs w:val="18"/>
              </w:rPr>
            </w:pPr>
            <w:r>
              <w:rPr>
                <w:noProof/>
                <w:sz w:val="18"/>
              </w:rPr>
              <w:t>A ballaszt felvételére alkalmas rakományterek esetében nem elegendő egyszerű elzárószerkezet alkalmazni a ballasztterek leürítő csövekhez való csatlakoztatásához</w:t>
            </w:r>
          </w:p>
        </w:tc>
        <w:tc>
          <w:tcPr>
            <w:tcW w:w="6521" w:type="dxa"/>
            <w:shd w:val="clear" w:color="auto" w:fill="auto"/>
          </w:tcPr>
          <w:p w:rsidR="005624E3" w:rsidRPr="00C903F8" w:rsidRDefault="005624E3" w:rsidP="00101A80">
            <w:pPr>
              <w:spacing w:before="8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100" w:line="240" w:lineRule="atLeast"/>
              <w:rPr>
                <w:rFonts w:cs="Arial"/>
                <w:sz w:val="18"/>
                <w:szCs w:val="18"/>
              </w:rPr>
            </w:pPr>
            <w:r>
              <w:rPr>
                <w:sz w:val="18"/>
              </w:rPr>
              <w:t>2010.01.01.</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80" w:after="100" w:line="240" w:lineRule="atLeast"/>
              <w:rPr>
                <w:rFonts w:cs="Arial"/>
                <w:sz w:val="18"/>
                <w:szCs w:val="18"/>
              </w:rPr>
            </w:pPr>
          </w:p>
        </w:tc>
        <w:tc>
          <w:tcPr>
            <w:tcW w:w="1458" w:type="dxa"/>
            <w:shd w:val="clear" w:color="auto" w:fill="auto"/>
          </w:tcPr>
          <w:p w:rsidR="005624E3" w:rsidRPr="00C903F8" w:rsidRDefault="005624E3" w:rsidP="00101A80">
            <w:pPr>
              <w:spacing w:before="80" w:after="100" w:line="240" w:lineRule="atLeast"/>
              <w:rPr>
                <w:rFonts w:cs="Arial"/>
                <w:sz w:val="18"/>
                <w:szCs w:val="18"/>
              </w:rPr>
            </w:pPr>
            <w:r>
              <w:rPr>
                <w:sz w:val="18"/>
              </w:rPr>
              <w:t>9. bekezdés</w:t>
            </w:r>
          </w:p>
        </w:tc>
        <w:tc>
          <w:tcPr>
            <w:tcW w:w="3296" w:type="dxa"/>
            <w:shd w:val="clear" w:color="auto" w:fill="auto"/>
          </w:tcPr>
          <w:p w:rsidR="005624E3" w:rsidRPr="00C903F8" w:rsidRDefault="005624E3" w:rsidP="00101A80">
            <w:pPr>
              <w:spacing w:before="80" w:after="100" w:line="240" w:lineRule="atLeast"/>
              <w:rPr>
                <w:rFonts w:cs="Arial"/>
                <w:sz w:val="18"/>
                <w:szCs w:val="18"/>
              </w:rPr>
            </w:pPr>
            <w:r>
              <w:rPr>
                <w:noProof/>
                <w:sz w:val="18"/>
              </w:rPr>
              <w:t>Mérőműszerek a rakományterek fenekén</w:t>
            </w:r>
          </w:p>
        </w:tc>
        <w:tc>
          <w:tcPr>
            <w:tcW w:w="6521" w:type="dxa"/>
            <w:shd w:val="clear" w:color="auto" w:fill="auto"/>
          </w:tcPr>
          <w:p w:rsidR="005624E3" w:rsidRPr="00C903F8" w:rsidRDefault="005624E3" w:rsidP="00101A80">
            <w:pPr>
              <w:spacing w:before="8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100" w:line="240" w:lineRule="atLeast"/>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C903F8" w:rsidRDefault="005624E3" w:rsidP="00101A80">
            <w:pPr>
              <w:spacing w:before="80" w:after="100" w:line="240" w:lineRule="atLeast"/>
              <w:rPr>
                <w:rFonts w:cs="Arial"/>
                <w:sz w:val="18"/>
                <w:szCs w:val="18"/>
              </w:rPr>
            </w:pPr>
            <w:r>
              <w:rPr>
                <w:sz w:val="18"/>
              </w:rPr>
              <w:t>8.09. cikk</w:t>
            </w:r>
          </w:p>
        </w:tc>
        <w:tc>
          <w:tcPr>
            <w:tcW w:w="1458" w:type="dxa"/>
            <w:shd w:val="clear" w:color="auto" w:fill="auto"/>
          </w:tcPr>
          <w:p w:rsidR="005624E3" w:rsidRPr="00C903F8" w:rsidRDefault="005624E3" w:rsidP="00101A80">
            <w:pPr>
              <w:spacing w:before="8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80" w:after="100" w:line="240" w:lineRule="atLeast"/>
              <w:rPr>
                <w:rFonts w:cs="Arial"/>
                <w:sz w:val="18"/>
                <w:szCs w:val="18"/>
              </w:rPr>
            </w:pPr>
            <w:r>
              <w:rPr>
                <w:noProof/>
                <w:sz w:val="18"/>
              </w:rPr>
              <w:t>Az olajos víz gyűjtésére és a fáradtolaj tárolására szolgáló berendezések</w:t>
            </w:r>
          </w:p>
        </w:tc>
        <w:tc>
          <w:tcPr>
            <w:tcW w:w="6521" w:type="dxa"/>
            <w:shd w:val="clear" w:color="auto" w:fill="auto"/>
          </w:tcPr>
          <w:p w:rsidR="005624E3" w:rsidRPr="00C903F8" w:rsidRDefault="005624E3" w:rsidP="00101A80">
            <w:pPr>
              <w:spacing w:before="8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100" w:line="240" w:lineRule="atLeast"/>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C903F8" w:rsidRDefault="005624E3" w:rsidP="00101A80">
            <w:pPr>
              <w:spacing w:before="80" w:after="100" w:line="240" w:lineRule="atLeast"/>
              <w:rPr>
                <w:rFonts w:cs="Arial"/>
                <w:sz w:val="18"/>
                <w:szCs w:val="18"/>
              </w:rPr>
            </w:pPr>
            <w:r>
              <w:rPr>
                <w:sz w:val="18"/>
              </w:rPr>
              <w:t>8.10. cikk</w:t>
            </w:r>
          </w:p>
        </w:tc>
        <w:tc>
          <w:tcPr>
            <w:tcW w:w="1458" w:type="dxa"/>
            <w:shd w:val="clear" w:color="auto" w:fill="auto"/>
          </w:tcPr>
          <w:p w:rsidR="005624E3" w:rsidRPr="00C903F8" w:rsidRDefault="005624E3" w:rsidP="00101A80">
            <w:pPr>
              <w:spacing w:before="80" w:after="100" w:line="240" w:lineRule="atLeast"/>
              <w:rPr>
                <w:rFonts w:cs="Arial"/>
                <w:sz w:val="18"/>
                <w:szCs w:val="18"/>
              </w:rPr>
            </w:pPr>
            <w:r>
              <w:rPr>
                <w:sz w:val="18"/>
              </w:rPr>
              <w:t>3. bekezdés</w:t>
            </w:r>
            <w:r>
              <w:rPr>
                <w:color w:val="000000"/>
                <w:sz w:val="18"/>
                <w:vertAlign w:val="superscript"/>
              </w:rPr>
              <w:footnoteReference w:id="26"/>
            </w:r>
          </w:p>
        </w:tc>
        <w:tc>
          <w:tcPr>
            <w:tcW w:w="3296" w:type="dxa"/>
            <w:shd w:val="clear" w:color="auto" w:fill="auto"/>
          </w:tcPr>
          <w:p w:rsidR="005624E3" w:rsidRPr="00C903F8" w:rsidRDefault="005624E3" w:rsidP="00101A80">
            <w:pPr>
              <w:spacing w:before="80" w:after="100" w:line="240" w:lineRule="atLeast"/>
              <w:rPr>
                <w:rFonts w:cs="Arial"/>
                <w:sz w:val="18"/>
                <w:szCs w:val="18"/>
              </w:rPr>
            </w:pPr>
            <w:r>
              <w:rPr>
                <w:noProof/>
                <w:sz w:val="18"/>
              </w:rPr>
              <w:t>Kibocsátási határérték 65 dB(A) álló hajóknál</w:t>
            </w:r>
          </w:p>
        </w:tc>
        <w:tc>
          <w:tcPr>
            <w:tcW w:w="6521" w:type="dxa"/>
            <w:shd w:val="clear" w:color="auto" w:fill="auto"/>
          </w:tcPr>
          <w:p w:rsidR="005624E3" w:rsidRPr="00C903F8" w:rsidRDefault="005624E3" w:rsidP="00101A80">
            <w:pPr>
              <w:spacing w:before="80" w:after="100" w:line="240" w:lineRule="atLeast"/>
              <w:rPr>
                <w:rFonts w:cs="Arial"/>
                <w:sz w:val="18"/>
                <w:szCs w:val="18"/>
              </w:rPr>
            </w:pPr>
            <w:r>
              <w:rPr>
                <w:sz w:val="18"/>
              </w:rPr>
              <w:t>N.R.C., legkésőbb a belvízi hajóbizonyítvány megújításakor e dátumot követően:</w:t>
            </w:r>
          </w:p>
        </w:tc>
        <w:tc>
          <w:tcPr>
            <w:tcW w:w="1276" w:type="dxa"/>
            <w:tcBorders>
              <w:bottom w:val="single" w:sz="4" w:space="0" w:color="auto"/>
            </w:tcBorders>
            <w:shd w:val="clear" w:color="auto" w:fill="auto"/>
          </w:tcPr>
          <w:p w:rsidR="005624E3" w:rsidRPr="00C903F8" w:rsidRDefault="005624E3" w:rsidP="00101A80">
            <w:pPr>
              <w:spacing w:before="80" w:after="100" w:line="240" w:lineRule="atLeast"/>
              <w:rPr>
                <w:rFonts w:cs="Arial"/>
                <w:sz w:val="18"/>
                <w:szCs w:val="18"/>
              </w:rPr>
            </w:pPr>
            <w:r>
              <w:rPr>
                <w:sz w:val="18"/>
              </w:rPr>
              <w:t>2020.01.01.</w:t>
            </w:r>
          </w:p>
        </w:tc>
      </w:tr>
      <w:tr w:rsidR="005624E3" w:rsidRPr="00A0619C" w:rsidTr="005758C9">
        <w:trPr>
          <w:cantSplit/>
          <w:jc w:val="center"/>
        </w:trPr>
        <w:tc>
          <w:tcPr>
            <w:tcW w:w="6096" w:type="dxa"/>
            <w:gridSpan w:val="3"/>
            <w:shd w:val="clear" w:color="auto" w:fill="auto"/>
          </w:tcPr>
          <w:p w:rsidR="005624E3" w:rsidRPr="00C903F8" w:rsidRDefault="005624E3" w:rsidP="00101A80">
            <w:pPr>
              <w:spacing w:before="80" w:after="100" w:line="240" w:lineRule="atLeast"/>
              <w:jc w:val="center"/>
              <w:rPr>
                <w:rFonts w:cs="Arial"/>
                <w:sz w:val="18"/>
                <w:szCs w:val="18"/>
              </w:rPr>
            </w:pPr>
            <w:r>
              <w:rPr>
                <w:b/>
                <w:sz w:val="18"/>
              </w:rPr>
              <w:t>9. FEJEZET</w:t>
            </w:r>
          </w:p>
        </w:tc>
        <w:tc>
          <w:tcPr>
            <w:tcW w:w="6521" w:type="dxa"/>
            <w:tcBorders>
              <w:bottom w:val="single" w:sz="4" w:space="0" w:color="auto"/>
            </w:tcBorders>
            <w:shd w:val="clear" w:color="auto" w:fill="auto"/>
          </w:tcPr>
          <w:p w:rsidR="005624E3" w:rsidRPr="00C01A94" w:rsidRDefault="005624E3" w:rsidP="00101A80">
            <w:pPr>
              <w:spacing w:before="80" w:after="100" w:line="240" w:lineRule="atLeast"/>
              <w:rPr>
                <w:rFonts w:cs="Arial"/>
                <w:sz w:val="18"/>
                <w:szCs w:val="18"/>
              </w:rPr>
            </w:pPr>
            <w:r>
              <w:rPr>
                <w:sz w:val="18"/>
              </w:rPr>
              <w:t>A már beszerelt, típusjóváhagyással nem rendelkező motorok esetében csak a 9.02. cikk alkalmazandó.</w:t>
            </w:r>
          </w:p>
        </w:tc>
        <w:tc>
          <w:tcPr>
            <w:tcW w:w="1276" w:type="dxa"/>
            <w:tcBorders>
              <w:bottom w:val="nil"/>
            </w:tcBorders>
            <w:shd w:val="clear" w:color="auto" w:fill="auto"/>
          </w:tcPr>
          <w:p w:rsidR="005624E3" w:rsidRPr="00C01A94" w:rsidRDefault="005624E3" w:rsidP="00101A80">
            <w:pPr>
              <w:spacing w:before="80" w:after="100" w:line="240" w:lineRule="atLeast"/>
              <w:rPr>
                <w:rFonts w:cs="Arial"/>
                <w:sz w:val="18"/>
                <w:szCs w:val="18"/>
              </w:rPr>
            </w:pPr>
          </w:p>
        </w:tc>
      </w:tr>
      <w:tr w:rsidR="005624E3" w:rsidRPr="00A0619C" w:rsidTr="005758C9">
        <w:trPr>
          <w:cantSplit/>
          <w:jc w:val="center"/>
        </w:trPr>
        <w:tc>
          <w:tcPr>
            <w:tcW w:w="1342" w:type="dxa"/>
            <w:tcBorders>
              <w:bottom w:val="single" w:sz="4" w:space="0" w:color="auto"/>
            </w:tcBorders>
            <w:shd w:val="clear" w:color="auto" w:fill="auto"/>
          </w:tcPr>
          <w:p w:rsidR="005624E3" w:rsidRPr="004B606C" w:rsidRDefault="005624E3" w:rsidP="00101A80">
            <w:pPr>
              <w:spacing w:before="80" w:after="100" w:line="240" w:lineRule="atLeast"/>
              <w:rPr>
                <w:rFonts w:eastAsia="Calibri" w:cs="Arial"/>
                <w:sz w:val="18"/>
                <w:szCs w:val="18"/>
              </w:rPr>
            </w:pPr>
            <w:r>
              <w:rPr>
                <w:sz w:val="18"/>
              </w:rPr>
              <w:t>9.01. cikk</w:t>
            </w:r>
          </w:p>
        </w:tc>
        <w:tc>
          <w:tcPr>
            <w:tcW w:w="1458" w:type="dxa"/>
            <w:tcBorders>
              <w:bottom w:val="single" w:sz="4" w:space="0" w:color="auto"/>
            </w:tcBorders>
            <w:shd w:val="clear" w:color="auto" w:fill="auto"/>
          </w:tcPr>
          <w:p w:rsidR="005624E3" w:rsidRPr="004B606C" w:rsidRDefault="005624E3" w:rsidP="00101A80">
            <w:pPr>
              <w:spacing w:before="80" w:after="100" w:line="240" w:lineRule="atLeast"/>
              <w:rPr>
                <w:sz w:val="18"/>
                <w:szCs w:val="18"/>
              </w:rPr>
            </w:pPr>
            <w:r>
              <w:rPr>
                <w:sz w:val="18"/>
              </w:rPr>
              <w:t>1–4. bekezdés</w:t>
            </w:r>
          </w:p>
        </w:tc>
        <w:tc>
          <w:tcPr>
            <w:tcW w:w="3296" w:type="dxa"/>
            <w:shd w:val="clear" w:color="auto" w:fill="auto"/>
          </w:tcPr>
          <w:p w:rsidR="005624E3" w:rsidRPr="004B606C" w:rsidRDefault="005624E3" w:rsidP="00101A80">
            <w:pPr>
              <w:spacing w:before="80" w:after="100" w:line="240" w:lineRule="atLeast"/>
              <w:rPr>
                <w:rFonts w:eastAsia="Calibri" w:cs="Arial"/>
                <w:sz w:val="18"/>
                <w:szCs w:val="18"/>
              </w:rPr>
            </w:pPr>
            <w:r>
              <w:rPr>
                <w:sz w:val="18"/>
              </w:rPr>
              <w:t>Általános rendelkezések</w:t>
            </w:r>
          </w:p>
        </w:tc>
        <w:tc>
          <w:tcPr>
            <w:tcW w:w="6521" w:type="dxa"/>
            <w:vMerge w:val="restart"/>
            <w:tcBorders>
              <w:right w:val="single" w:sz="4" w:space="0" w:color="auto"/>
            </w:tcBorders>
            <w:shd w:val="clear" w:color="auto" w:fill="auto"/>
            <w:vAlign w:val="center"/>
          </w:tcPr>
          <w:p w:rsidR="005624E3" w:rsidRPr="00C903F8" w:rsidRDefault="005624E3" w:rsidP="00101A80">
            <w:pPr>
              <w:spacing w:before="80" w:after="100" w:line="240" w:lineRule="atLeast"/>
              <w:ind w:left="404" w:hanging="404"/>
              <w:rPr>
                <w:rFonts w:cs="Arial"/>
                <w:sz w:val="18"/>
                <w:szCs w:val="18"/>
              </w:rPr>
            </w:pPr>
            <w:r>
              <w:rPr>
                <w:sz w:val="18"/>
              </w:rPr>
              <w:t>A típusjóváhagyásra és a beépítésre vonatkozó, a beépítéskor hatályos rendelkezéseknek megfelelő motorok esetében: N.R.</w:t>
            </w:r>
          </w:p>
        </w:tc>
        <w:tc>
          <w:tcPr>
            <w:tcW w:w="1276" w:type="dxa"/>
            <w:tcBorders>
              <w:top w:val="nil"/>
              <w:left w:val="single" w:sz="4" w:space="0" w:color="auto"/>
              <w:bottom w:val="nil"/>
            </w:tcBorders>
            <w:shd w:val="clear" w:color="auto" w:fill="auto"/>
          </w:tcPr>
          <w:p w:rsidR="005624E3" w:rsidRPr="00C903F8" w:rsidRDefault="005624E3" w:rsidP="00101A80">
            <w:pPr>
              <w:spacing w:before="80" w:after="100" w:line="240" w:lineRule="atLeast"/>
              <w:rPr>
                <w:rFonts w:cs="Arial"/>
                <w:sz w:val="18"/>
                <w:szCs w:val="18"/>
              </w:rPr>
            </w:pPr>
          </w:p>
        </w:tc>
      </w:tr>
      <w:tr w:rsidR="005624E3" w:rsidRPr="00276993" w:rsidTr="005758C9">
        <w:trPr>
          <w:cantSplit/>
          <w:jc w:val="center"/>
        </w:trPr>
        <w:tc>
          <w:tcPr>
            <w:tcW w:w="1342" w:type="dxa"/>
            <w:tcBorders>
              <w:top w:val="single" w:sz="4" w:space="0" w:color="auto"/>
              <w:bottom w:val="single" w:sz="4" w:space="0" w:color="auto"/>
            </w:tcBorders>
            <w:shd w:val="clear" w:color="auto" w:fill="auto"/>
          </w:tcPr>
          <w:p w:rsidR="005624E3" w:rsidRPr="004B606C" w:rsidRDefault="005624E3" w:rsidP="00101A80">
            <w:pPr>
              <w:spacing w:before="80" w:after="100" w:line="240" w:lineRule="atLeast"/>
              <w:rPr>
                <w:sz w:val="18"/>
                <w:szCs w:val="18"/>
              </w:rPr>
            </w:pPr>
            <w:r>
              <w:rPr>
                <w:sz w:val="18"/>
              </w:rPr>
              <w:t>9.06. cikk</w:t>
            </w:r>
          </w:p>
        </w:tc>
        <w:tc>
          <w:tcPr>
            <w:tcW w:w="1458" w:type="dxa"/>
            <w:tcBorders>
              <w:top w:val="single" w:sz="4" w:space="0" w:color="auto"/>
              <w:bottom w:val="single" w:sz="4" w:space="0" w:color="auto"/>
            </w:tcBorders>
            <w:shd w:val="clear" w:color="auto" w:fill="auto"/>
          </w:tcPr>
          <w:p w:rsidR="005624E3" w:rsidRPr="004B606C" w:rsidRDefault="005624E3" w:rsidP="00101A80">
            <w:pPr>
              <w:spacing w:before="80" w:after="100" w:line="240" w:lineRule="atLeast"/>
              <w:rPr>
                <w:sz w:val="18"/>
                <w:szCs w:val="18"/>
              </w:rPr>
            </w:pPr>
          </w:p>
        </w:tc>
        <w:tc>
          <w:tcPr>
            <w:tcW w:w="3296" w:type="dxa"/>
            <w:shd w:val="clear" w:color="auto" w:fill="auto"/>
          </w:tcPr>
          <w:p w:rsidR="005624E3" w:rsidRPr="004B606C" w:rsidRDefault="005624E3" w:rsidP="00101A80">
            <w:pPr>
              <w:spacing w:before="80" w:after="100" w:line="240" w:lineRule="atLeast"/>
              <w:rPr>
                <w:sz w:val="18"/>
                <w:szCs w:val="18"/>
              </w:rPr>
            </w:pPr>
            <w:r>
              <w:rPr>
                <w:sz w:val="18"/>
              </w:rPr>
              <w:t>Átvételi vizsgálat</w:t>
            </w:r>
          </w:p>
        </w:tc>
        <w:tc>
          <w:tcPr>
            <w:tcW w:w="6521" w:type="dxa"/>
            <w:vMerge/>
            <w:tcBorders>
              <w:right w:val="single" w:sz="4" w:space="0" w:color="auto"/>
            </w:tcBorders>
            <w:shd w:val="clear" w:color="auto" w:fill="auto"/>
          </w:tcPr>
          <w:p w:rsidR="005624E3" w:rsidRPr="00C903F8" w:rsidRDefault="005624E3" w:rsidP="00101A80">
            <w:pPr>
              <w:spacing w:before="80" w:after="100" w:line="240" w:lineRule="atLeast"/>
              <w:rPr>
                <w:rFonts w:cs="Arial"/>
                <w:sz w:val="18"/>
                <w:szCs w:val="18"/>
              </w:rPr>
            </w:pPr>
          </w:p>
        </w:tc>
        <w:tc>
          <w:tcPr>
            <w:tcW w:w="1276" w:type="dxa"/>
            <w:tcBorders>
              <w:top w:val="nil"/>
              <w:left w:val="single" w:sz="4" w:space="0" w:color="auto"/>
            </w:tcBorders>
            <w:shd w:val="clear" w:color="auto" w:fill="auto"/>
          </w:tcPr>
          <w:p w:rsidR="005624E3" w:rsidRPr="00C903F8" w:rsidRDefault="005624E3" w:rsidP="00101A80">
            <w:pPr>
              <w:spacing w:before="80" w:after="10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852DB3" w:rsidRDefault="005624E3" w:rsidP="00101A80">
            <w:pPr>
              <w:spacing w:before="80" w:after="100" w:line="240" w:lineRule="atLeast"/>
              <w:jc w:val="center"/>
              <w:rPr>
                <w:rFonts w:cs="Arial"/>
                <w:b/>
                <w:sz w:val="18"/>
                <w:szCs w:val="18"/>
              </w:rPr>
            </w:pPr>
            <w:r>
              <w:rPr>
                <w:b/>
                <w:sz w:val="18"/>
              </w:rPr>
              <w:t>10. FEJEZET</w:t>
            </w:r>
          </w:p>
        </w:tc>
        <w:tc>
          <w:tcPr>
            <w:tcW w:w="6521" w:type="dxa"/>
            <w:shd w:val="clear" w:color="auto" w:fill="auto"/>
          </w:tcPr>
          <w:p w:rsidR="005624E3" w:rsidRPr="00852DB3" w:rsidRDefault="005624E3" w:rsidP="00101A80">
            <w:pPr>
              <w:spacing w:before="80" w:after="100" w:line="240" w:lineRule="atLeast"/>
              <w:jc w:val="center"/>
              <w:rPr>
                <w:rFonts w:cs="Arial"/>
                <w:sz w:val="18"/>
                <w:szCs w:val="18"/>
              </w:rPr>
            </w:pPr>
          </w:p>
        </w:tc>
        <w:tc>
          <w:tcPr>
            <w:tcW w:w="1276" w:type="dxa"/>
            <w:shd w:val="clear" w:color="auto" w:fill="auto"/>
          </w:tcPr>
          <w:p w:rsidR="005624E3" w:rsidRPr="00C903F8" w:rsidRDefault="005624E3" w:rsidP="00101A80">
            <w:pPr>
              <w:spacing w:before="80" w:after="10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80" w:after="100" w:line="240" w:lineRule="atLeast"/>
              <w:rPr>
                <w:rFonts w:cs="Arial"/>
                <w:sz w:val="18"/>
                <w:szCs w:val="18"/>
              </w:rPr>
            </w:pPr>
            <w:r>
              <w:rPr>
                <w:sz w:val="18"/>
              </w:rPr>
              <w:t>10.01. cikk</w:t>
            </w:r>
          </w:p>
        </w:tc>
        <w:tc>
          <w:tcPr>
            <w:tcW w:w="1458" w:type="dxa"/>
            <w:shd w:val="clear" w:color="auto" w:fill="auto"/>
          </w:tcPr>
          <w:p w:rsidR="005624E3" w:rsidRPr="00852DB3" w:rsidRDefault="005624E3" w:rsidP="00101A80">
            <w:pPr>
              <w:spacing w:before="80" w:after="100" w:line="240" w:lineRule="atLeast"/>
              <w:rPr>
                <w:rFonts w:cs="Arial"/>
                <w:sz w:val="18"/>
                <w:szCs w:val="18"/>
              </w:rPr>
            </w:pPr>
            <w:r>
              <w:rPr>
                <w:sz w:val="18"/>
              </w:rPr>
              <w:t>1. bekezdés második mondat</w:t>
            </w:r>
          </w:p>
        </w:tc>
        <w:tc>
          <w:tcPr>
            <w:tcW w:w="3296" w:type="dxa"/>
            <w:shd w:val="clear" w:color="auto" w:fill="auto"/>
          </w:tcPr>
          <w:p w:rsidR="005624E3" w:rsidRPr="003F5E4D" w:rsidRDefault="005624E3" w:rsidP="00101A80">
            <w:pPr>
              <w:spacing w:before="80" w:after="100" w:line="240" w:lineRule="atLeast"/>
              <w:rPr>
                <w:rFonts w:cs="Arial"/>
                <w:noProof/>
                <w:sz w:val="18"/>
                <w:szCs w:val="18"/>
              </w:rPr>
            </w:pPr>
            <w:r>
              <w:rPr>
                <w:noProof/>
                <w:sz w:val="18"/>
              </w:rPr>
              <w:t>A kért okmányokat be kell nyújtani az ellenőrző szervnek.</w:t>
            </w:r>
          </w:p>
        </w:tc>
        <w:tc>
          <w:tcPr>
            <w:tcW w:w="6521" w:type="dxa"/>
            <w:shd w:val="clear" w:color="auto" w:fill="auto"/>
          </w:tcPr>
          <w:p w:rsidR="005624E3" w:rsidRPr="00852DB3" w:rsidRDefault="005624E3" w:rsidP="00101A80">
            <w:pPr>
              <w:spacing w:before="8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80" w:after="100" w:line="240" w:lineRule="atLeast"/>
              <w:jc w:val="center"/>
              <w:rPr>
                <w:rFonts w:cs="Arial"/>
                <w:sz w:val="18"/>
                <w:szCs w:val="18"/>
              </w:rPr>
            </w:pPr>
            <w:r>
              <w:rPr>
                <w:sz w:val="18"/>
              </w:rPr>
              <w:t>2035.01.01.</w:t>
            </w:r>
          </w:p>
        </w:tc>
      </w:tr>
      <w:tr w:rsidR="005624E3" w:rsidRPr="00C903F8" w:rsidTr="005758C9">
        <w:trPr>
          <w:cantSplit/>
          <w:jc w:val="center"/>
        </w:trPr>
        <w:tc>
          <w:tcPr>
            <w:tcW w:w="1342" w:type="dxa"/>
            <w:vMerge w:val="restart"/>
            <w:tcBorders>
              <w:top w:val="nil"/>
            </w:tcBorders>
            <w:shd w:val="clear" w:color="auto" w:fill="auto"/>
          </w:tcPr>
          <w:p w:rsidR="005624E3" w:rsidRPr="00C903F8" w:rsidRDefault="005624E3" w:rsidP="00101A80">
            <w:pPr>
              <w:spacing w:before="120" w:after="100" w:line="240" w:lineRule="atLeast"/>
              <w:rPr>
                <w:rFonts w:cs="Arial"/>
                <w:sz w:val="18"/>
                <w:szCs w:val="18"/>
              </w:rPr>
            </w:pPr>
          </w:p>
        </w:tc>
        <w:tc>
          <w:tcPr>
            <w:tcW w:w="1458" w:type="dxa"/>
            <w:shd w:val="clear" w:color="auto" w:fill="auto"/>
          </w:tcPr>
          <w:p w:rsidR="005624E3" w:rsidRPr="00852DB3" w:rsidRDefault="005624E3" w:rsidP="00101A80">
            <w:pPr>
              <w:spacing w:before="120" w:after="100" w:line="240" w:lineRule="atLeast"/>
              <w:rPr>
                <w:rFonts w:cs="Arial"/>
                <w:sz w:val="18"/>
                <w:szCs w:val="18"/>
              </w:rPr>
            </w:pPr>
            <w:r>
              <w:rPr>
                <w:sz w:val="18"/>
              </w:rPr>
              <w:t>2. bekezdés b) pont</w:t>
            </w:r>
          </w:p>
        </w:tc>
        <w:tc>
          <w:tcPr>
            <w:tcW w:w="3296" w:type="dxa"/>
            <w:shd w:val="clear" w:color="auto" w:fill="auto"/>
          </w:tcPr>
          <w:p w:rsidR="005624E3" w:rsidRPr="003F5E4D" w:rsidRDefault="005624E3" w:rsidP="00101A80">
            <w:pPr>
              <w:spacing w:before="120" w:after="100" w:line="240" w:lineRule="atLeast"/>
              <w:rPr>
                <w:rFonts w:cs="Arial"/>
                <w:noProof/>
                <w:sz w:val="18"/>
                <w:szCs w:val="18"/>
              </w:rPr>
            </w:pPr>
            <w:r>
              <w:rPr>
                <w:noProof/>
                <w:sz w:val="18"/>
              </w:rPr>
              <w:t>A fő kapcsolótáblákra, a vészhelyzeti kapcsolótáblákra és az elosztó kapcsolótáblákra vonatkozó tervrajzok fedélzeten tartására vonatkozó kötelezettség</w:t>
            </w:r>
          </w:p>
        </w:tc>
        <w:tc>
          <w:tcPr>
            <w:tcW w:w="6521" w:type="dxa"/>
            <w:shd w:val="clear" w:color="auto" w:fill="auto"/>
          </w:tcPr>
          <w:p w:rsidR="005624E3" w:rsidRPr="00852DB3" w:rsidRDefault="005624E3" w:rsidP="00101A80">
            <w:pPr>
              <w:spacing w:before="12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20" w:after="100" w:line="240" w:lineRule="atLeast"/>
              <w:jc w:val="center"/>
              <w:rPr>
                <w:rFonts w:cs="Arial"/>
                <w:sz w:val="18"/>
                <w:szCs w:val="18"/>
              </w:rPr>
            </w:pPr>
            <w:r>
              <w:rPr>
                <w:sz w:val="18"/>
              </w:rPr>
              <w:t>2010.01.01.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00" w:line="240" w:lineRule="atLeast"/>
              <w:rPr>
                <w:rFonts w:cs="Arial"/>
                <w:sz w:val="18"/>
                <w:szCs w:val="18"/>
              </w:rPr>
            </w:pPr>
          </w:p>
        </w:tc>
        <w:tc>
          <w:tcPr>
            <w:tcW w:w="1458" w:type="dxa"/>
            <w:shd w:val="clear" w:color="auto" w:fill="auto"/>
          </w:tcPr>
          <w:p w:rsidR="005624E3" w:rsidRPr="00852DB3" w:rsidRDefault="005624E3" w:rsidP="00101A80">
            <w:pPr>
              <w:spacing w:before="120" w:after="100" w:line="240" w:lineRule="atLeast"/>
              <w:rPr>
                <w:rFonts w:cs="Arial"/>
                <w:sz w:val="18"/>
                <w:szCs w:val="18"/>
              </w:rPr>
            </w:pPr>
            <w:r>
              <w:rPr>
                <w:sz w:val="18"/>
              </w:rPr>
              <w:t>2. bekezdés e) pont</w:t>
            </w:r>
          </w:p>
        </w:tc>
        <w:tc>
          <w:tcPr>
            <w:tcW w:w="3296" w:type="dxa"/>
            <w:shd w:val="clear" w:color="auto" w:fill="auto"/>
          </w:tcPr>
          <w:p w:rsidR="005624E3" w:rsidRPr="003F5E4D" w:rsidRDefault="005624E3" w:rsidP="00101A80">
            <w:pPr>
              <w:spacing w:before="120" w:after="100" w:line="240" w:lineRule="atLeast"/>
              <w:rPr>
                <w:rFonts w:cs="Arial"/>
                <w:noProof/>
                <w:sz w:val="18"/>
                <w:szCs w:val="18"/>
              </w:rPr>
            </w:pPr>
            <w:r>
              <w:rPr>
                <w:noProof/>
                <w:sz w:val="18"/>
              </w:rPr>
              <w:t>A kapcsolótáblák tervrajzai, valamint az elektromos propulziós motorok dokumentációja</w:t>
            </w:r>
          </w:p>
        </w:tc>
        <w:tc>
          <w:tcPr>
            <w:tcW w:w="6521" w:type="dxa"/>
            <w:shd w:val="clear" w:color="auto" w:fill="auto"/>
          </w:tcPr>
          <w:p w:rsidR="005624E3" w:rsidRPr="00852DB3" w:rsidRDefault="005624E3" w:rsidP="00101A80">
            <w:pPr>
              <w:spacing w:before="120" w:after="10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20" w:after="10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00" w:line="240" w:lineRule="atLeast"/>
              <w:rPr>
                <w:rFonts w:cs="Arial"/>
                <w:sz w:val="18"/>
                <w:szCs w:val="18"/>
              </w:rPr>
            </w:pPr>
          </w:p>
        </w:tc>
        <w:tc>
          <w:tcPr>
            <w:tcW w:w="1458" w:type="dxa"/>
            <w:shd w:val="clear" w:color="auto" w:fill="auto"/>
          </w:tcPr>
          <w:p w:rsidR="005624E3" w:rsidRPr="00852DB3" w:rsidRDefault="005624E3" w:rsidP="00101A80">
            <w:pPr>
              <w:spacing w:before="120" w:after="100" w:line="240" w:lineRule="atLeast"/>
              <w:rPr>
                <w:rFonts w:cs="Arial"/>
                <w:sz w:val="18"/>
                <w:szCs w:val="18"/>
              </w:rPr>
            </w:pPr>
            <w:r>
              <w:rPr>
                <w:sz w:val="18"/>
              </w:rPr>
              <w:t>2. bekezdés f) pont</w:t>
            </w:r>
          </w:p>
        </w:tc>
        <w:tc>
          <w:tcPr>
            <w:tcW w:w="3296" w:type="dxa"/>
            <w:shd w:val="clear" w:color="auto" w:fill="auto"/>
          </w:tcPr>
          <w:p w:rsidR="005624E3" w:rsidRPr="00852DB3" w:rsidRDefault="005624E3" w:rsidP="00101A80">
            <w:pPr>
              <w:spacing w:before="120" w:after="100" w:line="240" w:lineRule="atLeast"/>
              <w:rPr>
                <w:rFonts w:cs="Arial"/>
                <w:noProof/>
                <w:sz w:val="18"/>
                <w:szCs w:val="18"/>
              </w:rPr>
            </w:pPr>
            <w:r>
              <w:rPr>
                <w:noProof/>
                <w:sz w:val="18"/>
              </w:rPr>
              <w:t>Az elektronikus rendszerek tervrajzai</w:t>
            </w:r>
          </w:p>
        </w:tc>
        <w:tc>
          <w:tcPr>
            <w:tcW w:w="6521" w:type="dxa"/>
            <w:shd w:val="clear" w:color="auto" w:fill="auto"/>
          </w:tcPr>
          <w:p w:rsidR="005624E3" w:rsidRPr="00852DB3" w:rsidRDefault="005624E3" w:rsidP="00101A80">
            <w:pPr>
              <w:spacing w:before="120" w:after="10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20" w:after="10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00" w:line="240" w:lineRule="atLeast"/>
              <w:rPr>
                <w:rFonts w:cs="Arial"/>
                <w:sz w:val="18"/>
                <w:szCs w:val="18"/>
              </w:rPr>
            </w:pPr>
          </w:p>
        </w:tc>
        <w:tc>
          <w:tcPr>
            <w:tcW w:w="1458" w:type="dxa"/>
            <w:shd w:val="clear" w:color="auto" w:fill="auto"/>
          </w:tcPr>
          <w:p w:rsidR="005624E3" w:rsidRPr="00852DB3" w:rsidRDefault="005624E3" w:rsidP="00101A80">
            <w:pPr>
              <w:spacing w:before="120" w:after="100" w:line="240" w:lineRule="atLeast"/>
              <w:rPr>
                <w:rFonts w:cs="Arial"/>
                <w:sz w:val="18"/>
                <w:szCs w:val="18"/>
              </w:rPr>
            </w:pPr>
            <w:r>
              <w:rPr>
                <w:sz w:val="18"/>
              </w:rPr>
              <w:t>2. bekezdés g) pont</w:t>
            </w:r>
          </w:p>
        </w:tc>
        <w:tc>
          <w:tcPr>
            <w:tcW w:w="3296" w:type="dxa"/>
            <w:shd w:val="clear" w:color="auto" w:fill="auto"/>
          </w:tcPr>
          <w:p w:rsidR="005624E3" w:rsidRPr="00852DB3" w:rsidRDefault="005624E3" w:rsidP="00101A80">
            <w:pPr>
              <w:spacing w:before="120" w:after="100" w:line="240" w:lineRule="atLeast"/>
              <w:rPr>
                <w:rFonts w:cs="Arial"/>
                <w:noProof/>
                <w:sz w:val="18"/>
                <w:szCs w:val="18"/>
              </w:rPr>
            </w:pPr>
            <w:r>
              <w:rPr>
                <w:noProof/>
                <w:sz w:val="18"/>
              </w:rPr>
              <w:t>A vezérlőkörök tervrajzai</w:t>
            </w:r>
          </w:p>
        </w:tc>
        <w:tc>
          <w:tcPr>
            <w:tcW w:w="6521" w:type="dxa"/>
            <w:shd w:val="clear" w:color="auto" w:fill="auto"/>
          </w:tcPr>
          <w:p w:rsidR="005624E3" w:rsidRPr="00852DB3" w:rsidRDefault="005624E3" w:rsidP="00101A80">
            <w:pPr>
              <w:spacing w:before="120" w:after="10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20" w:after="10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20" w:after="100" w:line="240" w:lineRule="atLeast"/>
              <w:rPr>
                <w:rFonts w:cs="Arial"/>
                <w:sz w:val="18"/>
                <w:szCs w:val="18"/>
              </w:rPr>
            </w:pPr>
          </w:p>
        </w:tc>
        <w:tc>
          <w:tcPr>
            <w:tcW w:w="1458" w:type="dxa"/>
            <w:shd w:val="clear" w:color="auto" w:fill="auto"/>
          </w:tcPr>
          <w:p w:rsidR="005624E3" w:rsidRPr="00852DB3" w:rsidRDefault="005624E3" w:rsidP="00101A80">
            <w:pPr>
              <w:spacing w:before="120" w:after="100" w:line="240" w:lineRule="atLeast"/>
              <w:rPr>
                <w:rFonts w:cs="Arial"/>
                <w:sz w:val="18"/>
                <w:szCs w:val="18"/>
              </w:rPr>
            </w:pPr>
            <w:r>
              <w:rPr>
                <w:sz w:val="18"/>
              </w:rPr>
              <w:t>3. bekezdés</w:t>
            </w:r>
          </w:p>
        </w:tc>
        <w:tc>
          <w:tcPr>
            <w:tcW w:w="3296" w:type="dxa"/>
            <w:shd w:val="clear" w:color="auto" w:fill="auto"/>
          </w:tcPr>
          <w:p w:rsidR="005624E3" w:rsidRPr="00852DB3" w:rsidRDefault="005624E3" w:rsidP="00101A80">
            <w:pPr>
              <w:spacing w:before="120" w:after="100" w:line="240" w:lineRule="atLeast"/>
              <w:rPr>
                <w:rFonts w:cs="Arial"/>
                <w:noProof/>
                <w:sz w:val="18"/>
                <w:szCs w:val="18"/>
              </w:rPr>
            </w:pPr>
            <w:r>
              <w:rPr>
                <w:noProof/>
                <w:sz w:val="18"/>
              </w:rPr>
              <w:t>Környezeti hőmérséklet a hajó belsejében és a fedélzeten</w:t>
            </w:r>
          </w:p>
        </w:tc>
        <w:tc>
          <w:tcPr>
            <w:tcW w:w="6521" w:type="dxa"/>
            <w:shd w:val="clear" w:color="auto" w:fill="auto"/>
          </w:tcPr>
          <w:p w:rsidR="005624E3" w:rsidRPr="00852DB3" w:rsidRDefault="005624E3" w:rsidP="00101A80">
            <w:pPr>
              <w:spacing w:before="12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20" w:after="100" w:line="240" w:lineRule="atLeast"/>
              <w:jc w:val="center"/>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4B4203" w:rsidRDefault="005624E3" w:rsidP="00101A80">
            <w:pPr>
              <w:spacing w:before="120" w:after="100" w:line="240" w:lineRule="atLeast"/>
              <w:rPr>
                <w:rFonts w:cs="Arial"/>
                <w:sz w:val="18"/>
                <w:szCs w:val="18"/>
              </w:rPr>
            </w:pPr>
            <w:r>
              <w:rPr>
                <w:sz w:val="18"/>
              </w:rPr>
              <w:t>10.02. cikk</w:t>
            </w:r>
          </w:p>
        </w:tc>
        <w:tc>
          <w:tcPr>
            <w:tcW w:w="1458" w:type="dxa"/>
            <w:shd w:val="clear" w:color="auto" w:fill="auto"/>
          </w:tcPr>
          <w:p w:rsidR="005624E3" w:rsidRPr="00852DB3" w:rsidRDefault="005624E3" w:rsidP="00101A80">
            <w:pPr>
              <w:spacing w:before="120" w:after="100" w:line="240" w:lineRule="atLeast"/>
              <w:rPr>
                <w:rFonts w:cs="Arial"/>
                <w:sz w:val="18"/>
                <w:szCs w:val="18"/>
              </w:rPr>
            </w:pPr>
          </w:p>
        </w:tc>
        <w:tc>
          <w:tcPr>
            <w:tcW w:w="3296" w:type="dxa"/>
            <w:shd w:val="clear" w:color="auto" w:fill="auto"/>
          </w:tcPr>
          <w:p w:rsidR="005624E3" w:rsidRPr="00852DB3" w:rsidRDefault="005624E3" w:rsidP="00101A80">
            <w:pPr>
              <w:spacing w:before="120" w:after="100" w:line="240" w:lineRule="atLeast"/>
              <w:rPr>
                <w:rFonts w:cs="Arial"/>
                <w:noProof/>
                <w:sz w:val="18"/>
                <w:szCs w:val="18"/>
              </w:rPr>
            </w:pPr>
            <w:r>
              <w:rPr>
                <w:noProof/>
                <w:sz w:val="18"/>
              </w:rPr>
              <w:t>Áramellátó rendszerek</w:t>
            </w:r>
          </w:p>
        </w:tc>
        <w:tc>
          <w:tcPr>
            <w:tcW w:w="6521" w:type="dxa"/>
            <w:shd w:val="clear" w:color="auto" w:fill="auto"/>
          </w:tcPr>
          <w:p w:rsidR="005624E3" w:rsidRPr="00852DB3" w:rsidRDefault="005624E3" w:rsidP="00101A80">
            <w:pPr>
              <w:spacing w:before="12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20" w:after="100" w:line="240" w:lineRule="atLeast"/>
              <w:jc w:val="center"/>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4B4203" w:rsidRDefault="005624E3" w:rsidP="00101A80">
            <w:pPr>
              <w:spacing w:before="120" w:after="100" w:line="240" w:lineRule="atLeast"/>
              <w:rPr>
                <w:rFonts w:cs="Arial"/>
                <w:sz w:val="18"/>
                <w:szCs w:val="18"/>
              </w:rPr>
            </w:pPr>
            <w:r>
              <w:rPr>
                <w:sz w:val="18"/>
              </w:rPr>
              <w:t>10.03. cikk</w:t>
            </w:r>
          </w:p>
        </w:tc>
        <w:tc>
          <w:tcPr>
            <w:tcW w:w="1458" w:type="dxa"/>
            <w:shd w:val="clear" w:color="auto" w:fill="auto"/>
          </w:tcPr>
          <w:p w:rsidR="005624E3" w:rsidRPr="00852DB3" w:rsidRDefault="005624E3" w:rsidP="00101A80">
            <w:pPr>
              <w:spacing w:before="120" w:after="100" w:line="240" w:lineRule="atLeast"/>
              <w:rPr>
                <w:rFonts w:cs="Arial"/>
                <w:sz w:val="18"/>
                <w:szCs w:val="18"/>
              </w:rPr>
            </w:pPr>
          </w:p>
        </w:tc>
        <w:tc>
          <w:tcPr>
            <w:tcW w:w="3296" w:type="dxa"/>
            <w:shd w:val="clear" w:color="auto" w:fill="auto"/>
          </w:tcPr>
          <w:p w:rsidR="005624E3" w:rsidRPr="003F5E4D" w:rsidRDefault="005624E3" w:rsidP="00101A80">
            <w:pPr>
              <w:spacing w:before="120" w:after="100" w:line="240" w:lineRule="atLeast"/>
              <w:rPr>
                <w:rFonts w:cs="Arial"/>
                <w:noProof/>
                <w:sz w:val="18"/>
                <w:szCs w:val="18"/>
              </w:rPr>
            </w:pPr>
            <w:r>
              <w:rPr>
                <w:noProof/>
                <w:sz w:val="18"/>
              </w:rPr>
              <w:t>Védelem típusa a berendezések helyétől függően</w:t>
            </w:r>
          </w:p>
        </w:tc>
        <w:tc>
          <w:tcPr>
            <w:tcW w:w="6521" w:type="dxa"/>
            <w:shd w:val="clear" w:color="auto" w:fill="auto"/>
          </w:tcPr>
          <w:p w:rsidR="005624E3" w:rsidRPr="00852DB3" w:rsidRDefault="005624E3" w:rsidP="00101A80">
            <w:pPr>
              <w:spacing w:before="120" w:after="10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20" w:after="100" w:line="240" w:lineRule="atLeast"/>
              <w:jc w:val="center"/>
              <w:rPr>
                <w:rFonts w:cs="Arial"/>
                <w:sz w:val="18"/>
                <w:szCs w:val="18"/>
              </w:rPr>
            </w:pPr>
          </w:p>
        </w:tc>
      </w:tr>
      <w:tr w:rsidR="005624E3" w:rsidRPr="00C903F8" w:rsidTr="005758C9">
        <w:trPr>
          <w:cantSplit/>
          <w:jc w:val="center"/>
        </w:trPr>
        <w:tc>
          <w:tcPr>
            <w:tcW w:w="1342" w:type="dxa"/>
            <w:shd w:val="clear" w:color="auto" w:fill="auto"/>
          </w:tcPr>
          <w:p w:rsidR="005624E3" w:rsidRPr="004B4203" w:rsidRDefault="005624E3" w:rsidP="00101A80">
            <w:pPr>
              <w:spacing w:before="120" w:after="100" w:line="240" w:lineRule="atLeast"/>
              <w:rPr>
                <w:rFonts w:cs="Arial"/>
                <w:sz w:val="18"/>
                <w:szCs w:val="18"/>
              </w:rPr>
            </w:pPr>
            <w:r>
              <w:rPr>
                <w:sz w:val="18"/>
              </w:rPr>
              <w:t>10.04. cikk</w:t>
            </w:r>
          </w:p>
        </w:tc>
        <w:tc>
          <w:tcPr>
            <w:tcW w:w="1458" w:type="dxa"/>
            <w:shd w:val="clear" w:color="auto" w:fill="auto"/>
          </w:tcPr>
          <w:p w:rsidR="005624E3" w:rsidRPr="00852DB3" w:rsidRDefault="005624E3" w:rsidP="00101A80">
            <w:pPr>
              <w:spacing w:before="120" w:after="100" w:line="240" w:lineRule="atLeast"/>
              <w:rPr>
                <w:rFonts w:cs="Arial"/>
                <w:sz w:val="18"/>
                <w:szCs w:val="18"/>
              </w:rPr>
            </w:pPr>
          </w:p>
        </w:tc>
        <w:tc>
          <w:tcPr>
            <w:tcW w:w="3296" w:type="dxa"/>
            <w:shd w:val="clear" w:color="auto" w:fill="auto"/>
          </w:tcPr>
          <w:p w:rsidR="005624E3" w:rsidRPr="00852DB3" w:rsidRDefault="005624E3" w:rsidP="00101A80">
            <w:pPr>
              <w:spacing w:before="120" w:after="100" w:line="240" w:lineRule="atLeast"/>
              <w:rPr>
                <w:rFonts w:cs="Arial"/>
                <w:noProof/>
                <w:sz w:val="18"/>
                <w:szCs w:val="18"/>
              </w:rPr>
            </w:pPr>
            <w:r>
              <w:rPr>
                <w:noProof/>
                <w:sz w:val="18"/>
              </w:rPr>
              <w:t>Robbanásvédelem</w:t>
            </w:r>
          </w:p>
        </w:tc>
        <w:tc>
          <w:tcPr>
            <w:tcW w:w="6521" w:type="dxa"/>
            <w:shd w:val="clear" w:color="auto" w:fill="auto"/>
          </w:tcPr>
          <w:p w:rsidR="005624E3" w:rsidRPr="00852DB3" w:rsidRDefault="005624E3" w:rsidP="00101A80">
            <w:pPr>
              <w:spacing w:before="120" w:after="10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20" w:after="100" w:line="240" w:lineRule="atLeast"/>
              <w:jc w:val="center"/>
              <w:rPr>
                <w:rFonts w:cs="Arial"/>
                <w:sz w:val="18"/>
                <w:szCs w:val="18"/>
              </w:rPr>
            </w:pPr>
          </w:p>
        </w:tc>
      </w:tr>
      <w:tr w:rsidR="005624E3" w:rsidRPr="00C903F8" w:rsidTr="005758C9">
        <w:trPr>
          <w:cantSplit/>
          <w:jc w:val="center"/>
        </w:trPr>
        <w:tc>
          <w:tcPr>
            <w:tcW w:w="1342" w:type="dxa"/>
            <w:shd w:val="clear" w:color="auto" w:fill="auto"/>
          </w:tcPr>
          <w:p w:rsidR="005624E3" w:rsidRPr="004B4203" w:rsidRDefault="005624E3" w:rsidP="00101A80">
            <w:pPr>
              <w:spacing w:before="60" w:after="60" w:line="240" w:lineRule="atLeast"/>
              <w:rPr>
                <w:rFonts w:cs="Arial"/>
                <w:sz w:val="18"/>
                <w:szCs w:val="18"/>
              </w:rPr>
            </w:pPr>
            <w:r>
              <w:rPr>
                <w:sz w:val="18"/>
              </w:rPr>
              <w:t>10.05. cikk</w:t>
            </w:r>
          </w:p>
        </w:tc>
        <w:tc>
          <w:tcPr>
            <w:tcW w:w="1458" w:type="dxa"/>
            <w:shd w:val="clear" w:color="auto" w:fill="auto"/>
          </w:tcPr>
          <w:p w:rsidR="005624E3" w:rsidRPr="00852DB3" w:rsidRDefault="005624E3" w:rsidP="00101A80">
            <w:pPr>
              <w:spacing w:before="60" w:after="60" w:line="240" w:lineRule="atLeast"/>
              <w:rPr>
                <w:rFonts w:cs="Arial"/>
                <w:sz w:val="18"/>
                <w:szCs w:val="18"/>
              </w:rPr>
            </w:pPr>
            <w:r>
              <w:rPr>
                <w:sz w:val="18"/>
              </w:rPr>
              <w:t>4. bekezdés</w:t>
            </w:r>
          </w:p>
        </w:tc>
        <w:tc>
          <w:tcPr>
            <w:tcW w:w="3296" w:type="dxa"/>
            <w:shd w:val="clear" w:color="auto" w:fill="auto"/>
          </w:tcPr>
          <w:p w:rsidR="005624E3" w:rsidRPr="001717EA" w:rsidRDefault="005624E3" w:rsidP="00101A80">
            <w:pPr>
              <w:spacing w:before="60" w:after="60" w:line="240" w:lineRule="atLeast"/>
              <w:rPr>
                <w:rFonts w:cs="Arial"/>
                <w:sz w:val="18"/>
                <w:szCs w:val="18"/>
              </w:rPr>
            </w:pPr>
            <w:r>
              <w:rPr>
                <w:sz w:val="18"/>
              </w:rPr>
              <w:t>A földelőkábelek keresztmetszete</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r>
              <w:rPr>
                <w:sz w:val="18"/>
              </w:rPr>
              <w:t>2015.01.01.</w:t>
            </w:r>
          </w:p>
        </w:tc>
      </w:tr>
      <w:tr w:rsidR="005624E3" w:rsidRPr="00C903F8" w:rsidTr="005758C9">
        <w:trPr>
          <w:cantSplit/>
          <w:jc w:val="center"/>
        </w:trPr>
        <w:tc>
          <w:tcPr>
            <w:tcW w:w="1342" w:type="dxa"/>
            <w:shd w:val="clear" w:color="auto" w:fill="auto"/>
          </w:tcPr>
          <w:p w:rsidR="005624E3" w:rsidRPr="004B4203" w:rsidRDefault="005624E3" w:rsidP="00101A80">
            <w:pPr>
              <w:spacing w:before="60" w:after="60" w:line="240" w:lineRule="atLeast"/>
              <w:rPr>
                <w:rFonts w:cs="Arial"/>
                <w:sz w:val="18"/>
                <w:szCs w:val="18"/>
              </w:rPr>
            </w:pPr>
            <w:r>
              <w:rPr>
                <w:sz w:val="18"/>
              </w:rPr>
              <w:t xml:space="preserve">10.06. cikk </w:t>
            </w:r>
          </w:p>
        </w:tc>
        <w:tc>
          <w:tcPr>
            <w:tcW w:w="1458" w:type="dxa"/>
            <w:shd w:val="clear" w:color="auto" w:fill="auto"/>
          </w:tcPr>
          <w:p w:rsidR="005624E3" w:rsidRPr="00852DB3" w:rsidRDefault="005624E3" w:rsidP="00101A80">
            <w:pPr>
              <w:spacing w:before="60" w:after="60" w:line="240" w:lineRule="atLeast"/>
              <w:rPr>
                <w:rFonts w:cs="Arial"/>
                <w:sz w:val="18"/>
                <w:szCs w:val="18"/>
              </w:rPr>
            </w:pPr>
            <w:r>
              <w:rPr>
                <w:sz w:val="18"/>
              </w:rPr>
              <w:t>1. táblázat</w:t>
            </w:r>
          </w:p>
        </w:tc>
        <w:tc>
          <w:tcPr>
            <w:tcW w:w="3296" w:type="dxa"/>
            <w:shd w:val="clear" w:color="auto" w:fill="auto"/>
          </w:tcPr>
          <w:p w:rsidR="005624E3" w:rsidRPr="00852DB3" w:rsidRDefault="005624E3" w:rsidP="00101A80">
            <w:pPr>
              <w:spacing w:before="60" w:after="60" w:line="240" w:lineRule="atLeast"/>
              <w:rPr>
                <w:rFonts w:cs="Arial"/>
                <w:sz w:val="18"/>
                <w:szCs w:val="18"/>
              </w:rPr>
            </w:pPr>
            <w:r>
              <w:rPr>
                <w:sz w:val="18"/>
              </w:rPr>
              <w:t>Háromfázisú váltóáram</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p>
        </w:tc>
      </w:tr>
      <w:tr w:rsidR="005624E3" w:rsidRPr="00C903F8" w:rsidTr="005758C9">
        <w:trPr>
          <w:cantSplit/>
          <w:jc w:val="center"/>
        </w:trPr>
        <w:tc>
          <w:tcPr>
            <w:tcW w:w="1342" w:type="dxa"/>
            <w:tcBorders>
              <w:bottom w:val="single" w:sz="4" w:space="0" w:color="auto"/>
            </w:tcBorders>
            <w:shd w:val="clear" w:color="auto" w:fill="auto"/>
          </w:tcPr>
          <w:p w:rsidR="005624E3" w:rsidRPr="004B4203" w:rsidRDefault="005624E3" w:rsidP="00101A80">
            <w:pPr>
              <w:spacing w:before="60" w:after="60" w:line="240" w:lineRule="atLeast"/>
              <w:rPr>
                <w:rFonts w:cs="Arial"/>
                <w:sz w:val="18"/>
                <w:szCs w:val="18"/>
              </w:rPr>
            </w:pPr>
            <w:r>
              <w:rPr>
                <w:sz w:val="18"/>
              </w:rPr>
              <w:t>10.08. cikk</w:t>
            </w:r>
          </w:p>
        </w:tc>
        <w:tc>
          <w:tcPr>
            <w:tcW w:w="1458" w:type="dxa"/>
            <w:shd w:val="clear" w:color="auto" w:fill="auto"/>
          </w:tcPr>
          <w:p w:rsidR="005624E3" w:rsidRPr="00852DB3"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DB7D1E" w:rsidRDefault="005624E3" w:rsidP="00101A80">
            <w:pPr>
              <w:spacing w:before="60" w:after="60" w:line="240" w:lineRule="atLeast"/>
              <w:ind w:left="15" w:hanging="15"/>
              <w:rPr>
                <w:rFonts w:cs="Arial"/>
                <w:sz w:val="18"/>
                <w:szCs w:val="18"/>
                <w:lang w:val="es-ES"/>
              </w:rPr>
            </w:pPr>
            <w:r w:rsidRPr="00DB7D1E">
              <w:rPr>
                <w:sz w:val="18"/>
                <w:lang w:val="es-ES"/>
              </w:rPr>
              <w:t>Megfelelés az EN 15869-1, az EN 15869</w:t>
            </w:r>
            <w:r w:rsidRPr="00DB7D1E">
              <w:rPr>
                <w:lang w:val="es-ES"/>
              </w:rPr>
              <w:softHyphen/>
            </w:r>
            <w:r w:rsidRPr="00DB7D1E">
              <w:rPr>
                <w:sz w:val="18"/>
                <w:lang w:val="es-ES"/>
              </w:rPr>
              <w:t>3 és az EN 16840 európai szabványnak</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p>
        </w:tc>
      </w:tr>
      <w:tr w:rsidR="005624E3" w:rsidRPr="00C903F8" w:rsidTr="005758C9">
        <w:trPr>
          <w:cantSplit/>
          <w:jc w:val="center"/>
        </w:trPr>
        <w:tc>
          <w:tcPr>
            <w:tcW w:w="1342" w:type="dxa"/>
            <w:vMerge w:val="restart"/>
            <w:shd w:val="clear" w:color="auto" w:fill="auto"/>
          </w:tcPr>
          <w:p w:rsidR="005624E3" w:rsidRPr="004B4203" w:rsidRDefault="005624E3" w:rsidP="00101A80">
            <w:pPr>
              <w:spacing w:before="60" w:after="60" w:line="240" w:lineRule="atLeast"/>
              <w:rPr>
                <w:rFonts w:cs="Arial"/>
                <w:sz w:val="18"/>
                <w:szCs w:val="18"/>
              </w:rPr>
            </w:pPr>
            <w:r>
              <w:rPr>
                <w:sz w:val="18"/>
              </w:rPr>
              <w:t xml:space="preserve">10.10. cikk </w:t>
            </w:r>
          </w:p>
        </w:tc>
        <w:tc>
          <w:tcPr>
            <w:tcW w:w="1458" w:type="dxa"/>
            <w:shd w:val="clear" w:color="auto" w:fill="auto"/>
          </w:tcPr>
          <w:p w:rsidR="005624E3" w:rsidRPr="00852DB3" w:rsidRDefault="005624E3" w:rsidP="00101A80">
            <w:pPr>
              <w:spacing w:before="60" w:after="60" w:line="240" w:lineRule="atLeast"/>
              <w:rPr>
                <w:rFonts w:cs="Arial"/>
                <w:sz w:val="18"/>
                <w:szCs w:val="18"/>
              </w:rPr>
            </w:pPr>
            <w:r>
              <w:rPr>
                <w:sz w:val="18"/>
              </w:rPr>
              <w:t>2. bekezdés</w:t>
            </w:r>
          </w:p>
        </w:tc>
        <w:tc>
          <w:tcPr>
            <w:tcW w:w="3296" w:type="dxa"/>
            <w:shd w:val="clear" w:color="auto" w:fill="auto"/>
          </w:tcPr>
          <w:p w:rsidR="005624E3" w:rsidRPr="00852DB3" w:rsidRDefault="005624E3" w:rsidP="00101A80">
            <w:pPr>
              <w:spacing w:before="60" w:after="60" w:line="240" w:lineRule="atLeast"/>
              <w:rPr>
                <w:rFonts w:cs="Arial"/>
                <w:sz w:val="18"/>
                <w:szCs w:val="18"/>
              </w:rPr>
            </w:pPr>
            <w:r>
              <w:rPr>
                <w:sz w:val="18"/>
              </w:rPr>
              <w:t>Transzformátorok beépítése</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adjustRightInd w:val="0"/>
              <w:spacing w:before="60" w:after="60" w:line="240" w:lineRule="atLeast"/>
              <w:rPr>
                <w:rFonts w:cs="Arial"/>
                <w:sz w:val="18"/>
                <w:szCs w:val="18"/>
              </w:rPr>
            </w:pPr>
            <w:r>
              <w:rPr>
                <w:sz w:val="18"/>
              </w:rPr>
              <w:t>A transzformátorok elkülönített elsődleges és másodlagos tekercselése</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adjustRightInd w:val="0"/>
              <w:spacing w:before="160" w:after="160" w:line="240" w:lineRule="atLeast"/>
              <w:rPr>
                <w:rFonts w:cs="Arial"/>
                <w:sz w:val="18"/>
                <w:szCs w:val="18"/>
              </w:rPr>
            </w:pPr>
            <w:r>
              <w:rPr>
                <w:sz w:val="18"/>
              </w:rPr>
              <w:t>Transzformátorok másodlagos tekercsének megcsapolásai</w:t>
            </w:r>
          </w:p>
        </w:tc>
        <w:tc>
          <w:tcPr>
            <w:tcW w:w="6521" w:type="dxa"/>
            <w:shd w:val="clear" w:color="auto" w:fill="auto"/>
          </w:tcPr>
          <w:p w:rsidR="005624E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tcBorders>
              <w:bottom w:val="single" w:sz="4" w:space="0" w:color="auto"/>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adjustRightInd w:val="0"/>
              <w:spacing w:before="160" w:after="160" w:line="240" w:lineRule="atLeast"/>
              <w:rPr>
                <w:rFonts w:cs="Arial"/>
                <w:sz w:val="18"/>
                <w:szCs w:val="18"/>
              </w:rPr>
            </w:pPr>
            <w:r>
              <w:rPr>
                <w:sz w:val="18"/>
              </w:rPr>
              <w:t>A gyártót, a motorteljesítményt, a generátorokat és a transzformátorokat ismertető tábla</w:t>
            </w:r>
          </w:p>
        </w:tc>
        <w:tc>
          <w:tcPr>
            <w:tcW w:w="6521" w:type="dxa"/>
            <w:shd w:val="clear" w:color="auto" w:fill="auto"/>
          </w:tcPr>
          <w:p w:rsidR="005624E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val="restart"/>
            <w:tcBorders>
              <w:top w:val="single" w:sz="4" w:space="0" w:color="auto"/>
              <w:left w:val="single" w:sz="6" w:space="0" w:color="auto"/>
              <w:bottom w:val="single" w:sz="6" w:space="0" w:color="auto"/>
              <w:right w:val="single" w:sz="6" w:space="0" w:color="auto"/>
            </w:tcBorders>
            <w:shd w:val="clear" w:color="auto" w:fill="auto"/>
          </w:tcPr>
          <w:p w:rsidR="005624E3" w:rsidRPr="004B4203" w:rsidRDefault="005624E3" w:rsidP="00101A80">
            <w:pPr>
              <w:spacing w:before="160" w:after="160" w:line="240" w:lineRule="atLeast"/>
              <w:rPr>
                <w:rFonts w:cs="Arial"/>
                <w:sz w:val="18"/>
                <w:szCs w:val="18"/>
              </w:rPr>
            </w:pPr>
            <w:r>
              <w:rPr>
                <w:sz w:val="18"/>
              </w:rPr>
              <w:t xml:space="preserve">10.11. cikk </w:t>
            </w:r>
          </w:p>
        </w:tc>
        <w:tc>
          <w:tcPr>
            <w:tcW w:w="1458" w:type="dxa"/>
            <w:tcBorders>
              <w:left w:val="single" w:sz="6" w:space="0" w:color="auto"/>
            </w:tcBorders>
            <w:shd w:val="clear" w:color="auto" w:fill="auto"/>
          </w:tcPr>
          <w:p w:rsidR="005624E3" w:rsidRPr="00852DB3" w:rsidRDefault="005624E3" w:rsidP="00101A80">
            <w:pPr>
              <w:spacing w:before="160" w:after="160" w:line="240" w:lineRule="atLeast"/>
              <w:rPr>
                <w:rFonts w:cs="Arial"/>
                <w:sz w:val="18"/>
                <w:szCs w:val="18"/>
              </w:rPr>
            </w:pPr>
            <w:r>
              <w:rPr>
                <w:sz w:val="18"/>
              </w:rPr>
              <w:t>3. bekezdés</w:t>
            </w:r>
          </w:p>
        </w:tc>
        <w:tc>
          <w:tcPr>
            <w:tcW w:w="3296" w:type="dxa"/>
            <w:shd w:val="clear" w:color="auto" w:fill="auto"/>
          </w:tcPr>
          <w:p w:rsidR="005624E3" w:rsidRPr="001717EA" w:rsidRDefault="005624E3" w:rsidP="00101A80">
            <w:pPr>
              <w:adjustRightInd w:val="0"/>
              <w:spacing w:before="160" w:after="160" w:line="240" w:lineRule="atLeast"/>
              <w:rPr>
                <w:rFonts w:cs="Arial"/>
                <w:sz w:val="18"/>
                <w:szCs w:val="18"/>
              </w:rPr>
            </w:pPr>
            <w:r>
              <w:rPr>
                <w:sz w:val="18"/>
              </w:rPr>
              <w:t>A kiszolgáló helyiség vagy a szekrény szellőzése a nyitott fedélzet felé</w:t>
            </w:r>
          </w:p>
        </w:tc>
        <w:tc>
          <w:tcPr>
            <w:tcW w:w="6521" w:type="dxa"/>
            <w:shd w:val="clear" w:color="auto" w:fill="auto"/>
          </w:tcPr>
          <w:p w:rsidR="005624E3" w:rsidRPr="00852DB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60" w:after="160" w:line="240" w:lineRule="atLeast"/>
              <w:jc w:val="center"/>
              <w:rPr>
                <w:rFonts w:cs="Arial"/>
                <w:sz w:val="18"/>
                <w:szCs w:val="18"/>
              </w:rPr>
            </w:pPr>
          </w:p>
        </w:tc>
      </w:tr>
      <w:tr w:rsidR="005624E3" w:rsidRPr="00A0619C" w:rsidTr="005758C9">
        <w:trPr>
          <w:cantSplit/>
          <w:jc w:val="center"/>
        </w:trPr>
        <w:tc>
          <w:tcPr>
            <w:tcW w:w="1342" w:type="dxa"/>
            <w:vMerge/>
            <w:tcBorders>
              <w:left w:val="single" w:sz="6" w:space="0" w:color="auto"/>
              <w:bottom w:val="single" w:sz="6" w:space="0" w:color="auto"/>
              <w:right w:val="single" w:sz="6" w:space="0" w:color="auto"/>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tcBorders>
              <w:left w:val="single" w:sz="6" w:space="0" w:color="auto"/>
            </w:tcBorders>
            <w:shd w:val="clear" w:color="auto" w:fill="auto"/>
          </w:tcPr>
          <w:p w:rsidR="005624E3" w:rsidRPr="004B4203" w:rsidRDefault="005624E3" w:rsidP="00101A80">
            <w:pPr>
              <w:spacing w:before="160" w:after="160" w:line="240" w:lineRule="atLeast"/>
              <w:rPr>
                <w:rFonts w:cs="Arial"/>
                <w:sz w:val="18"/>
                <w:szCs w:val="18"/>
              </w:rPr>
            </w:pPr>
            <w:r>
              <w:rPr>
                <w:sz w:val="18"/>
              </w:rPr>
              <w:t>7. bekezdés</w:t>
            </w:r>
          </w:p>
        </w:tc>
        <w:tc>
          <w:tcPr>
            <w:tcW w:w="3296" w:type="dxa"/>
            <w:shd w:val="clear" w:color="auto" w:fill="auto"/>
          </w:tcPr>
          <w:p w:rsidR="005624E3" w:rsidRPr="001717EA" w:rsidRDefault="005624E3" w:rsidP="00101A80">
            <w:pPr>
              <w:adjustRightInd w:val="0"/>
              <w:spacing w:before="160" w:after="160" w:line="240" w:lineRule="atLeast"/>
              <w:rPr>
                <w:rFonts w:cs="Arial"/>
                <w:sz w:val="18"/>
                <w:szCs w:val="18"/>
              </w:rPr>
            </w:pPr>
            <w:r>
              <w:rPr>
                <w:sz w:val="18"/>
              </w:rPr>
              <w:t>Az akkumulátoroknak helyet adó zárt tér, szekrény vagy láda szellőzése</w:t>
            </w:r>
          </w:p>
        </w:tc>
        <w:tc>
          <w:tcPr>
            <w:tcW w:w="6521" w:type="dxa"/>
            <w:shd w:val="clear" w:color="auto" w:fill="auto"/>
          </w:tcPr>
          <w:p w:rsidR="005624E3" w:rsidRPr="004B4203" w:rsidRDefault="005624E3" w:rsidP="00101A80">
            <w:pPr>
              <w:spacing w:before="160" w:after="1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0C0B7A"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tcBorders>
              <w:left w:val="single" w:sz="6" w:space="0" w:color="auto"/>
              <w:bottom w:val="single" w:sz="6" w:space="0" w:color="auto"/>
              <w:right w:val="single" w:sz="6" w:space="0" w:color="auto"/>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tcBorders>
              <w:left w:val="single" w:sz="6" w:space="0" w:color="auto"/>
            </w:tcBorders>
            <w:shd w:val="clear" w:color="auto" w:fill="auto"/>
          </w:tcPr>
          <w:p w:rsidR="005624E3" w:rsidRPr="004B4203" w:rsidRDefault="005624E3" w:rsidP="00101A80">
            <w:pPr>
              <w:spacing w:before="160" w:after="160" w:line="240" w:lineRule="atLeast"/>
              <w:rPr>
                <w:rFonts w:cs="Arial"/>
                <w:sz w:val="18"/>
                <w:szCs w:val="18"/>
              </w:rPr>
            </w:pPr>
            <w:r>
              <w:rPr>
                <w:sz w:val="18"/>
              </w:rPr>
              <w:t>12. bekezdés</w:t>
            </w:r>
          </w:p>
        </w:tc>
        <w:tc>
          <w:tcPr>
            <w:tcW w:w="3296" w:type="dxa"/>
            <w:shd w:val="clear" w:color="auto" w:fill="auto"/>
          </w:tcPr>
          <w:p w:rsidR="005624E3" w:rsidRPr="001717EA" w:rsidRDefault="005624E3" w:rsidP="00101A80">
            <w:pPr>
              <w:adjustRightInd w:val="0"/>
              <w:spacing w:before="160" w:after="160" w:line="240" w:lineRule="atLeast"/>
              <w:rPr>
                <w:rFonts w:cs="Arial"/>
                <w:sz w:val="18"/>
                <w:szCs w:val="18"/>
              </w:rPr>
            </w:pPr>
            <w:r>
              <w:rPr>
                <w:sz w:val="18"/>
              </w:rPr>
              <w:t>A töltőberendezések bemérése</w:t>
            </w:r>
          </w:p>
        </w:tc>
        <w:tc>
          <w:tcPr>
            <w:tcW w:w="6521" w:type="dxa"/>
            <w:shd w:val="clear" w:color="auto" w:fill="auto"/>
          </w:tcPr>
          <w:p w:rsidR="005624E3" w:rsidRPr="004B420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tcBorders>
              <w:left w:val="single" w:sz="6" w:space="0" w:color="auto"/>
              <w:bottom w:val="single" w:sz="6" w:space="0" w:color="auto"/>
              <w:right w:val="single" w:sz="6" w:space="0" w:color="auto"/>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tcBorders>
              <w:left w:val="single" w:sz="6" w:space="0" w:color="auto"/>
            </w:tcBorders>
            <w:shd w:val="clear" w:color="auto" w:fill="auto"/>
          </w:tcPr>
          <w:p w:rsidR="005624E3" w:rsidRPr="004B4203" w:rsidRDefault="005624E3" w:rsidP="00101A80">
            <w:pPr>
              <w:spacing w:before="160" w:after="160" w:line="240" w:lineRule="atLeast"/>
              <w:rPr>
                <w:rFonts w:cs="Arial"/>
                <w:sz w:val="18"/>
                <w:szCs w:val="18"/>
              </w:rPr>
            </w:pPr>
            <w:r>
              <w:rPr>
                <w:sz w:val="18"/>
              </w:rPr>
              <w:t>13. bekezdés</w:t>
            </w:r>
          </w:p>
        </w:tc>
        <w:tc>
          <w:tcPr>
            <w:tcW w:w="3296" w:type="dxa"/>
            <w:shd w:val="clear" w:color="auto" w:fill="auto"/>
          </w:tcPr>
          <w:p w:rsidR="005624E3" w:rsidRPr="001717EA" w:rsidRDefault="005624E3" w:rsidP="00101A80">
            <w:pPr>
              <w:adjustRightInd w:val="0"/>
              <w:spacing w:before="160" w:after="160" w:line="240" w:lineRule="atLeast"/>
              <w:rPr>
                <w:rFonts w:cs="Arial"/>
                <w:sz w:val="18"/>
                <w:szCs w:val="18"/>
              </w:rPr>
            </w:pPr>
            <w:r>
              <w:rPr>
                <w:sz w:val="18"/>
              </w:rPr>
              <w:t>Automatikus töltőberendezések</w:t>
            </w:r>
          </w:p>
        </w:tc>
        <w:tc>
          <w:tcPr>
            <w:tcW w:w="6521" w:type="dxa"/>
            <w:shd w:val="clear" w:color="auto" w:fill="auto"/>
          </w:tcPr>
          <w:p w:rsidR="005624E3" w:rsidRPr="004B420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tcBorders>
              <w:left w:val="single" w:sz="6" w:space="0" w:color="auto"/>
              <w:bottom w:val="single" w:sz="6" w:space="0" w:color="auto"/>
              <w:right w:val="single" w:sz="6" w:space="0" w:color="auto"/>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tcBorders>
              <w:left w:val="single" w:sz="6" w:space="0" w:color="auto"/>
            </w:tcBorders>
            <w:shd w:val="clear" w:color="auto" w:fill="auto"/>
          </w:tcPr>
          <w:p w:rsidR="005624E3" w:rsidRPr="004B4203" w:rsidRDefault="005624E3" w:rsidP="00101A80">
            <w:pPr>
              <w:spacing w:before="160" w:after="160" w:line="240" w:lineRule="atLeast"/>
              <w:rPr>
                <w:rFonts w:cs="Arial"/>
                <w:sz w:val="18"/>
                <w:szCs w:val="18"/>
              </w:rPr>
            </w:pPr>
            <w:r>
              <w:rPr>
                <w:sz w:val="18"/>
              </w:rPr>
              <w:t>14. bekezdés</w:t>
            </w:r>
          </w:p>
        </w:tc>
        <w:tc>
          <w:tcPr>
            <w:tcW w:w="3296" w:type="dxa"/>
            <w:shd w:val="clear" w:color="auto" w:fill="auto"/>
          </w:tcPr>
          <w:p w:rsidR="005624E3" w:rsidRPr="001717EA" w:rsidRDefault="005624E3" w:rsidP="00101A80">
            <w:pPr>
              <w:adjustRightInd w:val="0"/>
              <w:spacing w:before="160" w:after="160" w:line="240" w:lineRule="atLeast"/>
              <w:rPr>
                <w:rFonts w:cs="Arial"/>
                <w:sz w:val="18"/>
                <w:szCs w:val="18"/>
              </w:rPr>
            </w:pPr>
            <w:r>
              <w:rPr>
                <w:sz w:val="18"/>
              </w:rPr>
              <w:t>Legnagyobb töltési feszültség</w:t>
            </w:r>
          </w:p>
        </w:tc>
        <w:tc>
          <w:tcPr>
            <w:tcW w:w="6521" w:type="dxa"/>
            <w:shd w:val="clear" w:color="auto" w:fill="auto"/>
          </w:tcPr>
          <w:p w:rsidR="005624E3" w:rsidRPr="004B420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tcBorders>
              <w:left w:val="single" w:sz="6" w:space="0" w:color="auto"/>
              <w:bottom w:val="single" w:sz="6" w:space="0" w:color="auto"/>
              <w:right w:val="single" w:sz="6" w:space="0" w:color="auto"/>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tcBorders>
              <w:left w:val="single" w:sz="6" w:space="0" w:color="auto"/>
            </w:tcBorders>
            <w:shd w:val="clear" w:color="auto" w:fill="auto"/>
          </w:tcPr>
          <w:p w:rsidR="005624E3" w:rsidRPr="004B4203" w:rsidRDefault="005624E3" w:rsidP="00101A80">
            <w:pPr>
              <w:spacing w:before="160" w:after="160" w:line="240" w:lineRule="atLeast"/>
              <w:rPr>
                <w:rFonts w:cs="Arial"/>
                <w:sz w:val="18"/>
                <w:szCs w:val="18"/>
              </w:rPr>
            </w:pPr>
            <w:r>
              <w:rPr>
                <w:sz w:val="18"/>
              </w:rPr>
              <w:t>15. bekezdés</w:t>
            </w:r>
          </w:p>
        </w:tc>
        <w:tc>
          <w:tcPr>
            <w:tcW w:w="3296" w:type="dxa"/>
            <w:shd w:val="clear" w:color="auto" w:fill="auto"/>
          </w:tcPr>
          <w:p w:rsidR="005624E3" w:rsidRPr="001717EA" w:rsidRDefault="005624E3" w:rsidP="00101A80">
            <w:pPr>
              <w:adjustRightInd w:val="0"/>
              <w:spacing w:before="160" w:after="160" w:line="240" w:lineRule="atLeast"/>
              <w:rPr>
                <w:rFonts w:cs="Arial"/>
                <w:sz w:val="18"/>
                <w:szCs w:val="18"/>
              </w:rPr>
            </w:pPr>
            <w:r>
              <w:rPr>
                <w:sz w:val="18"/>
              </w:rPr>
              <w:t>A lítium-ion akkumulátorokra vonatkozó EN 62619 és EN 62620 szabvány</w:t>
            </w:r>
          </w:p>
        </w:tc>
        <w:tc>
          <w:tcPr>
            <w:tcW w:w="6521" w:type="dxa"/>
            <w:shd w:val="clear" w:color="auto" w:fill="auto"/>
          </w:tcPr>
          <w:p w:rsidR="005624E3" w:rsidRPr="004B420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tcBorders>
              <w:left w:val="single" w:sz="6" w:space="0" w:color="auto"/>
              <w:bottom w:val="single" w:sz="6" w:space="0" w:color="auto"/>
              <w:right w:val="single" w:sz="6" w:space="0" w:color="auto"/>
            </w:tcBorders>
            <w:shd w:val="clear" w:color="auto" w:fill="auto"/>
            <w:vAlign w:val="center"/>
          </w:tcPr>
          <w:p w:rsidR="005624E3" w:rsidRPr="00C903F8" w:rsidRDefault="005624E3" w:rsidP="00101A80">
            <w:pPr>
              <w:spacing w:before="160" w:after="160" w:line="240" w:lineRule="atLeast"/>
              <w:rPr>
                <w:rFonts w:cs="Arial"/>
                <w:sz w:val="18"/>
                <w:szCs w:val="18"/>
              </w:rPr>
            </w:pPr>
          </w:p>
        </w:tc>
        <w:tc>
          <w:tcPr>
            <w:tcW w:w="1458" w:type="dxa"/>
            <w:tcBorders>
              <w:left w:val="single" w:sz="6" w:space="0" w:color="auto"/>
            </w:tcBorders>
            <w:shd w:val="clear" w:color="auto" w:fill="auto"/>
            <w:vAlign w:val="center"/>
          </w:tcPr>
          <w:p w:rsidR="005624E3" w:rsidRPr="00C903F8" w:rsidRDefault="005624E3" w:rsidP="00101A80">
            <w:pPr>
              <w:spacing w:before="160" w:after="160" w:line="240" w:lineRule="atLeast"/>
              <w:rPr>
                <w:rFonts w:cs="Arial"/>
                <w:sz w:val="18"/>
                <w:szCs w:val="18"/>
              </w:rPr>
            </w:pPr>
            <w:r>
              <w:rPr>
                <w:sz w:val="18"/>
              </w:rPr>
              <w:t>16. bekezdés</w:t>
            </w:r>
          </w:p>
        </w:tc>
        <w:tc>
          <w:tcPr>
            <w:tcW w:w="3296" w:type="dxa"/>
            <w:shd w:val="clear" w:color="auto" w:fill="auto"/>
          </w:tcPr>
          <w:p w:rsidR="005624E3" w:rsidRPr="00C903F8" w:rsidRDefault="005624E3" w:rsidP="00101A80">
            <w:pPr>
              <w:adjustRightInd w:val="0"/>
              <w:spacing w:before="160" w:after="160" w:line="240" w:lineRule="atLeast"/>
              <w:rPr>
                <w:rFonts w:cs="Arial"/>
                <w:sz w:val="18"/>
                <w:szCs w:val="18"/>
              </w:rPr>
            </w:pPr>
            <w:r>
              <w:rPr>
                <w:sz w:val="18"/>
              </w:rPr>
              <w:t>Akkumulátorkezelési rendszer</w:t>
            </w:r>
          </w:p>
        </w:tc>
        <w:tc>
          <w:tcPr>
            <w:tcW w:w="6521" w:type="dxa"/>
            <w:shd w:val="clear" w:color="auto" w:fill="auto"/>
          </w:tcPr>
          <w:p w:rsidR="005624E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val="restart"/>
            <w:tcBorders>
              <w:top w:val="single" w:sz="6" w:space="0" w:color="auto"/>
            </w:tcBorders>
            <w:shd w:val="clear" w:color="auto" w:fill="auto"/>
          </w:tcPr>
          <w:p w:rsidR="005624E3" w:rsidRPr="004B4203" w:rsidRDefault="005624E3" w:rsidP="00101A80">
            <w:pPr>
              <w:spacing w:before="60" w:after="60" w:line="240" w:lineRule="atLeast"/>
              <w:rPr>
                <w:rFonts w:cs="Arial"/>
                <w:sz w:val="18"/>
                <w:szCs w:val="18"/>
              </w:rPr>
            </w:pPr>
            <w:r>
              <w:rPr>
                <w:sz w:val="18"/>
              </w:rPr>
              <w:t xml:space="preserve">10.12. cikk </w:t>
            </w:r>
          </w:p>
        </w:tc>
        <w:tc>
          <w:tcPr>
            <w:tcW w:w="1458" w:type="dxa"/>
            <w:shd w:val="clear" w:color="auto" w:fill="auto"/>
          </w:tcPr>
          <w:p w:rsidR="005624E3" w:rsidRPr="00852DB3" w:rsidRDefault="005624E3" w:rsidP="00101A80">
            <w:pPr>
              <w:spacing w:before="60" w:after="60" w:line="240" w:lineRule="atLeast"/>
              <w:rPr>
                <w:rFonts w:cs="Arial"/>
                <w:sz w:val="18"/>
                <w:szCs w:val="18"/>
              </w:rPr>
            </w:pPr>
            <w:r>
              <w:rPr>
                <w:sz w:val="18"/>
              </w:rPr>
              <w:t>2. bekezdés d) pont</w:t>
            </w:r>
          </w:p>
        </w:tc>
        <w:tc>
          <w:tcPr>
            <w:tcW w:w="3296" w:type="dxa"/>
            <w:shd w:val="clear" w:color="auto" w:fill="auto"/>
          </w:tcPr>
          <w:p w:rsidR="005624E3" w:rsidRPr="003F5E4D" w:rsidRDefault="005624E3" w:rsidP="00101A80">
            <w:pPr>
              <w:adjustRightInd w:val="0"/>
              <w:spacing w:before="60" w:after="60" w:line="240" w:lineRule="atLeast"/>
              <w:rPr>
                <w:rFonts w:cs="Arial"/>
                <w:sz w:val="18"/>
                <w:szCs w:val="18"/>
              </w:rPr>
            </w:pPr>
            <w:r>
              <w:rPr>
                <w:sz w:val="18"/>
              </w:rPr>
              <w:t>A hajó meghajtásához és kormányzásához szükséges áramfogyasztó berendezések közvetlen áramellátása</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r>
              <w:rPr>
                <w:sz w:val="18"/>
              </w:rPr>
              <w:t>2015.01.01.</w:t>
            </w:r>
          </w:p>
        </w:tc>
      </w:tr>
      <w:tr w:rsidR="005624E3" w:rsidRPr="00C903F8" w:rsidTr="005758C9">
        <w:trPr>
          <w:cantSplit/>
          <w:jc w:val="center"/>
        </w:trPr>
        <w:tc>
          <w:tcPr>
            <w:tcW w:w="1342" w:type="dxa"/>
            <w:vMerge/>
            <w:shd w:val="clear" w:color="auto" w:fill="auto"/>
          </w:tcPr>
          <w:p w:rsidR="005624E3" w:rsidRPr="004B4203" w:rsidRDefault="005624E3" w:rsidP="00101A80">
            <w:pPr>
              <w:spacing w:before="60" w:after="60" w:line="240" w:lineRule="atLeast"/>
              <w:rPr>
                <w:rFonts w:cs="Arial"/>
                <w:sz w:val="18"/>
                <w:szCs w:val="18"/>
              </w:rPr>
            </w:pPr>
          </w:p>
        </w:tc>
        <w:tc>
          <w:tcPr>
            <w:tcW w:w="1458" w:type="dxa"/>
            <w:shd w:val="clear" w:color="auto" w:fill="auto"/>
          </w:tcPr>
          <w:p w:rsidR="005624E3" w:rsidRPr="00852DB3" w:rsidRDefault="005624E3" w:rsidP="00101A80">
            <w:pPr>
              <w:spacing w:before="60" w:after="60" w:line="240" w:lineRule="atLeast"/>
              <w:rPr>
                <w:rFonts w:cs="Arial"/>
                <w:sz w:val="18"/>
                <w:szCs w:val="18"/>
              </w:rPr>
            </w:pPr>
            <w:r>
              <w:rPr>
                <w:sz w:val="18"/>
              </w:rPr>
              <w:t>3. bekezdés b) pont</w:t>
            </w:r>
          </w:p>
        </w:tc>
        <w:tc>
          <w:tcPr>
            <w:tcW w:w="3296" w:type="dxa"/>
            <w:shd w:val="clear" w:color="auto" w:fill="auto"/>
          </w:tcPr>
          <w:p w:rsidR="005624E3" w:rsidRPr="00852DB3" w:rsidRDefault="005624E3" w:rsidP="00101A80">
            <w:pPr>
              <w:adjustRightInd w:val="0"/>
              <w:spacing w:before="60" w:after="60" w:line="240" w:lineRule="atLeast"/>
              <w:rPr>
                <w:rFonts w:cs="Arial"/>
                <w:sz w:val="18"/>
                <w:szCs w:val="18"/>
              </w:rPr>
            </w:pPr>
            <w:r>
              <w:rPr>
                <w:sz w:val="18"/>
              </w:rPr>
              <w:t>Szigetelés-ellenőrző eszköz</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r>
              <w:rPr>
                <w:sz w:val="18"/>
              </w:rPr>
              <w:t>2010.01.01.</w:t>
            </w:r>
          </w:p>
        </w:tc>
      </w:tr>
      <w:tr w:rsidR="005624E3" w:rsidRPr="00C903F8" w:rsidTr="005758C9">
        <w:trPr>
          <w:cantSplit/>
          <w:jc w:val="center"/>
        </w:trPr>
        <w:tc>
          <w:tcPr>
            <w:tcW w:w="1342" w:type="dxa"/>
            <w:tcBorders>
              <w:bottom w:val="single" w:sz="4" w:space="0" w:color="auto"/>
            </w:tcBorders>
            <w:shd w:val="clear" w:color="auto" w:fill="auto"/>
          </w:tcPr>
          <w:p w:rsidR="005624E3" w:rsidRPr="004B4203" w:rsidRDefault="005624E3" w:rsidP="00101A80">
            <w:pPr>
              <w:spacing w:before="60" w:after="60" w:line="240" w:lineRule="atLeast"/>
              <w:rPr>
                <w:rFonts w:cs="Arial"/>
                <w:sz w:val="18"/>
                <w:szCs w:val="18"/>
              </w:rPr>
            </w:pPr>
            <w:r>
              <w:rPr>
                <w:sz w:val="18"/>
              </w:rPr>
              <w:t>10.13. cikk</w:t>
            </w:r>
          </w:p>
        </w:tc>
        <w:tc>
          <w:tcPr>
            <w:tcW w:w="1458" w:type="dxa"/>
            <w:shd w:val="clear" w:color="auto" w:fill="auto"/>
          </w:tcPr>
          <w:p w:rsidR="005624E3" w:rsidRPr="00852DB3" w:rsidRDefault="005624E3" w:rsidP="00101A80">
            <w:pPr>
              <w:spacing w:before="60" w:after="60" w:line="240" w:lineRule="atLeast"/>
              <w:rPr>
                <w:rFonts w:cs="Arial"/>
                <w:sz w:val="18"/>
                <w:szCs w:val="18"/>
              </w:rPr>
            </w:pPr>
          </w:p>
        </w:tc>
        <w:tc>
          <w:tcPr>
            <w:tcW w:w="3296" w:type="dxa"/>
            <w:shd w:val="clear" w:color="auto" w:fill="auto"/>
          </w:tcPr>
          <w:p w:rsidR="005624E3" w:rsidRPr="00852DB3" w:rsidRDefault="005624E3" w:rsidP="00101A80">
            <w:pPr>
              <w:adjustRightInd w:val="0"/>
              <w:spacing w:before="60" w:after="60" w:line="240" w:lineRule="atLeast"/>
              <w:rPr>
                <w:rFonts w:cs="Arial"/>
                <w:sz w:val="18"/>
                <w:szCs w:val="18"/>
              </w:rPr>
            </w:pPr>
            <w:r>
              <w:rPr>
                <w:sz w:val="18"/>
              </w:rPr>
              <w:t>Vészhelyzeti áramkör-megszakító berendezések</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r>
              <w:rPr>
                <w:sz w:val="18"/>
              </w:rPr>
              <w:t>2010.01.01.</w:t>
            </w:r>
          </w:p>
        </w:tc>
      </w:tr>
      <w:tr w:rsidR="005624E3" w:rsidRPr="00C903F8" w:rsidTr="005758C9">
        <w:trPr>
          <w:cantSplit/>
          <w:jc w:val="center"/>
        </w:trPr>
        <w:tc>
          <w:tcPr>
            <w:tcW w:w="1342" w:type="dxa"/>
            <w:tcBorders>
              <w:bottom w:val="nil"/>
            </w:tcBorders>
            <w:shd w:val="clear" w:color="auto" w:fill="auto"/>
          </w:tcPr>
          <w:p w:rsidR="005624E3" w:rsidRPr="004B4203" w:rsidRDefault="005624E3" w:rsidP="00101A80">
            <w:pPr>
              <w:spacing w:before="60" w:after="60" w:line="240" w:lineRule="atLeast"/>
              <w:rPr>
                <w:rFonts w:cs="Arial"/>
                <w:sz w:val="18"/>
                <w:szCs w:val="18"/>
              </w:rPr>
            </w:pPr>
            <w:r>
              <w:rPr>
                <w:sz w:val="18"/>
              </w:rPr>
              <w:t xml:space="preserve">10.14. cikk </w:t>
            </w:r>
          </w:p>
        </w:tc>
        <w:tc>
          <w:tcPr>
            <w:tcW w:w="1458" w:type="dxa"/>
            <w:shd w:val="clear" w:color="auto" w:fill="auto"/>
          </w:tcPr>
          <w:p w:rsidR="005624E3" w:rsidRPr="000C0B7A" w:rsidRDefault="005624E3" w:rsidP="00101A80">
            <w:pPr>
              <w:spacing w:before="60" w:after="60" w:line="240" w:lineRule="atLeast"/>
              <w:rPr>
                <w:rFonts w:cs="Arial"/>
                <w:sz w:val="18"/>
                <w:szCs w:val="18"/>
              </w:rPr>
            </w:pPr>
            <w:r>
              <w:rPr>
                <w:sz w:val="18"/>
              </w:rPr>
              <w:t>3. bekezdés második mondat</w:t>
            </w:r>
          </w:p>
        </w:tc>
        <w:tc>
          <w:tcPr>
            <w:tcW w:w="3296" w:type="dxa"/>
            <w:shd w:val="clear" w:color="auto" w:fill="auto"/>
          </w:tcPr>
          <w:p w:rsidR="005624E3" w:rsidRPr="000C0B7A" w:rsidRDefault="005624E3" w:rsidP="00101A80">
            <w:pPr>
              <w:adjustRightInd w:val="0"/>
              <w:spacing w:before="60" w:after="60" w:line="240" w:lineRule="atLeast"/>
              <w:rPr>
                <w:rFonts w:cs="Arial"/>
                <w:sz w:val="18"/>
                <w:szCs w:val="18"/>
              </w:rPr>
            </w:pPr>
            <w:r>
              <w:rPr>
                <w:sz w:val="18"/>
              </w:rPr>
              <w:t>Egypólusú kapcsolók tilalma mosdókban, fürdőszobákban és egyéb vizes terekben</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r>
              <w:rPr>
                <w:sz w:val="18"/>
              </w:rPr>
              <w:t>2010.01.01.</w:t>
            </w:r>
          </w:p>
        </w:tc>
      </w:tr>
      <w:tr w:rsidR="005624E3" w:rsidRPr="00A0619C" w:rsidTr="005758C9">
        <w:trPr>
          <w:cantSplit/>
          <w:jc w:val="center"/>
        </w:trPr>
        <w:tc>
          <w:tcPr>
            <w:tcW w:w="1342" w:type="dxa"/>
            <w:vMerge w:val="restart"/>
            <w:shd w:val="clear" w:color="auto" w:fill="auto"/>
          </w:tcPr>
          <w:p w:rsidR="005624E3" w:rsidRPr="00C903F8" w:rsidRDefault="005624E3" w:rsidP="00101A80">
            <w:pPr>
              <w:spacing w:before="80" w:after="80" w:line="240" w:lineRule="atLeast"/>
              <w:rPr>
                <w:rFonts w:cs="Arial"/>
                <w:sz w:val="18"/>
                <w:szCs w:val="18"/>
              </w:rPr>
            </w:pPr>
            <w:r>
              <w:rPr>
                <w:sz w:val="18"/>
              </w:rPr>
              <w:t>10.15. cikk</w:t>
            </w: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2. bekezdés</w:t>
            </w:r>
          </w:p>
        </w:tc>
        <w:tc>
          <w:tcPr>
            <w:tcW w:w="3296" w:type="dxa"/>
            <w:shd w:val="clear" w:color="auto" w:fill="auto"/>
          </w:tcPr>
          <w:p w:rsidR="005624E3" w:rsidRPr="003F5E4D" w:rsidRDefault="005624E3" w:rsidP="00101A80">
            <w:pPr>
              <w:adjustRightInd w:val="0"/>
              <w:spacing w:before="80" w:after="80" w:line="240" w:lineRule="atLeast"/>
              <w:rPr>
                <w:rFonts w:cs="Arial"/>
                <w:sz w:val="18"/>
                <w:szCs w:val="18"/>
              </w:rPr>
            </w:pPr>
            <w:r>
              <w:rPr>
                <w:sz w:val="18"/>
              </w:rPr>
              <w:t>1,5 mm</w:t>
            </w:r>
            <w:r>
              <w:rPr>
                <w:sz w:val="18"/>
                <w:vertAlign w:val="superscript"/>
              </w:rPr>
              <w:t>2</w:t>
            </w:r>
            <w:r>
              <w:rPr>
                <w:sz w:val="18"/>
              </w:rPr>
              <w:t>-es keresztmetszet áramvezető huzalonként</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AD76BF" w:rsidRDefault="005624E3" w:rsidP="00101A80">
            <w:pPr>
              <w:spacing w:before="80" w:after="80" w:line="240" w:lineRule="atLeast"/>
              <w:jc w:val="center"/>
              <w:rPr>
                <w:rFonts w:cs="Arial"/>
                <w:sz w:val="18"/>
                <w:szCs w:val="18"/>
              </w:rPr>
            </w:pPr>
          </w:p>
        </w:tc>
      </w:tr>
      <w:tr w:rsidR="005624E3" w:rsidRPr="00A0619C" w:rsidTr="005758C9">
        <w:trPr>
          <w:cantSplit/>
          <w:jc w:val="center"/>
        </w:trPr>
        <w:tc>
          <w:tcPr>
            <w:tcW w:w="1342" w:type="dxa"/>
            <w:vMerge/>
            <w:shd w:val="clear" w:color="auto" w:fill="auto"/>
          </w:tcPr>
          <w:p w:rsidR="005624E3" w:rsidRPr="00AD76BF"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10. bekezdés</w:t>
            </w:r>
          </w:p>
        </w:tc>
        <w:tc>
          <w:tcPr>
            <w:tcW w:w="3296" w:type="dxa"/>
            <w:shd w:val="clear" w:color="auto" w:fill="auto"/>
          </w:tcPr>
          <w:p w:rsidR="005624E3" w:rsidRPr="003F5E4D" w:rsidRDefault="005624E3" w:rsidP="00101A80">
            <w:pPr>
              <w:adjustRightInd w:val="0"/>
              <w:spacing w:before="80" w:after="80" w:line="240" w:lineRule="atLeast"/>
              <w:rPr>
                <w:rFonts w:cs="Arial"/>
                <w:sz w:val="18"/>
                <w:szCs w:val="18"/>
              </w:rPr>
            </w:pPr>
            <w:r>
              <w:rPr>
                <w:sz w:val="18"/>
              </w:rPr>
              <w:t>Az állítható magasságú kormányálláshoz csatlakozó kábelek</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 xml:space="preserve">N.R.C., legkésőbb a belvízi hajóbizonyítvány megújításakor. </w:t>
            </w:r>
          </w:p>
        </w:tc>
        <w:tc>
          <w:tcPr>
            <w:tcW w:w="1276" w:type="dxa"/>
            <w:shd w:val="clear" w:color="auto" w:fill="auto"/>
          </w:tcPr>
          <w:p w:rsidR="005624E3" w:rsidRPr="00F91AFF" w:rsidRDefault="005624E3" w:rsidP="00101A80">
            <w:pPr>
              <w:spacing w:before="8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F91AFF" w:rsidRDefault="005624E3" w:rsidP="00101A80">
            <w:pPr>
              <w:spacing w:before="80" w:after="80" w:line="240" w:lineRule="atLeast"/>
              <w:rPr>
                <w:rFonts w:cs="Arial"/>
                <w:sz w:val="18"/>
                <w:szCs w:val="18"/>
              </w:rPr>
            </w:pPr>
          </w:p>
        </w:tc>
        <w:tc>
          <w:tcPr>
            <w:tcW w:w="1458" w:type="dxa"/>
            <w:shd w:val="clear" w:color="auto" w:fill="auto"/>
          </w:tcPr>
          <w:p w:rsidR="005624E3" w:rsidRPr="00F91AFF" w:rsidRDefault="005624E3" w:rsidP="00101A80">
            <w:pPr>
              <w:spacing w:before="80" w:after="80" w:line="240" w:lineRule="atLeast"/>
              <w:rPr>
                <w:rFonts w:cs="Arial"/>
                <w:sz w:val="18"/>
                <w:szCs w:val="18"/>
              </w:rPr>
            </w:pPr>
            <w:r>
              <w:rPr>
                <w:sz w:val="18"/>
              </w:rPr>
              <w:t>11. bekezdés</w:t>
            </w:r>
          </w:p>
        </w:tc>
        <w:tc>
          <w:tcPr>
            <w:tcW w:w="3296" w:type="dxa"/>
            <w:shd w:val="clear" w:color="auto" w:fill="auto"/>
          </w:tcPr>
          <w:p w:rsidR="005624E3" w:rsidRPr="00F91AFF" w:rsidRDefault="005624E3" w:rsidP="00101A80">
            <w:pPr>
              <w:adjustRightInd w:val="0"/>
              <w:spacing w:before="80" w:after="80" w:line="240" w:lineRule="atLeast"/>
              <w:rPr>
                <w:rFonts w:cs="Arial"/>
                <w:sz w:val="18"/>
                <w:szCs w:val="18"/>
              </w:rPr>
            </w:pPr>
            <w:r>
              <w:rPr>
                <w:sz w:val="18"/>
              </w:rPr>
              <w:t>A kábelkötegek átvezetései</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12. bekezdés</w:t>
            </w:r>
          </w:p>
        </w:tc>
        <w:tc>
          <w:tcPr>
            <w:tcW w:w="3296" w:type="dxa"/>
            <w:shd w:val="clear" w:color="auto" w:fill="auto"/>
          </w:tcPr>
          <w:p w:rsidR="005624E3" w:rsidRPr="003F5E4D" w:rsidRDefault="005624E3" w:rsidP="00101A80">
            <w:pPr>
              <w:adjustRightInd w:val="0"/>
              <w:spacing w:before="80" w:after="80" w:line="240" w:lineRule="atLeast"/>
              <w:rPr>
                <w:rFonts w:cs="Arial"/>
                <w:sz w:val="18"/>
                <w:szCs w:val="18"/>
              </w:rPr>
            </w:pPr>
            <w:r>
              <w:rPr>
                <w:sz w:val="18"/>
              </w:rPr>
              <w:t>A vészhelyzeti elektromos áramforrástól az áramfogyasztó berendezéshez vezető kábelek</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13. bekezdés</w:t>
            </w:r>
          </w:p>
        </w:tc>
        <w:tc>
          <w:tcPr>
            <w:tcW w:w="3296" w:type="dxa"/>
            <w:shd w:val="clear" w:color="auto" w:fill="auto"/>
          </w:tcPr>
          <w:p w:rsidR="005624E3" w:rsidRPr="003F5E4D" w:rsidRDefault="005624E3" w:rsidP="00101A80">
            <w:pPr>
              <w:adjustRightInd w:val="0"/>
              <w:spacing w:before="80" w:after="80" w:line="240" w:lineRule="atLeast"/>
              <w:rPr>
                <w:rFonts w:cs="Arial"/>
                <w:sz w:val="18"/>
                <w:szCs w:val="18"/>
              </w:rPr>
            </w:pPr>
            <w:r>
              <w:rPr>
                <w:sz w:val="18"/>
              </w:rPr>
              <w:t>Magas környezeti hőmérsékletű területeken áthaladó kábelek</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14. bekezdés</w:t>
            </w:r>
          </w:p>
        </w:tc>
        <w:tc>
          <w:tcPr>
            <w:tcW w:w="3296" w:type="dxa"/>
            <w:shd w:val="clear" w:color="auto" w:fill="auto"/>
          </w:tcPr>
          <w:p w:rsidR="005624E3" w:rsidRPr="003F5E4D" w:rsidRDefault="005624E3" w:rsidP="00101A80">
            <w:pPr>
              <w:adjustRightInd w:val="0"/>
              <w:spacing w:before="80" w:after="80" w:line="240" w:lineRule="atLeast"/>
              <w:rPr>
                <w:rFonts w:cs="Arial"/>
                <w:sz w:val="18"/>
                <w:szCs w:val="18"/>
              </w:rPr>
            </w:pPr>
            <w:r>
              <w:rPr>
                <w:sz w:val="18"/>
              </w:rPr>
              <w:t>A fő és a vészhelyzeti tápkábelek elhelyezése</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r>
      <w:tr w:rsidR="005624E3" w:rsidRPr="00C903F8" w:rsidTr="005758C9">
        <w:trPr>
          <w:cantSplit/>
          <w:jc w:val="center"/>
        </w:trPr>
        <w:tc>
          <w:tcPr>
            <w:tcW w:w="1342" w:type="dxa"/>
            <w:shd w:val="clear" w:color="auto" w:fill="auto"/>
          </w:tcPr>
          <w:p w:rsidR="005624E3" w:rsidRPr="004B4203" w:rsidRDefault="005624E3" w:rsidP="00101A80">
            <w:pPr>
              <w:spacing w:before="80" w:after="80" w:line="240" w:lineRule="atLeast"/>
              <w:rPr>
                <w:rFonts w:cs="Arial"/>
                <w:sz w:val="18"/>
                <w:szCs w:val="18"/>
              </w:rPr>
            </w:pPr>
            <w:r>
              <w:rPr>
                <w:sz w:val="18"/>
              </w:rPr>
              <w:t xml:space="preserve">10.16. cikk </w:t>
            </w: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3. bekezdés második mondat</w:t>
            </w:r>
          </w:p>
        </w:tc>
        <w:tc>
          <w:tcPr>
            <w:tcW w:w="3296" w:type="dxa"/>
            <w:shd w:val="clear" w:color="auto" w:fill="auto"/>
          </w:tcPr>
          <w:p w:rsidR="005624E3" w:rsidRPr="00852DB3" w:rsidRDefault="005624E3" w:rsidP="00101A80">
            <w:pPr>
              <w:spacing w:before="80" w:after="80" w:line="240" w:lineRule="atLeast"/>
              <w:rPr>
                <w:rFonts w:cs="Arial"/>
                <w:sz w:val="18"/>
                <w:szCs w:val="18"/>
              </w:rPr>
            </w:pPr>
            <w:r>
              <w:rPr>
                <w:sz w:val="18"/>
              </w:rPr>
              <w:t>Második áramkör</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r>
              <w:rPr>
                <w:sz w:val="18"/>
              </w:rPr>
              <w:t>2015.01.01.</w:t>
            </w:r>
          </w:p>
        </w:tc>
      </w:tr>
      <w:tr w:rsidR="005624E3" w:rsidRPr="00C903F8" w:rsidTr="005758C9">
        <w:trPr>
          <w:cantSplit/>
          <w:jc w:val="center"/>
        </w:trPr>
        <w:tc>
          <w:tcPr>
            <w:tcW w:w="1342" w:type="dxa"/>
            <w:vMerge w:val="restart"/>
            <w:shd w:val="clear" w:color="auto" w:fill="auto"/>
          </w:tcPr>
          <w:p w:rsidR="005624E3" w:rsidRPr="004B4203" w:rsidRDefault="005624E3" w:rsidP="00101A80">
            <w:pPr>
              <w:spacing w:before="60" w:after="60" w:line="240" w:lineRule="atLeast"/>
              <w:rPr>
                <w:rFonts w:cs="Arial"/>
                <w:sz w:val="18"/>
                <w:szCs w:val="18"/>
              </w:rPr>
            </w:pPr>
            <w:r>
              <w:rPr>
                <w:sz w:val="18"/>
              </w:rPr>
              <w:t xml:space="preserve">10.18. cikk </w:t>
            </w:r>
          </w:p>
        </w:tc>
        <w:tc>
          <w:tcPr>
            <w:tcW w:w="1458" w:type="dxa"/>
            <w:shd w:val="clear" w:color="auto" w:fill="auto"/>
          </w:tcPr>
          <w:p w:rsidR="005624E3" w:rsidRPr="00852DB3"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3F5E4D" w:rsidRDefault="005624E3" w:rsidP="00101A80">
            <w:pPr>
              <w:adjustRightInd w:val="0"/>
              <w:spacing w:before="60" w:after="60" w:line="240" w:lineRule="atLeast"/>
              <w:rPr>
                <w:rFonts w:cs="Arial"/>
                <w:sz w:val="18"/>
                <w:szCs w:val="18"/>
              </w:rPr>
            </w:pPr>
            <w:r>
              <w:rPr>
                <w:sz w:val="18"/>
              </w:rPr>
              <w:t>A hálózatról való lekapcsolásra szolgáló eszköz</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w:t>
            </w:r>
          </w:p>
        </w:tc>
        <w:tc>
          <w:tcPr>
            <w:tcW w:w="3296" w:type="dxa"/>
            <w:shd w:val="clear" w:color="auto" w:fill="auto"/>
          </w:tcPr>
          <w:p w:rsidR="005624E3" w:rsidRPr="000C0B7A" w:rsidRDefault="005624E3" w:rsidP="00101A80">
            <w:pPr>
              <w:adjustRightInd w:val="0"/>
              <w:spacing w:before="60" w:after="60" w:line="240" w:lineRule="atLeast"/>
              <w:rPr>
                <w:rFonts w:cs="Arial"/>
                <w:sz w:val="18"/>
                <w:szCs w:val="18"/>
              </w:rPr>
            </w:pPr>
            <w:r>
              <w:rPr>
                <w:sz w:val="18"/>
              </w:rPr>
              <w:t>Hozzáférhetőség</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3F5E4D" w:rsidRDefault="005624E3" w:rsidP="00101A80">
            <w:pPr>
              <w:adjustRightInd w:val="0"/>
              <w:spacing w:before="60" w:after="60" w:line="240" w:lineRule="atLeast"/>
              <w:rPr>
                <w:rFonts w:cs="Arial"/>
                <w:sz w:val="18"/>
                <w:szCs w:val="18"/>
              </w:rPr>
            </w:pPr>
            <w:r>
              <w:rPr>
                <w:sz w:val="18"/>
              </w:rPr>
              <w:t>A vezérlő- és teljesítményelektronikai áramkörök galvanikus elválasztása</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4. bekezdés</w:t>
            </w:r>
          </w:p>
        </w:tc>
        <w:tc>
          <w:tcPr>
            <w:tcW w:w="3296" w:type="dxa"/>
            <w:shd w:val="clear" w:color="auto" w:fill="auto"/>
          </w:tcPr>
          <w:p w:rsidR="005624E3" w:rsidRPr="003F5E4D" w:rsidRDefault="005624E3" w:rsidP="00101A80">
            <w:pPr>
              <w:adjustRightInd w:val="0"/>
              <w:spacing w:before="60" w:after="60" w:line="240" w:lineRule="atLeast"/>
              <w:rPr>
                <w:rFonts w:cs="Arial"/>
                <w:sz w:val="18"/>
                <w:szCs w:val="18"/>
              </w:rPr>
            </w:pPr>
            <w:r>
              <w:rPr>
                <w:sz w:val="18"/>
              </w:rPr>
              <w:t>Működés feszültség- és frekvenciaingadozások mellett</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jc w:val="center"/>
              <w:rPr>
                <w:rFonts w:cs="Arial"/>
                <w:sz w:val="18"/>
                <w:szCs w:val="18"/>
              </w:rPr>
            </w:pPr>
          </w:p>
        </w:tc>
      </w:tr>
      <w:tr w:rsidR="005624E3" w:rsidRPr="003971A3"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5. bekezdés</w:t>
            </w:r>
          </w:p>
        </w:tc>
        <w:tc>
          <w:tcPr>
            <w:tcW w:w="3296" w:type="dxa"/>
            <w:shd w:val="clear" w:color="auto" w:fill="auto"/>
          </w:tcPr>
          <w:p w:rsidR="005624E3" w:rsidRPr="003F5E4D" w:rsidRDefault="005624E3" w:rsidP="00101A80">
            <w:pPr>
              <w:adjustRightInd w:val="0"/>
              <w:spacing w:before="60" w:after="60" w:line="240" w:lineRule="atLeast"/>
              <w:rPr>
                <w:rFonts w:cs="Arial"/>
                <w:sz w:val="18"/>
                <w:szCs w:val="18"/>
              </w:rPr>
            </w:pPr>
            <w:r>
              <w:rPr>
                <w:sz w:val="18"/>
              </w:rPr>
              <w:t>Lemerülési idő a hálózatról való lekapcsolódás után</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0C0B7A" w:rsidRDefault="005624E3" w:rsidP="00101A80">
            <w:pPr>
              <w:spacing w:before="60" w:after="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0C0B7A"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6. bekezdés</w:t>
            </w:r>
          </w:p>
        </w:tc>
        <w:tc>
          <w:tcPr>
            <w:tcW w:w="3296" w:type="dxa"/>
            <w:shd w:val="clear" w:color="auto" w:fill="auto"/>
          </w:tcPr>
          <w:p w:rsidR="005624E3" w:rsidRPr="003F5E4D" w:rsidRDefault="005624E3" w:rsidP="00101A80">
            <w:pPr>
              <w:adjustRightInd w:val="0"/>
              <w:spacing w:before="60" w:after="60" w:line="240" w:lineRule="atLeast"/>
              <w:rPr>
                <w:rFonts w:cs="Arial"/>
                <w:sz w:val="18"/>
                <w:szCs w:val="18"/>
              </w:rPr>
            </w:pPr>
            <w:r>
              <w:rPr>
                <w:sz w:val="18"/>
              </w:rPr>
              <w:t>A külső vezérlőjelek meghibásodására adott válaszlépés</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7. bekezdés</w:t>
            </w:r>
          </w:p>
        </w:tc>
        <w:tc>
          <w:tcPr>
            <w:tcW w:w="3296" w:type="dxa"/>
            <w:shd w:val="clear" w:color="auto" w:fill="auto"/>
          </w:tcPr>
          <w:p w:rsidR="005624E3" w:rsidRPr="003F5E4D" w:rsidRDefault="005624E3" w:rsidP="00101A80">
            <w:pPr>
              <w:adjustRightInd w:val="0"/>
              <w:spacing w:before="100" w:after="100" w:line="240" w:lineRule="atLeast"/>
              <w:rPr>
                <w:rFonts w:cs="Arial"/>
                <w:sz w:val="18"/>
                <w:szCs w:val="18"/>
              </w:rPr>
            </w:pPr>
            <w:r>
              <w:rPr>
                <w:sz w:val="18"/>
              </w:rPr>
              <w:t>A vezérlőfeszültség meghibásodására adott válaszlépés</w:t>
            </w:r>
          </w:p>
        </w:tc>
        <w:tc>
          <w:tcPr>
            <w:tcW w:w="6521" w:type="dxa"/>
            <w:shd w:val="clear" w:color="auto" w:fill="auto"/>
          </w:tcPr>
          <w:p w:rsidR="005624E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8. bekezdés</w:t>
            </w:r>
          </w:p>
        </w:tc>
        <w:tc>
          <w:tcPr>
            <w:tcW w:w="3296" w:type="dxa"/>
            <w:shd w:val="clear" w:color="auto" w:fill="auto"/>
          </w:tcPr>
          <w:p w:rsidR="005624E3" w:rsidRPr="003F5E4D" w:rsidRDefault="005624E3" w:rsidP="00101A80">
            <w:pPr>
              <w:adjustRightInd w:val="0"/>
              <w:spacing w:before="100" w:after="100" w:line="240" w:lineRule="atLeast"/>
              <w:rPr>
                <w:rFonts w:cs="Arial"/>
                <w:sz w:val="18"/>
                <w:szCs w:val="18"/>
              </w:rPr>
            </w:pPr>
            <w:r>
              <w:rPr>
                <w:sz w:val="18"/>
              </w:rPr>
              <w:t>A hibák feltárása és a feltáratlan hibák megelőzése</w:t>
            </w:r>
          </w:p>
        </w:tc>
        <w:tc>
          <w:tcPr>
            <w:tcW w:w="6521" w:type="dxa"/>
            <w:shd w:val="clear" w:color="auto" w:fill="auto"/>
          </w:tcPr>
          <w:p w:rsidR="005624E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9. bekezdés</w:t>
            </w:r>
          </w:p>
        </w:tc>
        <w:tc>
          <w:tcPr>
            <w:tcW w:w="3296" w:type="dxa"/>
            <w:shd w:val="clear" w:color="auto" w:fill="auto"/>
          </w:tcPr>
          <w:p w:rsidR="005624E3" w:rsidRPr="000C0B7A" w:rsidRDefault="005624E3" w:rsidP="00101A80">
            <w:pPr>
              <w:adjustRightInd w:val="0"/>
              <w:spacing w:before="100" w:after="100" w:line="240" w:lineRule="atLeast"/>
              <w:rPr>
                <w:rFonts w:cs="Arial"/>
                <w:sz w:val="18"/>
                <w:szCs w:val="18"/>
              </w:rPr>
            </w:pPr>
            <w:r>
              <w:rPr>
                <w:sz w:val="18"/>
              </w:rPr>
              <w:t>Ellenőrzés</w:t>
            </w:r>
          </w:p>
        </w:tc>
        <w:tc>
          <w:tcPr>
            <w:tcW w:w="6521" w:type="dxa"/>
            <w:shd w:val="clear" w:color="auto" w:fill="auto"/>
          </w:tcPr>
          <w:p w:rsidR="005624E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10. bekezdés</w:t>
            </w:r>
          </w:p>
        </w:tc>
        <w:tc>
          <w:tcPr>
            <w:tcW w:w="3296" w:type="dxa"/>
            <w:shd w:val="clear" w:color="auto" w:fill="auto"/>
          </w:tcPr>
          <w:p w:rsidR="005624E3" w:rsidRPr="000C0B7A" w:rsidRDefault="005624E3" w:rsidP="00101A80">
            <w:pPr>
              <w:adjustRightInd w:val="0"/>
              <w:spacing w:before="100" w:after="100" w:line="240" w:lineRule="atLeast"/>
              <w:rPr>
                <w:rFonts w:cs="Arial"/>
                <w:sz w:val="18"/>
                <w:szCs w:val="18"/>
              </w:rPr>
            </w:pPr>
            <w:r>
              <w:rPr>
                <w:sz w:val="18"/>
              </w:rPr>
              <w:t>Típusvizsgálat</w:t>
            </w:r>
          </w:p>
        </w:tc>
        <w:tc>
          <w:tcPr>
            <w:tcW w:w="6521" w:type="dxa"/>
            <w:shd w:val="clear" w:color="auto" w:fill="auto"/>
          </w:tcPr>
          <w:p w:rsidR="005624E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jc w:val="center"/>
              <w:rPr>
                <w:rFonts w:cs="Arial"/>
                <w:sz w:val="18"/>
                <w:szCs w:val="18"/>
              </w:rPr>
            </w:pPr>
          </w:p>
        </w:tc>
      </w:tr>
      <w:tr w:rsidR="005624E3" w:rsidRPr="00C903F8" w:rsidTr="005758C9">
        <w:trPr>
          <w:cantSplit/>
          <w:jc w:val="center"/>
        </w:trPr>
        <w:tc>
          <w:tcPr>
            <w:tcW w:w="1342" w:type="dxa"/>
            <w:shd w:val="clear" w:color="auto" w:fill="auto"/>
          </w:tcPr>
          <w:p w:rsidR="005624E3" w:rsidRPr="004B4203" w:rsidRDefault="005624E3" w:rsidP="00101A80">
            <w:pPr>
              <w:spacing w:before="60" w:after="60" w:line="240" w:lineRule="atLeast"/>
              <w:rPr>
                <w:rFonts w:cs="Arial"/>
                <w:sz w:val="18"/>
                <w:szCs w:val="18"/>
              </w:rPr>
            </w:pPr>
            <w:r>
              <w:rPr>
                <w:sz w:val="18"/>
              </w:rPr>
              <w:t>10.19. cikk</w:t>
            </w:r>
          </w:p>
        </w:tc>
        <w:tc>
          <w:tcPr>
            <w:tcW w:w="1458" w:type="dxa"/>
            <w:shd w:val="clear" w:color="auto" w:fill="auto"/>
          </w:tcPr>
          <w:p w:rsidR="005624E3" w:rsidRPr="00852DB3" w:rsidRDefault="005624E3" w:rsidP="00101A80">
            <w:pPr>
              <w:spacing w:before="60" w:after="60" w:line="240" w:lineRule="atLeast"/>
              <w:rPr>
                <w:rFonts w:cs="Arial"/>
                <w:sz w:val="18"/>
                <w:szCs w:val="18"/>
              </w:rPr>
            </w:pPr>
          </w:p>
        </w:tc>
        <w:tc>
          <w:tcPr>
            <w:tcW w:w="3296" w:type="dxa"/>
            <w:shd w:val="clear" w:color="auto" w:fill="auto"/>
          </w:tcPr>
          <w:p w:rsidR="005624E3" w:rsidRPr="003F5E4D" w:rsidRDefault="005624E3" w:rsidP="00101A80">
            <w:pPr>
              <w:adjustRightInd w:val="0"/>
              <w:spacing w:before="60" w:after="60" w:line="240" w:lineRule="atLeast"/>
              <w:rPr>
                <w:rFonts w:cs="Arial"/>
                <w:sz w:val="18"/>
                <w:szCs w:val="18"/>
              </w:rPr>
            </w:pPr>
            <w:r>
              <w:rPr>
                <w:sz w:val="18"/>
              </w:rPr>
              <w:t xml:space="preserve">Mechanikus berendezések riasztó- és biztonsági rendszerei </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r>
              <w:rPr>
                <w:sz w:val="18"/>
              </w:rPr>
              <w:t>2015.01.01.</w:t>
            </w:r>
          </w:p>
        </w:tc>
      </w:tr>
      <w:tr w:rsidR="005624E3" w:rsidRPr="00C903F8" w:rsidTr="005758C9">
        <w:trPr>
          <w:cantSplit/>
          <w:jc w:val="center"/>
        </w:trPr>
        <w:tc>
          <w:tcPr>
            <w:tcW w:w="1342" w:type="dxa"/>
            <w:shd w:val="clear" w:color="auto" w:fill="auto"/>
          </w:tcPr>
          <w:p w:rsidR="005624E3" w:rsidRPr="004B4203" w:rsidRDefault="005624E3" w:rsidP="00101A80">
            <w:pPr>
              <w:spacing w:before="60" w:after="60" w:line="240" w:lineRule="atLeast"/>
              <w:rPr>
                <w:rFonts w:cs="Arial"/>
                <w:sz w:val="18"/>
                <w:szCs w:val="18"/>
              </w:rPr>
            </w:pPr>
            <w:r>
              <w:rPr>
                <w:sz w:val="18"/>
              </w:rPr>
              <w:t>10.20. cikk</w:t>
            </w:r>
          </w:p>
        </w:tc>
        <w:tc>
          <w:tcPr>
            <w:tcW w:w="1458" w:type="dxa"/>
            <w:shd w:val="clear" w:color="auto" w:fill="auto"/>
          </w:tcPr>
          <w:p w:rsidR="005624E3" w:rsidRPr="00852DB3" w:rsidRDefault="005624E3" w:rsidP="00101A80">
            <w:pPr>
              <w:spacing w:before="60" w:after="60" w:line="240" w:lineRule="atLeast"/>
              <w:rPr>
                <w:rFonts w:cs="Arial"/>
                <w:sz w:val="18"/>
                <w:szCs w:val="18"/>
              </w:rPr>
            </w:pPr>
          </w:p>
        </w:tc>
        <w:tc>
          <w:tcPr>
            <w:tcW w:w="3296" w:type="dxa"/>
            <w:shd w:val="clear" w:color="auto" w:fill="auto"/>
          </w:tcPr>
          <w:p w:rsidR="005624E3" w:rsidRPr="003F5E4D" w:rsidRDefault="005624E3" w:rsidP="00101A80">
            <w:pPr>
              <w:adjustRightInd w:val="0"/>
              <w:spacing w:before="60" w:after="60" w:line="240" w:lineRule="atLeast"/>
              <w:rPr>
                <w:rFonts w:cs="Arial"/>
                <w:sz w:val="18"/>
                <w:szCs w:val="18"/>
              </w:rPr>
            </w:pPr>
            <w:r>
              <w:rPr>
                <w:sz w:val="18"/>
              </w:rPr>
              <w:t>Elektronikus rendszerek vizsgálati feltételei</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r>
              <w:rPr>
                <w:sz w:val="18"/>
              </w:rPr>
              <w:t>2035.01.01.</w:t>
            </w:r>
          </w:p>
        </w:tc>
      </w:tr>
      <w:tr w:rsidR="005624E3" w:rsidRPr="00C903F8" w:rsidTr="005758C9">
        <w:trPr>
          <w:cantSplit/>
          <w:jc w:val="center"/>
        </w:trPr>
        <w:tc>
          <w:tcPr>
            <w:tcW w:w="1342" w:type="dxa"/>
            <w:shd w:val="clear" w:color="auto" w:fill="auto"/>
          </w:tcPr>
          <w:p w:rsidR="005624E3" w:rsidRPr="004B4203" w:rsidRDefault="005624E3" w:rsidP="00101A80">
            <w:pPr>
              <w:spacing w:before="60" w:after="60" w:line="240" w:lineRule="atLeast"/>
              <w:rPr>
                <w:rFonts w:cs="Arial"/>
                <w:sz w:val="18"/>
                <w:szCs w:val="18"/>
              </w:rPr>
            </w:pPr>
            <w:r>
              <w:rPr>
                <w:sz w:val="18"/>
              </w:rPr>
              <w:t>10.21. cikk</w:t>
            </w:r>
          </w:p>
        </w:tc>
        <w:tc>
          <w:tcPr>
            <w:tcW w:w="1458" w:type="dxa"/>
            <w:shd w:val="clear" w:color="auto" w:fill="auto"/>
          </w:tcPr>
          <w:p w:rsidR="005624E3" w:rsidRPr="00852DB3" w:rsidRDefault="005624E3" w:rsidP="00101A80">
            <w:pPr>
              <w:spacing w:before="60" w:after="60" w:line="240" w:lineRule="atLeast"/>
              <w:rPr>
                <w:rFonts w:cs="Arial"/>
                <w:sz w:val="18"/>
                <w:szCs w:val="18"/>
              </w:rPr>
            </w:pPr>
          </w:p>
        </w:tc>
        <w:tc>
          <w:tcPr>
            <w:tcW w:w="3296" w:type="dxa"/>
            <w:shd w:val="clear" w:color="auto" w:fill="auto"/>
          </w:tcPr>
          <w:p w:rsidR="005624E3" w:rsidRPr="00852DB3" w:rsidRDefault="005624E3" w:rsidP="00101A80">
            <w:pPr>
              <w:adjustRightInd w:val="0"/>
              <w:spacing w:before="60" w:after="60" w:line="240" w:lineRule="atLeast"/>
              <w:rPr>
                <w:rFonts w:cs="Arial"/>
                <w:sz w:val="18"/>
                <w:szCs w:val="18"/>
              </w:rPr>
            </w:pPr>
            <w:r>
              <w:rPr>
                <w:sz w:val="18"/>
              </w:rPr>
              <w:t>Elektromágneses kompatibilitás</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r>
              <w:rPr>
                <w:sz w:val="18"/>
              </w:rPr>
              <w:t>2035.01.01.</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60" w:after="60" w:line="240" w:lineRule="atLeast"/>
              <w:jc w:val="center"/>
              <w:rPr>
                <w:rFonts w:cs="Arial"/>
                <w:sz w:val="18"/>
                <w:szCs w:val="18"/>
              </w:rPr>
            </w:pPr>
            <w:r>
              <w:rPr>
                <w:b/>
                <w:sz w:val="18"/>
              </w:rPr>
              <w:t>13.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r>
              <w:rPr>
                <w:sz w:val="18"/>
              </w:rPr>
              <w:t>13.01. cikk</w:t>
            </w: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Horgonyberendezések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2010.01.01.</w:t>
            </w:r>
          </w:p>
        </w:tc>
      </w:tr>
      <w:tr w:rsidR="005624E3" w:rsidRPr="00A0619C" w:rsidTr="005758C9">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13.02. cikk</w:t>
            </w:r>
          </w:p>
        </w:tc>
        <w:tc>
          <w:tcPr>
            <w:tcW w:w="1458" w:type="dxa"/>
            <w:tcBorders>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r>
              <w:rPr>
                <w:sz w:val="18"/>
              </w:rPr>
              <w:t>2. bekezdés b) pont</w:t>
            </w:r>
          </w:p>
        </w:tc>
        <w:tc>
          <w:tcPr>
            <w:tcW w:w="3296" w:type="dxa"/>
            <w:tcBorders>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r>
              <w:rPr>
                <w:noProof/>
                <w:sz w:val="18"/>
              </w:rPr>
              <w:t>Acélból vagy egyéb ellenálló, nem gyúlékony anyagból készült, legalább 10 liter űrtartalmú edények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13.03.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Európai szabvány</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2010.01.01.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A, B és C osztályú tüzek oltására való alkalmasság</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2010.01.01.</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A CO</w:t>
            </w:r>
            <w:r>
              <w:rPr>
                <w:noProof/>
                <w:sz w:val="18"/>
                <w:vertAlign w:val="subscript"/>
              </w:rPr>
              <w:t>2</w:t>
            </w:r>
            <w:r>
              <w:rPr>
                <w:noProof/>
                <w:sz w:val="18"/>
              </w:rPr>
              <w:t>-tartalom és a helyiség méretének viszonya</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13.04.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A lakóterek, kormányállások és utasterek védelmét szolgáló tartósan rögzített tűzvédelmi rendszerek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2035.01.01.</w:t>
            </w:r>
          </w:p>
        </w:tc>
      </w:tr>
      <w:tr w:rsidR="005624E3" w:rsidRPr="00A0619C" w:rsidTr="005758C9">
        <w:trPr>
          <w:cantSplit/>
          <w:jc w:val="center"/>
        </w:trPr>
        <w:tc>
          <w:tcPr>
            <w:tcW w:w="1342" w:type="dxa"/>
            <w:shd w:val="clear" w:color="auto" w:fill="auto"/>
          </w:tcPr>
          <w:p w:rsidR="005624E3" w:rsidRPr="00C903F8" w:rsidRDefault="005624E3" w:rsidP="00101A80">
            <w:pPr>
              <w:spacing w:before="160" w:after="160" w:line="240" w:lineRule="atLeast"/>
              <w:rPr>
                <w:rFonts w:cs="Arial"/>
                <w:sz w:val="18"/>
                <w:szCs w:val="18"/>
              </w:rPr>
            </w:pPr>
            <w:r>
              <w:rPr>
                <w:sz w:val="18"/>
              </w:rPr>
              <w:t>13.05.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A gépterek, kazánterek és szivattyúházak védelmét szolgáló tartósan rögzített tűzvédelmi rendszerek</w:t>
            </w:r>
          </w:p>
        </w:tc>
        <w:tc>
          <w:tcPr>
            <w:tcW w:w="6521" w:type="dxa"/>
            <w:shd w:val="clear" w:color="auto" w:fill="auto"/>
          </w:tcPr>
          <w:p w:rsidR="005624E3" w:rsidRPr="00330D4B" w:rsidRDefault="005624E3" w:rsidP="00101A80">
            <w:pPr>
              <w:shd w:val="clear" w:color="auto" w:fill="FFFFFF"/>
              <w:tabs>
                <w:tab w:val="left" w:pos="263"/>
              </w:tabs>
              <w:spacing w:before="160" w:after="160" w:line="240" w:lineRule="atLeast"/>
              <w:ind w:left="263" w:hanging="263"/>
              <w:rPr>
                <w:rFonts w:cs="Arial"/>
                <w:sz w:val="18"/>
                <w:szCs w:val="18"/>
              </w:rPr>
            </w:pPr>
            <w:r>
              <w:rPr>
                <w:sz w:val="18"/>
              </w:rPr>
              <w:t>a)</w:t>
            </w:r>
            <w:r>
              <w:tab/>
            </w:r>
            <w:r>
              <w:rPr>
                <w:sz w:val="18"/>
              </w:rPr>
              <w:t>Az 1980. október 1-je előtt tartósan felszerelt, CO</w:t>
            </w:r>
            <w:r>
              <w:rPr>
                <w:sz w:val="18"/>
                <w:vertAlign w:val="subscript"/>
              </w:rPr>
              <w:t>2</w:t>
            </w:r>
            <w:r>
              <w:rPr>
                <w:sz w:val="18"/>
              </w:rPr>
              <w:t>-t használó tűzvédelmi rendszerek továbbra is használhatók a belvízi hajóbizonyítvány 2035. január 1-je utáni megújításáig, feltéve, hogy megfelelnek a rajnai hajók 1976. április 1-jén hatályban lévő szemleszabályzata 7.03. cikke 5. bekezdésének (1975-I-23 CCNR-jegyzőkönyv).</w:t>
            </w:r>
          </w:p>
          <w:p w:rsidR="005624E3" w:rsidRPr="00330D4B" w:rsidRDefault="005624E3" w:rsidP="00101A80">
            <w:pPr>
              <w:pStyle w:val="BodyTextIndent"/>
              <w:shd w:val="clear" w:color="auto" w:fill="FFFFFF"/>
              <w:tabs>
                <w:tab w:val="left" w:pos="263"/>
              </w:tabs>
              <w:spacing w:before="160" w:after="160" w:line="240" w:lineRule="atLeast"/>
              <w:ind w:left="263" w:hanging="263"/>
              <w:rPr>
                <w:rFonts w:cs="Arial"/>
                <w:sz w:val="18"/>
                <w:szCs w:val="18"/>
              </w:rPr>
            </w:pPr>
            <w:r>
              <w:rPr>
                <w:sz w:val="18"/>
              </w:rPr>
              <w:t>b)</w:t>
            </w:r>
            <w:r>
              <w:tab/>
            </w:r>
            <w:r>
              <w:rPr>
                <w:sz w:val="18"/>
              </w:rPr>
              <w:t>Az 1992. április 1-je és 1994. december 31-e között tartósan felszerelt, CO</w:t>
            </w:r>
            <w:r>
              <w:rPr>
                <w:sz w:val="18"/>
                <w:vertAlign w:val="subscript"/>
              </w:rPr>
              <w:t>2</w:t>
            </w:r>
            <w:r>
              <w:rPr>
                <w:sz w:val="18"/>
              </w:rPr>
              <w:t>-t használó tűzvédelmi rendszerek továbbra is használhatók a belvízi hajóbizonyítvány 2035. január 1-je utáni megújításáig, feltéve, hogy megfelelnek a rajnai hajók 1994. december 31-én hatályban lévő szemleszabályzata 7.03. cikke 5. bekezdésének.</w:t>
            </w:r>
          </w:p>
          <w:p w:rsidR="005624E3" w:rsidRPr="00330D4B" w:rsidRDefault="005624E3" w:rsidP="00101A80">
            <w:pPr>
              <w:pStyle w:val="FootnoteText"/>
              <w:tabs>
                <w:tab w:val="left" w:pos="263"/>
              </w:tabs>
              <w:spacing w:before="160" w:after="160" w:line="240" w:lineRule="atLeast"/>
              <w:ind w:left="263" w:hanging="263"/>
              <w:rPr>
                <w:rFonts w:cs="Arial"/>
                <w:sz w:val="18"/>
                <w:szCs w:val="18"/>
              </w:rPr>
            </w:pPr>
            <w:r>
              <w:rPr>
                <w:sz w:val="18"/>
              </w:rPr>
              <w:t>c)</w:t>
            </w:r>
            <w:r>
              <w:tab/>
            </w:r>
            <w:r>
              <w:rPr>
                <w:sz w:val="18"/>
              </w:rPr>
              <w:t>A CCNR-nek a rajnai hajók 1994. december 31-én hatályban lévő szemleszabályzata 7.03. cikkének 5. bekezdése tekintetében 1992. április 1-je és 1994. december 31-e között kiadott ajánlásai érvényben maradnak a belvízi hajóbizonyítvány 2035. január 1-je utáni megújításáig.</w:t>
            </w:r>
          </w:p>
          <w:p w:rsidR="005624E3" w:rsidRPr="00C903F8" w:rsidRDefault="005624E3" w:rsidP="00101A80">
            <w:pPr>
              <w:pStyle w:val="FootnoteText"/>
              <w:shd w:val="clear" w:color="auto" w:fill="FFFFFF"/>
              <w:tabs>
                <w:tab w:val="left" w:pos="263"/>
              </w:tabs>
              <w:spacing w:before="160" w:after="160" w:line="240" w:lineRule="atLeast"/>
              <w:ind w:left="263" w:hanging="263"/>
              <w:rPr>
                <w:rFonts w:cs="Arial"/>
                <w:sz w:val="18"/>
                <w:szCs w:val="18"/>
              </w:rPr>
            </w:pPr>
            <w:r>
              <w:rPr>
                <w:sz w:val="18"/>
              </w:rPr>
              <w:t>d)</w:t>
            </w:r>
            <w:r>
              <w:tab/>
            </w:r>
            <w:r>
              <w:rPr>
                <w:sz w:val="18"/>
              </w:rPr>
              <w:t>A 13.05. cikk 2. bekezdésének a) pontja csak a belvízi hajóbizonyítvány 2035. január 1-je utáni megújításáig alkalmazandó, amennyiben az adott berendezéseket olyan hajókon telepítették, amelyek gerincfektetése 1992. október 1-je után történt.</w:t>
            </w:r>
          </w:p>
        </w:tc>
        <w:tc>
          <w:tcPr>
            <w:tcW w:w="1276" w:type="dxa"/>
            <w:shd w:val="clear" w:color="auto" w:fill="auto"/>
          </w:tcPr>
          <w:p w:rsidR="005624E3" w:rsidRPr="00A21D74" w:rsidRDefault="005624E3" w:rsidP="00101A80">
            <w:pPr>
              <w:spacing w:before="160" w:after="160" w:line="240" w:lineRule="atLeast"/>
              <w:rPr>
                <w:rFonts w:cs="Arial"/>
                <w:sz w:val="18"/>
                <w:szCs w:val="18"/>
              </w:rPr>
            </w:pP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240" w:after="240" w:line="240" w:lineRule="atLeast"/>
              <w:rPr>
                <w:rFonts w:cs="Arial"/>
                <w:sz w:val="18"/>
                <w:szCs w:val="18"/>
              </w:rPr>
            </w:pPr>
            <w:r>
              <w:rPr>
                <w:sz w:val="18"/>
              </w:rPr>
              <w:t>13.07. cikk</w:t>
            </w:r>
            <w:r>
              <w:rPr>
                <w:color w:val="000000"/>
                <w:sz w:val="18"/>
                <w:vertAlign w:val="superscript"/>
              </w:rPr>
              <w:footnoteReference w:id="27"/>
            </w:r>
          </w:p>
        </w:tc>
        <w:tc>
          <w:tcPr>
            <w:tcW w:w="1458" w:type="dxa"/>
            <w:tcBorders>
              <w:bottom w:val="single" w:sz="4" w:space="0" w:color="auto"/>
            </w:tcBorders>
            <w:shd w:val="clear" w:color="auto" w:fill="auto"/>
          </w:tcPr>
          <w:p w:rsidR="005624E3" w:rsidRPr="00C903F8" w:rsidRDefault="005624E3" w:rsidP="00101A80">
            <w:pPr>
              <w:spacing w:before="240" w:after="240" w:line="240" w:lineRule="atLeast"/>
              <w:rPr>
                <w:rFonts w:cs="Arial"/>
                <w:sz w:val="18"/>
                <w:szCs w:val="18"/>
              </w:rPr>
            </w:pPr>
          </w:p>
        </w:tc>
        <w:tc>
          <w:tcPr>
            <w:tcW w:w="3296" w:type="dxa"/>
            <w:tcBorders>
              <w:bottom w:val="single" w:sz="4" w:space="0" w:color="auto"/>
            </w:tcBorders>
            <w:shd w:val="clear" w:color="auto" w:fill="auto"/>
          </w:tcPr>
          <w:p w:rsidR="005624E3" w:rsidRPr="00C903F8" w:rsidRDefault="005624E3" w:rsidP="00101A80">
            <w:pPr>
              <w:spacing w:before="240" w:after="240" w:line="240" w:lineRule="atLeast"/>
              <w:rPr>
                <w:rFonts w:cs="Arial"/>
                <w:sz w:val="18"/>
                <w:szCs w:val="18"/>
              </w:rPr>
            </w:pPr>
            <w:r>
              <w:rPr>
                <w:noProof/>
                <w:sz w:val="18"/>
              </w:rPr>
              <w:t>Az európai szabvány alkalmazása a szolgálati csónakra</w:t>
            </w:r>
          </w:p>
        </w:tc>
        <w:tc>
          <w:tcPr>
            <w:tcW w:w="6521" w:type="dxa"/>
            <w:shd w:val="clear" w:color="auto" w:fill="auto"/>
          </w:tcPr>
          <w:p w:rsidR="005624E3" w:rsidRPr="00C903F8" w:rsidRDefault="005624E3" w:rsidP="00101A80">
            <w:pPr>
              <w:spacing w:before="240" w:after="2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2020.01.01.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240" w:after="240" w:line="240" w:lineRule="atLeast"/>
              <w:rPr>
                <w:rFonts w:cs="Arial"/>
                <w:sz w:val="18"/>
                <w:szCs w:val="18"/>
              </w:rPr>
            </w:pPr>
            <w:r>
              <w:rPr>
                <w:sz w:val="18"/>
              </w:rPr>
              <w:t>13.08. cikk</w:t>
            </w:r>
          </w:p>
        </w:tc>
        <w:tc>
          <w:tcPr>
            <w:tcW w:w="1458" w:type="dxa"/>
            <w:vMerge w:val="restart"/>
            <w:shd w:val="clear" w:color="auto" w:fill="auto"/>
          </w:tcPr>
          <w:p w:rsidR="005624E3" w:rsidRPr="00C903F8" w:rsidRDefault="005624E3" w:rsidP="00101A80">
            <w:pPr>
              <w:spacing w:before="240" w:after="240" w:line="240" w:lineRule="atLeast"/>
              <w:rPr>
                <w:rFonts w:cs="Arial"/>
                <w:sz w:val="18"/>
                <w:szCs w:val="18"/>
              </w:rPr>
            </w:pPr>
            <w:r>
              <w:rPr>
                <w:sz w:val="18"/>
              </w:rPr>
              <w:t>2. bekezdés</w:t>
            </w:r>
          </w:p>
        </w:tc>
        <w:tc>
          <w:tcPr>
            <w:tcW w:w="3296" w:type="dxa"/>
            <w:vMerge w:val="restart"/>
            <w:shd w:val="clear" w:color="auto" w:fill="auto"/>
          </w:tcPr>
          <w:p w:rsidR="005624E3" w:rsidRPr="00C903F8" w:rsidRDefault="005624E3" w:rsidP="00101A80">
            <w:pPr>
              <w:spacing w:before="240" w:after="240" w:line="240" w:lineRule="atLeast"/>
              <w:rPr>
                <w:rFonts w:cs="Arial"/>
                <w:sz w:val="18"/>
                <w:szCs w:val="18"/>
              </w:rPr>
            </w:pPr>
            <w:r>
              <w:rPr>
                <w:noProof/>
                <w:sz w:val="18"/>
              </w:rPr>
              <w:t>Felfújható mentőmellények</w:t>
            </w:r>
          </w:p>
        </w:tc>
        <w:tc>
          <w:tcPr>
            <w:tcW w:w="6521" w:type="dxa"/>
            <w:shd w:val="clear" w:color="auto" w:fill="auto"/>
          </w:tcPr>
          <w:p w:rsidR="005624E3" w:rsidRPr="00C903F8" w:rsidRDefault="005624E3" w:rsidP="00101A80">
            <w:pPr>
              <w:spacing w:before="240" w:after="2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2010.01.01.</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240" w:after="240" w:line="240" w:lineRule="atLeast"/>
              <w:rPr>
                <w:rFonts w:cs="Arial"/>
                <w:sz w:val="18"/>
                <w:szCs w:val="18"/>
              </w:rPr>
            </w:pPr>
          </w:p>
        </w:tc>
        <w:tc>
          <w:tcPr>
            <w:tcW w:w="1458" w:type="dxa"/>
            <w:vMerge/>
            <w:shd w:val="clear" w:color="auto" w:fill="auto"/>
          </w:tcPr>
          <w:p w:rsidR="005624E3" w:rsidRPr="00C903F8" w:rsidRDefault="005624E3" w:rsidP="00101A80">
            <w:pPr>
              <w:spacing w:before="240" w:after="240" w:line="240" w:lineRule="atLeast"/>
              <w:rPr>
                <w:rFonts w:cs="Arial"/>
                <w:sz w:val="18"/>
                <w:szCs w:val="18"/>
              </w:rPr>
            </w:pPr>
          </w:p>
        </w:tc>
        <w:tc>
          <w:tcPr>
            <w:tcW w:w="3296" w:type="dxa"/>
            <w:vMerge/>
            <w:shd w:val="clear" w:color="auto" w:fill="auto"/>
          </w:tcPr>
          <w:p w:rsidR="005624E3" w:rsidRPr="00C903F8" w:rsidRDefault="005624E3" w:rsidP="00101A80">
            <w:pPr>
              <w:spacing w:before="240" w:after="240" w:line="240" w:lineRule="atLeast"/>
              <w:rPr>
                <w:rFonts w:cs="Arial"/>
                <w:sz w:val="18"/>
                <w:szCs w:val="18"/>
              </w:rPr>
            </w:pPr>
          </w:p>
        </w:tc>
        <w:tc>
          <w:tcPr>
            <w:tcW w:w="6521" w:type="dxa"/>
            <w:shd w:val="clear" w:color="auto" w:fill="auto"/>
          </w:tcPr>
          <w:p w:rsidR="005624E3" w:rsidRPr="00C903F8" w:rsidRDefault="005624E3" w:rsidP="00101A80">
            <w:pPr>
              <w:spacing w:before="240" w:after="240" w:line="240" w:lineRule="atLeast"/>
              <w:rPr>
                <w:rFonts w:cs="Arial"/>
                <w:sz w:val="18"/>
                <w:szCs w:val="18"/>
              </w:rPr>
            </w:pPr>
            <w:r>
              <w:rPr>
                <w:sz w:val="18"/>
              </w:rPr>
              <w:t xml:space="preserve">A 2003. szeptember 30-án a fedélzeten lévő mentőmellények felhasználhatók a belvízi hajóbizonyítvány megújításáig e dátumot követően: </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2010.01.01.</w:t>
            </w:r>
          </w:p>
        </w:tc>
      </w:tr>
      <w:tr w:rsidR="005624E3" w:rsidRPr="00C903F8" w:rsidTr="005758C9">
        <w:trPr>
          <w:cantSplit/>
          <w:trHeight w:val="64"/>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14.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00" w:after="100" w:line="240" w:lineRule="atLeast"/>
              <w:rPr>
                <w:rFonts w:cs="Arial"/>
                <w:sz w:val="18"/>
                <w:szCs w:val="18"/>
              </w:rPr>
            </w:pPr>
            <w:r>
              <w:rPr>
                <w:sz w:val="18"/>
              </w:rPr>
              <w:t>14.02. cikk</w:t>
            </w:r>
          </w:p>
        </w:tc>
        <w:tc>
          <w:tcPr>
            <w:tcW w:w="1458" w:type="dxa"/>
            <w:tcBorders>
              <w:bottom w:val="nil"/>
            </w:tcBorders>
            <w:shd w:val="clear" w:color="auto" w:fill="auto"/>
          </w:tcPr>
          <w:p w:rsidR="005624E3" w:rsidRPr="00C903F8" w:rsidRDefault="005624E3" w:rsidP="00101A80">
            <w:pPr>
              <w:spacing w:before="100" w:after="10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fedélzetek, oldalfedélzetek és egyéb munkaállomások külső peremének felszerelése</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r>
              <w:rPr>
                <w:rStyle w:val="FootnoteReference"/>
                <w:sz w:val="18"/>
              </w:rPr>
              <w:footnoteReference w:id="28"/>
            </w:r>
            <w:r>
              <w:t>.</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00" w:after="100" w:line="240" w:lineRule="atLeast"/>
              <w:rPr>
                <w:rFonts w:cs="Arial"/>
                <w:sz w:val="18"/>
                <w:szCs w:val="18"/>
              </w:rPr>
            </w:pPr>
            <w:r>
              <w:rPr>
                <w:sz w:val="18"/>
              </w:rPr>
              <w:t>14.04.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Az oldalfedélzetek szabad szélessége</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 xml:space="preserve">Olyan hajók esetében, ahol </w:t>
            </w:r>
            <m:oMath>
              <m:r>
                <w:rPr>
                  <w:rFonts w:ascii="Cambria Math" w:hAnsi="Cambria Math" w:cs="Arial"/>
                  <w:sz w:val="18"/>
                  <w:szCs w:val="18"/>
                </w:rPr>
                <m:t>B &gt; 7,30 m</m:t>
              </m:r>
            </m:oMath>
            <w:r>
              <w:rPr>
                <w:sz w:val="18"/>
              </w:rPr>
              <w:t>: 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2035.01.01.</w:t>
            </w:r>
            <w:r>
              <w:rPr>
                <w:sz w:val="18"/>
                <w:vertAlign w:val="superscript"/>
              </w:rPr>
              <w:footnoteReference w:id="29"/>
            </w:r>
          </w:p>
        </w:tc>
      </w:tr>
      <w:tr w:rsidR="005624E3" w:rsidRPr="00C903F8"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Oldalfedélzeti védőkorlátok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60" w:after="160" w:line="240" w:lineRule="atLeast"/>
              <w:rPr>
                <w:rFonts w:cs="Arial"/>
                <w:sz w:val="18"/>
                <w:szCs w:val="18"/>
              </w:rPr>
            </w:pPr>
            <w:r>
              <w:rPr>
                <w:sz w:val="18"/>
              </w:rPr>
              <w:t>14.05.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A munkaállomások megközelítése</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Olyan munkaállomások lépcsői, amelyeken állandóan tartózkodik személyzet</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r>
              <w:rPr>
                <w:sz w:val="18"/>
              </w:rPr>
              <w:t>14.06.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Kijáratok és vészkijáratok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2035.01.01.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00" w:after="100" w:line="240" w:lineRule="atLeast"/>
              <w:rPr>
                <w:rFonts w:cs="Arial"/>
                <w:sz w:val="18"/>
                <w:szCs w:val="18"/>
              </w:rPr>
            </w:pPr>
            <w:r>
              <w:rPr>
                <w:sz w:val="18"/>
              </w:rPr>
              <w:t>14.07.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1. bekezdés második mondat</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Létrák, lépcsők és hasonló eszközök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2035.01.01.</w:t>
            </w:r>
          </w:p>
        </w:tc>
      </w:tr>
      <w:tr w:rsidR="005624E3" w:rsidRPr="00C903F8" w:rsidTr="005758C9">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14.10.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Nyílásfedelek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14.11.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Csörlők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2010.01.01.</w:t>
            </w:r>
          </w:p>
        </w:tc>
      </w:tr>
      <w:tr w:rsidR="005624E3" w:rsidRPr="00C903F8" w:rsidTr="005758C9">
        <w:trPr>
          <w:cantSplit/>
          <w:jc w:val="center"/>
        </w:trPr>
        <w:tc>
          <w:tcPr>
            <w:tcW w:w="1342" w:type="dxa"/>
            <w:vMerge w:val="restart"/>
            <w:shd w:val="clear" w:color="auto" w:fill="auto"/>
          </w:tcPr>
          <w:p w:rsidR="005624E3" w:rsidRPr="00C903F8" w:rsidRDefault="005624E3" w:rsidP="00101A80">
            <w:pPr>
              <w:spacing w:before="80" w:after="80" w:line="240" w:lineRule="atLeast"/>
              <w:rPr>
                <w:rFonts w:cs="Arial"/>
                <w:sz w:val="18"/>
                <w:szCs w:val="18"/>
              </w:rPr>
            </w:pPr>
            <w:r>
              <w:rPr>
                <w:sz w:val="18"/>
              </w:rPr>
              <w:t>14.12. cikk</w:t>
            </w:r>
          </w:p>
        </w:tc>
        <w:tc>
          <w:tcPr>
            <w:tcW w:w="1458" w:type="dxa"/>
            <w:shd w:val="clear" w:color="auto" w:fill="auto"/>
          </w:tcPr>
          <w:p w:rsidR="005624E3" w:rsidRPr="00F7713D" w:rsidRDefault="005624E3" w:rsidP="00101A80">
            <w:pPr>
              <w:spacing w:before="80" w:after="80" w:line="240" w:lineRule="atLeast"/>
              <w:rPr>
                <w:sz w:val="18"/>
                <w:szCs w:val="18"/>
              </w:rPr>
            </w:pPr>
            <w:r>
              <w:rPr>
                <w:sz w:val="18"/>
              </w:rPr>
              <w:t>2. bekezdés</w:t>
            </w:r>
          </w:p>
        </w:tc>
        <w:tc>
          <w:tcPr>
            <w:tcW w:w="3296" w:type="dxa"/>
            <w:shd w:val="clear" w:color="auto" w:fill="auto"/>
          </w:tcPr>
          <w:p w:rsidR="005624E3" w:rsidRPr="00F7713D" w:rsidRDefault="005624E3" w:rsidP="00101A80">
            <w:pPr>
              <w:spacing w:before="80" w:after="80" w:line="240" w:lineRule="atLeast"/>
              <w:rPr>
                <w:sz w:val="18"/>
                <w:szCs w:val="18"/>
              </w:rPr>
            </w:pPr>
            <w:r>
              <w:rPr>
                <w:sz w:val="18"/>
              </w:rPr>
              <w:t>Gyári adattábla</w:t>
            </w:r>
          </w:p>
        </w:tc>
        <w:tc>
          <w:tcPr>
            <w:tcW w:w="6521" w:type="dxa"/>
            <w:shd w:val="clear" w:color="auto" w:fill="auto"/>
          </w:tcPr>
          <w:p w:rsidR="005624E3" w:rsidRPr="00F7713D"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2020.01.01.</w:t>
            </w:r>
          </w:p>
        </w:tc>
      </w:tr>
      <w:tr w:rsidR="005624E3" w:rsidRPr="0029395D"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F7713D" w:rsidRDefault="005624E3" w:rsidP="00101A80">
            <w:pPr>
              <w:tabs>
                <w:tab w:val="left" w:pos="360"/>
              </w:tabs>
              <w:spacing w:before="80" w:after="80" w:line="240" w:lineRule="atLeast"/>
              <w:rPr>
                <w:rFonts w:cs="Arial"/>
                <w:sz w:val="18"/>
                <w:szCs w:val="18"/>
              </w:rPr>
            </w:pPr>
            <w:r>
              <w:rPr>
                <w:sz w:val="18"/>
              </w:rPr>
              <w:t>4. bekezdés</w:t>
            </w:r>
            <w:r>
              <w:t xml:space="preserve"> </w:t>
            </w:r>
            <w:r>
              <w:br/>
            </w:r>
            <w:r>
              <w:rPr>
                <w:sz w:val="18"/>
              </w:rPr>
              <w:t>első mondat</w:t>
            </w:r>
          </w:p>
        </w:tc>
        <w:tc>
          <w:tcPr>
            <w:tcW w:w="3296" w:type="dxa"/>
            <w:shd w:val="clear" w:color="auto" w:fill="auto"/>
          </w:tcPr>
          <w:p w:rsidR="005624E3" w:rsidRPr="00F7713D" w:rsidRDefault="005624E3" w:rsidP="00101A80">
            <w:pPr>
              <w:spacing w:before="80" w:after="80" w:line="240" w:lineRule="atLeast"/>
              <w:rPr>
                <w:sz w:val="18"/>
                <w:szCs w:val="18"/>
              </w:rPr>
            </w:pPr>
            <w:r>
              <w:rPr>
                <w:sz w:val="18"/>
              </w:rPr>
              <w:t>Biztonsági berendezések</w:t>
            </w:r>
          </w:p>
        </w:tc>
        <w:tc>
          <w:tcPr>
            <w:tcW w:w="6521" w:type="dxa"/>
            <w:shd w:val="clear" w:color="auto" w:fill="auto"/>
          </w:tcPr>
          <w:p w:rsidR="005624E3" w:rsidRPr="00F7713D" w:rsidRDefault="005624E3" w:rsidP="00101A80">
            <w:pPr>
              <w:spacing w:before="80" w:after="80" w:line="240" w:lineRule="atLeast"/>
              <w:rPr>
                <w:rFonts w:cs="Arial"/>
                <w:sz w:val="18"/>
                <w:szCs w:val="18"/>
              </w:rPr>
            </w:pPr>
            <w:r>
              <w:rPr>
                <w:sz w:val="18"/>
              </w:rPr>
              <w:t xml:space="preserve">N.R.C., legkésőbb a belvízi hajóbizonyítvány első megújítása után, e dátumot követően: </w:t>
            </w:r>
          </w:p>
        </w:tc>
        <w:tc>
          <w:tcPr>
            <w:tcW w:w="1276" w:type="dxa"/>
            <w:shd w:val="clear" w:color="auto" w:fill="auto"/>
          </w:tcPr>
          <w:p w:rsidR="005624E3" w:rsidRPr="00F7713D" w:rsidRDefault="005624E3" w:rsidP="00101A80">
            <w:pPr>
              <w:spacing w:before="80" w:after="80" w:line="240" w:lineRule="atLeast"/>
              <w:rPr>
                <w:rFonts w:cs="Arial"/>
                <w:sz w:val="18"/>
                <w:szCs w:val="18"/>
              </w:rPr>
            </w:pPr>
            <w:r>
              <w:rPr>
                <w:sz w:val="18"/>
              </w:rPr>
              <w:t>2020.01.01.</w:t>
            </w:r>
          </w:p>
        </w:tc>
      </w:tr>
      <w:tr w:rsidR="005624E3" w:rsidRPr="0029395D" w:rsidTr="005758C9">
        <w:trPr>
          <w:cantSplit/>
          <w:trHeight w:val="252"/>
          <w:jc w:val="center"/>
        </w:trPr>
        <w:tc>
          <w:tcPr>
            <w:tcW w:w="1342" w:type="dxa"/>
            <w:vMerge/>
            <w:shd w:val="clear" w:color="auto" w:fill="auto"/>
          </w:tcPr>
          <w:p w:rsidR="005624E3" w:rsidRPr="0029395D" w:rsidRDefault="005624E3" w:rsidP="00101A80">
            <w:pPr>
              <w:spacing w:before="80" w:after="80" w:line="240" w:lineRule="atLeast"/>
              <w:rPr>
                <w:rFonts w:cs="Arial"/>
                <w:sz w:val="18"/>
                <w:szCs w:val="18"/>
              </w:rPr>
            </w:pPr>
          </w:p>
        </w:tc>
        <w:tc>
          <w:tcPr>
            <w:tcW w:w="1458" w:type="dxa"/>
            <w:vMerge w:val="restart"/>
            <w:shd w:val="clear" w:color="auto" w:fill="auto"/>
          </w:tcPr>
          <w:p w:rsidR="005624E3" w:rsidRPr="00F7713D" w:rsidRDefault="005624E3" w:rsidP="00101A80">
            <w:pPr>
              <w:tabs>
                <w:tab w:val="left" w:pos="0"/>
              </w:tabs>
              <w:spacing w:before="80" w:after="80" w:line="240" w:lineRule="atLeast"/>
              <w:ind w:right="-231"/>
              <w:rPr>
                <w:rFonts w:cs="Arial"/>
                <w:sz w:val="18"/>
                <w:szCs w:val="18"/>
              </w:rPr>
            </w:pPr>
            <w:r>
              <w:rPr>
                <w:sz w:val="18"/>
              </w:rPr>
              <w:t xml:space="preserve">4. bekezdés </w:t>
            </w:r>
            <w:r>
              <w:rPr>
                <w:rFonts w:cs="Arial"/>
                <w:sz w:val="18"/>
                <w:szCs w:val="18"/>
              </w:rPr>
              <w:br/>
            </w:r>
            <w:r>
              <w:rPr>
                <w:sz w:val="18"/>
              </w:rPr>
              <w:t>második mondat</w:t>
            </w:r>
          </w:p>
        </w:tc>
        <w:tc>
          <w:tcPr>
            <w:tcW w:w="3296" w:type="dxa"/>
            <w:vMerge w:val="restart"/>
            <w:shd w:val="clear" w:color="auto" w:fill="auto"/>
          </w:tcPr>
          <w:p w:rsidR="005624E3" w:rsidRPr="00F7713D" w:rsidRDefault="005624E3" w:rsidP="00101A80">
            <w:pPr>
              <w:spacing w:before="80" w:after="80" w:line="240" w:lineRule="atLeast"/>
              <w:rPr>
                <w:sz w:val="18"/>
                <w:szCs w:val="18"/>
              </w:rPr>
            </w:pPr>
            <w:r>
              <w:rPr>
                <w:sz w:val="18"/>
              </w:rPr>
              <w:t>Biztonsági távolság</w:t>
            </w:r>
          </w:p>
        </w:tc>
        <w:tc>
          <w:tcPr>
            <w:tcW w:w="6521" w:type="dxa"/>
            <w:shd w:val="clear" w:color="auto" w:fill="auto"/>
          </w:tcPr>
          <w:p w:rsidR="005624E3" w:rsidRPr="00F7713D" w:rsidRDefault="005624E3" w:rsidP="00101A80">
            <w:pPr>
              <w:spacing w:before="80" w:after="80" w:line="240" w:lineRule="atLeast"/>
              <w:rPr>
                <w:rFonts w:cs="Arial"/>
                <w:sz w:val="18"/>
                <w:szCs w:val="18"/>
              </w:rPr>
            </w:pPr>
            <w:r>
              <w:rPr>
                <w:sz w:val="18"/>
              </w:rPr>
              <w:t xml:space="preserve">N.R.C., legkésőbb a belvízi hajóbizonyítvány megújításakor e dátumot követően: </w:t>
            </w:r>
          </w:p>
        </w:tc>
        <w:tc>
          <w:tcPr>
            <w:tcW w:w="1276" w:type="dxa"/>
            <w:vMerge w:val="restart"/>
            <w:shd w:val="clear" w:color="auto" w:fill="auto"/>
          </w:tcPr>
          <w:p w:rsidR="005624E3" w:rsidRPr="00F7713D" w:rsidRDefault="005624E3" w:rsidP="00101A80">
            <w:pPr>
              <w:spacing w:before="80" w:after="80" w:line="240" w:lineRule="atLeast"/>
              <w:rPr>
                <w:rFonts w:cs="Arial"/>
                <w:sz w:val="18"/>
                <w:szCs w:val="18"/>
              </w:rPr>
            </w:pPr>
            <w:r>
              <w:rPr>
                <w:sz w:val="18"/>
              </w:rPr>
              <w:t>2020.01.01.</w:t>
            </w:r>
          </w:p>
        </w:tc>
      </w:tr>
      <w:tr w:rsidR="005624E3" w:rsidRPr="00A0619C" w:rsidTr="005758C9">
        <w:trPr>
          <w:cantSplit/>
          <w:trHeight w:val="251"/>
          <w:jc w:val="center"/>
        </w:trPr>
        <w:tc>
          <w:tcPr>
            <w:tcW w:w="1342" w:type="dxa"/>
            <w:vMerge/>
            <w:shd w:val="clear" w:color="auto" w:fill="auto"/>
          </w:tcPr>
          <w:p w:rsidR="005624E3" w:rsidRPr="0029395D" w:rsidRDefault="005624E3" w:rsidP="00101A80">
            <w:pPr>
              <w:spacing w:before="80" w:after="80" w:line="240" w:lineRule="atLeast"/>
              <w:rPr>
                <w:rFonts w:cs="Arial"/>
                <w:sz w:val="18"/>
                <w:szCs w:val="18"/>
              </w:rPr>
            </w:pPr>
          </w:p>
        </w:tc>
        <w:tc>
          <w:tcPr>
            <w:tcW w:w="1458" w:type="dxa"/>
            <w:vMerge/>
            <w:shd w:val="clear" w:color="auto" w:fill="auto"/>
          </w:tcPr>
          <w:p w:rsidR="005624E3" w:rsidRPr="00F7713D" w:rsidRDefault="005624E3" w:rsidP="00101A80">
            <w:pPr>
              <w:tabs>
                <w:tab w:val="left" w:pos="0"/>
              </w:tabs>
              <w:spacing w:before="80" w:after="80" w:line="240" w:lineRule="atLeast"/>
              <w:ind w:right="-231"/>
              <w:rPr>
                <w:rFonts w:cs="Arial"/>
                <w:sz w:val="18"/>
                <w:szCs w:val="18"/>
              </w:rPr>
            </w:pPr>
          </w:p>
        </w:tc>
        <w:tc>
          <w:tcPr>
            <w:tcW w:w="3296" w:type="dxa"/>
            <w:vMerge/>
            <w:shd w:val="clear" w:color="auto" w:fill="auto"/>
          </w:tcPr>
          <w:p w:rsidR="005624E3" w:rsidRPr="00F7713D" w:rsidRDefault="005624E3" w:rsidP="00101A80">
            <w:pPr>
              <w:spacing w:before="80" w:after="80" w:line="240" w:lineRule="atLeast"/>
              <w:rPr>
                <w:sz w:val="18"/>
                <w:szCs w:val="18"/>
              </w:rPr>
            </w:pPr>
          </w:p>
        </w:tc>
        <w:tc>
          <w:tcPr>
            <w:tcW w:w="6521" w:type="dxa"/>
            <w:shd w:val="clear" w:color="auto" w:fill="auto"/>
          </w:tcPr>
          <w:p w:rsidR="005624E3" w:rsidRPr="00F7713D" w:rsidRDefault="005624E3" w:rsidP="00101A80">
            <w:pPr>
              <w:spacing w:before="80" w:after="80" w:line="240" w:lineRule="atLeast"/>
              <w:rPr>
                <w:rFonts w:cs="Arial"/>
                <w:sz w:val="18"/>
                <w:szCs w:val="18"/>
              </w:rPr>
            </w:pPr>
            <w:r>
              <w:rPr>
                <w:sz w:val="18"/>
              </w:rPr>
              <w:t>Amennyiben ez a rendelkezés az említett időpont után nem teljesíthető a gyakorlatban, a munkaállomások és átjárók azon helyeit, ahol a biztonsági távolság kevesebb 0,50 m-nél, egyértelműen jelölni kell.</w:t>
            </w:r>
          </w:p>
        </w:tc>
        <w:tc>
          <w:tcPr>
            <w:tcW w:w="1276" w:type="dxa"/>
            <w:vMerge/>
            <w:shd w:val="clear" w:color="auto" w:fill="auto"/>
          </w:tcPr>
          <w:p w:rsidR="005624E3" w:rsidRPr="00F7713D" w:rsidRDefault="005624E3" w:rsidP="00101A80">
            <w:pPr>
              <w:spacing w:before="80" w:after="80" w:line="240" w:lineRule="atLeast"/>
              <w:rPr>
                <w:rFonts w:cs="Arial"/>
                <w:sz w:val="18"/>
                <w:szCs w:val="18"/>
              </w:rPr>
            </w:pPr>
          </w:p>
        </w:tc>
      </w:tr>
      <w:tr w:rsidR="005624E3" w:rsidRPr="0029395D" w:rsidTr="005758C9">
        <w:trPr>
          <w:cantSplit/>
          <w:jc w:val="center"/>
        </w:trPr>
        <w:tc>
          <w:tcPr>
            <w:tcW w:w="1342" w:type="dxa"/>
            <w:vMerge/>
            <w:shd w:val="clear" w:color="auto" w:fill="auto"/>
          </w:tcPr>
          <w:p w:rsidR="005624E3" w:rsidRPr="0029395D" w:rsidRDefault="005624E3" w:rsidP="00101A80">
            <w:pPr>
              <w:spacing w:before="80" w:after="80" w:line="240" w:lineRule="atLeast"/>
              <w:rPr>
                <w:rFonts w:cs="Arial"/>
                <w:sz w:val="18"/>
                <w:szCs w:val="18"/>
              </w:rPr>
            </w:pPr>
          </w:p>
        </w:tc>
        <w:tc>
          <w:tcPr>
            <w:tcW w:w="1458" w:type="dxa"/>
            <w:shd w:val="clear" w:color="auto" w:fill="auto"/>
          </w:tcPr>
          <w:p w:rsidR="005624E3" w:rsidRPr="00F7713D" w:rsidRDefault="005624E3" w:rsidP="00101A80">
            <w:pPr>
              <w:tabs>
                <w:tab w:val="left" w:pos="180"/>
              </w:tabs>
              <w:spacing w:before="80" w:after="80" w:line="240" w:lineRule="atLeast"/>
              <w:rPr>
                <w:rFonts w:cs="Arial"/>
                <w:sz w:val="18"/>
                <w:szCs w:val="18"/>
              </w:rPr>
            </w:pPr>
            <w:r>
              <w:rPr>
                <w:sz w:val="18"/>
              </w:rPr>
              <w:t>5. bekezdés</w:t>
            </w:r>
          </w:p>
        </w:tc>
        <w:tc>
          <w:tcPr>
            <w:tcW w:w="3296" w:type="dxa"/>
            <w:shd w:val="clear" w:color="auto" w:fill="auto"/>
          </w:tcPr>
          <w:p w:rsidR="005624E3" w:rsidRPr="00F7713D" w:rsidRDefault="005624E3" w:rsidP="00101A80">
            <w:pPr>
              <w:spacing w:before="80" w:after="80" w:line="240" w:lineRule="atLeast"/>
              <w:rPr>
                <w:rFonts w:cs="Arial"/>
                <w:sz w:val="18"/>
                <w:szCs w:val="18"/>
              </w:rPr>
            </w:pPr>
            <w:r>
              <w:rPr>
                <w:sz w:val="18"/>
              </w:rPr>
              <w:t>Biztonságos működtetés</w:t>
            </w:r>
          </w:p>
        </w:tc>
        <w:tc>
          <w:tcPr>
            <w:tcW w:w="6521" w:type="dxa"/>
            <w:shd w:val="clear" w:color="auto" w:fill="auto"/>
          </w:tcPr>
          <w:p w:rsidR="005624E3" w:rsidRPr="00F7713D" w:rsidRDefault="005624E3" w:rsidP="00101A80">
            <w:pPr>
              <w:spacing w:before="80" w:after="80" w:line="240" w:lineRule="atLeast"/>
              <w:rPr>
                <w:rFonts w:cs="Arial"/>
                <w:sz w:val="18"/>
                <w:szCs w:val="18"/>
              </w:rPr>
            </w:pPr>
            <w:r>
              <w:rPr>
                <w:sz w:val="18"/>
              </w:rPr>
              <w:t>N.R.C., legkésőbb a belvízi hajóbizonyítvány első megújítása után, e dátumot követően:</w:t>
            </w:r>
          </w:p>
        </w:tc>
        <w:tc>
          <w:tcPr>
            <w:tcW w:w="1276" w:type="dxa"/>
            <w:shd w:val="clear" w:color="auto" w:fill="auto"/>
          </w:tcPr>
          <w:p w:rsidR="005624E3" w:rsidRPr="00F7713D" w:rsidRDefault="005624E3" w:rsidP="00101A80">
            <w:pPr>
              <w:spacing w:before="80" w:after="80" w:line="240" w:lineRule="atLeast"/>
              <w:rPr>
                <w:rFonts w:cs="Arial"/>
                <w:sz w:val="18"/>
                <w:szCs w:val="18"/>
              </w:rPr>
            </w:pPr>
            <w:r>
              <w:rPr>
                <w:sz w:val="18"/>
              </w:rPr>
              <w:t>2020.01.01.</w:t>
            </w:r>
          </w:p>
        </w:tc>
      </w:tr>
      <w:tr w:rsidR="005624E3" w:rsidRPr="0029395D" w:rsidTr="005758C9">
        <w:trPr>
          <w:cantSplit/>
          <w:trHeight w:val="197"/>
          <w:jc w:val="center"/>
        </w:trPr>
        <w:tc>
          <w:tcPr>
            <w:tcW w:w="1342" w:type="dxa"/>
            <w:vMerge/>
            <w:shd w:val="clear" w:color="auto" w:fill="auto"/>
          </w:tcPr>
          <w:p w:rsidR="005624E3" w:rsidRPr="0029395D" w:rsidRDefault="005624E3" w:rsidP="00101A80">
            <w:pPr>
              <w:spacing w:before="80" w:after="80" w:line="240" w:lineRule="atLeast"/>
              <w:rPr>
                <w:rFonts w:cs="Arial"/>
                <w:sz w:val="18"/>
                <w:szCs w:val="18"/>
              </w:rPr>
            </w:pPr>
          </w:p>
        </w:tc>
        <w:tc>
          <w:tcPr>
            <w:tcW w:w="1458" w:type="dxa"/>
            <w:vMerge w:val="restart"/>
            <w:shd w:val="clear" w:color="auto" w:fill="auto"/>
          </w:tcPr>
          <w:p w:rsidR="005624E3" w:rsidRPr="00F7713D" w:rsidRDefault="005624E3" w:rsidP="00101A80">
            <w:pPr>
              <w:tabs>
                <w:tab w:val="left" w:pos="720"/>
              </w:tabs>
              <w:spacing w:before="80" w:after="80" w:line="240" w:lineRule="atLeast"/>
              <w:rPr>
                <w:rFonts w:cs="Arial"/>
                <w:sz w:val="18"/>
                <w:szCs w:val="18"/>
              </w:rPr>
            </w:pPr>
            <w:r>
              <w:rPr>
                <w:sz w:val="18"/>
              </w:rPr>
              <w:t>9. bekezdés</w:t>
            </w:r>
          </w:p>
        </w:tc>
        <w:tc>
          <w:tcPr>
            <w:tcW w:w="3296" w:type="dxa"/>
            <w:vMerge w:val="restart"/>
            <w:shd w:val="clear" w:color="auto" w:fill="auto"/>
          </w:tcPr>
          <w:p w:rsidR="005624E3" w:rsidRPr="00F7713D" w:rsidRDefault="005624E3" w:rsidP="00101A80">
            <w:pPr>
              <w:spacing w:before="80" w:after="80" w:line="240" w:lineRule="atLeast"/>
              <w:rPr>
                <w:rFonts w:cs="Arial"/>
                <w:sz w:val="18"/>
                <w:szCs w:val="18"/>
              </w:rPr>
            </w:pPr>
            <w:r>
              <w:rPr>
                <w:sz w:val="18"/>
              </w:rPr>
              <w:t>Kezelési utasítások</w:t>
            </w:r>
          </w:p>
        </w:tc>
        <w:tc>
          <w:tcPr>
            <w:tcW w:w="6521" w:type="dxa"/>
            <w:shd w:val="clear" w:color="auto" w:fill="auto"/>
          </w:tcPr>
          <w:p w:rsidR="005624E3" w:rsidRPr="00F7713D" w:rsidRDefault="005624E3" w:rsidP="00101A80">
            <w:pPr>
              <w:spacing w:before="80" w:after="80" w:line="240" w:lineRule="atLeast"/>
              <w:rPr>
                <w:rFonts w:cs="Arial"/>
                <w:sz w:val="18"/>
                <w:szCs w:val="18"/>
              </w:rPr>
            </w:pPr>
            <w:r>
              <w:rPr>
                <w:sz w:val="18"/>
              </w:rPr>
              <w:t>N.R.C., legkésőbb a belvízi hajóbizonyítvány első megújítása után, e dátumot követően:</w:t>
            </w:r>
          </w:p>
        </w:tc>
        <w:tc>
          <w:tcPr>
            <w:tcW w:w="1276" w:type="dxa"/>
            <w:vMerge w:val="restart"/>
            <w:shd w:val="clear" w:color="auto" w:fill="auto"/>
          </w:tcPr>
          <w:p w:rsidR="005624E3" w:rsidRPr="00F7713D" w:rsidRDefault="005624E3" w:rsidP="00101A80">
            <w:pPr>
              <w:spacing w:before="80" w:after="80" w:line="240" w:lineRule="atLeast"/>
              <w:rPr>
                <w:rFonts w:cs="Arial"/>
                <w:sz w:val="18"/>
                <w:szCs w:val="18"/>
              </w:rPr>
            </w:pPr>
            <w:r>
              <w:rPr>
                <w:sz w:val="18"/>
              </w:rPr>
              <w:t>2020.01.01.</w:t>
            </w:r>
          </w:p>
        </w:tc>
      </w:tr>
      <w:tr w:rsidR="005624E3" w:rsidRPr="00A0619C" w:rsidTr="005758C9">
        <w:trPr>
          <w:cantSplit/>
          <w:trHeight w:val="197"/>
          <w:jc w:val="center"/>
        </w:trPr>
        <w:tc>
          <w:tcPr>
            <w:tcW w:w="1342" w:type="dxa"/>
            <w:vMerge/>
            <w:shd w:val="clear" w:color="auto" w:fill="auto"/>
          </w:tcPr>
          <w:p w:rsidR="005624E3" w:rsidRPr="0029395D" w:rsidRDefault="005624E3" w:rsidP="00101A80">
            <w:pPr>
              <w:spacing w:before="80" w:after="80" w:line="240" w:lineRule="atLeast"/>
              <w:rPr>
                <w:rFonts w:cs="Arial"/>
                <w:sz w:val="18"/>
                <w:szCs w:val="18"/>
              </w:rPr>
            </w:pPr>
          </w:p>
        </w:tc>
        <w:tc>
          <w:tcPr>
            <w:tcW w:w="1458" w:type="dxa"/>
            <w:vMerge/>
            <w:shd w:val="clear" w:color="auto" w:fill="auto"/>
          </w:tcPr>
          <w:p w:rsidR="005624E3" w:rsidRPr="0029395D" w:rsidRDefault="005624E3" w:rsidP="00101A80">
            <w:pPr>
              <w:tabs>
                <w:tab w:val="left" w:pos="720"/>
              </w:tabs>
              <w:spacing w:before="80" w:after="80" w:line="240" w:lineRule="atLeast"/>
              <w:rPr>
                <w:rFonts w:cs="Arial"/>
                <w:sz w:val="18"/>
                <w:szCs w:val="18"/>
                <w:highlight w:val="lightGray"/>
              </w:rPr>
            </w:pPr>
          </w:p>
        </w:tc>
        <w:tc>
          <w:tcPr>
            <w:tcW w:w="3296" w:type="dxa"/>
            <w:vMerge/>
            <w:shd w:val="clear" w:color="auto" w:fill="auto"/>
          </w:tcPr>
          <w:p w:rsidR="005624E3" w:rsidRPr="0029395D" w:rsidRDefault="005624E3" w:rsidP="00101A80">
            <w:pPr>
              <w:spacing w:before="80" w:after="80" w:line="240" w:lineRule="atLeast"/>
              <w:rPr>
                <w:rFonts w:cs="Arial"/>
                <w:sz w:val="18"/>
                <w:szCs w:val="18"/>
                <w:highlight w:val="lightGray"/>
              </w:rPr>
            </w:pPr>
          </w:p>
        </w:tc>
        <w:tc>
          <w:tcPr>
            <w:tcW w:w="6521" w:type="dxa"/>
            <w:shd w:val="clear" w:color="auto" w:fill="auto"/>
          </w:tcPr>
          <w:p w:rsidR="005624E3" w:rsidRPr="00F7713D" w:rsidRDefault="005624E3" w:rsidP="00101A80">
            <w:pPr>
              <w:spacing w:before="80" w:after="80" w:line="240" w:lineRule="atLeast"/>
              <w:rPr>
                <w:rFonts w:cs="Arial"/>
                <w:sz w:val="18"/>
                <w:szCs w:val="18"/>
              </w:rPr>
            </w:pPr>
            <w:r>
              <w:rPr>
                <w:sz w:val="18"/>
              </w:rPr>
              <w:t>Ha ezen időpontot követően a gyártótól már nem szerezhető be kezelési utasítás, azt egy szakember készíti el. Ezt követően a 14.12. cikk 6. bekezdésének c) pontja szerinti első ellenőrzés során ezeket a kezelési utasításokat az ellenőrzést végző szakértő hagyja jóvá.</w:t>
            </w:r>
          </w:p>
        </w:tc>
        <w:tc>
          <w:tcPr>
            <w:tcW w:w="1276" w:type="dxa"/>
            <w:vMerge/>
            <w:shd w:val="clear" w:color="auto" w:fill="auto"/>
          </w:tcPr>
          <w:p w:rsidR="005624E3" w:rsidRPr="0029395D" w:rsidRDefault="005624E3" w:rsidP="00101A80">
            <w:pPr>
              <w:spacing w:before="80" w:after="8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15.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r>
              <w:rPr>
                <w:sz w:val="18"/>
              </w:rPr>
              <w:t>15.01. cikk</w:t>
            </w: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Lakótér a fedélzeten szokásosan megszálló személyek számára</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2035.01.01.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80" w:after="80" w:line="240" w:lineRule="atLeast"/>
              <w:rPr>
                <w:rFonts w:cs="Arial"/>
                <w:sz w:val="18"/>
                <w:szCs w:val="18"/>
              </w:rPr>
            </w:pPr>
            <w:r>
              <w:rPr>
                <w:sz w:val="18"/>
              </w:rPr>
              <w:t>15.02. cikk</w:t>
            </w: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A padlók helyzete</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sz w:val="18"/>
              </w:rPr>
              <w:t>Közösségi nappali helyiségek és hálókabinok</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A lakóterek belmagassága</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8.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A közösségi nappali helyiségek szabad padlófelülete</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9.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A helyiségek térfogata</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10.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Személyenkénti légtérfogat</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11. bekezdés</w:t>
            </w:r>
          </w:p>
        </w:tc>
        <w:tc>
          <w:tcPr>
            <w:tcW w:w="3296" w:type="dxa"/>
            <w:shd w:val="clear" w:color="auto" w:fill="auto"/>
          </w:tcPr>
          <w:p w:rsidR="005624E3" w:rsidRPr="00C903F8" w:rsidRDefault="005624E3" w:rsidP="00101A80">
            <w:pPr>
              <w:spacing w:before="160" w:after="160" w:line="240" w:lineRule="atLeast"/>
              <w:rPr>
                <w:rFonts w:cs="Arial"/>
                <w:noProof/>
                <w:sz w:val="18"/>
                <w:szCs w:val="18"/>
              </w:rPr>
            </w:pPr>
            <w:r>
              <w:rPr>
                <w:noProof/>
                <w:sz w:val="18"/>
              </w:rPr>
              <w:t>Az ajtók mérete</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DB7D1E" w:rsidRDefault="005624E3" w:rsidP="00101A80">
            <w:pPr>
              <w:spacing w:before="160" w:after="160" w:line="240" w:lineRule="atLeast"/>
              <w:rPr>
                <w:rFonts w:cs="Arial"/>
                <w:sz w:val="18"/>
                <w:szCs w:val="18"/>
                <w:lang w:val="fr-FR"/>
              </w:rPr>
            </w:pPr>
            <w:r w:rsidRPr="00DB7D1E">
              <w:rPr>
                <w:sz w:val="18"/>
                <w:lang w:val="fr-FR"/>
              </w:rPr>
              <w:t>12. bekezdés a) és b) pont</w:t>
            </w:r>
          </w:p>
        </w:tc>
        <w:tc>
          <w:tcPr>
            <w:tcW w:w="3296" w:type="dxa"/>
            <w:shd w:val="clear" w:color="auto" w:fill="auto"/>
          </w:tcPr>
          <w:p w:rsidR="005624E3" w:rsidRPr="00C903F8" w:rsidRDefault="005624E3" w:rsidP="00101A80">
            <w:pPr>
              <w:spacing w:before="160" w:after="160" w:line="240" w:lineRule="atLeast"/>
              <w:rPr>
                <w:rFonts w:cs="Arial"/>
                <w:noProof/>
                <w:sz w:val="18"/>
                <w:szCs w:val="18"/>
              </w:rPr>
            </w:pPr>
            <w:r>
              <w:rPr>
                <w:noProof/>
                <w:sz w:val="18"/>
              </w:rPr>
              <w:t>A lépcsők helyzete</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13. bekezdés</w:t>
            </w:r>
          </w:p>
        </w:tc>
        <w:tc>
          <w:tcPr>
            <w:tcW w:w="3296" w:type="dxa"/>
            <w:shd w:val="clear" w:color="auto" w:fill="auto"/>
          </w:tcPr>
          <w:p w:rsidR="005624E3" w:rsidRPr="00C903F8" w:rsidRDefault="005624E3" w:rsidP="00101A80">
            <w:pPr>
              <w:spacing w:before="160" w:after="160" w:line="240" w:lineRule="atLeast"/>
              <w:rPr>
                <w:rFonts w:cs="Arial"/>
                <w:noProof/>
                <w:sz w:val="18"/>
                <w:szCs w:val="18"/>
              </w:rPr>
            </w:pPr>
            <w:r>
              <w:rPr>
                <w:noProof/>
                <w:sz w:val="18"/>
              </w:rPr>
              <w:t>Veszélyes gázokat vagy folyadékokat szállító csövek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shd w:val="clear" w:color="auto" w:fill="auto"/>
          </w:tcPr>
          <w:p w:rsidR="005624E3" w:rsidRPr="00C903F8" w:rsidRDefault="005624E3" w:rsidP="00101A80">
            <w:pPr>
              <w:spacing w:before="160" w:after="160" w:line="240" w:lineRule="atLeast"/>
              <w:rPr>
                <w:rFonts w:cs="Arial"/>
                <w:sz w:val="18"/>
                <w:szCs w:val="18"/>
              </w:rPr>
            </w:pPr>
            <w:r>
              <w:rPr>
                <w:sz w:val="18"/>
              </w:rPr>
              <w:t>15.03.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p>
        </w:tc>
        <w:tc>
          <w:tcPr>
            <w:tcW w:w="3296" w:type="dxa"/>
            <w:shd w:val="clear" w:color="auto" w:fill="auto"/>
          </w:tcPr>
          <w:p w:rsidR="005624E3" w:rsidRPr="00C903F8" w:rsidRDefault="005624E3" w:rsidP="00101A80">
            <w:pPr>
              <w:spacing w:before="160" w:after="160" w:line="240" w:lineRule="atLeast"/>
              <w:rPr>
                <w:rFonts w:cs="Arial"/>
                <w:noProof/>
                <w:sz w:val="18"/>
                <w:szCs w:val="18"/>
              </w:rPr>
            </w:pPr>
            <w:r>
              <w:rPr>
                <w:noProof/>
                <w:sz w:val="18"/>
              </w:rPr>
              <w:t>Szaniterberendezések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shd w:val="clear" w:color="auto" w:fill="auto"/>
          </w:tcPr>
          <w:p w:rsidR="005624E3" w:rsidRPr="00C903F8" w:rsidRDefault="005624E3" w:rsidP="00101A80">
            <w:pPr>
              <w:spacing w:before="160" w:after="160" w:line="240" w:lineRule="atLeast"/>
              <w:rPr>
                <w:rFonts w:cs="Arial"/>
                <w:sz w:val="18"/>
                <w:szCs w:val="18"/>
              </w:rPr>
            </w:pPr>
            <w:r>
              <w:rPr>
                <w:sz w:val="18"/>
              </w:rPr>
              <w:t>15.04.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p>
        </w:tc>
        <w:tc>
          <w:tcPr>
            <w:tcW w:w="3296" w:type="dxa"/>
            <w:shd w:val="clear" w:color="auto" w:fill="auto"/>
          </w:tcPr>
          <w:p w:rsidR="005624E3" w:rsidRPr="00C903F8" w:rsidRDefault="005624E3" w:rsidP="00101A80">
            <w:pPr>
              <w:spacing w:before="160" w:after="160" w:line="240" w:lineRule="atLeast"/>
              <w:rPr>
                <w:rFonts w:cs="Arial"/>
                <w:noProof/>
                <w:sz w:val="18"/>
                <w:szCs w:val="18"/>
              </w:rPr>
            </w:pPr>
            <w:r>
              <w:rPr>
                <w:noProof/>
                <w:sz w:val="18"/>
              </w:rPr>
              <w:t>Konyhák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shd w:val="clear" w:color="auto" w:fill="auto"/>
          </w:tcPr>
          <w:p w:rsidR="005624E3" w:rsidRPr="00C903F8" w:rsidRDefault="005624E3" w:rsidP="00101A80">
            <w:pPr>
              <w:spacing w:before="160" w:after="160" w:line="240" w:lineRule="atLeast"/>
              <w:rPr>
                <w:rFonts w:cs="Arial"/>
                <w:sz w:val="18"/>
                <w:szCs w:val="18"/>
              </w:rPr>
            </w:pPr>
            <w:r>
              <w:rPr>
                <w:sz w:val="18"/>
              </w:rPr>
              <w:t>15.06.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p>
        </w:tc>
        <w:tc>
          <w:tcPr>
            <w:tcW w:w="3296" w:type="dxa"/>
            <w:shd w:val="clear" w:color="auto" w:fill="auto"/>
          </w:tcPr>
          <w:p w:rsidR="005624E3" w:rsidRPr="00C903F8" w:rsidRDefault="005624E3" w:rsidP="00101A80">
            <w:pPr>
              <w:spacing w:before="160" w:after="160" w:line="240" w:lineRule="atLeast"/>
              <w:rPr>
                <w:rFonts w:cs="Arial"/>
                <w:color w:val="000000"/>
                <w:sz w:val="18"/>
                <w:szCs w:val="18"/>
              </w:rPr>
            </w:pPr>
            <w:r>
              <w:rPr>
                <w:noProof/>
                <w:sz w:val="18"/>
              </w:rPr>
              <w:t>Fűtés és szellőzés</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jc w:val="center"/>
        </w:trPr>
        <w:tc>
          <w:tcPr>
            <w:tcW w:w="1342" w:type="dxa"/>
            <w:shd w:val="clear" w:color="auto" w:fill="auto"/>
          </w:tcPr>
          <w:p w:rsidR="005624E3" w:rsidRPr="00C903F8" w:rsidRDefault="005624E3" w:rsidP="00101A80">
            <w:pPr>
              <w:spacing w:before="160" w:after="160" w:line="240" w:lineRule="atLeast"/>
              <w:rPr>
                <w:rFonts w:cs="Arial"/>
                <w:sz w:val="18"/>
                <w:szCs w:val="18"/>
              </w:rPr>
            </w:pPr>
            <w:r>
              <w:rPr>
                <w:sz w:val="18"/>
              </w:rPr>
              <w:t>15.07.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 bekezdés második mondat</w:t>
            </w:r>
          </w:p>
        </w:tc>
        <w:tc>
          <w:tcPr>
            <w:tcW w:w="3296" w:type="dxa"/>
            <w:shd w:val="clear" w:color="auto" w:fill="auto"/>
          </w:tcPr>
          <w:p w:rsidR="005624E3" w:rsidRPr="00C903F8" w:rsidRDefault="005624E3" w:rsidP="00101A80">
            <w:pPr>
              <w:spacing w:before="160" w:after="160" w:line="240" w:lineRule="atLeast"/>
              <w:rPr>
                <w:rFonts w:cs="Arial"/>
                <w:color w:val="000000"/>
                <w:sz w:val="18"/>
                <w:szCs w:val="18"/>
              </w:rPr>
            </w:pPr>
            <w:r>
              <w:rPr>
                <w:noProof/>
                <w:sz w:val="18"/>
              </w:rPr>
              <w:t>Egyéb lakótéri berendezések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2035.01.01.</w:t>
            </w:r>
          </w:p>
        </w:tc>
      </w:tr>
      <w:tr w:rsidR="005624E3" w:rsidRPr="00C903F8" w:rsidTr="005758C9">
        <w:trPr>
          <w:cantSplit/>
          <w:trHeight w:val="70"/>
          <w:jc w:val="center"/>
        </w:trPr>
        <w:tc>
          <w:tcPr>
            <w:tcW w:w="6096" w:type="dxa"/>
            <w:gridSpan w:val="3"/>
            <w:shd w:val="clear" w:color="auto" w:fill="auto"/>
          </w:tcPr>
          <w:p w:rsidR="005624E3" w:rsidRPr="00C903F8" w:rsidRDefault="005624E3" w:rsidP="00101A80">
            <w:pPr>
              <w:spacing w:before="60" w:after="60" w:line="240" w:lineRule="atLeast"/>
              <w:jc w:val="center"/>
              <w:rPr>
                <w:rFonts w:cs="Arial"/>
                <w:b/>
                <w:sz w:val="18"/>
                <w:szCs w:val="18"/>
              </w:rPr>
            </w:pPr>
            <w:r>
              <w:rPr>
                <w:b/>
                <w:sz w:val="18"/>
              </w:rPr>
              <w:t>18.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vMerge w:val="restart"/>
            <w:shd w:val="clear" w:color="auto" w:fill="auto"/>
          </w:tcPr>
          <w:p w:rsidR="005624E3" w:rsidRPr="0021540A" w:rsidRDefault="005624E3" w:rsidP="00101A80">
            <w:pPr>
              <w:spacing w:before="80" w:after="80" w:line="240" w:lineRule="atLeast"/>
              <w:rPr>
                <w:rFonts w:cs="Arial"/>
                <w:sz w:val="18"/>
                <w:szCs w:val="18"/>
              </w:rPr>
            </w:pPr>
            <w:r>
              <w:rPr>
                <w:sz w:val="18"/>
              </w:rPr>
              <w:t>18.01. cikk</w:t>
            </w:r>
          </w:p>
        </w:tc>
        <w:tc>
          <w:tcPr>
            <w:tcW w:w="1458" w:type="dxa"/>
            <w:vMerge w:val="restart"/>
            <w:shd w:val="clear" w:color="auto" w:fill="auto"/>
          </w:tcPr>
          <w:p w:rsidR="005624E3" w:rsidRPr="0021540A" w:rsidRDefault="005624E3" w:rsidP="00101A80">
            <w:pPr>
              <w:spacing w:before="80" w:after="80" w:line="240" w:lineRule="atLeast"/>
              <w:rPr>
                <w:rFonts w:cs="Arial"/>
                <w:sz w:val="18"/>
                <w:szCs w:val="18"/>
              </w:rPr>
            </w:pPr>
            <w:r>
              <w:rPr>
                <w:sz w:val="18"/>
              </w:rPr>
              <w:t>2. bekezdés 1. és 2. táblázat, 5. bekezdés</w:t>
            </w:r>
          </w:p>
        </w:tc>
        <w:tc>
          <w:tcPr>
            <w:tcW w:w="3296" w:type="dxa"/>
            <w:vMerge w:val="restart"/>
            <w:shd w:val="clear" w:color="auto" w:fill="auto"/>
          </w:tcPr>
          <w:p w:rsidR="005624E3" w:rsidRPr="0021540A" w:rsidRDefault="005624E3" w:rsidP="00101A80">
            <w:pPr>
              <w:adjustRightInd w:val="0"/>
              <w:spacing w:before="80" w:after="80" w:line="240" w:lineRule="atLeast"/>
              <w:rPr>
                <w:rFonts w:cs="Arial"/>
                <w:sz w:val="18"/>
                <w:szCs w:val="18"/>
              </w:rPr>
            </w:pPr>
            <w:r>
              <w:rPr>
                <w:noProof/>
                <w:sz w:val="18"/>
              </w:rPr>
              <w:t>Határértékek/ellenőrzési értékek és típusjóváhagyások</w:t>
            </w:r>
          </w:p>
        </w:tc>
        <w:tc>
          <w:tcPr>
            <w:tcW w:w="6521" w:type="dxa"/>
            <w:shd w:val="clear" w:color="auto" w:fill="auto"/>
          </w:tcPr>
          <w:p w:rsidR="005624E3" w:rsidRPr="0021540A" w:rsidRDefault="005624E3" w:rsidP="00101A80">
            <w:pPr>
              <w:spacing w:before="80" w:after="80" w:line="240" w:lineRule="atLeast"/>
              <w:rPr>
                <w:rFonts w:cs="Arial"/>
                <w:sz w:val="18"/>
                <w:szCs w:val="18"/>
              </w:rPr>
            </w:pPr>
            <w:r>
              <w:rPr>
                <w:sz w:val="18"/>
              </w:rPr>
              <w:t>N.R.C., amíg:</w:t>
            </w:r>
          </w:p>
          <w:p w:rsidR="005624E3" w:rsidRPr="0021540A" w:rsidRDefault="005624E3" w:rsidP="00101A80">
            <w:pPr>
              <w:spacing w:before="80" w:after="80" w:line="240" w:lineRule="atLeast"/>
              <w:ind w:left="317" w:hanging="317"/>
              <w:rPr>
                <w:rFonts w:cs="Arial"/>
                <w:sz w:val="18"/>
                <w:szCs w:val="18"/>
              </w:rPr>
            </w:pPr>
            <w:r>
              <w:rPr>
                <w:sz w:val="18"/>
              </w:rPr>
              <w:t>a)</w:t>
            </w:r>
            <w:r>
              <w:tab/>
            </w:r>
            <w:r>
              <w:rPr>
                <w:sz w:val="18"/>
              </w:rPr>
              <w:t>a határ- és ellenőrzési értékek nem nagyobbak a II. lépés szerinti értékek kétszeresénél;</w:t>
            </w:r>
          </w:p>
          <w:p w:rsidR="005624E3" w:rsidRPr="0021540A" w:rsidRDefault="005624E3" w:rsidP="00101A80">
            <w:pPr>
              <w:spacing w:before="80" w:after="80" w:line="240" w:lineRule="atLeast"/>
              <w:ind w:left="317" w:hanging="317"/>
              <w:rPr>
                <w:rFonts w:cs="Arial"/>
                <w:sz w:val="18"/>
                <w:szCs w:val="18"/>
              </w:rPr>
            </w:pPr>
            <w:r>
              <w:rPr>
                <w:sz w:val="18"/>
              </w:rPr>
              <w:t>b)</w:t>
            </w:r>
            <w:r>
              <w:tab/>
            </w:r>
            <w:r>
              <w:rPr>
                <w:sz w:val="18"/>
              </w:rPr>
              <w:t>a fedélzeti szennyvízkezelő műhöz a gyártó vagy egy szakértő olyan igazolást mellékel, amely tanúsítja, hogy a fedélzeti szennyvízkezelő mű a vízi járművön előálló tipikus terhelési viszonyok között képes ellátni feladatát;</w:t>
            </w:r>
          </w:p>
          <w:p w:rsidR="005624E3" w:rsidRPr="0021540A" w:rsidRDefault="005624E3" w:rsidP="00101A80">
            <w:pPr>
              <w:adjustRightInd w:val="0"/>
              <w:spacing w:before="80" w:after="80" w:line="240" w:lineRule="atLeast"/>
              <w:ind w:left="317" w:hanging="317"/>
              <w:rPr>
                <w:rFonts w:cs="Arial"/>
                <w:sz w:val="18"/>
                <w:szCs w:val="18"/>
              </w:rPr>
            </w:pPr>
            <w:r>
              <w:rPr>
                <w:sz w:val="18"/>
              </w:rPr>
              <w:t>c)</w:t>
            </w:r>
            <w:r>
              <w:tab/>
            </w:r>
            <w:r>
              <w:rPr>
                <w:noProof/>
                <w:sz w:val="18"/>
              </w:rPr>
              <w:t>olyan szennyvíziszap-kezelési rendszer van érvényben, amely a személyhajó fedélzetén működő szennyvízkezelő mű üzemi feltételeit figyelembe véve alkalmasnak tekinthető.</w:t>
            </w:r>
          </w:p>
        </w:tc>
        <w:tc>
          <w:tcPr>
            <w:tcW w:w="1276" w:type="dxa"/>
            <w:shd w:val="clear" w:color="auto" w:fill="auto"/>
          </w:tcPr>
          <w:p w:rsidR="005624E3" w:rsidRPr="0021540A" w:rsidRDefault="005624E3" w:rsidP="00101A80">
            <w:pPr>
              <w:spacing w:before="80" w:after="80" w:line="240" w:lineRule="atLeast"/>
              <w:rPr>
                <w:rFonts w:cs="Arial"/>
                <w:sz w:val="18"/>
                <w:szCs w:val="18"/>
              </w:rPr>
            </w:pPr>
          </w:p>
        </w:tc>
      </w:tr>
      <w:tr w:rsidR="005624E3" w:rsidRPr="00A0619C" w:rsidTr="005758C9">
        <w:trPr>
          <w:cantSplit/>
          <w:jc w:val="center"/>
        </w:trPr>
        <w:tc>
          <w:tcPr>
            <w:tcW w:w="1342" w:type="dxa"/>
            <w:vMerge/>
            <w:shd w:val="clear" w:color="auto" w:fill="auto"/>
          </w:tcPr>
          <w:p w:rsidR="005624E3" w:rsidRPr="0021540A" w:rsidRDefault="005624E3" w:rsidP="00101A80">
            <w:pPr>
              <w:spacing w:before="80" w:after="80" w:line="240" w:lineRule="atLeast"/>
              <w:rPr>
                <w:rFonts w:cs="Arial"/>
                <w:sz w:val="18"/>
                <w:szCs w:val="18"/>
              </w:rPr>
            </w:pPr>
          </w:p>
        </w:tc>
        <w:tc>
          <w:tcPr>
            <w:tcW w:w="1458" w:type="dxa"/>
            <w:vMerge/>
            <w:shd w:val="clear" w:color="auto" w:fill="auto"/>
          </w:tcPr>
          <w:p w:rsidR="005624E3" w:rsidRPr="0021540A" w:rsidRDefault="005624E3" w:rsidP="00101A80">
            <w:pPr>
              <w:spacing w:before="80" w:after="80" w:line="240" w:lineRule="atLeast"/>
              <w:rPr>
                <w:rFonts w:cs="Arial"/>
                <w:sz w:val="18"/>
                <w:szCs w:val="18"/>
              </w:rPr>
            </w:pPr>
          </w:p>
        </w:tc>
        <w:tc>
          <w:tcPr>
            <w:tcW w:w="3296" w:type="dxa"/>
            <w:vMerge/>
            <w:shd w:val="clear" w:color="auto" w:fill="auto"/>
          </w:tcPr>
          <w:p w:rsidR="005624E3" w:rsidRPr="0021540A" w:rsidRDefault="005624E3" w:rsidP="00101A80">
            <w:pPr>
              <w:tabs>
                <w:tab w:val="left" w:pos="1080"/>
              </w:tabs>
              <w:spacing w:before="80" w:after="80" w:line="240" w:lineRule="atLeast"/>
              <w:rPr>
                <w:rFonts w:cs="Arial"/>
                <w:noProof/>
                <w:sz w:val="18"/>
                <w:szCs w:val="18"/>
              </w:rPr>
            </w:pPr>
          </w:p>
        </w:tc>
        <w:tc>
          <w:tcPr>
            <w:tcW w:w="6521" w:type="dxa"/>
            <w:shd w:val="clear" w:color="auto" w:fill="auto"/>
          </w:tcPr>
          <w:p w:rsidR="005624E3" w:rsidRPr="0021540A" w:rsidRDefault="005624E3" w:rsidP="00101A80">
            <w:pPr>
              <w:spacing w:before="80" w:after="80" w:line="240" w:lineRule="atLeast"/>
              <w:rPr>
                <w:rFonts w:cs="Arial"/>
                <w:sz w:val="18"/>
                <w:szCs w:val="18"/>
              </w:rPr>
            </w:pPr>
            <w:r>
              <w:rPr>
                <w:sz w:val="18"/>
              </w:rPr>
              <w:t>A 2010-II-27 CCNR-határozat (II. lépés) követelményeinek megfelelően 2011. december 1-jén vagy az után jóváhagyott fedélzeti szennyvízkezelő művek továbbra is beszerelhetők és használhatók.</w:t>
            </w:r>
          </w:p>
        </w:tc>
        <w:tc>
          <w:tcPr>
            <w:tcW w:w="1276" w:type="dxa"/>
            <w:shd w:val="clear" w:color="auto" w:fill="auto"/>
          </w:tcPr>
          <w:p w:rsidR="005624E3" w:rsidRPr="0021540A" w:rsidRDefault="005624E3" w:rsidP="00101A80">
            <w:pPr>
              <w:spacing w:before="80" w:after="80" w:line="240" w:lineRule="atLeast"/>
              <w:rPr>
                <w:rFonts w:cs="Arial"/>
                <w:sz w:val="18"/>
                <w:szCs w:val="18"/>
              </w:rPr>
            </w:pPr>
          </w:p>
        </w:tc>
      </w:tr>
      <w:tr w:rsidR="005624E3" w:rsidRPr="00A0619C" w:rsidTr="005758C9">
        <w:trPr>
          <w:cantSplit/>
          <w:jc w:val="center"/>
        </w:trPr>
        <w:tc>
          <w:tcPr>
            <w:tcW w:w="1342" w:type="dxa"/>
            <w:vMerge/>
            <w:shd w:val="clear" w:color="auto" w:fill="auto"/>
          </w:tcPr>
          <w:p w:rsidR="005624E3" w:rsidRPr="0021540A" w:rsidRDefault="005624E3" w:rsidP="00101A80">
            <w:pPr>
              <w:spacing w:before="80" w:after="80" w:line="240" w:lineRule="atLeast"/>
              <w:rPr>
                <w:rFonts w:cs="Arial"/>
                <w:sz w:val="18"/>
                <w:szCs w:val="18"/>
              </w:rPr>
            </w:pPr>
          </w:p>
        </w:tc>
        <w:tc>
          <w:tcPr>
            <w:tcW w:w="1458" w:type="dxa"/>
            <w:vMerge/>
            <w:shd w:val="clear" w:color="auto" w:fill="auto"/>
          </w:tcPr>
          <w:p w:rsidR="005624E3" w:rsidRPr="0021540A" w:rsidRDefault="005624E3" w:rsidP="00101A80">
            <w:pPr>
              <w:spacing w:before="80" w:after="80" w:line="240" w:lineRule="atLeast"/>
              <w:rPr>
                <w:rFonts w:cs="Arial"/>
                <w:sz w:val="18"/>
                <w:szCs w:val="18"/>
              </w:rPr>
            </w:pPr>
          </w:p>
        </w:tc>
        <w:tc>
          <w:tcPr>
            <w:tcW w:w="3296" w:type="dxa"/>
            <w:vMerge/>
            <w:shd w:val="clear" w:color="auto" w:fill="auto"/>
          </w:tcPr>
          <w:p w:rsidR="005624E3" w:rsidRPr="0021540A" w:rsidRDefault="005624E3" w:rsidP="00101A80">
            <w:pPr>
              <w:tabs>
                <w:tab w:val="left" w:pos="1080"/>
              </w:tabs>
              <w:spacing w:before="80" w:after="80" w:line="240" w:lineRule="atLeast"/>
              <w:rPr>
                <w:rFonts w:cs="Arial"/>
                <w:noProof/>
                <w:sz w:val="18"/>
                <w:szCs w:val="18"/>
              </w:rPr>
            </w:pPr>
          </w:p>
        </w:tc>
        <w:tc>
          <w:tcPr>
            <w:tcW w:w="6521" w:type="dxa"/>
            <w:shd w:val="clear" w:color="auto" w:fill="auto"/>
          </w:tcPr>
          <w:p w:rsidR="005624E3" w:rsidRPr="0021540A" w:rsidRDefault="005624E3" w:rsidP="00101A80">
            <w:pPr>
              <w:spacing w:before="80" w:after="80" w:line="240" w:lineRule="atLeast"/>
              <w:rPr>
                <w:rFonts w:cs="Arial"/>
                <w:sz w:val="18"/>
                <w:szCs w:val="18"/>
              </w:rPr>
            </w:pPr>
            <w:r>
              <w:rPr>
                <w:sz w:val="18"/>
              </w:rPr>
              <w:t>A 2012/49/EU irányelv (II. lépés) követelményeinek megfelelően 2013. január 10-én vagy az után jóváhagyott fedélzeti szennyvízkezelő művek továbbra is beszerelhetők és használhatók.</w:t>
            </w:r>
          </w:p>
        </w:tc>
        <w:tc>
          <w:tcPr>
            <w:tcW w:w="1276" w:type="dxa"/>
            <w:shd w:val="clear" w:color="auto" w:fill="auto"/>
          </w:tcPr>
          <w:p w:rsidR="005624E3" w:rsidRPr="0021540A" w:rsidRDefault="005624E3" w:rsidP="00101A80">
            <w:pPr>
              <w:spacing w:before="80" w:after="8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80" w:after="80" w:line="240" w:lineRule="atLeast"/>
              <w:jc w:val="center"/>
              <w:rPr>
                <w:rFonts w:cs="Arial"/>
                <w:sz w:val="18"/>
                <w:szCs w:val="18"/>
              </w:rPr>
            </w:pPr>
            <w:r>
              <w:rPr>
                <w:b/>
                <w:sz w:val="18"/>
              </w:rPr>
              <w:t>19. FEJEZET</w:t>
            </w:r>
          </w:p>
        </w:tc>
        <w:tc>
          <w:tcPr>
            <w:tcW w:w="6521" w:type="dxa"/>
            <w:shd w:val="clear" w:color="auto" w:fill="auto"/>
          </w:tcPr>
          <w:p w:rsidR="005624E3" w:rsidRPr="00C903F8" w:rsidRDefault="005624E3" w:rsidP="00101A80">
            <w:pPr>
              <w:spacing w:before="80" w:after="80" w:line="240" w:lineRule="atLeast"/>
              <w:rPr>
                <w:rFonts w:cs="Arial"/>
                <w:sz w:val="18"/>
                <w:szCs w:val="18"/>
              </w:rPr>
            </w:pPr>
          </w:p>
        </w:tc>
        <w:tc>
          <w:tcPr>
            <w:tcW w:w="1276" w:type="dxa"/>
            <w:shd w:val="clear" w:color="auto" w:fill="auto"/>
          </w:tcPr>
          <w:p w:rsidR="005624E3" w:rsidRPr="00C903F8" w:rsidRDefault="005624E3" w:rsidP="00101A80">
            <w:pPr>
              <w:spacing w:before="80" w:after="80" w:line="240" w:lineRule="atLeast"/>
              <w:rPr>
                <w:rFonts w:cs="Arial"/>
                <w:sz w:val="18"/>
                <w:szCs w:val="18"/>
              </w:rPr>
            </w:pPr>
          </w:p>
        </w:tc>
      </w:tr>
      <w:tr w:rsidR="005624E3" w:rsidRPr="00A0619C" w:rsidTr="005758C9">
        <w:trPr>
          <w:cantSplit/>
          <w:trHeight w:val="1050"/>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19.01.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2. bekezdés d)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16.07. cikk szerinti, szilárd tüzelőanyaggal működő fűtőberendezések tilalma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noProof/>
                <w:sz w:val="18"/>
              </w:rPr>
              <w:t>A rendelkezés nem alkalmazandó szilárd tüzelőanyaggal működő hajtóművekre (gőzgépek).</w:t>
            </w:r>
          </w:p>
        </w:tc>
        <w:tc>
          <w:tcPr>
            <w:tcW w:w="1276" w:type="dxa"/>
            <w:shd w:val="clear" w:color="auto" w:fill="auto"/>
          </w:tcPr>
          <w:p w:rsidR="005624E3" w:rsidRPr="00330D4B" w:rsidRDefault="005624E3" w:rsidP="00101A80">
            <w:pPr>
              <w:spacing w:before="120" w:after="120" w:line="240" w:lineRule="atLeast"/>
              <w:rPr>
                <w:rFonts w:cs="Arial"/>
                <w:sz w:val="18"/>
                <w:szCs w:val="18"/>
              </w:rPr>
            </w:pP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2. bekezdés e) pont</w:t>
            </w:r>
          </w:p>
        </w:tc>
        <w:tc>
          <w:tcPr>
            <w:tcW w:w="3296" w:type="dxa"/>
            <w:vMerge w:val="restart"/>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17. fejezet szerinti, cseppfolyósított gázzal működő berendezések tilalma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shd w:val="clear" w:color="auto" w:fill="auto"/>
          </w:tcPr>
          <w:p w:rsidR="005624E3" w:rsidRPr="00C903F8" w:rsidRDefault="005624E3" w:rsidP="00101A80">
            <w:pPr>
              <w:spacing w:before="120" w:after="120" w:line="240" w:lineRule="atLeast"/>
              <w:rPr>
                <w:rFonts w:cs="Arial"/>
                <w:sz w:val="18"/>
                <w:szCs w:val="18"/>
              </w:rPr>
            </w:pPr>
          </w:p>
        </w:tc>
        <w:tc>
          <w:tcPr>
            <w:tcW w:w="3296" w:type="dxa"/>
            <w:vMerge/>
            <w:shd w:val="clear" w:color="auto" w:fill="auto"/>
          </w:tcPr>
          <w:p w:rsidR="005624E3" w:rsidRPr="00C903F8" w:rsidRDefault="005624E3" w:rsidP="00101A80">
            <w:pPr>
              <w:tabs>
                <w:tab w:val="left" w:pos="1080"/>
              </w:tabs>
              <w:spacing w:before="120" w:after="120" w:line="240" w:lineRule="atLeast"/>
              <w:rPr>
                <w:rFonts w:cs="Arial"/>
                <w:sz w:val="18"/>
                <w:szCs w:val="18"/>
              </w:rPr>
            </w:pP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noProof/>
                <w:sz w:val="18"/>
              </w:rPr>
              <w:t>Az átmeneti rendelkezés csak a 19.15. cikk 8. bekezdésének megfelelően felszerelt riasztórendszerekre vonatkozik.</w:t>
            </w: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5. és 6. bekezdés</w:t>
            </w:r>
          </w:p>
        </w:tc>
        <w:tc>
          <w:tcPr>
            <w:tcW w:w="3296" w:type="dxa"/>
            <w:shd w:val="clear" w:color="auto" w:fill="auto"/>
          </w:tcPr>
          <w:p w:rsidR="005624E3" w:rsidRPr="00C903F8" w:rsidRDefault="005624E3" w:rsidP="009156D0">
            <w:pPr>
              <w:tabs>
                <w:tab w:val="right" w:pos="3856"/>
                <w:tab w:val="center" w:pos="4536"/>
                <w:tab w:val="left" w:pos="6521"/>
                <w:tab w:val="right" w:pos="9072"/>
              </w:tabs>
              <w:spacing w:before="120" w:after="120" w:line="240" w:lineRule="atLeast"/>
              <w:rPr>
                <w:rFonts w:cs="Arial"/>
                <w:sz w:val="18"/>
                <w:szCs w:val="18"/>
              </w:rPr>
            </w:pPr>
            <w:r>
              <w:rPr>
                <w:color w:val="000000"/>
                <w:sz w:val="18"/>
              </w:rPr>
              <w:t xml:space="preserve">A </w:t>
            </w:r>
            <w:r w:rsidR="009156D0" w:rsidRPr="009156D0">
              <w:rPr>
                <w:color w:val="000000"/>
                <w:sz w:val="18"/>
              </w:rPr>
              <w:t>korlátozott látó</w:t>
            </w:r>
            <w:r w:rsidR="009156D0">
              <w:rPr>
                <w:color w:val="000000"/>
                <w:sz w:val="18"/>
              </w:rPr>
              <w:t>tér</w:t>
            </w:r>
            <w:r>
              <w:rPr>
                <w:color w:val="000000"/>
                <w:sz w:val="18"/>
              </w:rPr>
              <w:t xml:space="preserve"> a hajó előtt két hajóhossz, ha az 250 méternél kevesebb </w:t>
            </w:r>
            <w:r>
              <w:rPr>
                <w:rFonts w:cs="Arial"/>
                <w:color w:val="000000"/>
                <w:sz w:val="18"/>
                <w:szCs w:val="18"/>
              </w:rPr>
              <w:br/>
            </w:r>
            <w:r>
              <w:rPr>
                <w:sz w:val="18"/>
              </w:rPr>
              <w:t>Megfelelő kilátás hátrafelé</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19.02. cikk</w:t>
            </w:r>
          </w:p>
        </w:tc>
        <w:tc>
          <w:tcPr>
            <w:tcW w:w="1458" w:type="dxa"/>
            <w:tcBorders>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r>
              <w:rPr>
                <w:sz w:val="18"/>
              </w:rPr>
              <w:t>2. bekezdés</w:t>
            </w:r>
          </w:p>
        </w:tc>
        <w:tc>
          <w:tcPr>
            <w:tcW w:w="3296" w:type="dxa"/>
            <w:tcBorders>
              <w:bottom w:val="single" w:sz="4" w:space="0" w:color="auto"/>
            </w:tcBorders>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válaszfalak száma és helye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val="restart"/>
            <w:shd w:val="clear" w:color="auto" w:fill="auto"/>
          </w:tcPr>
          <w:p w:rsidR="005624E3" w:rsidRPr="00C903F8" w:rsidRDefault="005624E3" w:rsidP="00101A80">
            <w:pPr>
              <w:spacing w:before="120" w:after="120" w:line="240" w:lineRule="atLeast"/>
              <w:rPr>
                <w:rFonts w:cs="Arial"/>
                <w:sz w:val="18"/>
                <w:szCs w:val="18"/>
              </w:rPr>
            </w:pPr>
            <w:r>
              <w:rPr>
                <w:sz w:val="18"/>
              </w:rPr>
              <w:t>3. bekezdés</w:t>
            </w:r>
          </w:p>
        </w:tc>
        <w:tc>
          <w:tcPr>
            <w:tcW w:w="3296" w:type="dxa"/>
            <w:vMerge w:val="restart"/>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A farválaszfal helyzete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2035.01.01.</w:t>
            </w: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shd w:val="clear" w:color="auto" w:fill="auto"/>
          </w:tcPr>
          <w:p w:rsidR="005624E3" w:rsidRPr="00C903F8" w:rsidRDefault="005624E3" w:rsidP="00101A80">
            <w:pPr>
              <w:spacing w:before="120" w:after="120" w:line="240" w:lineRule="atLeast"/>
              <w:rPr>
                <w:rFonts w:cs="Arial"/>
                <w:sz w:val="18"/>
                <w:szCs w:val="18"/>
              </w:rPr>
            </w:pPr>
          </w:p>
        </w:tc>
        <w:tc>
          <w:tcPr>
            <w:tcW w:w="3296" w:type="dxa"/>
            <w:vMerge/>
            <w:shd w:val="clear" w:color="auto" w:fill="auto"/>
          </w:tcPr>
          <w:p w:rsidR="005624E3" w:rsidRPr="00C903F8" w:rsidRDefault="005624E3" w:rsidP="00101A80">
            <w:pPr>
              <w:tabs>
                <w:tab w:val="left" w:pos="1080"/>
              </w:tabs>
              <w:spacing w:before="120" w:after="120" w:line="240" w:lineRule="atLeast"/>
              <w:rPr>
                <w:rFonts w:cs="Arial"/>
                <w:sz w:val="18"/>
                <w:szCs w:val="18"/>
              </w:rPr>
            </w:pP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Ez a követelmény nem vonatkozik azokra a személyhajókra, amelyek a 19.03. cikk 9. bekezdésében meghatározott kétteres elárasztásra vonatkozó alapvető követelményeknek vagy a 19.07. cikkben foglalt követelményeknek való megfelelés következtében egyenértékű biztonsági és műveletképességi szintet képviselnek.</w:t>
            </w: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5. bekezdés második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Biztonsági peremvonal, ha nincs válaszfalfedélzet</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noProof/>
                <w:sz w:val="18"/>
              </w:rPr>
              <w:t>Azon személyhajók esetében, amelyek gerincfektetése 1996 január 1-je előtt történt, 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jc w:val="center"/>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10. bekezdés c)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zárási folyamat időtartama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jc w:val="center"/>
              <w:rPr>
                <w:rFonts w:cs="Arial"/>
                <w:sz w:val="18"/>
                <w:szCs w:val="18"/>
              </w:rPr>
            </w:pPr>
            <w:r>
              <w:rPr>
                <w:sz w:val="18"/>
              </w:rPr>
              <w:t>2015.01.01.</w:t>
            </w:r>
          </w:p>
        </w:tc>
      </w:tr>
      <w:tr w:rsidR="005624E3" w:rsidRPr="00C903F8"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15.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duplafenék minimális magassága, az oldalüreg szélessége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jc w:val="center"/>
              <w:rPr>
                <w:rFonts w:cs="Arial"/>
                <w:sz w:val="18"/>
                <w:szCs w:val="18"/>
              </w:rPr>
            </w:pPr>
            <w:r>
              <w:rPr>
                <w:sz w:val="18"/>
              </w:rPr>
              <w:t>2045.01.01.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19.03.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1–6.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Sérülés nélküli stabilitás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noProof/>
                <w:sz w:val="18"/>
              </w:rPr>
              <w:t>N.R.C., és ha a maximális utaslétszámot emelik,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jc w:val="center"/>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tcBorders>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r>
              <w:rPr>
                <w:sz w:val="18"/>
              </w:rPr>
              <w:t>7. és 8.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Sérült stabilitás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jc w:val="center"/>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9. bekezdés</w:t>
            </w:r>
          </w:p>
        </w:tc>
        <w:tc>
          <w:tcPr>
            <w:tcW w:w="3296" w:type="dxa"/>
            <w:tcBorders>
              <w:bottom w:val="single" w:sz="4" w:space="0" w:color="auto"/>
            </w:tcBorders>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Sérült stabilitás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jc w:val="center"/>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val="restart"/>
            <w:tcBorders>
              <w:top w:val="nil"/>
            </w:tcBorders>
            <w:shd w:val="clear" w:color="auto" w:fill="auto"/>
          </w:tcPr>
          <w:p w:rsidR="005624E3" w:rsidRPr="00C903F8" w:rsidRDefault="005624E3" w:rsidP="00101A80">
            <w:pPr>
              <w:spacing w:before="120" w:after="120" w:line="240" w:lineRule="atLeast"/>
              <w:rPr>
                <w:rFonts w:cs="Arial"/>
                <w:sz w:val="18"/>
                <w:szCs w:val="18"/>
              </w:rPr>
            </w:pPr>
          </w:p>
        </w:tc>
        <w:tc>
          <w:tcPr>
            <w:tcW w:w="3296" w:type="dxa"/>
            <w:vMerge w:val="restart"/>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A hajófenék sérülésének függőleges kiterjedése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jc w:val="center"/>
              <w:rPr>
                <w:rFonts w:cs="Arial"/>
                <w:sz w:val="18"/>
                <w:szCs w:val="18"/>
              </w:rPr>
            </w:pPr>
            <w:r>
              <w:rPr>
                <w:sz w:val="18"/>
              </w:rPr>
              <w:t>2045.01.01.</w:t>
            </w: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tcBorders>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3296" w:type="dxa"/>
            <w:vMerge/>
            <w:shd w:val="clear" w:color="auto" w:fill="auto"/>
          </w:tcPr>
          <w:p w:rsidR="005624E3" w:rsidRPr="00C903F8" w:rsidRDefault="005624E3" w:rsidP="00101A80">
            <w:pPr>
              <w:tabs>
                <w:tab w:val="left" w:pos="1080"/>
              </w:tabs>
              <w:spacing w:before="120" w:after="120" w:line="240" w:lineRule="atLeast"/>
              <w:rPr>
                <w:rFonts w:cs="Arial"/>
                <w:sz w:val="18"/>
                <w:szCs w:val="18"/>
              </w:rPr>
            </w:pP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noProof/>
                <w:sz w:val="18"/>
              </w:rPr>
              <w:t>N.R.C., legalább 0,50 m-es szakaszon és a hajófenéktől számított legfeljebb 0,60 m-en, olyan vízmentes fedélzettel rendelkező hajók esetében, melyek tekintetében az első belvízi hajóbizonyítványt 2005.12.31. előtt bocsátották ki.</w:t>
            </w:r>
          </w:p>
        </w:tc>
        <w:tc>
          <w:tcPr>
            <w:tcW w:w="1276" w:type="dxa"/>
            <w:shd w:val="clear" w:color="auto" w:fill="auto"/>
          </w:tcPr>
          <w:p w:rsidR="005624E3" w:rsidRPr="00C903F8" w:rsidRDefault="005624E3" w:rsidP="00101A80">
            <w:pPr>
              <w:spacing w:before="120" w:after="120" w:line="240" w:lineRule="atLeast"/>
              <w:jc w:val="center"/>
              <w:rPr>
                <w:rFonts w:cs="Arial"/>
                <w:sz w:val="18"/>
                <w:szCs w:val="18"/>
              </w:rPr>
            </w:pP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tcBorders>
              <w:top w:val="nil"/>
            </w:tcBorders>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Kétteres elárasztás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20" w:after="120" w:line="240" w:lineRule="atLeast"/>
              <w:jc w:val="center"/>
              <w:rPr>
                <w:rFonts w:cs="Arial"/>
                <w:sz w:val="18"/>
                <w:szCs w:val="18"/>
              </w:rPr>
            </w:pPr>
          </w:p>
        </w:tc>
      </w:tr>
      <w:tr w:rsidR="005624E3" w:rsidRPr="00C903F8"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10–13.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Sérült stabilitás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jc w:val="center"/>
              <w:rPr>
                <w:rFonts w:cs="Arial"/>
                <w:sz w:val="18"/>
                <w:szCs w:val="18"/>
              </w:rPr>
            </w:pPr>
            <w:r>
              <w:rPr>
                <w:sz w:val="18"/>
              </w:rPr>
              <w:t>2045.01.01.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19.05.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2. bekezdés a)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Az utaslétszám, amelyre a 19.06. cikk 8. bekezdése szerinti evakuálási terület megléte bizonyított</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2. bekezdés b)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19.03. cikk szerinti stabilitási számításhoz figyelembe veendő utaslétszám</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19.06.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 első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Az utastereknek minden fedélzeten az ütközési válaszfal szintje mögött kell lenniük, és amennyiben a válaszfalfedélzet alatt vannak, a farválaszfal előtt kell lenniük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DB7D1E" w:rsidRDefault="005624E3" w:rsidP="00101A80">
            <w:pPr>
              <w:spacing w:before="120" w:after="120" w:line="240" w:lineRule="atLeast"/>
              <w:rPr>
                <w:rFonts w:cs="Arial"/>
                <w:sz w:val="18"/>
                <w:szCs w:val="18"/>
                <w:lang w:val="fr-FR"/>
              </w:rPr>
            </w:pPr>
            <w:r w:rsidRPr="00DB7D1E">
              <w:rPr>
                <w:sz w:val="18"/>
                <w:lang w:val="fr-FR"/>
              </w:rPr>
              <w:t>3. bekezdés c) pont első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kijáratok szabad magassága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DB7D1E" w:rsidRDefault="005624E3" w:rsidP="00101A80">
            <w:pPr>
              <w:spacing w:before="120" w:after="120" w:line="240" w:lineRule="atLeast"/>
              <w:rPr>
                <w:rFonts w:cs="Arial"/>
                <w:sz w:val="18"/>
                <w:szCs w:val="18"/>
                <w:lang w:val="fr-FR"/>
              </w:rPr>
            </w:pPr>
            <w:r w:rsidRPr="00DB7D1E">
              <w:rPr>
                <w:sz w:val="18"/>
                <w:lang w:val="fr-FR"/>
              </w:rPr>
              <w:t>3. bekezdés c) pont második mondat</w:t>
            </w:r>
          </w:p>
        </w:tc>
        <w:tc>
          <w:tcPr>
            <w:tcW w:w="3296" w:type="dxa"/>
            <w:shd w:val="clear" w:color="auto" w:fill="auto"/>
          </w:tcPr>
          <w:p w:rsidR="005624E3" w:rsidRPr="00DB7D1E" w:rsidRDefault="005624E3" w:rsidP="00101A80">
            <w:pPr>
              <w:tabs>
                <w:tab w:val="left" w:pos="1080"/>
              </w:tabs>
              <w:spacing w:before="120" w:after="120" w:line="240" w:lineRule="atLeast"/>
              <w:rPr>
                <w:rFonts w:cs="Arial"/>
                <w:sz w:val="18"/>
                <w:szCs w:val="18"/>
                <w:lang w:val="fr-FR"/>
              </w:rPr>
            </w:pPr>
            <w:r w:rsidRPr="00DB7D1E">
              <w:rPr>
                <w:noProof/>
                <w:sz w:val="18"/>
                <w:lang w:val="fr-FR"/>
              </w:rPr>
              <w:t>Az utasterek és más kis helyiségek ajtajainak szabad szélessége</w:t>
            </w:r>
          </w:p>
        </w:tc>
        <w:tc>
          <w:tcPr>
            <w:tcW w:w="6521" w:type="dxa"/>
            <w:shd w:val="clear" w:color="auto" w:fill="auto"/>
          </w:tcPr>
          <w:p w:rsidR="005624E3" w:rsidRPr="00DB7D1E" w:rsidRDefault="005624E3" w:rsidP="00101A80">
            <w:pPr>
              <w:spacing w:before="120" w:after="120" w:line="240" w:lineRule="atLeast"/>
              <w:rPr>
                <w:rFonts w:cs="Arial"/>
                <w:sz w:val="18"/>
                <w:szCs w:val="18"/>
                <w:lang w:val="fr-FR"/>
              </w:rPr>
            </w:pPr>
            <w:r w:rsidRPr="00DB7D1E">
              <w:rPr>
                <w:sz w:val="18"/>
                <w:lang w:val="fr-FR"/>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3. bekezdés f) pont első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vészkijáratok mérete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3. bekezdés g)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csökkent mozgásképességű személyek általi használatra szolgáló helyiségek kijáratai</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4. bekezdés d) pont</w:t>
            </w:r>
          </w:p>
        </w:tc>
        <w:tc>
          <w:tcPr>
            <w:tcW w:w="3296" w:type="dxa"/>
            <w:shd w:val="clear" w:color="auto" w:fill="auto"/>
          </w:tcPr>
          <w:p w:rsidR="005624E3" w:rsidRPr="00C903F8" w:rsidRDefault="005624E3" w:rsidP="00101A80">
            <w:pPr>
              <w:tabs>
                <w:tab w:val="left" w:pos="930"/>
              </w:tabs>
              <w:spacing w:before="120" w:after="120" w:line="240" w:lineRule="atLeast"/>
              <w:rPr>
                <w:rFonts w:cs="Arial"/>
                <w:sz w:val="18"/>
                <w:szCs w:val="18"/>
              </w:rPr>
            </w:pPr>
            <w:r>
              <w:rPr>
                <w:noProof/>
                <w:sz w:val="18"/>
              </w:rPr>
              <w:t>A csökkent mozgásképességű személyek általi használatra szolgáló ajtók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Az összekötő folyosókra vonatkozó követelmények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 b)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Az evakuálási területekre vezető menekülési útvonalak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 c) pont</w:t>
            </w:r>
            <w:r>
              <w:rPr>
                <w:color w:val="000000"/>
                <w:sz w:val="18"/>
                <w:vertAlign w:val="superscript"/>
              </w:rPr>
              <w:footnoteReference w:id="30"/>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A konyhákon keresztül vezető menekülési útvonalak tilalma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2020.01.01.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 d)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menekülési útvonalak mentén nem lehetnek lépcsőfokok, létrák vagy hasonlók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00" w:after="160" w:line="240" w:lineRule="atLeast"/>
              <w:rPr>
                <w:rFonts w:cs="Arial"/>
                <w:sz w:val="18"/>
                <w:szCs w:val="18"/>
              </w:rPr>
            </w:pPr>
          </w:p>
        </w:tc>
        <w:tc>
          <w:tcPr>
            <w:tcW w:w="1458" w:type="dxa"/>
            <w:shd w:val="clear" w:color="auto" w:fill="auto"/>
          </w:tcPr>
          <w:p w:rsidR="005624E3" w:rsidRPr="00C903F8" w:rsidRDefault="005624E3" w:rsidP="00101A80">
            <w:pPr>
              <w:spacing w:before="200" w:after="16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tabs>
                <w:tab w:val="left" w:pos="1080"/>
              </w:tabs>
              <w:spacing w:before="200" w:after="160" w:line="240" w:lineRule="atLeast"/>
              <w:rPr>
                <w:rFonts w:cs="Arial"/>
                <w:sz w:val="18"/>
                <w:szCs w:val="18"/>
              </w:rPr>
            </w:pPr>
            <w:r>
              <w:rPr>
                <w:noProof/>
                <w:sz w:val="18"/>
              </w:rPr>
              <w:t>Megfelelő biztonsági útvonal-kijelölő rendszer</w:t>
            </w:r>
          </w:p>
        </w:tc>
        <w:tc>
          <w:tcPr>
            <w:tcW w:w="6521" w:type="dxa"/>
            <w:shd w:val="clear" w:color="auto" w:fill="auto"/>
          </w:tcPr>
          <w:p w:rsidR="005624E3" w:rsidRPr="00C903F8" w:rsidRDefault="005624E3" w:rsidP="00101A80">
            <w:pPr>
              <w:spacing w:before="20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00" w:after="16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00" w:after="160" w:line="240" w:lineRule="atLeast"/>
              <w:rPr>
                <w:rFonts w:cs="Arial"/>
                <w:sz w:val="18"/>
                <w:szCs w:val="18"/>
              </w:rPr>
            </w:pPr>
          </w:p>
        </w:tc>
        <w:tc>
          <w:tcPr>
            <w:tcW w:w="1458" w:type="dxa"/>
            <w:shd w:val="clear" w:color="auto" w:fill="auto"/>
          </w:tcPr>
          <w:p w:rsidR="005624E3" w:rsidRPr="00C903F8" w:rsidRDefault="005624E3" w:rsidP="00101A80">
            <w:pPr>
              <w:spacing w:before="200" w:after="160" w:line="240" w:lineRule="atLeast"/>
              <w:rPr>
                <w:rFonts w:cs="Arial"/>
                <w:sz w:val="18"/>
                <w:szCs w:val="18"/>
              </w:rPr>
            </w:pPr>
            <w:r>
              <w:rPr>
                <w:sz w:val="18"/>
              </w:rPr>
              <w:t>8. bekezdés</w:t>
            </w:r>
          </w:p>
        </w:tc>
        <w:tc>
          <w:tcPr>
            <w:tcW w:w="3296" w:type="dxa"/>
            <w:shd w:val="clear" w:color="auto" w:fill="auto"/>
          </w:tcPr>
          <w:p w:rsidR="005624E3" w:rsidRPr="00C903F8" w:rsidRDefault="005624E3" w:rsidP="00101A80">
            <w:pPr>
              <w:tabs>
                <w:tab w:val="left" w:pos="1080"/>
              </w:tabs>
              <w:spacing w:before="200" w:after="160" w:line="240" w:lineRule="atLeast"/>
              <w:rPr>
                <w:rFonts w:cs="Arial"/>
                <w:sz w:val="18"/>
                <w:szCs w:val="18"/>
              </w:rPr>
            </w:pPr>
            <w:r>
              <w:rPr>
                <w:noProof/>
                <w:sz w:val="18"/>
              </w:rPr>
              <w:t>A gyülekezőhelyekre vonatkozó követelmények</w:t>
            </w:r>
          </w:p>
        </w:tc>
        <w:tc>
          <w:tcPr>
            <w:tcW w:w="6521" w:type="dxa"/>
            <w:shd w:val="clear" w:color="auto" w:fill="auto"/>
          </w:tcPr>
          <w:p w:rsidR="005624E3" w:rsidRPr="00C903F8" w:rsidRDefault="005624E3" w:rsidP="00101A80">
            <w:pPr>
              <w:spacing w:before="20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00" w:after="16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00" w:after="160" w:line="240" w:lineRule="atLeast"/>
              <w:rPr>
                <w:rFonts w:cs="Arial"/>
                <w:sz w:val="18"/>
                <w:szCs w:val="18"/>
              </w:rPr>
            </w:pPr>
          </w:p>
        </w:tc>
        <w:tc>
          <w:tcPr>
            <w:tcW w:w="1458" w:type="dxa"/>
            <w:shd w:val="clear" w:color="auto" w:fill="auto"/>
          </w:tcPr>
          <w:p w:rsidR="005624E3" w:rsidRPr="00C903F8" w:rsidRDefault="005624E3" w:rsidP="00101A80">
            <w:pPr>
              <w:spacing w:before="200" w:after="160" w:line="240" w:lineRule="atLeast"/>
              <w:rPr>
                <w:rFonts w:cs="Arial"/>
                <w:sz w:val="18"/>
                <w:szCs w:val="18"/>
              </w:rPr>
            </w:pPr>
            <w:r>
              <w:rPr>
                <w:sz w:val="18"/>
              </w:rPr>
              <w:t>9. bekezdés</w:t>
            </w:r>
          </w:p>
        </w:tc>
        <w:tc>
          <w:tcPr>
            <w:tcW w:w="3296" w:type="dxa"/>
            <w:shd w:val="clear" w:color="auto" w:fill="auto"/>
          </w:tcPr>
          <w:p w:rsidR="005624E3" w:rsidRPr="00C903F8" w:rsidRDefault="005624E3" w:rsidP="00101A80">
            <w:pPr>
              <w:tabs>
                <w:tab w:val="left" w:pos="1080"/>
              </w:tabs>
              <w:spacing w:before="200" w:after="160" w:line="240" w:lineRule="atLeast"/>
              <w:rPr>
                <w:rFonts w:cs="Arial"/>
                <w:sz w:val="18"/>
                <w:szCs w:val="18"/>
              </w:rPr>
            </w:pPr>
            <w:r>
              <w:rPr>
                <w:noProof/>
                <w:sz w:val="18"/>
              </w:rPr>
              <w:t>Az utasok által használt területeken lévő lépcsőkre és fordulóikra vonatkozó követelmények</w:t>
            </w:r>
          </w:p>
        </w:tc>
        <w:tc>
          <w:tcPr>
            <w:tcW w:w="6521" w:type="dxa"/>
            <w:shd w:val="clear" w:color="auto" w:fill="auto"/>
          </w:tcPr>
          <w:p w:rsidR="005624E3" w:rsidRPr="00C903F8" w:rsidRDefault="005624E3" w:rsidP="00101A80">
            <w:pPr>
              <w:spacing w:before="20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00" w:after="16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00" w:after="160" w:line="240" w:lineRule="atLeast"/>
              <w:rPr>
                <w:rFonts w:cs="Arial"/>
                <w:sz w:val="18"/>
                <w:szCs w:val="18"/>
              </w:rPr>
            </w:pPr>
          </w:p>
        </w:tc>
        <w:tc>
          <w:tcPr>
            <w:tcW w:w="1458" w:type="dxa"/>
            <w:shd w:val="clear" w:color="auto" w:fill="auto"/>
          </w:tcPr>
          <w:p w:rsidR="005624E3" w:rsidRPr="00DB7D1E" w:rsidRDefault="005624E3" w:rsidP="00101A80">
            <w:pPr>
              <w:spacing w:before="200" w:after="160" w:line="240" w:lineRule="atLeast"/>
              <w:rPr>
                <w:rFonts w:cs="Arial"/>
                <w:sz w:val="18"/>
                <w:szCs w:val="18"/>
                <w:lang w:val="fr-FR"/>
              </w:rPr>
            </w:pPr>
            <w:r w:rsidRPr="00DB7D1E">
              <w:rPr>
                <w:sz w:val="18"/>
                <w:lang w:val="fr-FR"/>
              </w:rPr>
              <w:t>10. bekezdés a) pont első mondat</w:t>
            </w:r>
          </w:p>
        </w:tc>
        <w:tc>
          <w:tcPr>
            <w:tcW w:w="3296" w:type="dxa"/>
            <w:shd w:val="clear" w:color="auto" w:fill="auto"/>
          </w:tcPr>
          <w:p w:rsidR="005624E3" w:rsidRPr="00DB7D1E" w:rsidRDefault="005624E3" w:rsidP="00101A80">
            <w:pPr>
              <w:adjustRightInd w:val="0"/>
              <w:spacing w:before="200" w:after="160" w:line="240" w:lineRule="atLeast"/>
              <w:rPr>
                <w:rFonts w:eastAsia="Calibri" w:cs="Arial"/>
                <w:color w:val="000000"/>
                <w:lang w:val="fr-FR"/>
              </w:rPr>
            </w:pPr>
            <w:r w:rsidRPr="00DB7D1E">
              <w:rPr>
                <w:rFonts w:ascii="ArialMT" w:hAnsi="ArialMT"/>
                <w:sz w:val="18"/>
                <w:lang w:val="fr-FR"/>
              </w:rPr>
              <w:t xml:space="preserve">Az európai szabvány szerinti korlát </w:t>
            </w:r>
          </w:p>
        </w:tc>
        <w:tc>
          <w:tcPr>
            <w:tcW w:w="6521" w:type="dxa"/>
            <w:shd w:val="clear" w:color="auto" w:fill="auto"/>
          </w:tcPr>
          <w:p w:rsidR="005624E3" w:rsidRPr="00DB7D1E" w:rsidRDefault="005624E3" w:rsidP="00101A80">
            <w:pPr>
              <w:adjustRightInd w:val="0"/>
              <w:spacing w:before="200" w:after="160" w:line="240" w:lineRule="atLeast"/>
              <w:rPr>
                <w:rFonts w:eastAsia="Calibri" w:cs="Arial"/>
                <w:color w:val="000000"/>
                <w:lang w:val="fr-FR"/>
              </w:rPr>
            </w:pPr>
            <w:r w:rsidRPr="00DB7D1E">
              <w:rPr>
                <w:rFonts w:ascii="ArialMT" w:hAnsi="ArialMT"/>
                <w:sz w:val="18"/>
                <w:lang w:val="fr-FR"/>
              </w:rPr>
              <w:t>N.R.C., legkésőbb a belvízi hajóbizonyítvány megújításakor e dátumot követően:</w:t>
            </w:r>
          </w:p>
        </w:tc>
        <w:tc>
          <w:tcPr>
            <w:tcW w:w="1276" w:type="dxa"/>
            <w:shd w:val="clear" w:color="auto" w:fill="auto"/>
          </w:tcPr>
          <w:p w:rsidR="005624E3" w:rsidRPr="00C903F8" w:rsidRDefault="005624E3" w:rsidP="00101A80">
            <w:pPr>
              <w:spacing w:before="200" w:after="16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29395D" w:rsidRDefault="005624E3" w:rsidP="00101A80">
            <w:pPr>
              <w:spacing w:before="200" w:after="160" w:line="240" w:lineRule="atLeast"/>
              <w:rPr>
                <w:rFonts w:cs="Arial"/>
                <w:sz w:val="18"/>
                <w:szCs w:val="18"/>
              </w:rPr>
            </w:pPr>
          </w:p>
        </w:tc>
        <w:tc>
          <w:tcPr>
            <w:tcW w:w="1458" w:type="dxa"/>
            <w:shd w:val="clear" w:color="auto" w:fill="auto"/>
          </w:tcPr>
          <w:p w:rsidR="005624E3" w:rsidRPr="00DB7D1E" w:rsidRDefault="005624E3" w:rsidP="00101A80">
            <w:pPr>
              <w:spacing w:before="200" w:after="160" w:line="240" w:lineRule="atLeast"/>
              <w:rPr>
                <w:rFonts w:cs="Arial"/>
                <w:sz w:val="18"/>
                <w:szCs w:val="18"/>
                <w:lang w:val="fr-FR"/>
              </w:rPr>
            </w:pPr>
            <w:r w:rsidRPr="00DB7D1E">
              <w:rPr>
                <w:sz w:val="18"/>
                <w:lang w:val="fr-FR"/>
              </w:rPr>
              <w:t>10. bekezdés a) pont második mondat</w:t>
            </w:r>
          </w:p>
        </w:tc>
        <w:tc>
          <w:tcPr>
            <w:tcW w:w="3296" w:type="dxa"/>
            <w:shd w:val="clear" w:color="auto" w:fill="auto"/>
          </w:tcPr>
          <w:p w:rsidR="005624E3" w:rsidRPr="00DB7D1E" w:rsidRDefault="005624E3" w:rsidP="00101A80">
            <w:pPr>
              <w:tabs>
                <w:tab w:val="left" w:pos="1080"/>
              </w:tabs>
              <w:spacing w:before="200" w:after="160" w:line="240" w:lineRule="atLeast"/>
              <w:rPr>
                <w:rFonts w:cs="Arial"/>
                <w:sz w:val="18"/>
                <w:szCs w:val="18"/>
                <w:lang w:val="fr-FR"/>
              </w:rPr>
            </w:pPr>
            <w:r w:rsidRPr="00DB7D1E">
              <w:rPr>
                <w:sz w:val="18"/>
                <w:lang w:val="fr-FR"/>
              </w:rPr>
              <w:t>A csökkent mozgásképességű személyek általi használatra szolgáló fedélzeti mellvédek és korlátok magassága</w:t>
            </w:r>
          </w:p>
        </w:tc>
        <w:tc>
          <w:tcPr>
            <w:tcW w:w="6521" w:type="dxa"/>
            <w:shd w:val="clear" w:color="auto" w:fill="auto"/>
          </w:tcPr>
          <w:p w:rsidR="005624E3" w:rsidRPr="00DB7D1E" w:rsidRDefault="005624E3" w:rsidP="00101A80">
            <w:pPr>
              <w:spacing w:before="200" w:after="160" w:line="240" w:lineRule="atLeast"/>
              <w:rPr>
                <w:rFonts w:cs="Arial"/>
                <w:sz w:val="18"/>
                <w:szCs w:val="18"/>
                <w:lang w:val="fr-FR"/>
              </w:rPr>
            </w:pPr>
            <w:r w:rsidRPr="00DB7D1E">
              <w:rPr>
                <w:sz w:val="18"/>
                <w:lang w:val="fr-FR"/>
              </w:rPr>
              <w:t>N.R.C., legkésőbb a belvízi hajóbizonyítvány megújításakor e dátumot követően:</w:t>
            </w:r>
          </w:p>
        </w:tc>
        <w:tc>
          <w:tcPr>
            <w:tcW w:w="1276" w:type="dxa"/>
            <w:shd w:val="clear" w:color="auto" w:fill="auto"/>
          </w:tcPr>
          <w:p w:rsidR="005624E3" w:rsidRPr="00C903F8" w:rsidRDefault="005624E3" w:rsidP="00101A80">
            <w:pPr>
              <w:spacing w:before="200" w:after="16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10. bekezdés b) pont második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Az általában csökkent mozgásképességű személyek be- és kiszállására szolgáló nyílások szabad szélessége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13.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csökkent mozgásképességű személyek általi használatra szolgáló átjárók és falak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tcBorders>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r>
              <w:rPr>
                <w:sz w:val="18"/>
              </w:rPr>
              <w:t>14. bekezdés első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Az átjárókban lévő üvegajtók, üvegfalak és ablaktáblák kialakítása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15.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A teljesen vagy részben panorámaablakokból álló felépítményekre vonatkozó követelmények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17. bekezdés második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csökkent mozgásképességű személyek általi használatra szolgáló WC-kre vonatkozó követelmények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18.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noProof/>
                <w:sz w:val="18"/>
              </w:rPr>
              <w:t>A nyitható ablakkal nem rendelkező kabinok csatlakoztatása a szellőzőrendszerhez</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19.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noProof/>
                <w:sz w:val="18"/>
              </w:rPr>
              <w:t>A 19.06. cikk követelményei a legénység vagy a kiszolgáló személyzet lakótereire vonatkozóan</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2045.01.01.</w:t>
            </w: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200" w:line="240" w:lineRule="atLeast"/>
              <w:rPr>
                <w:rFonts w:cs="Arial"/>
                <w:sz w:val="18"/>
                <w:szCs w:val="18"/>
              </w:rPr>
            </w:pPr>
            <w:r>
              <w:rPr>
                <w:sz w:val="18"/>
              </w:rPr>
              <w:t>19.07. cikk</w:t>
            </w:r>
            <w:r>
              <w:rPr>
                <w:color w:val="000000"/>
                <w:sz w:val="18"/>
                <w:vertAlign w:val="superscript"/>
              </w:rPr>
              <w:footnoteReference w:id="31"/>
            </w:r>
          </w:p>
        </w:tc>
        <w:tc>
          <w:tcPr>
            <w:tcW w:w="1458" w:type="dxa"/>
            <w:shd w:val="clear" w:color="auto" w:fill="auto"/>
          </w:tcPr>
          <w:p w:rsidR="005624E3" w:rsidRPr="00C903F8" w:rsidRDefault="005624E3" w:rsidP="00101A80">
            <w:pPr>
              <w:spacing w:before="20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200" w:line="240" w:lineRule="atLeast"/>
              <w:rPr>
                <w:rFonts w:cs="Arial"/>
                <w:sz w:val="18"/>
                <w:szCs w:val="18"/>
              </w:rPr>
            </w:pPr>
            <w:r>
              <w:rPr>
                <w:sz w:val="18"/>
              </w:rPr>
              <w:t>Külön géptér</w:t>
            </w:r>
          </w:p>
        </w:tc>
        <w:tc>
          <w:tcPr>
            <w:tcW w:w="6521" w:type="dxa"/>
            <w:shd w:val="clear" w:color="auto" w:fill="auto"/>
          </w:tcPr>
          <w:p w:rsidR="005624E3" w:rsidRPr="00C903F8" w:rsidRDefault="005624E3" w:rsidP="00101A80">
            <w:pPr>
              <w:spacing w:before="2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00" w:line="240" w:lineRule="atLeast"/>
              <w:rPr>
                <w:rFonts w:cs="Arial"/>
                <w:sz w:val="18"/>
                <w:szCs w:val="18"/>
              </w:rPr>
            </w:pPr>
            <w:r>
              <w:rPr>
                <w:sz w:val="18"/>
              </w:rPr>
              <w:t>2020.01.01.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r>
              <w:rPr>
                <w:sz w:val="18"/>
              </w:rPr>
              <w:t>19.08.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3. bekezdés a) pont</w:t>
            </w:r>
            <w:r>
              <w:rPr>
                <w:color w:val="000000"/>
                <w:sz w:val="18"/>
                <w:vertAlign w:val="superscript"/>
              </w:rPr>
              <w:footnoteReference w:id="32"/>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sz w:val="18"/>
              </w:rPr>
              <w:t>Azon riasztórendszerre vonatkozó követelmények, amely révén az utasok, a legénység tagjai és a kiszolgáló személyzet riasztja a hajó parancsnokságát és legénységét</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Egynapos utazásra alkalmas hajók esetében a követelmény alkalmazandó: 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2020.01.01.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noProof/>
                <w:sz w:val="18"/>
              </w:rPr>
              <w:t>Tartósan rögzített fenékvíz-elvezető rendszer</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2015.01.01.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19.10.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10.16. cikk 3. bekezdése vonatkozik az átjárókra és az utasok szabadidős helyiségeire is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Megfelelő vészvilágítás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Vészhelyzeti energiaellátó berendezés</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noProof/>
                <w:sz w:val="18"/>
              </w:rPr>
              <w:t>Egynapos utazásra alkalmas, legfeljebb 25 m vízvonal-hosszúságú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hajók esetében a rendelkezés alkalmazandó: 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4. bekezdés f)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13.02. cikk 2. bekezdésének i) pontja szerinti keresőfények vészüzemi áramellátása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4. bekezdés i)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19.06. cikk 9. bekezdésének második mondata szerinti liftek és emelőszerkezetek vészüzemi áramellátása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 első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19.11. cikk 2. bekezdése szerinti térelválasztó elemek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 második és harmadik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Kábelek felszerelése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 negyedik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Vészhelyzeti energiaellátó berendezés a biztonsági peremvonal felett történő elhelyezése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5758C9">
        <w:trPr>
          <w:cantSplit/>
          <w:trHeight w:val="347"/>
          <w:jc w:val="center"/>
        </w:trPr>
        <w:tc>
          <w:tcPr>
            <w:tcW w:w="1342" w:type="dxa"/>
            <w:vMerge w:val="restart"/>
            <w:shd w:val="clear" w:color="auto" w:fill="auto"/>
          </w:tcPr>
          <w:p w:rsidR="005624E3" w:rsidRPr="00C903F8" w:rsidRDefault="005624E3" w:rsidP="00101A80">
            <w:pPr>
              <w:spacing w:before="80" w:after="80" w:line="240" w:lineRule="atLeast"/>
              <w:rPr>
                <w:rFonts w:cs="Arial"/>
                <w:sz w:val="18"/>
                <w:szCs w:val="18"/>
              </w:rPr>
            </w:pPr>
            <w:r>
              <w:rPr>
                <w:sz w:val="18"/>
              </w:rPr>
              <w:t>19.11. cikk</w:t>
            </w:r>
          </w:p>
        </w:tc>
        <w:tc>
          <w:tcPr>
            <w:tcW w:w="1458" w:type="dxa"/>
            <w:vMerge w:val="restart"/>
            <w:shd w:val="clear" w:color="auto" w:fill="auto"/>
          </w:tcPr>
          <w:p w:rsidR="005624E3" w:rsidRPr="00C903F8" w:rsidRDefault="005624E3" w:rsidP="00101A80">
            <w:pPr>
              <w:spacing w:before="80" w:after="80" w:line="240" w:lineRule="atLeast"/>
              <w:rPr>
                <w:rFonts w:cs="Arial"/>
                <w:sz w:val="18"/>
                <w:szCs w:val="18"/>
              </w:rPr>
            </w:pPr>
            <w:r>
              <w:rPr>
                <w:sz w:val="18"/>
              </w:rPr>
              <w:t>1. bekezdés</w:t>
            </w:r>
          </w:p>
        </w:tc>
        <w:tc>
          <w:tcPr>
            <w:tcW w:w="3296" w:type="dxa"/>
            <w:vMerge w:val="restart"/>
            <w:shd w:val="clear" w:color="auto" w:fill="auto"/>
          </w:tcPr>
          <w:p w:rsidR="005624E3" w:rsidRPr="00C903F8" w:rsidRDefault="005624E3" w:rsidP="00101A80">
            <w:pPr>
              <w:tabs>
                <w:tab w:val="left" w:pos="1080"/>
              </w:tabs>
              <w:spacing w:before="80" w:after="80" w:line="240" w:lineRule="atLeast"/>
              <w:rPr>
                <w:rFonts w:cs="Arial"/>
                <w:sz w:val="18"/>
                <w:szCs w:val="18"/>
              </w:rPr>
            </w:pPr>
            <w:r>
              <w:rPr>
                <w:noProof/>
                <w:sz w:val="18"/>
              </w:rPr>
              <w:t>Az anyagok és szerkezeti elemek tűzvédelmi megfelelősége</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vMerge w:val="restart"/>
            <w:shd w:val="clear" w:color="auto" w:fill="auto"/>
          </w:tcPr>
          <w:p w:rsidR="005624E3" w:rsidRPr="00C903F8" w:rsidRDefault="005624E3" w:rsidP="00101A80">
            <w:pPr>
              <w:spacing w:before="80" w:after="80" w:line="240" w:lineRule="atLeast"/>
              <w:rPr>
                <w:rFonts w:cs="Arial"/>
                <w:sz w:val="18"/>
                <w:szCs w:val="18"/>
              </w:rPr>
            </w:pPr>
            <w:r>
              <w:rPr>
                <w:sz w:val="18"/>
              </w:rPr>
              <w:t>2045.01.01.</w:t>
            </w:r>
          </w:p>
        </w:tc>
      </w:tr>
      <w:tr w:rsidR="005624E3" w:rsidRPr="00A0619C" w:rsidTr="005758C9">
        <w:trPr>
          <w:cantSplit/>
          <w:trHeight w:val="346"/>
          <w:jc w:val="center"/>
        </w:trPr>
        <w:tc>
          <w:tcPr>
            <w:tcW w:w="1342" w:type="dxa"/>
            <w:vMerge/>
            <w:tcBorders>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vMerge/>
            <w:shd w:val="clear" w:color="auto" w:fill="auto"/>
          </w:tcPr>
          <w:p w:rsidR="005624E3" w:rsidRPr="00C903F8" w:rsidRDefault="005624E3" w:rsidP="00101A80">
            <w:pPr>
              <w:spacing w:before="80" w:after="80" w:line="240" w:lineRule="atLeast"/>
              <w:rPr>
                <w:rFonts w:cs="Arial"/>
                <w:sz w:val="18"/>
                <w:szCs w:val="18"/>
              </w:rPr>
            </w:pPr>
          </w:p>
        </w:tc>
        <w:tc>
          <w:tcPr>
            <w:tcW w:w="3296" w:type="dxa"/>
            <w:vMerge/>
            <w:shd w:val="clear" w:color="auto" w:fill="auto"/>
          </w:tcPr>
          <w:p w:rsidR="005624E3" w:rsidRPr="00C903F8" w:rsidRDefault="005624E3" w:rsidP="00101A80">
            <w:pPr>
              <w:tabs>
                <w:tab w:val="left" w:pos="1080"/>
              </w:tabs>
              <w:spacing w:before="80" w:after="80" w:line="240" w:lineRule="atLeast"/>
              <w:rPr>
                <w:rFonts w:cs="Arial"/>
                <w:noProof/>
                <w:sz w:val="18"/>
                <w:szCs w:val="18"/>
              </w:rPr>
            </w:pPr>
          </w:p>
        </w:tc>
        <w:tc>
          <w:tcPr>
            <w:tcW w:w="6521" w:type="dxa"/>
            <w:shd w:val="clear" w:color="auto" w:fill="auto"/>
          </w:tcPr>
          <w:p w:rsidR="005624E3" w:rsidRPr="00066459" w:rsidRDefault="005624E3" w:rsidP="00101A80">
            <w:pPr>
              <w:spacing w:before="80" w:after="80" w:line="240" w:lineRule="atLeast"/>
              <w:rPr>
                <w:rFonts w:cs="Arial"/>
                <w:sz w:val="18"/>
                <w:szCs w:val="18"/>
              </w:rPr>
            </w:pPr>
            <w:r>
              <w:rPr>
                <w:sz w:val="18"/>
              </w:rPr>
              <w:t>A tűzállósági vizsgálati eljárások alkalmazására vonatkozó – az MSC.61(67) határozattal</w:t>
            </w:r>
            <w:r>
              <w:rPr>
                <w:rStyle w:val="FootnoteReference"/>
                <w:sz w:val="18"/>
              </w:rPr>
              <w:footnoteReference w:id="33"/>
            </w:r>
            <w:r>
              <w:rPr>
                <w:sz w:val="18"/>
              </w:rPr>
              <w:t xml:space="preserve"> elfogadott – nemzetközi szabályzatnak (FTP-szabályzat) megfelelően jóváhagyott anyagok és szerkezeti elemek: N.R.C.</w:t>
            </w:r>
          </w:p>
        </w:tc>
        <w:tc>
          <w:tcPr>
            <w:tcW w:w="1276" w:type="dxa"/>
            <w:vMerge/>
            <w:shd w:val="clear" w:color="auto" w:fill="auto"/>
          </w:tcPr>
          <w:p w:rsidR="005624E3" w:rsidRPr="0044336D" w:rsidRDefault="005624E3" w:rsidP="00101A80">
            <w:pPr>
              <w:spacing w:before="80" w:after="80" w:line="240" w:lineRule="atLeast"/>
              <w:rPr>
                <w:rFonts w:cs="Arial"/>
                <w:sz w:val="18"/>
                <w:szCs w:val="18"/>
              </w:rPr>
            </w:pPr>
          </w:p>
        </w:tc>
      </w:tr>
      <w:tr w:rsidR="005624E3" w:rsidRPr="00C903F8" w:rsidTr="005758C9">
        <w:trPr>
          <w:cantSplit/>
          <w:jc w:val="center"/>
        </w:trPr>
        <w:tc>
          <w:tcPr>
            <w:tcW w:w="1342" w:type="dxa"/>
            <w:tcBorders>
              <w:top w:val="nil"/>
              <w:bottom w:val="nil"/>
            </w:tcBorders>
            <w:shd w:val="clear" w:color="auto" w:fill="auto"/>
          </w:tcPr>
          <w:p w:rsidR="005624E3" w:rsidRPr="0044336D"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tabs>
                <w:tab w:val="left" w:pos="1080"/>
              </w:tabs>
              <w:spacing w:before="80" w:after="80" w:line="240" w:lineRule="atLeast"/>
              <w:rPr>
                <w:rFonts w:cs="Arial"/>
                <w:sz w:val="18"/>
                <w:szCs w:val="18"/>
              </w:rPr>
            </w:pPr>
            <w:r>
              <w:rPr>
                <w:noProof/>
                <w:sz w:val="18"/>
              </w:rPr>
              <w:t>A térelválasztó elemek kialakítása</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tabs>
                <w:tab w:val="left" w:pos="1080"/>
              </w:tabs>
              <w:spacing w:before="80" w:after="80" w:line="240" w:lineRule="atLeast"/>
              <w:rPr>
                <w:rFonts w:cs="Arial"/>
                <w:sz w:val="18"/>
                <w:szCs w:val="18"/>
              </w:rPr>
            </w:pPr>
            <w:r>
              <w:rPr>
                <w:noProof/>
                <w:sz w:val="18"/>
              </w:rPr>
              <w:t>A festékeknek, lakkoknak és egyéb felületkezelő termékeknek, valamint a gépterek és raktárhelyiségek kivételével a helyiségek fedélzetborításának égésgátlóknak kell lenniük</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tabs>
                <w:tab w:val="left" w:pos="1080"/>
              </w:tabs>
              <w:spacing w:before="80" w:after="80" w:line="240" w:lineRule="atLeast"/>
              <w:rPr>
                <w:rFonts w:cs="Arial"/>
                <w:sz w:val="18"/>
                <w:szCs w:val="18"/>
              </w:rPr>
            </w:pPr>
            <w:r>
              <w:rPr>
                <w:noProof/>
                <w:sz w:val="18"/>
              </w:rPr>
              <w:t>A társalgók mennyezetének és falburkolatának éghetetlen anyagokból kell készülniük</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gyülekezőhelyeken a bútoroknak és szerelékeknek éghetetlen anyagból kell készülniük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Szabályzat szerinti vizsgálat</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Szigetelőanyagok a társalgókban</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9.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noProof/>
                <w:sz w:val="18"/>
              </w:rPr>
              <w:t>A térelválasztó elemeken lévő ajtókra vonatkozó követelmények</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11.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sz w:val="18"/>
              </w:rPr>
              <w:t>Térelválasztó elemek</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12.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noProof/>
                <w:sz w:val="18"/>
              </w:rPr>
              <w:t>Huzatmentesítők</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13.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noProof/>
                <w:sz w:val="18"/>
              </w:rPr>
              <w:t>Acélból vagy azzal egyenértékű más éghetetlen anyagból készült lépcsők</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14.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sz w:val="18"/>
              </w:rPr>
              <w:t>A belső lépcsőket minden szinten a 2. bekezdés szerinti falakkal kell körülvenni</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15.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noProof/>
                <w:sz w:val="18"/>
              </w:rPr>
              <w:t>Szellőzőrendszerek és levegőellátást biztosító rendszerek</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16.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noProof/>
                <w:sz w:val="18"/>
              </w:rPr>
              <w:t>Szellőzőrendszerek és elszívókészülékkel rendelkező tűzhelyek a konyhákban</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17.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noProof/>
                <w:sz w:val="18"/>
              </w:rPr>
              <w:t>Vezérlőközpontok, lépcsőházak, gyülekezőhelyek és füstelvezető rendszerek</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40" w:after="140" w:line="240" w:lineRule="atLeast"/>
              <w:rPr>
                <w:rFonts w:cs="Arial"/>
                <w:sz w:val="18"/>
                <w:szCs w:val="18"/>
              </w:rPr>
            </w:pPr>
            <w:r>
              <w:rPr>
                <w:sz w:val="18"/>
              </w:rPr>
              <w:t>19.12.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8. bekezdés d) pont</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sz w:val="18"/>
              </w:rPr>
              <w:t>A tűzoltószivattyúk felszerelése</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Második szivattyú: 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9. bekezdés</w:t>
            </w:r>
          </w:p>
        </w:tc>
        <w:tc>
          <w:tcPr>
            <w:tcW w:w="3296" w:type="dxa"/>
            <w:shd w:val="clear" w:color="auto" w:fill="auto"/>
          </w:tcPr>
          <w:p w:rsidR="005624E3" w:rsidRPr="00C903F8" w:rsidRDefault="005624E3" w:rsidP="00101A80">
            <w:pPr>
              <w:tabs>
                <w:tab w:val="left" w:pos="1080"/>
              </w:tabs>
              <w:spacing w:before="140" w:after="140" w:line="240" w:lineRule="atLeast"/>
              <w:rPr>
                <w:rFonts w:cs="Arial"/>
                <w:sz w:val="18"/>
                <w:szCs w:val="18"/>
              </w:rPr>
            </w:pPr>
            <w:r>
              <w:rPr>
                <w:noProof/>
                <w:sz w:val="18"/>
              </w:rPr>
              <w:t>Tűzoltó rendszer a géptérben</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2015.01.01.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60" w:after="160" w:line="240" w:lineRule="atLeast"/>
              <w:rPr>
                <w:rFonts w:cs="Arial"/>
                <w:sz w:val="18"/>
                <w:szCs w:val="18"/>
              </w:rPr>
            </w:pPr>
            <w:r>
              <w:rPr>
                <w:sz w:val="18"/>
              </w:rPr>
              <w:t>19.14.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tabs>
                <w:tab w:val="left" w:pos="1080"/>
              </w:tabs>
              <w:spacing w:before="160" w:after="160" w:line="240" w:lineRule="atLeast"/>
              <w:rPr>
                <w:rFonts w:cs="Arial"/>
                <w:sz w:val="18"/>
                <w:szCs w:val="18"/>
              </w:rPr>
            </w:pPr>
            <w:r>
              <w:rPr>
                <w:noProof/>
                <w:sz w:val="18"/>
              </w:rPr>
              <w:t>Szennyvízgyűjtő tartályok és szennyvízelvezető berendezések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noProof/>
                <w:sz w:val="18"/>
              </w:rPr>
              <w:t>A legfeljebb 50 fekhellyel rendelkező kabinos hajók és az egynapos utazásra alkalmas hajók esetében: 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2045.01.01.</w:t>
            </w:r>
          </w:p>
        </w:tc>
      </w:tr>
      <w:tr w:rsidR="005624E3" w:rsidRPr="00C903F8"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A szennyvízgyűjtő tartályokra vonatkozó követelmények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noProof/>
                <w:sz w:val="18"/>
              </w:rPr>
              <w:t>A legfeljebb 50 fekhellyel rendelkező kabinos hajók és a legfeljebb 50 utast szállító egynapos utazásra alkalmas hajók esetében: 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19.15.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Sérült stabilitás</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21.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trHeight w:val="1156"/>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21.01.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Tolás céljára szolgáló speciális csörlők vagy azzal egyenértékű csatolóeszközök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noProof/>
                <w:sz w:val="18"/>
              </w:rPr>
              <w:t>Az 1995. január 1-je előtt bizonyítvánnyal rendelkező, megfelelő rögzítőszerkezet nélküli tolásra szolgáló vízi járművek esetében: 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2035.01.01.</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 utolsó mondat</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A meghajtóegységekre vonatkozó követelmények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2035.01.01.</w:t>
            </w: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22.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r>
              <w:rPr>
                <w:sz w:val="18"/>
              </w:rPr>
              <w:t>22.02.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További követelmények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A vonatkozó cikkben megjelölt átmeneti rendelkezésekkel megegyező rendelkezések alkalmazandók.</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25.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25.01. cikk</w:t>
            </w:r>
          </w:p>
        </w:tc>
        <w:tc>
          <w:tcPr>
            <w:tcW w:w="1458" w:type="dxa"/>
            <w:tcBorders>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A 7.01. cikk 2. bekezdésének, a 8.05. cikk 13. bekezdésének és a 8.10. cikknek az alkalmazása</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Azon tengerjáró hajók esetében, amelyek nem az ADN szerinti anyagok szállítására szolgálnak, és amelyek gerincfektetése 1987. október 1-je előtt történt: 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2015.01.01.</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tcBorders>
              <w:top w:val="nil"/>
            </w:tcBorders>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A 8.09. cikk 2. bekezdésének alkalmazása</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2010.01.01.</w:t>
            </w: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26.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26.01. cikk</w:t>
            </w: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Az 1995. január 1-je előtt épített kedvtelési célú vízi járművek esetében: 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2035.01.01.</w:t>
            </w:r>
          </w:p>
        </w:tc>
      </w:tr>
    </w:tbl>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p>
    <w:p w:rsidR="005624E3" w:rsidRDefault="005624E3" w:rsidP="005624E3">
      <w:pPr>
        <w:spacing w:line="240" w:lineRule="atLeast"/>
        <w:ind w:left="567" w:hanging="567"/>
        <w:sectPr w:rsidR="005624E3" w:rsidSect="001E2331">
          <w:headerReference w:type="default" r:id="rId32"/>
          <w:headerReference w:type="first" r:id="rId33"/>
          <w:footnotePr>
            <w:numRestart w:val="eachPage"/>
          </w:footnotePr>
          <w:pgSz w:w="16838" w:h="11906" w:orient="landscape" w:code="9"/>
          <w:pgMar w:top="1418" w:right="1418" w:bottom="1418" w:left="1418" w:header="709" w:footer="709" w:gutter="0"/>
          <w:cols w:space="709"/>
          <w:titlePg/>
          <w:docGrid w:linePitch="272"/>
        </w:sectPr>
      </w:pPr>
    </w:p>
    <w:p w:rsidR="005624E3" w:rsidRPr="00C903F8" w:rsidRDefault="005624E3" w:rsidP="005624E3">
      <w:pPr>
        <w:spacing w:line="240" w:lineRule="atLeast"/>
        <w:ind w:left="567" w:hanging="567"/>
      </w:pPr>
    </w:p>
    <w:p w:rsidR="005624E3" w:rsidRPr="00C903F8" w:rsidRDefault="005624E3" w:rsidP="005624E3">
      <w:pPr>
        <w:pStyle w:val="ES-Titre3"/>
      </w:pPr>
      <w:bookmarkStart w:id="564" w:name="_Toc491854277"/>
      <w:bookmarkStart w:id="565" w:name="_Toc535854058"/>
      <w:r>
        <w:t>32.03. cikk</w:t>
      </w:r>
      <w:bookmarkEnd w:id="564"/>
      <w:bookmarkEnd w:id="565"/>
    </w:p>
    <w:p w:rsidR="005624E3" w:rsidRPr="00C903F8" w:rsidRDefault="005624E3" w:rsidP="005624E3">
      <w:pPr>
        <w:pStyle w:val="ES-Titre3a"/>
      </w:pPr>
      <w:bookmarkStart w:id="566" w:name="_Toc421775887"/>
      <w:bookmarkStart w:id="567" w:name="_Toc491854278"/>
      <w:bookmarkStart w:id="568" w:name="_Toc535854059"/>
      <w:r>
        <w:t>Azon vízi járművekre vonatkozó további átmeneti rendelkezések, amelyek gerincfektetése 1976. április 1-jén vagy az előtt történt</w:t>
      </w:r>
      <w:bookmarkEnd w:id="566"/>
      <w:bookmarkEnd w:id="567"/>
      <w:bookmarkEnd w:id="568"/>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r>
        <w:t>1.</w:t>
      </w:r>
      <w:r>
        <w:tab/>
        <w:t>A 32.02. cikkben foglalt átmeneti rendelkezéseken túlmenően azon vízi járművekre, amelyek gerincfektetése 1976. április 1-je előtt történt, alkalmazhatók az alábbi rendelkezések is.</w:t>
      </w:r>
    </w:p>
    <w:p w:rsidR="005624E3" w:rsidRPr="00C903F8" w:rsidRDefault="005624E3" w:rsidP="005624E3">
      <w:pPr>
        <w:spacing w:line="240" w:lineRule="atLeast"/>
        <w:ind w:left="567" w:hanging="567"/>
        <w:rPr>
          <w:rFonts w:cs="Arial"/>
          <w:sz w:val="18"/>
          <w:szCs w:val="18"/>
        </w:rPr>
      </w:pPr>
    </w:p>
    <w:p w:rsidR="005624E3" w:rsidRPr="00C903F8" w:rsidRDefault="005624E3" w:rsidP="005624E3">
      <w:pPr>
        <w:spacing w:line="240" w:lineRule="atLeast"/>
        <w:ind w:left="567" w:hanging="567"/>
      </w:pPr>
      <w:r>
        <w:t>2.</w:t>
      </w:r>
      <w:r>
        <w:tab/>
        <w:t>Az alábbi táblázat alkalmazásában:</w:t>
      </w:r>
    </w:p>
    <w:p w:rsidR="005624E3" w:rsidRPr="00C903F8" w:rsidRDefault="005624E3" w:rsidP="005624E3">
      <w:pPr>
        <w:spacing w:line="240" w:lineRule="atLeast"/>
        <w:ind w:left="567" w:hanging="567"/>
      </w:pPr>
    </w:p>
    <w:p w:rsidR="005624E3" w:rsidRPr="00C903F8" w:rsidRDefault="005624E3" w:rsidP="005624E3">
      <w:pPr>
        <w:spacing w:line="240" w:lineRule="atLeast"/>
        <w:ind w:left="567"/>
      </w:pPr>
      <w:r>
        <w:t>„R.C.”: arra utaló angol rövidítés, hogy a rendelkezés nem vonatkozik a már üzemelő vízi járművekre, kivéve, ha az érintett alkatrészeket kicserélik vagy átalakítják; azaz a rendelkezés csak az érintett alkatrészek vagy területek cseréjére (</w:t>
      </w:r>
      <w:r>
        <w:rPr>
          <w:u w:val="single"/>
        </w:rPr>
        <w:t>R</w:t>
      </w:r>
      <w:r>
        <w:t>eplacement) vagy átalakítására (</w:t>
      </w:r>
      <w:r>
        <w:rPr>
          <w:u w:val="single"/>
        </w:rPr>
        <w:t>C</w:t>
      </w:r>
      <w:r>
        <w:t xml:space="preserve">onversion) vonatkozik. Az átmeneti rendelkezések értelmében nem minősül cserének (R.), ha a meglevő alkatrészeket olyan cseredarabokkal váltották ki, amelyek ugyanolyan technológiájúak és ugyanolyan típusúak; </w:t>
      </w:r>
    </w:p>
    <w:p w:rsidR="005624E3" w:rsidRPr="00C903F8" w:rsidRDefault="005624E3" w:rsidP="005624E3">
      <w:pPr>
        <w:spacing w:line="240" w:lineRule="atLeast"/>
        <w:ind w:left="567"/>
      </w:pPr>
    </w:p>
    <w:p w:rsidR="005624E3" w:rsidRPr="00C903F8" w:rsidRDefault="005624E3" w:rsidP="005624E3">
      <w:pPr>
        <w:tabs>
          <w:tab w:val="left" w:pos="4678"/>
        </w:tabs>
        <w:spacing w:line="240" w:lineRule="atLeast"/>
        <w:ind w:left="567"/>
      </w:pPr>
      <w:r>
        <w:t>„a belvízi hajóbizonyítvány kiadása/megújítása”: arra utaló bejegyzés, hogy a rendelkezésnek a belvízi hajóbizonyítványnak a táblázatban megadott időpontot követő következő kiadásáig vagy megújításáig eleget kell tenni.</w:t>
      </w:r>
    </w:p>
    <w:p w:rsidR="005624E3" w:rsidRPr="00C903F8" w:rsidRDefault="005624E3" w:rsidP="005624E3"/>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5624E3" w:rsidRPr="00C903F8" w:rsidTr="00101A80">
        <w:trPr>
          <w:cantSplit/>
          <w:tblHeader/>
          <w:jc w:val="center"/>
        </w:trPr>
        <w:tc>
          <w:tcPr>
            <w:tcW w:w="2800" w:type="dxa"/>
            <w:gridSpan w:val="2"/>
            <w:tcBorders>
              <w:bottom w:val="single" w:sz="4" w:space="0" w:color="auto"/>
            </w:tcBorders>
            <w:shd w:val="clear" w:color="auto" w:fill="auto"/>
          </w:tcPr>
          <w:p w:rsidR="005624E3" w:rsidRPr="00C903F8" w:rsidRDefault="005624E3" w:rsidP="00101A80">
            <w:pPr>
              <w:spacing w:before="60" w:after="60" w:line="240" w:lineRule="atLeast"/>
              <w:jc w:val="center"/>
              <w:rPr>
                <w:rFonts w:cs="Arial"/>
                <w:sz w:val="18"/>
                <w:szCs w:val="18"/>
              </w:rPr>
            </w:pPr>
            <w:r>
              <w:rPr>
                <w:i/>
                <w:sz w:val="18"/>
              </w:rPr>
              <w:t>Cikk és bekezdés</w:t>
            </w:r>
          </w:p>
        </w:tc>
        <w:tc>
          <w:tcPr>
            <w:tcW w:w="3296" w:type="dxa"/>
            <w:shd w:val="clear" w:color="auto" w:fill="auto"/>
          </w:tcPr>
          <w:p w:rsidR="005624E3" w:rsidRPr="00C903F8" w:rsidRDefault="005624E3" w:rsidP="00101A80">
            <w:pPr>
              <w:spacing w:before="60" w:after="60" w:line="240" w:lineRule="atLeast"/>
              <w:jc w:val="center"/>
              <w:rPr>
                <w:rFonts w:cs="Arial"/>
                <w:sz w:val="18"/>
                <w:szCs w:val="18"/>
              </w:rPr>
            </w:pPr>
            <w:r>
              <w:rPr>
                <w:i/>
                <w:sz w:val="18"/>
              </w:rPr>
              <w:t>Tartalom</w:t>
            </w:r>
          </w:p>
        </w:tc>
        <w:tc>
          <w:tcPr>
            <w:tcW w:w="7797" w:type="dxa"/>
            <w:gridSpan w:val="2"/>
            <w:shd w:val="clear" w:color="auto" w:fill="auto"/>
          </w:tcPr>
          <w:p w:rsidR="005624E3" w:rsidRPr="00C903F8" w:rsidRDefault="005624E3" w:rsidP="00101A80">
            <w:pPr>
              <w:spacing w:before="60" w:after="60" w:line="240" w:lineRule="atLeast"/>
              <w:jc w:val="center"/>
              <w:rPr>
                <w:rFonts w:cs="Arial"/>
                <w:sz w:val="18"/>
                <w:szCs w:val="18"/>
              </w:rPr>
            </w:pPr>
            <w:r>
              <w:rPr>
                <w:i/>
                <w:sz w:val="18"/>
              </w:rPr>
              <w:t>Határidő és megjegyzések</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20" w:after="120" w:line="240" w:lineRule="atLeast"/>
              <w:jc w:val="center"/>
              <w:rPr>
                <w:rFonts w:cs="Arial"/>
                <w:b/>
                <w:sz w:val="18"/>
                <w:szCs w:val="18"/>
              </w:rPr>
            </w:pPr>
            <w:r>
              <w:rPr>
                <w:b/>
                <w:sz w:val="18"/>
              </w:rPr>
              <w:t>3. FEJEZET</w:t>
            </w:r>
          </w:p>
        </w:tc>
        <w:tc>
          <w:tcPr>
            <w:tcW w:w="6521" w:type="dxa"/>
            <w:shd w:val="clear" w:color="auto" w:fill="auto"/>
          </w:tcPr>
          <w:p w:rsidR="005624E3" w:rsidRPr="00C903F8" w:rsidRDefault="005624E3" w:rsidP="00101A80">
            <w:pPr>
              <w:spacing w:before="120" w:after="120" w:line="240" w:lineRule="atLeast"/>
              <w:rPr>
                <w:rFonts w:cs="Arial"/>
                <w:sz w:val="18"/>
                <w:szCs w:val="18"/>
              </w:rPr>
            </w:pP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3.04.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A tartályok, lakóterek és utasterek közös felületei</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2035.01.01.</w:t>
            </w:r>
          </w:p>
        </w:tc>
      </w:tr>
      <w:tr w:rsidR="005624E3" w:rsidRPr="00C903F8" w:rsidTr="00101A80">
        <w:trPr>
          <w:cantSplit/>
          <w:jc w:val="center"/>
        </w:trPr>
        <w:tc>
          <w:tcPr>
            <w:tcW w:w="1342" w:type="dxa"/>
            <w:tcBorders>
              <w:top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7. bekezdés</w:t>
            </w:r>
            <w:r>
              <w:rPr>
                <w:color w:val="000000"/>
                <w:sz w:val="18"/>
                <w:vertAlign w:val="superscript"/>
              </w:rPr>
              <w:footnoteReference w:id="34"/>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Legnagyobb megengedett hangnyomásszint</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2020.01.01.</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20" w:after="120" w:line="240" w:lineRule="atLeast"/>
              <w:jc w:val="center"/>
              <w:rPr>
                <w:rFonts w:cs="Arial"/>
                <w:sz w:val="18"/>
                <w:szCs w:val="18"/>
              </w:rPr>
            </w:pPr>
            <w:r>
              <w:rPr>
                <w:b/>
                <w:sz w:val="18"/>
              </w:rPr>
              <w:t>4. FEJEZET</w:t>
            </w:r>
          </w:p>
        </w:tc>
        <w:tc>
          <w:tcPr>
            <w:tcW w:w="6521" w:type="dxa"/>
            <w:shd w:val="clear" w:color="auto" w:fill="auto"/>
          </w:tcPr>
          <w:p w:rsidR="005624E3" w:rsidRPr="00C903F8" w:rsidRDefault="005624E3" w:rsidP="00101A80">
            <w:pPr>
              <w:spacing w:before="120" w:after="120" w:line="240" w:lineRule="atLeast"/>
              <w:rPr>
                <w:rFonts w:cs="Arial"/>
                <w:b/>
                <w:sz w:val="18"/>
                <w:szCs w:val="18"/>
              </w:rPr>
            </w:pP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4.01.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Biztonsági távolság</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101A80">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4.02. cikk</w:t>
            </w:r>
          </w:p>
        </w:tc>
        <w:tc>
          <w:tcPr>
            <w:tcW w:w="1458" w:type="dxa"/>
            <w:shd w:val="clear" w:color="auto" w:fill="auto"/>
          </w:tcPr>
          <w:p w:rsidR="005624E3" w:rsidRPr="00C903F8" w:rsidRDefault="005624E3" w:rsidP="00101A80">
            <w:pPr>
              <w:spacing w:before="120" w:after="120" w:line="240" w:lineRule="atLeast"/>
              <w:jc w:val="center"/>
              <w:rPr>
                <w:rFonts w:cs="Arial"/>
                <w:sz w:val="18"/>
                <w:szCs w:val="18"/>
              </w:rPr>
            </w:pP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Szabadoldal</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101A80">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4.03. cikk</w:t>
            </w:r>
          </w:p>
        </w:tc>
        <w:tc>
          <w:tcPr>
            <w:tcW w:w="1458" w:type="dxa"/>
            <w:shd w:val="clear" w:color="auto" w:fill="auto"/>
          </w:tcPr>
          <w:p w:rsidR="005624E3" w:rsidRPr="00C903F8" w:rsidRDefault="005624E3" w:rsidP="00101A80">
            <w:pPr>
              <w:spacing w:before="120" w:after="120" w:line="240" w:lineRule="atLeast"/>
              <w:jc w:val="center"/>
              <w:rPr>
                <w:rFonts w:cs="Arial"/>
                <w:sz w:val="18"/>
                <w:szCs w:val="18"/>
              </w:rPr>
            </w:pP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Minimális szabadoldal</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7.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7.01.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r>
              <w:rPr>
                <w:color w:val="000000"/>
                <w:sz w:val="18"/>
                <w:vertAlign w:val="superscript"/>
              </w:rPr>
              <w:footnoteReference w:id="35"/>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hajó által keltett hangnyomás</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2020.01.01.</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8.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8.08.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3. és 4.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Minimális szivattyúteljesítmény és a vízelvezető csövek belső átmérője</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2015.01.01.</w:t>
            </w: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8.10.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r>
              <w:rPr>
                <w:color w:val="000000"/>
                <w:sz w:val="18"/>
                <w:vertAlign w:val="superscript"/>
              </w:rPr>
              <w:footnoteReference w:id="36"/>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menetben lévő hajó által keltett zaj</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2020.01.01.</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10.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0E732C"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10.01. cikk</w:t>
            </w:r>
            <w:r>
              <w:rPr>
                <w:color w:val="000000"/>
                <w:sz w:val="18"/>
                <w:vertAlign w:val="superscript"/>
              </w:rPr>
              <w:footnoteReference w:id="37"/>
            </w:r>
          </w:p>
        </w:tc>
        <w:tc>
          <w:tcPr>
            <w:tcW w:w="1458" w:type="dxa"/>
            <w:shd w:val="clear" w:color="auto" w:fill="auto"/>
          </w:tcPr>
          <w:p w:rsidR="005624E3" w:rsidRPr="000E732C" w:rsidRDefault="005624E3" w:rsidP="00101A80">
            <w:pPr>
              <w:spacing w:before="100" w:after="100" w:line="240" w:lineRule="atLeast"/>
              <w:rPr>
                <w:rFonts w:cs="Arial"/>
                <w:sz w:val="18"/>
                <w:szCs w:val="18"/>
              </w:rPr>
            </w:pPr>
            <w:r>
              <w:rPr>
                <w:sz w:val="18"/>
              </w:rPr>
              <w:t xml:space="preserve">1. bekezdés </w:t>
            </w:r>
            <w:r>
              <w:rPr>
                <w:rFonts w:cs="Arial"/>
                <w:sz w:val="18"/>
                <w:szCs w:val="18"/>
              </w:rPr>
              <w:br/>
            </w:r>
            <w:r>
              <w:rPr>
                <w:sz w:val="18"/>
              </w:rPr>
              <w:t xml:space="preserve">első mondat, </w:t>
            </w:r>
            <w:r>
              <w:rPr>
                <w:rFonts w:cs="Arial"/>
                <w:sz w:val="18"/>
                <w:szCs w:val="18"/>
              </w:rPr>
              <w:br/>
            </w:r>
            <w:r>
              <w:rPr>
                <w:sz w:val="18"/>
              </w:rPr>
              <w:t>2–4. bekezdés</w:t>
            </w:r>
          </w:p>
        </w:tc>
        <w:tc>
          <w:tcPr>
            <w:tcW w:w="3296" w:type="dxa"/>
            <w:shd w:val="clear" w:color="auto" w:fill="auto"/>
          </w:tcPr>
          <w:p w:rsidR="005624E3" w:rsidRPr="000E732C" w:rsidRDefault="005624E3" w:rsidP="00101A80">
            <w:pPr>
              <w:spacing w:before="100" w:after="100" w:line="240" w:lineRule="atLeast"/>
              <w:rPr>
                <w:rFonts w:cs="Arial"/>
                <w:sz w:val="18"/>
                <w:szCs w:val="18"/>
              </w:rPr>
            </w:pPr>
            <w:r>
              <w:rPr>
                <w:sz w:val="18"/>
              </w:rPr>
              <w:t>Elektromos berendezésekre vonatkozó követelmények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0E732C" w:rsidRDefault="005624E3" w:rsidP="00101A80">
            <w:pPr>
              <w:spacing w:before="100" w:after="100" w:line="240" w:lineRule="atLeast"/>
              <w:rPr>
                <w:rFonts w:cs="Arial"/>
                <w:sz w:val="18"/>
                <w:szCs w:val="18"/>
              </w:rPr>
            </w:pPr>
            <w:r>
              <w:rPr>
                <w:sz w:val="18"/>
              </w:rPr>
              <w:t>2020.01.01.</w:t>
            </w: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10.03.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Fizikai kontaktus, szilárd tárgyak és víz behatolása elleni védelem</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2015.01.01.</w:t>
            </w: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10.06.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Legnagyobb megengedett feszültség</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2015.01.01.</w:t>
            </w: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10.10.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Generátorok, motorok és transzformátorok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2015.01.01.</w:t>
            </w: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10.11.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Akkumulátorok telepítése</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2015.01.01.</w:t>
            </w: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10.12.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Kapcsolóberendezés és vezérlőberendezés</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2015.01.01.</w:t>
            </w:r>
          </w:p>
        </w:tc>
      </w:tr>
      <w:tr w:rsidR="005624E3" w:rsidRPr="00C903F8" w:rsidTr="00101A80">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10.14. cikk</w:t>
            </w: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spacing w:before="60" w:after="60" w:line="240" w:lineRule="atLeast"/>
              <w:rPr>
                <w:rFonts w:cs="Arial"/>
                <w:sz w:val="18"/>
                <w:szCs w:val="18"/>
              </w:rPr>
            </w:pPr>
            <w:r>
              <w:rPr>
                <w:sz w:val="18"/>
              </w:rPr>
              <w:t>Berendezések szerelvényei</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2015.01.01.</w:t>
            </w:r>
          </w:p>
        </w:tc>
      </w:tr>
      <w:tr w:rsidR="005624E3" w:rsidRPr="00C903F8" w:rsidTr="00101A80">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10.15. cikk</w:t>
            </w: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spacing w:before="60" w:after="60" w:line="240" w:lineRule="atLeast"/>
              <w:rPr>
                <w:rFonts w:cs="Arial"/>
                <w:sz w:val="18"/>
                <w:szCs w:val="18"/>
              </w:rPr>
            </w:pPr>
            <w:r>
              <w:rPr>
                <w:sz w:val="18"/>
              </w:rPr>
              <w:t>Kábelek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2015.01.01.</w:t>
            </w:r>
          </w:p>
        </w:tc>
      </w:tr>
      <w:tr w:rsidR="005624E3" w:rsidRPr="00C903F8" w:rsidTr="00101A80">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10.17. cikk</w:t>
            </w: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spacing w:before="60" w:after="60" w:line="240" w:lineRule="atLeast"/>
              <w:rPr>
                <w:rFonts w:cs="Arial"/>
                <w:sz w:val="18"/>
                <w:szCs w:val="18"/>
              </w:rPr>
            </w:pPr>
            <w:r>
              <w:rPr>
                <w:sz w:val="18"/>
              </w:rPr>
              <w:t>Navigációs fények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2015.01.01.</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60" w:after="60" w:line="240" w:lineRule="atLeast"/>
              <w:jc w:val="center"/>
              <w:rPr>
                <w:rFonts w:cs="Arial"/>
                <w:sz w:val="18"/>
                <w:szCs w:val="18"/>
              </w:rPr>
            </w:pPr>
            <w:r>
              <w:rPr>
                <w:b/>
                <w:sz w:val="18"/>
              </w:rPr>
              <w:t>15.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15.02.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5. bekezdés</w:t>
            </w:r>
            <w:r>
              <w:rPr>
                <w:color w:val="000000"/>
                <w:sz w:val="18"/>
                <w:vertAlign w:val="superscript"/>
              </w:rPr>
              <w:footnoteReference w:id="38"/>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Zaj és rezgés a lakóterekben</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2020.01.01.</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60" w:after="60" w:line="240" w:lineRule="atLeast"/>
              <w:jc w:val="center"/>
              <w:rPr>
                <w:rFonts w:cs="Arial"/>
                <w:sz w:val="18"/>
                <w:szCs w:val="18"/>
              </w:rPr>
            </w:pPr>
            <w:r>
              <w:rPr>
                <w:b/>
                <w:sz w:val="18"/>
              </w:rPr>
              <w:t>19.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101A80">
        <w:trPr>
          <w:cantSplit/>
          <w:jc w:val="center"/>
        </w:trPr>
        <w:tc>
          <w:tcPr>
            <w:tcW w:w="1342" w:type="dxa"/>
            <w:vMerge w:val="restart"/>
            <w:shd w:val="clear" w:color="auto" w:fill="auto"/>
          </w:tcPr>
          <w:p w:rsidR="005624E3" w:rsidRPr="00C903F8" w:rsidRDefault="005624E3" w:rsidP="00101A80">
            <w:pPr>
              <w:spacing w:before="60" w:after="60" w:line="240" w:lineRule="atLeast"/>
              <w:rPr>
                <w:rFonts w:cs="Arial"/>
                <w:sz w:val="18"/>
                <w:szCs w:val="18"/>
              </w:rPr>
            </w:pPr>
            <w:r>
              <w:rPr>
                <w:sz w:val="18"/>
              </w:rPr>
              <w:t>19.02.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sz w:val="18"/>
              </w:rPr>
              <w:t>Az ütközési válaszfal és a farválaszfal helyzete</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r>
      <w:tr w:rsidR="005624E3" w:rsidRPr="00C903F8" w:rsidTr="00101A80">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5., 6. bekezdés első mondat, 7–11. és 13.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Biztonsági peremvonal, ha nincs válaszfalfedélzet</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r>
      <w:tr w:rsidR="005624E3" w:rsidRPr="00C903F8" w:rsidTr="00101A80">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16.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Vízmentes ablakok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r>
      <w:tr w:rsidR="005624E3" w:rsidRPr="00C903F8" w:rsidTr="00101A80">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19.04. cikk</w:t>
            </w: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Biztonsági távolság, szabadoldal, merülési intézkedések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r>
      <w:tr w:rsidR="005624E3" w:rsidRPr="00C903F8" w:rsidTr="00101A80">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19.05. cikk</w:t>
            </w: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Az utasok létszáma</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r>
      <w:tr w:rsidR="005624E3" w:rsidRPr="00C903F8" w:rsidTr="00101A80">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19.10.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4., 6., 7., 8. és 11.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Vészhelyzeti energiaellátó berendezés</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r>
    </w:tbl>
    <w:p w:rsidR="005624E3" w:rsidRDefault="005624E3" w:rsidP="005624E3">
      <w:pPr>
        <w:spacing w:line="240" w:lineRule="atLeast"/>
        <w:ind w:left="567" w:hanging="567"/>
      </w:pPr>
    </w:p>
    <w:p w:rsidR="005624E3" w:rsidRDefault="005624E3" w:rsidP="005624E3">
      <w:r>
        <w:br w:type="page"/>
      </w:r>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r>
        <w:t>3.</w:t>
      </w:r>
      <w:r>
        <w:tab/>
        <w:t>A 19.11. cikk 3. bekezdésének első mondata és 6. bekezdése azon egynapos utazásra alkalmas hajókra alkalmazandó a belvízi hajóbizonyítvány 2045. január 1-jét követő első megújításáig, amelyek gerincfektetése 1976. április 1-jén vagy az előtt történt, azzal a megkötéssel, hogy a menekülési útvonalakra néző felületeken használt festékek, lakkok, burkolatok és egyéb anyagok, valamint a panelek felületkezelésére használt egyéb anyagok tűzállók, és veszélyes mértékben nem keletkezhet füst vagy mérgező gáz.</w:t>
      </w:r>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rPr>
          <w:noProof/>
        </w:rPr>
      </w:pPr>
      <w:r>
        <w:t>4.</w:t>
      </w:r>
      <w:r>
        <w:tab/>
        <w:t>A 19.11. cikk 12. bekezdése azon egynapos utazásra alkalmas hajókra alkalmazandó a belvízi hajóbizonyítvány 2045. január 1-jét követő megújításáig, amelyek gerincfektetése 1976. április 1-jén vagy az előtt történt, azzal a megkötéssel, hogy acélszerkezetű teherbíró lépcsők helyett elegendő, ha a menekülési útvonalként szolgáló lépcsők szerkezete olyan, hogy tűz esetén körülbelül ugyanannyi ideig marad használható, mint egy acélszerkezetű teherbíró lépcső.</w:t>
      </w:r>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p>
    <w:p w:rsidR="005624E3" w:rsidRDefault="005624E3" w:rsidP="005624E3">
      <w:pPr>
        <w:pStyle w:val="ES-Titre3"/>
      </w:pPr>
      <w:bookmarkStart w:id="569" w:name="_Toc491854279"/>
      <w:bookmarkStart w:id="570" w:name="_Toc535854060"/>
      <w:r>
        <w:t>32.04. cikk</w:t>
      </w:r>
      <w:bookmarkEnd w:id="569"/>
      <w:bookmarkEnd w:id="570"/>
    </w:p>
    <w:p w:rsidR="005624E3" w:rsidRPr="00B769C2" w:rsidRDefault="005624E3" w:rsidP="005624E3">
      <w:pPr>
        <w:pStyle w:val="ES-Titre3a"/>
      </w:pPr>
      <w:bookmarkStart w:id="571" w:name="_Toc421775889"/>
      <w:bookmarkStart w:id="572" w:name="_Toc491854280"/>
      <w:bookmarkStart w:id="573" w:name="_Toc535854061"/>
      <w:r>
        <w:t xml:space="preserve">Egyéb </w:t>
      </w:r>
      <w:bookmarkEnd w:id="571"/>
      <w:r>
        <w:t>átmeneti rendelkezések</w:t>
      </w:r>
      <w:bookmarkEnd w:id="572"/>
      <w:bookmarkEnd w:id="573"/>
    </w:p>
    <w:p w:rsidR="005624E3" w:rsidRPr="00C903F8" w:rsidRDefault="005624E3" w:rsidP="005624E3">
      <w:pPr>
        <w:spacing w:line="240" w:lineRule="atLeast"/>
        <w:ind w:left="567" w:hanging="567"/>
      </w:pPr>
    </w:p>
    <w:p w:rsidR="005624E3" w:rsidRPr="00C903F8" w:rsidRDefault="005624E3" w:rsidP="005624E3">
      <w:pPr>
        <w:spacing w:line="240" w:lineRule="atLeast"/>
      </w:pPr>
      <w:r>
        <w:t>1.</w:t>
      </w:r>
      <w:r>
        <w:tab/>
        <w:t>E cikk rendelkezései a 32.02. és 32.03. cikk átmeneti rendelkezésein túlmenően alkalmazandók.</w:t>
      </w:r>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r>
        <w:t>2.</w:t>
      </w:r>
      <w:r>
        <w:tab/>
        <w:t>Azon vízi járművek esetében, amelyek minimális szabadoldalát a rajnai hajók 1983. március 31-én hatályban lévő szemleszabályzatának 4.04. cikke szerint határozták meg, az ellenőrző szerv a tulajdonos kérésére meghatározhatja a minimális szabadoldalt a rajnai hajók 1995. január 1-jén hatályban lévő szemleszabályzatának 4.03. cikke szerint.</w:t>
      </w:r>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r>
        <w:t>3.</w:t>
      </w:r>
      <w:r>
        <w:tab/>
        <w:t>Azon vízi járműveknek, amelyek gerincfektetése 1983. július 1. előtt történt, nem kell megfelelniük e szabvány 10. fejezetének, de meg kell felelniük legalább a rajnai hajók 1983. március 31-én hatályban lévő szemleszabályzata 6. fejezetének.</w:t>
      </w:r>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r>
        <w:t>4.</w:t>
      </w:r>
      <w:r>
        <w:tab/>
        <w:t>A 19.06. cikk 3. bekezdésének a)–e) pontja, valamint a 19.12. cikk 3. bekezdésének a) pontja az egységes tömlőhosszra vonatkozó szabály tekintetében csak azon vízi járművekre alkalmazandó, amelyek gerincfektetése 1984. szeptember 30. után történt, valamint az érintett területek átalakítására, legkésőbb a rajnai hajóellenőrzési tanúsítvány 2045. január 1-je utáni megújításakor.</w:t>
      </w:r>
    </w:p>
    <w:p w:rsidR="005624E3" w:rsidRPr="00C903F8" w:rsidRDefault="005624E3" w:rsidP="005624E3">
      <w:pPr>
        <w:spacing w:line="240" w:lineRule="atLeast"/>
        <w:ind w:left="567" w:hanging="567"/>
      </w:pPr>
    </w:p>
    <w:p w:rsidR="005624E3" w:rsidRDefault="005624E3" w:rsidP="005624E3">
      <w:r>
        <w:br w:type="page"/>
      </w:r>
    </w:p>
    <w:p w:rsidR="005624E3" w:rsidRPr="008F19E2" w:rsidRDefault="005624E3" w:rsidP="005624E3">
      <w:pPr>
        <w:spacing w:line="240" w:lineRule="atLeast"/>
        <w:ind w:left="567" w:hanging="567"/>
      </w:pPr>
      <w:r>
        <w:t>5.</w:t>
      </w:r>
      <w:r>
        <w:tab/>
        <w:t>Ha ez a rendelkezés a berendezések kialakításának követelményeit illetően:</w:t>
      </w:r>
    </w:p>
    <w:p w:rsidR="005624E3" w:rsidRPr="00157062" w:rsidRDefault="005624E3" w:rsidP="005624E3">
      <w:pPr>
        <w:spacing w:before="60" w:line="240" w:lineRule="atLeast"/>
        <w:ind w:left="993" w:hanging="426"/>
        <w:rPr>
          <w:rFonts w:eastAsia="Batang"/>
          <w:szCs w:val="20"/>
        </w:rPr>
      </w:pPr>
      <w:r>
        <w:t>a)</w:t>
      </w:r>
      <w:r>
        <w:tab/>
        <w:t>szabadon elmozdítható berendezéssekkel kapcsolatban európai vagy nemzetközi szabványra hivatkozik, az ilyen berendezések a szabvány bármilyen új közzétételét vagy felülvizsgálatát követően további 20 évig folytatólagosan használhatók,</w:t>
      </w:r>
    </w:p>
    <w:p w:rsidR="005624E3" w:rsidRPr="000E732C" w:rsidRDefault="005624E3" w:rsidP="005624E3">
      <w:pPr>
        <w:adjustRightInd w:val="0"/>
        <w:spacing w:before="60" w:line="240" w:lineRule="atLeast"/>
        <w:ind w:left="993" w:hanging="426"/>
        <w:rPr>
          <w:rFonts w:eastAsia="Batang"/>
          <w:szCs w:val="20"/>
        </w:rPr>
      </w:pPr>
      <w:r>
        <w:t>b)</w:t>
      </w:r>
      <w:r>
        <w:tab/>
        <w:t>tartósan beépített berendezéssekkel kapcsolatban európai vagy nemzetközi szabványra hivatkozik, az ilyen berendezések lecserélésükig vagy a szóban forgó területek átalakításáig folytatólagosan használhatók.</w:t>
      </w:r>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r>
        <w:t>6.</w:t>
      </w:r>
      <w:r>
        <w:tab/>
        <w:t>A 2003. március 31-én érvényes rajnai hajóellenőrzési tanúsítvánnyal rendelkező gyorsjáratú hajóknak 2023. január 1-jén meg kell felelniük a 29.01. cikk 3. bekezdésének, a 29.02., 29.04. és 29.05. cikknek, a 29.06. cikk 2. bekezdésének, valamint a 29.10. cikk 2. és 3. bekezdésének.</w:t>
      </w:r>
    </w:p>
    <w:p w:rsidR="005624E3" w:rsidRDefault="005624E3" w:rsidP="005624E3"/>
    <w:p w:rsidR="005624E3" w:rsidRDefault="005624E3" w:rsidP="005624E3"/>
    <w:p w:rsidR="005624E3" w:rsidRPr="00C903F8" w:rsidRDefault="005624E3" w:rsidP="005624E3">
      <w:pPr>
        <w:pStyle w:val="ES-Titre3"/>
      </w:pPr>
      <w:bookmarkStart w:id="574" w:name="_Toc491854281"/>
      <w:bookmarkStart w:id="575" w:name="_Toc535854062"/>
      <w:r>
        <w:t>32.05. cikk</w:t>
      </w:r>
      <w:bookmarkEnd w:id="574"/>
      <w:bookmarkEnd w:id="575"/>
    </w:p>
    <w:p w:rsidR="005624E3" w:rsidRPr="00C903F8" w:rsidRDefault="005624E3" w:rsidP="005624E3">
      <w:pPr>
        <w:pStyle w:val="ES-Titre3a"/>
      </w:pPr>
      <w:bookmarkStart w:id="576" w:name="_Toc421775891"/>
      <w:bookmarkStart w:id="577" w:name="_Toc491854282"/>
      <w:bookmarkStart w:id="578" w:name="_Toc535854063"/>
      <w:r>
        <w:t>A 32.01. cikk hatálya alá nem tartozó vízi járművekre vonatkozó átmeneti rendelkezések</w:t>
      </w:r>
      <w:bookmarkEnd w:id="576"/>
      <w:bookmarkEnd w:id="577"/>
      <w:bookmarkEnd w:id="578"/>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rPr>
          <w:color w:val="000000" w:themeColor="text1"/>
        </w:rPr>
      </w:pPr>
      <w:r>
        <w:rPr>
          <w:color w:val="000000" w:themeColor="text1"/>
        </w:rPr>
        <w:t>1.</w:t>
      </w:r>
      <w:r>
        <w:tab/>
      </w:r>
      <w:r>
        <w:rPr>
          <w:color w:val="000000" w:themeColor="text1"/>
        </w:rPr>
        <w:t>A következő rendelkezések azon vízi járművekre vonatkoznak:</w:t>
      </w:r>
    </w:p>
    <w:p w:rsidR="005624E3" w:rsidRPr="001D5B87" w:rsidRDefault="005624E3" w:rsidP="005624E3">
      <w:pPr>
        <w:spacing w:before="60" w:line="240" w:lineRule="atLeast"/>
        <w:ind w:left="992"/>
      </w:pPr>
      <w:r>
        <w:t xml:space="preserve">a) </w:t>
      </w:r>
      <w:r>
        <w:tab/>
        <w:t>amelyek esetében a rajnai hajók szemleszabályzatának megfelelően első rajnai hajóellenőrzési tanúsítványt adtak ki 1995. január 1-je után, feltéve, hogy 1994. december 31-én nem álltak megépítés vagy átalakítás alatt;</w:t>
      </w:r>
    </w:p>
    <w:p w:rsidR="005624E3" w:rsidRPr="001D5B87" w:rsidRDefault="005624E3" w:rsidP="005624E3">
      <w:pPr>
        <w:spacing w:before="60" w:line="240" w:lineRule="atLeast"/>
        <w:ind w:left="992"/>
      </w:pPr>
      <w:r>
        <w:t>b)</w:t>
      </w:r>
      <w:r>
        <w:tab/>
        <w:t>amelyek esetében egy másik közlekedési engedélyt adtak ki 1995. január 1-je és 2008. december 30. között,</w:t>
      </w:r>
    </w:p>
    <w:p w:rsidR="005624E3" w:rsidRPr="004A2F59" w:rsidRDefault="005624E3" w:rsidP="005624E3">
      <w:pPr>
        <w:spacing w:before="60" w:line="240" w:lineRule="atLeast"/>
        <w:ind w:left="992"/>
      </w:pPr>
      <w:r>
        <w:t>c)</w:t>
      </w:r>
      <w:r>
        <w:tab/>
        <w:t>amelyek esetében a 2006/87/EK irányelvnek megfelelően R zónára érvényes első közösségi bizonyítványt adtak ki 2008. december 30. és 2018. október 6. között,</w:t>
      </w:r>
    </w:p>
    <w:p w:rsidR="005624E3" w:rsidRPr="004A2F59" w:rsidRDefault="005624E3" w:rsidP="005624E3">
      <w:pPr>
        <w:spacing w:before="60" w:line="240" w:lineRule="atLeast"/>
        <w:ind w:left="992"/>
      </w:pPr>
      <w:r>
        <w:t>d)</w:t>
      </w:r>
      <w:r>
        <w:tab/>
        <w:t>amelyek esetében az (EU) 2016/1629 irányelvnek megfelelően R zónára érvényes első uniós bizonyítványt adtak ki 2018. október 7. után.</w:t>
      </w:r>
    </w:p>
    <w:p w:rsidR="005624E3" w:rsidRPr="004A2F59" w:rsidRDefault="005624E3" w:rsidP="005624E3">
      <w:pPr>
        <w:spacing w:line="240" w:lineRule="atLeast"/>
        <w:ind w:left="567" w:hanging="567"/>
      </w:pPr>
    </w:p>
    <w:p w:rsidR="005624E3" w:rsidRPr="004A2F59" w:rsidRDefault="005624E3" w:rsidP="005624E3">
      <w:pPr>
        <w:spacing w:line="240" w:lineRule="atLeast"/>
        <w:ind w:left="567" w:hanging="567"/>
        <w:rPr>
          <w:color w:val="000000" w:themeColor="text1"/>
        </w:rPr>
      </w:pPr>
      <w:r>
        <w:rPr>
          <w:color w:val="000000" w:themeColor="text1"/>
        </w:rPr>
        <w:t>2.</w:t>
      </w:r>
      <w:r>
        <w:tab/>
      </w:r>
      <w:r>
        <w:rPr>
          <w:color w:val="000000" w:themeColor="text1"/>
        </w:rPr>
        <w:t xml:space="preserve">Bizonyítani kell, hogy a vízi járművek megfelelnek: </w:t>
      </w:r>
    </w:p>
    <w:p w:rsidR="005624E3" w:rsidRPr="004A2F59" w:rsidRDefault="005624E3" w:rsidP="005624E3">
      <w:pPr>
        <w:spacing w:before="60" w:line="240" w:lineRule="atLeast"/>
        <w:ind w:left="992"/>
      </w:pPr>
      <w:r>
        <w:t>a)</w:t>
      </w:r>
      <w:r>
        <w:tab/>
        <w:t>a rajnai hajók szemleszabályzata azon a napon hatályos változatának, amelyen rajnai hajóellenőrzési tanúsítványukat vagy másik közlekedési engedélyüket kiadták, vagy</w:t>
      </w:r>
    </w:p>
    <w:p w:rsidR="005624E3" w:rsidRPr="004A2F59" w:rsidRDefault="005624E3" w:rsidP="005624E3">
      <w:pPr>
        <w:spacing w:before="60" w:line="240" w:lineRule="atLeast"/>
        <w:ind w:left="992"/>
      </w:pPr>
      <w:r>
        <w:t>b)</w:t>
      </w:r>
      <w:r>
        <w:tab/>
        <w:t>az R zónára alkalmazandó 2006/87/EK irányelv azon a napon hatályos rendelkezéseinek, amelyen közösségi bizonyítványukat kiadták, vagy</w:t>
      </w:r>
    </w:p>
    <w:p w:rsidR="005624E3" w:rsidRPr="001D5B87" w:rsidRDefault="005624E3" w:rsidP="005624E3">
      <w:pPr>
        <w:spacing w:before="60" w:line="240" w:lineRule="atLeast"/>
        <w:ind w:left="992"/>
      </w:pPr>
      <w:r>
        <w:t>c)</w:t>
      </w:r>
      <w:r>
        <w:tab/>
        <w:t>az (EU) 2016/1629 irányelv azon a napon hatályos rendelkezéseinek, amelyen uniós bizonyítványukat kiadták.</w:t>
      </w:r>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rPr>
          <w:color w:val="000000" w:themeColor="text1"/>
        </w:rPr>
      </w:pPr>
      <w:r>
        <w:rPr>
          <w:color w:val="000000" w:themeColor="text1"/>
        </w:rPr>
        <w:t xml:space="preserve">3. </w:t>
      </w:r>
      <w:r>
        <w:tab/>
      </w:r>
      <w:r>
        <w:rPr>
          <w:color w:val="000000" w:themeColor="text1"/>
        </w:rPr>
        <w:t>A vízi járműveket át kell alakítani, hogy megfeleljenek e szabványnak az alábbi táblázatban felsorolt átmeneti rendelkezések szerint.</w:t>
      </w:r>
    </w:p>
    <w:p w:rsidR="005624E3" w:rsidRPr="00C903F8" w:rsidRDefault="005624E3" w:rsidP="005624E3">
      <w:pPr>
        <w:spacing w:line="240" w:lineRule="atLeast"/>
        <w:ind w:left="567" w:hanging="567"/>
        <w:rPr>
          <w:color w:val="000000" w:themeColor="text1"/>
        </w:rPr>
      </w:pPr>
    </w:p>
    <w:p w:rsidR="005624E3" w:rsidRPr="00C903F8" w:rsidRDefault="005624E3" w:rsidP="005624E3">
      <w:pPr>
        <w:spacing w:line="240" w:lineRule="atLeast"/>
        <w:ind w:left="567" w:hanging="567"/>
        <w:rPr>
          <w:color w:val="000000" w:themeColor="text1"/>
          <w:szCs w:val="20"/>
        </w:rPr>
      </w:pPr>
      <w:r>
        <w:rPr>
          <w:color w:val="000000" w:themeColor="text1"/>
        </w:rPr>
        <w:t>4.</w:t>
      </w:r>
      <w:r>
        <w:tab/>
      </w:r>
      <w:r>
        <w:rPr>
          <w:color w:val="000000" w:themeColor="text1"/>
        </w:rPr>
        <w:t>A 32.04. cikk 4. és 5. bekezdése értelemszerűen alkalmazandó.</w:t>
      </w:r>
    </w:p>
    <w:p w:rsidR="005624E3" w:rsidRPr="00C903F8" w:rsidRDefault="005624E3" w:rsidP="005624E3">
      <w:pPr>
        <w:spacing w:line="240" w:lineRule="atLeast"/>
        <w:ind w:left="567" w:hanging="567"/>
      </w:pPr>
    </w:p>
    <w:p w:rsidR="005624E3" w:rsidRDefault="005624E3" w:rsidP="005624E3">
      <w:r>
        <w:br w:type="page"/>
      </w:r>
    </w:p>
    <w:p w:rsidR="005624E3" w:rsidRDefault="005624E3" w:rsidP="005624E3">
      <w:pPr>
        <w:spacing w:line="240" w:lineRule="atLeast"/>
        <w:ind w:left="567" w:hanging="567"/>
      </w:pPr>
    </w:p>
    <w:p w:rsidR="005624E3" w:rsidRPr="00C903F8" w:rsidRDefault="005624E3" w:rsidP="005624E3">
      <w:pPr>
        <w:spacing w:line="240" w:lineRule="atLeast"/>
        <w:ind w:left="567" w:hanging="567"/>
      </w:pPr>
      <w:r>
        <w:t>5.</w:t>
      </w:r>
      <w:r>
        <w:tab/>
        <w:t>Az alábbi táblázat alkalmazásában:</w:t>
      </w:r>
    </w:p>
    <w:p w:rsidR="005624E3" w:rsidRPr="00C903F8" w:rsidRDefault="005624E3" w:rsidP="005624E3">
      <w:pPr>
        <w:spacing w:line="240" w:lineRule="atLeast"/>
        <w:ind w:left="567" w:hanging="567"/>
      </w:pPr>
    </w:p>
    <w:p w:rsidR="005624E3" w:rsidRPr="00C903F8" w:rsidRDefault="005624E3" w:rsidP="005624E3">
      <w:pPr>
        <w:spacing w:line="240" w:lineRule="atLeast"/>
        <w:ind w:left="567"/>
      </w:pPr>
      <w:r>
        <w:t>„N.R.C.”: arra utaló angol rövidítés, hogy a rendelkezés nem vonatkozik a már üzemelő vízi járművekre, kivéve, ha az érintett alkatrészeket kicserélik vagy átalakítják; azaz a rendelkezés csak újonnan épített (</w:t>
      </w:r>
      <w:r>
        <w:rPr>
          <w:u w:val="single"/>
        </w:rPr>
        <w:t>N</w:t>
      </w:r>
      <w:r>
        <w:t>ewly-built) vízi járművekre és az érintett alkatrészek vagy területek cseréjére (</w:t>
      </w:r>
      <w:r>
        <w:rPr>
          <w:u w:val="single"/>
        </w:rPr>
        <w:t>R</w:t>
      </w:r>
      <w:r>
        <w:t>eplacement) vagy átalakítására (</w:t>
      </w:r>
      <w:r>
        <w:rPr>
          <w:u w:val="single"/>
        </w:rPr>
        <w:t>C</w:t>
      </w:r>
      <w:r>
        <w:t xml:space="preserve">onversion) vonatkozik. Az átmeneti rendelkezések értelmében nem minősül cserének (R.), ha a meglevő alkatrészeket olyan cseredarabokkal váltották ki, amelyek ugyanolyan technológiájúak és ugyanolyan típusúak; </w:t>
      </w:r>
    </w:p>
    <w:p w:rsidR="005624E3" w:rsidRPr="00C903F8" w:rsidRDefault="005624E3" w:rsidP="005624E3">
      <w:pPr>
        <w:spacing w:line="240" w:lineRule="atLeast"/>
        <w:ind w:left="567"/>
      </w:pPr>
    </w:p>
    <w:p w:rsidR="005624E3" w:rsidRDefault="005624E3" w:rsidP="005624E3">
      <w:pPr>
        <w:tabs>
          <w:tab w:val="left" w:pos="4678"/>
        </w:tabs>
        <w:spacing w:line="240" w:lineRule="atLeast"/>
        <w:ind w:left="567"/>
      </w:pPr>
      <w:r>
        <w:t>„a belvízi hajóbizonyítvány kiadása/megújítása”: arra utaló bejegyzés, hogy a rendelkezésnek a belvízi hajóbizonyítványnak a táblázatban megadott időpontot követő következő kiadásáig vagy megújításáig eleget kell tenni.</w:t>
      </w:r>
    </w:p>
    <w:p w:rsidR="005624E3" w:rsidRPr="00C903F8" w:rsidRDefault="005624E3" w:rsidP="005624E3"/>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5387"/>
        <w:gridCol w:w="1276"/>
        <w:gridCol w:w="1276"/>
      </w:tblGrid>
      <w:tr w:rsidR="005624E3" w:rsidRPr="00A0619C" w:rsidTr="00101A80">
        <w:trPr>
          <w:cantSplit/>
          <w:tblHeader/>
          <w:jc w:val="center"/>
        </w:trPr>
        <w:tc>
          <w:tcPr>
            <w:tcW w:w="2800" w:type="dxa"/>
            <w:gridSpan w:val="2"/>
            <w:shd w:val="clear" w:color="auto" w:fill="auto"/>
          </w:tcPr>
          <w:p w:rsidR="005624E3" w:rsidRPr="00C903F8" w:rsidRDefault="005624E3" w:rsidP="00101A80">
            <w:pPr>
              <w:spacing w:before="60" w:after="60" w:line="240" w:lineRule="atLeast"/>
              <w:jc w:val="center"/>
              <w:rPr>
                <w:rFonts w:cs="Arial"/>
                <w:sz w:val="18"/>
                <w:szCs w:val="18"/>
              </w:rPr>
            </w:pPr>
            <w:r>
              <w:rPr>
                <w:i/>
                <w:sz w:val="18"/>
              </w:rPr>
              <w:t>Cikk és bekezdés</w:t>
            </w:r>
          </w:p>
        </w:tc>
        <w:tc>
          <w:tcPr>
            <w:tcW w:w="3296" w:type="dxa"/>
            <w:shd w:val="clear" w:color="auto" w:fill="auto"/>
          </w:tcPr>
          <w:p w:rsidR="005624E3" w:rsidRPr="00C903F8" w:rsidRDefault="005624E3" w:rsidP="00101A80">
            <w:pPr>
              <w:spacing w:before="60" w:after="60" w:line="240" w:lineRule="atLeast"/>
              <w:jc w:val="center"/>
              <w:rPr>
                <w:rFonts w:cs="Arial"/>
                <w:sz w:val="18"/>
                <w:szCs w:val="18"/>
              </w:rPr>
            </w:pPr>
            <w:r>
              <w:rPr>
                <w:i/>
                <w:sz w:val="18"/>
              </w:rPr>
              <w:t>Tartalom</w:t>
            </w:r>
          </w:p>
        </w:tc>
        <w:tc>
          <w:tcPr>
            <w:tcW w:w="6663" w:type="dxa"/>
            <w:gridSpan w:val="2"/>
            <w:shd w:val="clear" w:color="auto" w:fill="auto"/>
          </w:tcPr>
          <w:p w:rsidR="005624E3" w:rsidRPr="00C903F8" w:rsidRDefault="005624E3" w:rsidP="00101A80">
            <w:pPr>
              <w:spacing w:before="60" w:after="60" w:line="240" w:lineRule="atLeast"/>
              <w:jc w:val="center"/>
              <w:rPr>
                <w:rFonts w:cs="Arial"/>
                <w:sz w:val="18"/>
                <w:szCs w:val="18"/>
              </w:rPr>
            </w:pPr>
            <w:r>
              <w:rPr>
                <w:i/>
                <w:sz w:val="18"/>
              </w:rPr>
              <w:t>Határidő és megjegyzések</w:t>
            </w:r>
          </w:p>
        </w:tc>
        <w:tc>
          <w:tcPr>
            <w:tcW w:w="1276" w:type="dxa"/>
          </w:tcPr>
          <w:p w:rsidR="005624E3" w:rsidRPr="00C903F8" w:rsidRDefault="005624E3" w:rsidP="00101A80">
            <w:pPr>
              <w:spacing w:before="60" w:after="60" w:line="240" w:lineRule="atLeast"/>
              <w:jc w:val="center"/>
              <w:rPr>
                <w:rFonts w:cs="Arial"/>
                <w:sz w:val="18"/>
                <w:szCs w:val="18"/>
              </w:rPr>
            </w:pPr>
            <w:r>
              <w:rPr>
                <w:i/>
                <w:sz w:val="18"/>
              </w:rPr>
              <w:t>A hatálybalépés időpontja</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20" w:after="100" w:line="240" w:lineRule="atLeast"/>
              <w:jc w:val="center"/>
              <w:rPr>
                <w:rFonts w:cs="Arial"/>
                <w:b/>
                <w:sz w:val="18"/>
                <w:szCs w:val="18"/>
              </w:rPr>
            </w:pPr>
            <w:r>
              <w:rPr>
                <w:b/>
                <w:sz w:val="18"/>
              </w:rPr>
              <w:t>3. FEJEZET</w:t>
            </w:r>
          </w:p>
        </w:tc>
        <w:tc>
          <w:tcPr>
            <w:tcW w:w="5387" w:type="dxa"/>
            <w:shd w:val="clear" w:color="auto" w:fill="auto"/>
          </w:tcPr>
          <w:p w:rsidR="005624E3" w:rsidRPr="00C903F8" w:rsidRDefault="005624E3" w:rsidP="00101A80">
            <w:pPr>
              <w:spacing w:before="120" w:after="100" w:line="240" w:lineRule="atLeast"/>
              <w:rPr>
                <w:rFonts w:cs="Arial"/>
                <w:sz w:val="18"/>
                <w:szCs w:val="18"/>
              </w:rPr>
            </w:pPr>
          </w:p>
        </w:tc>
        <w:tc>
          <w:tcPr>
            <w:tcW w:w="1276" w:type="dxa"/>
            <w:shd w:val="clear" w:color="auto" w:fill="auto"/>
          </w:tcPr>
          <w:p w:rsidR="005624E3" w:rsidRPr="00C903F8" w:rsidRDefault="005624E3" w:rsidP="00101A80">
            <w:pPr>
              <w:spacing w:before="120" w:after="100" w:line="240" w:lineRule="atLeast"/>
              <w:rPr>
                <w:rFonts w:cs="Arial"/>
                <w:sz w:val="18"/>
                <w:szCs w:val="18"/>
              </w:rPr>
            </w:pPr>
          </w:p>
        </w:tc>
        <w:tc>
          <w:tcPr>
            <w:tcW w:w="1276" w:type="dxa"/>
          </w:tcPr>
          <w:p w:rsidR="005624E3" w:rsidRPr="00C903F8" w:rsidRDefault="005624E3" w:rsidP="00101A80">
            <w:pPr>
              <w:spacing w:before="120" w:after="100" w:line="240" w:lineRule="atLeast"/>
              <w:rPr>
                <w:rFonts w:cs="Arial"/>
                <w:sz w:val="18"/>
                <w:szCs w:val="18"/>
              </w:rPr>
            </w:pPr>
          </w:p>
        </w:tc>
      </w:tr>
      <w:tr w:rsidR="005624E3" w:rsidRPr="00C903F8" w:rsidTr="00101A80">
        <w:trPr>
          <w:cantSplit/>
          <w:jc w:val="center"/>
        </w:trPr>
        <w:tc>
          <w:tcPr>
            <w:tcW w:w="1342" w:type="dxa"/>
            <w:vMerge w:val="restart"/>
            <w:shd w:val="clear" w:color="auto" w:fill="auto"/>
          </w:tcPr>
          <w:p w:rsidR="005624E3" w:rsidRPr="00C903F8" w:rsidRDefault="005624E3" w:rsidP="00101A80">
            <w:pPr>
              <w:spacing w:before="120" w:after="100" w:line="240" w:lineRule="atLeast"/>
              <w:rPr>
                <w:rFonts w:cs="Arial"/>
                <w:sz w:val="18"/>
                <w:szCs w:val="18"/>
              </w:rPr>
            </w:pPr>
            <w:r>
              <w:rPr>
                <w:sz w:val="18"/>
              </w:rPr>
              <w:t>3.03. cikk</w:t>
            </w:r>
          </w:p>
        </w:tc>
        <w:tc>
          <w:tcPr>
            <w:tcW w:w="1458" w:type="dxa"/>
            <w:shd w:val="clear" w:color="auto" w:fill="auto"/>
          </w:tcPr>
          <w:p w:rsidR="005624E3" w:rsidRPr="00C903F8" w:rsidRDefault="005624E3" w:rsidP="00101A80">
            <w:pPr>
              <w:spacing w:before="120" w:after="100" w:line="240" w:lineRule="atLeast"/>
              <w:rPr>
                <w:rFonts w:cs="Arial"/>
                <w:sz w:val="18"/>
                <w:szCs w:val="18"/>
              </w:rPr>
            </w:pPr>
            <w:r>
              <w:rPr>
                <w:sz w:val="18"/>
              </w:rPr>
              <w:t>1. bekezdés b) pont</w:t>
            </w:r>
          </w:p>
        </w:tc>
        <w:tc>
          <w:tcPr>
            <w:tcW w:w="3296" w:type="dxa"/>
            <w:shd w:val="clear" w:color="auto" w:fill="auto"/>
          </w:tcPr>
          <w:p w:rsidR="005624E3" w:rsidRPr="00C903F8" w:rsidRDefault="005624E3" w:rsidP="00101A80">
            <w:pPr>
              <w:spacing w:before="120" w:after="100" w:line="240" w:lineRule="atLeast"/>
              <w:rPr>
                <w:rFonts w:cs="Arial"/>
                <w:sz w:val="18"/>
                <w:szCs w:val="18"/>
              </w:rPr>
            </w:pPr>
            <w:r>
              <w:rPr>
                <w:sz w:val="18"/>
              </w:rPr>
              <w:t>A farválaszfal helyzete</w:t>
            </w:r>
          </w:p>
        </w:tc>
        <w:tc>
          <w:tcPr>
            <w:tcW w:w="5387" w:type="dxa"/>
            <w:shd w:val="clear" w:color="auto" w:fill="auto"/>
          </w:tcPr>
          <w:p w:rsidR="005624E3" w:rsidRPr="00C903F8" w:rsidRDefault="005624E3" w:rsidP="00101A80">
            <w:pPr>
              <w:spacing w:before="12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20" w:after="100" w:line="240" w:lineRule="atLeast"/>
              <w:rPr>
                <w:rFonts w:cs="Arial"/>
                <w:sz w:val="18"/>
                <w:szCs w:val="18"/>
              </w:rPr>
            </w:pPr>
            <w:r>
              <w:rPr>
                <w:sz w:val="18"/>
              </w:rPr>
              <w:t>2035.01.01.</w:t>
            </w:r>
          </w:p>
        </w:tc>
        <w:tc>
          <w:tcPr>
            <w:tcW w:w="1276" w:type="dxa"/>
          </w:tcPr>
          <w:p w:rsidR="005624E3" w:rsidRPr="004A2F59" w:rsidRDefault="005624E3" w:rsidP="00101A80">
            <w:pPr>
              <w:spacing w:before="120" w:after="100" w:line="240" w:lineRule="atLeast"/>
              <w:rPr>
                <w:rFonts w:cs="Arial"/>
                <w:sz w:val="18"/>
                <w:szCs w:val="18"/>
              </w:rPr>
            </w:pPr>
            <w:r>
              <w:rPr>
                <w:sz w:val="18"/>
              </w:rPr>
              <w:t>2018.10.07.</w:t>
            </w:r>
          </w:p>
        </w:tc>
      </w:tr>
      <w:tr w:rsidR="005624E3" w:rsidRPr="00C903F8" w:rsidTr="00101A80">
        <w:trPr>
          <w:cantSplit/>
          <w:trHeight w:val="788"/>
          <w:jc w:val="center"/>
        </w:trPr>
        <w:tc>
          <w:tcPr>
            <w:tcW w:w="1342" w:type="dxa"/>
            <w:vMerge/>
            <w:shd w:val="clear" w:color="auto" w:fill="auto"/>
          </w:tcPr>
          <w:p w:rsidR="005624E3" w:rsidRPr="00C903F8" w:rsidRDefault="005624E3" w:rsidP="00101A80">
            <w:pPr>
              <w:spacing w:before="120" w:after="100" w:line="240" w:lineRule="atLeast"/>
              <w:jc w:val="center"/>
              <w:rPr>
                <w:rFonts w:cs="Arial"/>
                <w:b/>
                <w:sz w:val="18"/>
                <w:szCs w:val="18"/>
              </w:rPr>
            </w:pPr>
          </w:p>
        </w:tc>
        <w:tc>
          <w:tcPr>
            <w:tcW w:w="1458" w:type="dxa"/>
            <w:shd w:val="clear" w:color="auto" w:fill="auto"/>
          </w:tcPr>
          <w:p w:rsidR="005624E3" w:rsidRPr="00C903F8" w:rsidRDefault="005624E3" w:rsidP="00101A80">
            <w:pPr>
              <w:spacing w:before="12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tabs>
                <w:tab w:val="left" w:pos="2790"/>
              </w:tabs>
              <w:spacing w:before="120" w:after="100" w:line="240" w:lineRule="atLeast"/>
              <w:rPr>
                <w:rFonts w:cs="Arial"/>
                <w:sz w:val="18"/>
                <w:szCs w:val="18"/>
              </w:rPr>
            </w:pPr>
            <w:r>
              <w:rPr>
                <w:sz w:val="18"/>
              </w:rPr>
              <w:t>Lakótér a farválaszfal mögött</w:t>
            </w:r>
          </w:p>
        </w:tc>
        <w:tc>
          <w:tcPr>
            <w:tcW w:w="5387" w:type="dxa"/>
            <w:shd w:val="clear" w:color="auto" w:fill="auto"/>
          </w:tcPr>
          <w:p w:rsidR="005624E3" w:rsidRPr="00C903F8" w:rsidRDefault="005624E3" w:rsidP="00101A80">
            <w:pPr>
              <w:spacing w:before="12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20" w:after="100" w:line="240" w:lineRule="atLeast"/>
              <w:rPr>
                <w:rFonts w:cs="Arial"/>
                <w:sz w:val="18"/>
                <w:szCs w:val="18"/>
              </w:rPr>
            </w:pPr>
            <w:r>
              <w:rPr>
                <w:sz w:val="18"/>
              </w:rPr>
              <w:t>2045.01.01.</w:t>
            </w:r>
          </w:p>
        </w:tc>
        <w:tc>
          <w:tcPr>
            <w:tcW w:w="1276" w:type="dxa"/>
          </w:tcPr>
          <w:p w:rsidR="005624E3" w:rsidRPr="004A2F59" w:rsidRDefault="005624E3" w:rsidP="00101A80">
            <w:pPr>
              <w:spacing w:before="120" w:after="100" w:line="240" w:lineRule="atLeast"/>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C903F8" w:rsidRDefault="005624E3" w:rsidP="00101A80">
            <w:pPr>
              <w:spacing w:before="120" w:after="100" w:line="240" w:lineRule="atLeast"/>
              <w:jc w:val="center"/>
              <w:rPr>
                <w:rFonts w:cs="Arial"/>
                <w:b/>
                <w:sz w:val="18"/>
                <w:szCs w:val="18"/>
              </w:rPr>
            </w:pPr>
          </w:p>
        </w:tc>
        <w:tc>
          <w:tcPr>
            <w:tcW w:w="1458" w:type="dxa"/>
            <w:shd w:val="clear" w:color="auto" w:fill="auto"/>
          </w:tcPr>
          <w:p w:rsidR="005624E3" w:rsidRPr="00C903F8" w:rsidRDefault="005624E3" w:rsidP="00101A80">
            <w:pPr>
              <w:spacing w:before="120" w:after="10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spacing w:before="120" w:after="100" w:line="240" w:lineRule="atLeast"/>
              <w:rPr>
                <w:rFonts w:cs="Arial"/>
                <w:sz w:val="18"/>
                <w:szCs w:val="18"/>
              </w:rPr>
            </w:pPr>
            <w:r>
              <w:rPr>
                <w:sz w:val="18"/>
              </w:rPr>
              <w:t>A hajók orr-részén túl nem nyúló horgonyok</w:t>
            </w:r>
          </w:p>
        </w:tc>
        <w:tc>
          <w:tcPr>
            <w:tcW w:w="5387" w:type="dxa"/>
            <w:shd w:val="clear" w:color="auto" w:fill="auto"/>
          </w:tcPr>
          <w:p w:rsidR="005624E3" w:rsidRPr="00C903F8" w:rsidRDefault="005624E3" w:rsidP="00101A80">
            <w:pPr>
              <w:spacing w:before="120" w:after="100" w:line="240" w:lineRule="atLeast"/>
              <w:rPr>
                <w:rFonts w:cs="Arial"/>
                <w:sz w:val="18"/>
                <w:szCs w:val="18"/>
              </w:rPr>
            </w:pPr>
            <w:r>
              <w:rPr>
                <w:sz w:val="18"/>
              </w:rPr>
              <w:t xml:space="preserve">A rendelkezés 2001. január 1-jén lépett hatályba: N.R.C., legkésőbb a belvízi hajóbizonyítvány megújításakor e dátumot követően: </w:t>
            </w:r>
          </w:p>
        </w:tc>
        <w:tc>
          <w:tcPr>
            <w:tcW w:w="1276" w:type="dxa"/>
            <w:shd w:val="clear" w:color="auto" w:fill="auto"/>
          </w:tcPr>
          <w:p w:rsidR="005624E3" w:rsidRPr="00C903F8" w:rsidRDefault="005624E3" w:rsidP="00101A80">
            <w:pPr>
              <w:spacing w:before="120" w:after="100" w:line="240" w:lineRule="atLeast"/>
              <w:rPr>
                <w:rFonts w:cs="Arial"/>
                <w:sz w:val="18"/>
                <w:szCs w:val="18"/>
              </w:rPr>
            </w:pPr>
            <w:r>
              <w:rPr>
                <w:sz w:val="18"/>
              </w:rPr>
              <w:t>2041.01.01.</w:t>
            </w:r>
          </w:p>
        </w:tc>
        <w:tc>
          <w:tcPr>
            <w:tcW w:w="1276" w:type="dxa"/>
          </w:tcPr>
          <w:p w:rsidR="005624E3" w:rsidRPr="004A2F59" w:rsidRDefault="005624E3" w:rsidP="00101A80">
            <w:pPr>
              <w:spacing w:before="120" w:after="100" w:line="240" w:lineRule="atLeast"/>
              <w:rPr>
                <w:rFonts w:cs="Arial"/>
                <w:sz w:val="18"/>
                <w:szCs w:val="18"/>
              </w:rPr>
            </w:pPr>
            <w:r>
              <w:rPr>
                <w:sz w:val="18"/>
              </w:rPr>
              <w:t>2018.10.07.</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20" w:after="100" w:line="240" w:lineRule="atLeast"/>
              <w:jc w:val="center"/>
              <w:rPr>
                <w:rFonts w:cs="Arial"/>
                <w:sz w:val="18"/>
                <w:szCs w:val="18"/>
              </w:rPr>
            </w:pPr>
            <w:r>
              <w:rPr>
                <w:b/>
                <w:sz w:val="18"/>
              </w:rPr>
              <w:t>6. FEJEZET</w:t>
            </w:r>
          </w:p>
        </w:tc>
        <w:tc>
          <w:tcPr>
            <w:tcW w:w="5387" w:type="dxa"/>
            <w:shd w:val="clear" w:color="auto" w:fill="auto"/>
          </w:tcPr>
          <w:p w:rsidR="005624E3" w:rsidRPr="00C903F8" w:rsidRDefault="005624E3" w:rsidP="00101A80">
            <w:pPr>
              <w:spacing w:before="120" w:after="100" w:line="240" w:lineRule="atLeast"/>
              <w:rPr>
                <w:rFonts w:cs="Arial"/>
                <w:sz w:val="18"/>
                <w:szCs w:val="18"/>
              </w:rPr>
            </w:pPr>
          </w:p>
        </w:tc>
        <w:tc>
          <w:tcPr>
            <w:tcW w:w="1276" w:type="dxa"/>
            <w:shd w:val="clear" w:color="auto" w:fill="auto"/>
          </w:tcPr>
          <w:p w:rsidR="005624E3" w:rsidRPr="00C903F8" w:rsidRDefault="005624E3" w:rsidP="00101A80">
            <w:pPr>
              <w:spacing w:before="120" w:after="100" w:line="240" w:lineRule="atLeast"/>
              <w:rPr>
                <w:rFonts w:cs="Arial"/>
                <w:sz w:val="18"/>
                <w:szCs w:val="18"/>
              </w:rPr>
            </w:pPr>
          </w:p>
        </w:tc>
        <w:tc>
          <w:tcPr>
            <w:tcW w:w="1276" w:type="dxa"/>
          </w:tcPr>
          <w:p w:rsidR="005624E3" w:rsidRPr="00C903F8" w:rsidRDefault="005624E3" w:rsidP="00101A80">
            <w:pPr>
              <w:spacing w:before="120" w:after="100" w:line="240" w:lineRule="atLeast"/>
              <w:rPr>
                <w:rFonts w:cs="Arial"/>
                <w:sz w:val="18"/>
                <w:szCs w:val="18"/>
              </w:rPr>
            </w:pPr>
          </w:p>
        </w:tc>
      </w:tr>
      <w:tr w:rsidR="005624E3" w:rsidRPr="00C903F8" w:rsidTr="00101A80">
        <w:trPr>
          <w:cantSplit/>
          <w:trHeight w:val="800"/>
          <w:jc w:val="center"/>
        </w:trPr>
        <w:tc>
          <w:tcPr>
            <w:tcW w:w="1342" w:type="dxa"/>
            <w:vMerge w:val="restart"/>
            <w:shd w:val="clear" w:color="auto" w:fill="auto"/>
          </w:tcPr>
          <w:p w:rsidR="005624E3" w:rsidRPr="00C903F8" w:rsidRDefault="005624E3" w:rsidP="00101A80">
            <w:pPr>
              <w:spacing w:before="120" w:after="100" w:line="240" w:lineRule="atLeast"/>
              <w:rPr>
                <w:rFonts w:cs="Arial"/>
                <w:sz w:val="18"/>
                <w:szCs w:val="18"/>
              </w:rPr>
            </w:pPr>
            <w:r>
              <w:rPr>
                <w:sz w:val="18"/>
              </w:rPr>
              <w:t>6.02. cikk</w:t>
            </w:r>
          </w:p>
        </w:tc>
        <w:tc>
          <w:tcPr>
            <w:tcW w:w="1458" w:type="dxa"/>
            <w:vMerge w:val="restart"/>
            <w:shd w:val="clear" w:color="auto" w:fill="auto"/>
          </w:tcPr>
          <w:p w:rsidR="005624E3" w:rsidRPr="00C903F8" w:rsidRDefault="005624E3" w:rsidP="00101A80">
            <w:pPr>
              <w:spacing w:before="120" w:after="10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20" w:after="100" w:line="240" w:lineRule="atLeast"/>
              <w:rPr>
                <w:rFonts w:cs="Arial"/>
                <w:sz w:val="18"/>
                <w:szCs w:val="18"/>
              </w:rPr>
            </w:pPr>
            <w:r>
              <w:rPr>
                <w:sz w:val="18"/>
              </w:rPr>
              <w:t>Két vezérlőszelep hidraulikus meghajtóegységek esetében</w:t>
            </w:r>
          </w:p>
        </w:tc>
        <w:tc>
          <w:tcPr>
            <w:tcW w:w="5387" w:type="dxa"/>
            <w:shd w:val="clear" w:color="auto" w:fill="auto"/>
          </w:tcPr>
          <w:p w:rsidR="005624E3" w:rsidRPr="00C903F8" w:rsidRDefault="005624E3" w:rsidP="00101A80">
            <w:pPr>
              <w:spacing w:before="12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20" w:after="100" w:line="240" w:lineRule="atLeast"/>
              <w:rPr>
                <w:rFonts w:cs="Arial"/>
                <w:sz w:val="18"/>
                <w:szCs w:val="18"/>
              </w:rPr>
            </w:pPr>
            <w:r>
              <w:rPr>
                <w:sz w:val="18"/>
              </w:rPr>
              <w:t>2020.01.01.</w:t>
            </w:r>
          </w:p>
        </w:tc>
        <w:tc>
          <w:tcPr>
            <w:tcW w:w="1276" w:type="dxa"/>
          </w:tcPr>
          <w:p w:rsidR="005624E3" w:rsidRPr="00C903F8" w:rsidRDefault="005624E3" w:rsidP="00101A80">
            <w:pPr>
              <w:spacing w:before="120" w:after="100" w:line="240" w:lineRule="atLeast"/>
              <w:rPr>
                <w:rFonts w:cs="Arial"/>
                <w:sz w:val="18"/>
                <w:szCs w:val="18"/>
              </w:rPr>
            </w:pPr>
            <w:r>
              <w:rPr>
                <w:sz w:val="18"/>
              </w:rPr>
              <w:t>2007.04.01.</w:t>
            </w:r>
          </w:p>
        </w:tc>
      </w:tr>
      <w:tr w:rsidR="005624E3" w:rsidRPr="00C903F8" w:rsidTr="00101A80">
        <w:trPr>
          <w:cantSplit/>
          <w:trHeight w:val="1208"/>
          <w:jc w:val="center"/>
        </w:trPr>
        <w:tc>
          <w:tcPr>
            <w:tcW w:w="1342" w:type="dxa"/>
            <w:vMerge/>
            <w:shd w:val="clear" w:color="auto" w:fill="auto"/>
          </w:tcPr>
          <w:p w:rsidR="005624E3" w:rsidRPr="00C903F8" w:rsidRDefault="005624E3" w:rsidP="00101A80">
            <w:pPr>
              <w:spacing w:before="120" w:after="100" w:line="240" w:lineRule="atLeast"/>
              <w:rPr>
                <w:rFonts w:cs="Arial"/>
                <w:sz w:val="18"/>
                <w:szCs w:val="18"/>
              </w:rPr>
            </w:pPr>
          </w:p>
        </w:tc>
        <w:tc>
          <w:tcPr>
            <w:tcW w:w="1458" w:type="dxa"/>
            <w:vMerge/>
            <w:shd w:val="clear" w:color="auto" w:fill="auto"/>
          </w:tcPr>
          <w:p w:rsidR="005624E3" w:rsidRPr="00C903F8" w:rsidRDefault="005624E3" w:rsidP="00101A80">
            <w:pPr>
              <w:spacing w:before="120" w:after="100" w:line="240" w:lineRule="atLeast"/>
              <w:rPr>
                <w:rFonts w:cs="Arial"/>
                <w:sz w:val="18"/>
                <w:szCs w:val="18"/>
              </w:rPr>
            </w:pPr>
          </w:p>
        </w:tc>
        <w:tc>
          <w:tcPr>
            <w:tcW w:w="3296" w:type="dxa"/>
            <w:shd w:val="clear" w:color="auto" w:fill="auto"/>
          </w:tcPr>
          <w:p w:rsidR="005624E3" w:rsidRPr="00C903F8" w:rsidRDefault="005624E3" w:rsidP="00101A80">
            <w:pPr>
              <w:tabs>
                <w:tab w:val="left" w:pos="1125"/>
              </w:tabs>
              <w:spacing w:before="120" w:after="100" w:line="240" w:lineRule="atLeast"/>
              <w:rPr>
                <w:rFonts w:cs="Arial"/>
                <w:sz w:val="18"/>
                <w:szCs w:val="18"/>
              </w:rPr>
            </w:pPr>
            <w:r>
              <w:rPr>
                <w:sz w:val="18"/>
              </w:rPr>
              <w:t>Külön csővezeték a második meghajtóegység számára hidraulikus meghajtóegységek esetében</w:t>
            </w:r>
          </w:p>
        </w:tc>
        <w:tc>
          <w:tcPr>
            <w:tcW w:w="5387" w:type="dxa"/>
            <w:shd w:val="clear" w:color="auto" w:fill="auto"/>
          </w:tcPr>
          <w:p w:rsidR="005624E3" w:rsidRPr="00C903F8" w:rsidRDefault="005624E3" w:rsidP="00101A80">
            <w:pPr>
              <w:spacing w:before="12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20" w:after="100" w:line="240" w:lineRule="atLeast"/>
              <w:rPr>
                <w:rFonts w:cs="Arial"/>
                <w:sz w:val="18"/>
                <w:szCs w:val="18"/>
              </w:rPr>
            </w:pPr>
            <w:r>
              <w:rPr>
                <w:sz w:val="18"/>
              </w:rPr>
              <w:t>2020.01.01.</w:t>
            </w:r>
          </w:p>
        </w:tc>
        <w:tc>
          <w:tcPr>
            <w:tcW w:w="1276" w:type="dxa"/>
          </w:tcPr>
          <w:p w:rsidR="005624E3" w:rsidRPr="00C903F8" w:rsidRDefault="005624E3" w:rsidP="00101A80">
            <w:pPr>
              <w:spacing w:before="120" w:after="100" w:line="240" w:lineRule="atLeast"/>
              <w:rPr>
                <w:rFonts w:cs="Arial"/>
                <w:sz w:val="18"/>
                <w:szCs w:val="18"/>
              </w:rPr>
            </w:pPr>
            <w:r>
              <w:rPr>
                <w:sz w:val="18"/>
              </w:rPr>
              <w:t>2007.04.01.</w:t>
            </w:r>
          </w:p>
        </w:tc>
      </w:tr>
      <w:tr w:rsidR="005624E3" w:rsidRPr="00C903F8" w:rsidTr="00101A80">
        <w:trPr>
          <w:cantSplit/>
          <w:jc w:val="center"/>
        </w:trPr>
        <w:tc>
          <w:tcPr>
            <w:tcW w:w="1342" w:type="dxa"/>
            <w:shd w:val="clear" w:color="auto" w:fill="auto"/>
          </w:tcPr>
          <w:p w:rsidR="005624E3" w:rsidRPr="00C903F8" w:rsidRDefault="005624E3" w:rsidP="00101A80">
            <w:pPr>
              <w:spacing w:before="120" w:after="100" w:line="240" w:lineRule="atLeast"/>
              <w:rPr>
                <w:rFonts w:cs="Arial"/>
                <w:sz w:val="18"/>
                <w:szCs w:val="18"/>
              </w:rPr>
            </w:pPr>
            <w:r>
              <w:rPr>
                <w:sz w:val="18"/>
              </w:rPr>
              <w:t>6.07. cikk</w:t>
            </w:r>
          </w:p>
        </w:tc>
        <w:tc>
          <w:tcPr>
            <w:tcW w:w="1458" w:type="dxa"/>
            <w:shd w:val="clear" w:color="auto" w:fill="auto"/>
          </w:tcPr>
          <w:p w:rsidR="005624E3" w:rsidRPr="00C903F8" w:rsidRDefault="005624E3" w:rsidP="00101A80">
            <w:pPr>
              <w:spacing w:before="120" w:after="100" w:line="240" w:lineRule="atLeast"/>
              <w:rPr>
                <w:rFonts w:cs="Arial"/>
                <w:sz w:val="18"/>
                <w:szCs w:val="18"/>
              </w:rPr>
            </w:pPr>
            <w:r>
              <w:rPr>
                <w:sz w:val="18"/>
              </w:rPr>
              <w:t>2. bekezdés a) pont</w:t>
            </w:r>
          </w:p>
        </w:tc>
        <w:tc>
          <w:tcPr>
            <w:tcW w:w="3296" w:type="dxa"/>
            <w:shd w:val="clear" w:color="auto" w:fill="auto"/>
          </w:tcPr>
          <w:p w:rsidR="005624E3" w:rsidRPr="00C903F8" w:rsidRDefault="005624E3" w:rsidP="00101A80">
            <w:pPr>
              <w:tabs>
                <w:tab w:val="left" w:pos="1080"/>
              </w:tabs>
              <w:spacing w:before="120" w:after="100" w:line="240" w:lineRule="atLeast"/>
              <w:rPr>
                <w:rFonts w:cs="Arial"/>
                <w:sz w:val="18"/>
                <w:szCs w:val="18"/>
              </w:rPr>
            </w:pPr>
            <w:r>
              <w:rPr>
                <w:noProof/>
                <w:sz w:val="18"/>
              </w:rPr>
              <w:t>A hidraulikatartályok szintjére és a hidraulikus rendszer üzemi nyomására vonatkozó riasztás</w:t>
            </w:r>
          </w:p>
        </w:tc>
        <w:tc>
          <w:tcPr>
            <w:tcW w:w="5387" w:type="dxa"/>
            <w:shd w:val="clear" w:color="auto" w:fill="auto"/>
          </w:tcPr>
          <w:p w:rsidR="005624E3" w:rsidRPr="00C903F8" w:rsidRDefault="005624E3" w:rsidP="00101A80">
            <w:pPr>
              <w:spacing w:before="12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20" w:after="100" w:line="240" w:lineRule="atLeast"/>
              <w:rPr>
                <w:rFonts w:cs="Arial"/>
                <w:sz w:val="18"/>
                <w:szCs w:val="18"/>
              </w:rPr>
            </w:pPr>
            <w:r>
              <w:rPr>
                <w:sz w:val="18"/>
              </w:rPr>
              <w:t>2010.01.01.</w:t>
            </w:r>
          </w:p>
        </w:tc>
        <w:tc>
          <w:tcPr>
            <w:tcW w:w="1276" w:type="dxa"/>
          </w:tcPr>
          <w:p w:rsidR="005624E3" w:rsidRPr="00C903F8" w:rsidRDefault="005624E3" w:rsidP="00101A80">
            <w:pPr>
              <w:spacing w:before="120" w:after="100" w:line="240" w:lineRule="atLeast"/>
              <w:rPr>
                <w:rFonts w:cs="Arial"/>
                <w:sz w:val="18"/>
                <w:szCs w:val="18"/>
              </w:rPr>
            </w:pPr>
            <w:r>
              <w:rPr>
                <w:sz w:val="18"/>
              </w:rPr>
              <w:t>2007.04.01.</w:t>
            </w:r>
          </w:p>
        </w:tc>
      </w:tr>
      <w:tr w:rsidR="005624E3" w:rsidRPr="00C903F8" w:rsidTr="00101A80">
        <w:trPr>
          <w:cantSplit/>
          <w:trHeight w:val="499"/>
          <w:jc w:val="center"/>
        </w:trPr>
        <w:tc>
          <w:tcPr>
            <w:tcW w:w="6096" w:type="dxa"/>
            <w:gridSpan w:val="3"/>
            <w:shd w:val="clear" w:color="auto" w:fill="auto"/>
          </w:tcPr>
          <w:p w:rsidR="005624E3" w:rsidRPr="00C903F8" w:rsidRDefault="005624E3" w:rsidP="00101A80">
            <w:pPr>
              <w:spacing w:before="60" w:after="60" w:line="240" w:lineRule="atLeast"/>
              <w:jc w:val="center"/>
              <w:rPr>
                <w:rFonts w:cs="Arial"/>
                <w:sz w:val="18"/>
                <w:szCs w:val="18"/>
              </w:rPr>
            </w:pPr>
            <w:r>
              <w:rPr>
                <w:b/>
                <w:sz w:val="18"/>
              </w:rPr>
              <w:t>7. FEJEZET</w:t>
            </w:r>
          </w:p>
        </w:tc>
        <w:tc>
          <w:tcPr>
            <w:tcW w:w="5387"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c>
          <w:tcPr>
            <w:tcW w:w="1276" w:type="dxa"/>
          </w:tcPr>
          <w:p w:rsidR="005624E3" w:rsidRPr="00C903F8" w:rsidRDefault="005624E3" w:rsidP="00101A80">
            <w:pPr>
              <w:spacing w:before="60" w:after="60" w:line="240" w:lineRule="atLeast"/>
              <w:rPr>
                <w:rFonts w:cs="Arial"/>
                <w:sz w:val="18"/>
                <w:szCs w:val="18"/>
              </w:rPr>
            </w:pPr>
          </w:p>
        </w:tc>
      </w:tr>
      <w:tr w:rsidR="005624E3" w:rsidRPr="00C903F8" w:rsidTr="00101A80">
        <w:trPr>
          <w:cantSplit/>
          <w:jc w:val="center"/>
        </w:trPr>
        <w:tc>
          <w:tcPr>
            <w:tcW w:w="1342" w:type="dxa"/>
            <w:tcBorders>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r>
              <w:rPr>
                <w:sz w:val="18"/>
              </w:rPr>
              <w:t>7,02</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sz w:val="18"/>
              </w:rPr>
              <w:t>Biztonsági üvegből készült kivitel</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c>
          <w:tcPr>
            <w:tcW w:w="1276" w:type="dxa"/>
          </w:tcPr>
          <w:p w:rsidR="005624E3" w:rsidRPr="00C903F8" w:rsidRDefault="005624E3" w:rsidP="00101A80">
            <w:pPr>
              <w:spacing w:before="60" w:after="60" w:line="240" w:lineRule="atLeast"/>
              <w:rPr>
                <w:rFonts w:cs="Arial"/>
                <w:sz w:val="18"/>
                <w:szCs w:val="18"/>
              </w:rPr>
            </w:pPr>
            <w:r>
              <w:rPr>
                <w:sz w:val="18"/>
              </w:rPr>
              <w:t>2018.10.07.</w:t>
            </w:r>
          </w:p>
        </w:tc>
      </w:tr>
      <w:tr w:rsidR="005624E3" w:rsidRPr="00C903F8" w:rsidTr="00101A80">
        <w:trPr>
          <w:cantSplit/>
          <w:jc w:val="center"/>
        </w:trPr>
        <w:tc>
          <w:tcPr>
            <w:tcW w:w="1342" w:type="dxa"/>
            <w:vMerge w:val="restart"/>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7.04.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Kijelzés</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noProof/>
                <w:sz w:val="18"/>
              </w:rPr>
              <w:t>Ha a kormányállást nem egyszemélyes radarhajózásra alakították ki: 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2010.01.01.</w:t>
            </w:r>
          </w:p>
        </w:tc>
        <w:tc>
          <w:tcPr>
            <w:tcW w:w="1276" w:type="dxa"/>
          </w:tcPr>
          <w:p w:rsidR="005624E3" w:rsidRPr="00C903F8" w:rsidRDefault="005624E3" w:rsidP="00101A80">
            <w:pPr>
              <w:spacing w:before="60" w:after="60" w:line="240" w:lineRule="atLeast"/>
              <w:rPr>
                <w:rFonts w:cs="Arial"/>
                <w:sz w:val="18"/>
                <w:szCs w:val="18"/>
              </w:rPr>
            </w:pPr>
            <w:r>
              <w:rPr>
                <w:sz w:val="18"/>
              </w:rPr>
              <w:t>2007.04.01.</w:t>
            </w:r>
          </w:p>
        </w:tc>
      </w:tr>
      <w:tr w:rsidR="005624E3" w:rsidRPr="00C903F8" w:rsidTr="00101A80">
        <w:trPr>
          <w:cantSplit/>
          <w:jc w:val="center"/>
        </w:trPr>
        <w:tc>
          <w:tcPr>
            <w:tcW w:w="1342" w:type="dxa"/>
            <w:vMerge/>
            <w:tcBorders>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9. bekezdés harmadik mondat</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Karral történő szabályozás</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2010.01.01.</w:t>
            </w:r>
          </w:p>
        </w:tc>
        <w:tc>
          <w:tcPr>
            <w:tcW w:w="1276" w:type="dxa"/>
          </w:tcPr>
          <w:p w:rsidR="005624E3" w:rsidRPr="00C903F8" w:rsidRDefault="005624E3" w:rsidP="00101A80">
            <w:pPr>
              <w:spacing w:before="60" w:after="60" w:line="240" w:lineRule="atLeast"/>
              <w:rPr>
                <w:rFonts w:cs="Arial"/>
                <w:sz w:val="18"/>
                <w:szCs w:val="18"/>
              </w:rPr>
            </w:pPr>
            <w:r>
              <w:rPr>
                <w:sz w:val="18"/>
              </w:rPr>
              <w:t>2007.04.01.</w:t>
            </w:r>
          </w:p>
        </w:tc>
      </w:tr>
      <w:tr w:rsidR="005624E3" w:rsidRPr="00C903F8" w:rsidTr="00101A80">
        <w:trPr>
          <w:cantSplit/>
          <w:jc w:val="center"/>
        </w:trPr>
        <w:tc>
          <w:tcPr>
            <w:tcW w:w="1342" w:type="dxa"/>
            <w:vMerge/>
            <w:tcBorders>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9. bekezdés negyedik mondat</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A tolóerő irányának egyértelmű mutatása</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940616" w:rsidRDefault="005624E3" w:rsidP="00101A80">
            <w:pPr>
              <w:spacing w:before="60" w:after="60" w:line="240" w:lineRule="atLeast"/>
              <w:rPr>
                <w:rFonts w:cs="Arial"/>
                <w:sz w:val="18"/>
                <w:szCs w:val="18"/>
              </w:rPr>
            </w:pPr>
            <w:r>
              <w:rPr>
                <w:sz w:val="18"/>
              </w:rPr>
              <w:t>2010.01.01.</w:t>
            </w:r>
          </w:p>
        </w:tc>
        <w:tc>
          <w:tcPr>
            <w:tcW w:w="1276" w:type="dxa"/>
          </w:tcPr>
          <w:p w:rsidR="005624E3" w:rsidRPr="00C903F8" w:rsidRDefault="005624E3" w:rsidP="00101A80">
            <w:pPr>
              <w:spacing w:before="60" w:after="60" w:line="240" w:lineRule="atLeast"/>
              <w:rPr>
                <w:rFonts w:cs="Arial"/>
                <w:sz w:val="18"/>
                <w:szCs w:val="18"/>
              </w:rPr>
            </w:pPr>
            <w:r>
              <w:rPr>
                <w:sz w:val="18"/>
              </w:rPr>
              <w:t>2007.04.01.</w:t>
            </w:r>
          </w:p>
        </w:tc>
      </w:tr>
      <w:tr w:rsidR="005624E3" w:rsidRPr="009B46F3" w:rsidTr="00101A80">
        <w:trPr>
          <w:cantSplit/>
          <w:jc w:val="center"/>
        </w:trPr>
        <w:tc>
          <w:tcPr>
            <w:tcW w:w="1342" w:type="dxa"/>
            <w:tcBorders>
              <w:top w:val="single" w:sz="4" w:space="0" w:color="auto"/>
              <w:bottom w:val="single" w:sz="4" w:space="0" w:color="auto"/>
            </w:tcBorders>
            <w:shd w:val="clear" w:color="auto" w:fill="auto"/>
          </w:tcPr>
          <w:p w:rsidR="005624E3" w:rsidRPr="00DE735E" w:rsidRDefault="005624E3" w:rsidP="00101A80">
            <w:pPr>
              <w:spacing w:before="60" w:after="60" w:line="240" w:lineRule="atLeast"/>
              <w:rPr>
                <w:rFonts w:cs="Arial"/>
                <w:sz w:val="18"/>
                <w:szCs w:val="18"/>
              </w:rPr>
            </w:pPr>
            <w:r>
              <w:rPr>
                <w:sz w:val="18"/>
              </w:rPr>
              <w:t>7.05. cikk</w:t>
            </w:r>
          </w:p>
        </w:tc>
        <w:tc>
          <w:tcPr>
            <w:tcW w:w="1458" w:type="dxa"/>
            <w:shd w:val="clear" w:color="auto" w:fill="auto"/>
          </w:tcPr>
          <w:p w:rsidR="005624E3" w:rsidRPr="00DE735E"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605BA5" w:rsidRDefault="005624E3" w:rsidP="00101A80">
            <w:pPr>
              <w:spacing w:before="60" w:after="60" w:line="240" w:lineRule="atLeast"/>
              <w:rPr>
                <w:rFonts w:cs="Arial"/>
                <w:sz w:val="18"/>
                <w:szCs w:val="18"/>
              </w:rPr>
            </w:pPr>
            <w:r>
              <w:rPr>
                <w:sz w:val="18"/>
              </w:rPr>
              <w:t>Navigációs fények, azok burkolata, tartozékai és fényforrásai</w:t>
            </w:r>
          </w:p>
        </w:tc>
        <w:tc>
          <w:tcPr>
            <w:tcW w:w="5387" w:type="dxa"/>
            <w:shd w:val="clear" w:color="auto" w:fill="auto"/>
          </w:tcPr>
          <w:p w:rsidR="005624E3" w:rsidRPr="00605BA5" w:rsidRDefault="005624E3" w:rsidP="00101A80">
            <w:pPr>
              <w:spacing w:before="60" w:after="60" w:line="240" w:lineRule="atLeast"/>
              <w:rPr>
                <w:rFonts w:cs="Arial"/>
                <w:sz w:val="18"/>
                <w:szCs w:val="18"/>
              </w:rPr>
            </w:pPr>
            <w:r>
              <w:rPr>
                <w:sz w:val="18"/>
              </w:rPr>
              <w:t>Továbbra is használhatók azok a navigációs fények, burkolatok, tartozékok és fényforrások, amelyek megfelelnek a fedélzeti fények színére és erősségére, továbbá a navigációs fényeknek a rajnai hajózáshoz való elfogadására vonatkozó, 2009. november 30-től hatályos követelményeknek.</w:t>
            </w:r>
          </w:p>
        </w:tc>
        <w:tc>
          <w:tcPr>
            <w:tcW w:w="1276" w:type="dxa"/>
            <w:shd w:val="clear" w:color="auto" w:fill="auto"/>
          </w:tcPr>
          <w:p w:rsidR="005624E3" w:rsidRPr="00940616" w:rsidRDefault="005624E3" w:rsidP="00101A80">
            <w:pPr>
              <w:spacing w:before="60" w:after="60" w:line="240" w:lineRule="atLeast"/>
              <w:rPr>
                <w:rFonts w:cs="Arial"/>
                <w:sz w:val="18"/>
                <w:szCs w:val="18"/>
              </w:rPr>
            </w:pPr>
          </w:p>
        </w:tc>
        <w:tc>
          <w:tcPr>
            <w:tcW w:w="1276" w:type="dxa"/>
          </w:tcPr>
          <w:p w:rsidR="005624E3" w:rsidRPr="00DE735E" w:rsidRDefault="005624E3" w:rsidP="00101A80">
            <w:pPr>
              <w:spacing w:before="60" w:after="60" w:line="240" w:lineRule="atLeast"/>
              <w:rPr>
                <w:rFonts w:cs="Arial"/>
                <w:color w:val="FF0000"/>
                <w:sz w:val="18"/>
                <w:szCs w:val="18"/>
              </w:rPr>
            </w:pPr>
            <w:r>
              <w:rPr>
                <w:sz w:val="18"/>
              </w:rPr>
              <w:t>2009.12.01.</w:t>
            </w:r>
          </w:p>
        </w:tc>
      </w:tr>
      <w:tr w:rsidR="005624E3" w:rsidRPr="00C903F8" w:rsidTr="00101A80">
        <w:trPr>
          <w:cantSplit/>
          <w:jc w:val="center"/>
        </w:trPr>
        <w:tc>
          <w:tcPr>
            <w:tcW w:w="1342" w:type="dxa"/>
            <w:tcBorders>
              <w:top w:val="single" w:sz="4" w:space="0" w:color="auto"/>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7.06. cikk</w:t>
            </w:r>
          </w:p>
        </w:tc>
        <w:tc>
          <w:tcPr>
            <w:tcW w:w="1458" w:type="dxa"/>
            <w:shd w:val="clear" w:color="auto" w:fill="auto"/>
          </w:tcPr>
          <w:p w:rsidR="005624E3" w:rsidRPr="00605BA5"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605BA5" w:rsidRDefault="005624E3" w:rsidP="00101A80">
            <w:pPr>
              <w:spacing w:before="60" w:after="60" w:line="240" w:lineRule="atLeast"/>
              <w:rPr>
                <w:rFonts w:cs="Arial"/>
                <w:sz w:val="18"/>
                <w:szCs w:val="18"/>
              </w:rPr>
            </w:pPr>
            <w:r>
              <w:rPr>
                <w:sz w:val="18"/>
              </w:rPr>
              <w:t>Az 1990. január 1-je előtt jóváhagyott fordulási szögsebességjelzők</w:t>
            </w:r>
          </w:p>
        </w:tc>
        <w:tc>
          <w:tcPr>
            <w:tcW w:w="5387" w:type="dxa"/>
            <w:shd w:val="clear" w:color="auto" w:fill="auto"/>
          </w:tcPr>
          <w:p w:rsidR="005624E3" w:rsidRPr="00605BA5" w:rsidRDefault="005624E3" w:rsidP="00101A80">
            <w:pPr>
              <w:spacing w:before="60" w:after="60" w:line="240" w:lineRule="atLeast"/>
              <w:rPr>
                <w:rFonts w:cs="Arial"/>
                <w:sz w:val="18"/>
                <w:szCs w:val="18"/>
              </w:rPr>
            </w:pPr>
            <w:r>
              <w:rPr>
                <w:sz w:val="18"/>
              </w:rPr>
              <w:t>Az 1990. január 1-je előtt jóváhagyott és 2000. január 1-je előtt beszerelt fordulási szögsebességjelzők a belvízi hajóbizonyítvány 2015. január 1-je után történő megújításáig megtarthatók és használhatók, amennyiben rendelkeznek a 2006/87/EK irányelv</w:t>
            </w:r>
            <w:r>
              <w:rPr>
                <w:sz w:val="18"/>
              </w:rPr>
              <w:footnoteReference w:id="39"/>
            </w:r>
            <w:r>
              <w:rPr>
                <w:sz w:val="18"/>
              </w:rPr>
              <w:t xml:space="preserve"> vagy az 1989-II-35 CCNR-határozat szerinti érvényes beszerelési bizonyítvánnyal.</w:t>
            </w:r>
          </w:p>
        </w:tc>
        <w:tc>
          <w:tcPr>
            <w:tcW w:w="1276" w:type="dxa"/>
            <w:shd w:val="clear" w:color="auto" w:fill="auto"/>
          </w:tcPr>
          <w:p w:rsidR="005624E3" w:rsidRPr="00605BA5" w:rsidRDefault="005624E3" w:rsidP="00101A80">
            <w:pPr>
              <w:spacing w:before="60" w:after="60" w:line="240" w:lineRule="atLeast"/>
              <w:rPr>
                <w:rFonts w:cs="Arial"/>
                <w:sz w:val="18"/>
                <w:szCs w:val="18"/>
              </w:rPr>
            </w:pPr>
          </w:p>
        </w:tc>
        <w:tc>
          <w:tcPr>
            <w:tcW w:w="1276" w:type="dxa"/>
          </w:tcPr>
          <w:p w:rsidR="005624E3" w:rsidRPr="00605BA5" w:rsidRDefault="005624E3" w:rsidP="00101A80">
            <w:pPr>
              <w:spacing w:before="60" w:after="60" w:line="240" w:lineRule="atLeast"/>
              <w:rPr>
                <w:rFonts w:cs="Arial"/>
                <w:sz w:val="18"/>
                <w:szCs w:val="18"/>
              </w:rPr>
            </w:pPr>
            <w:r>
              <w:rPr>
                <w:sz w:val="18"/>
              </w:rPr>
              <w:t>2009.12.01.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val="restart"/>
            <w:shd w:val="clear" w:color="auto" w:fill="auto"/>
          </w:tcPr>
          <w:p w:rsidR="005624E3" w:rsidRPr="00605BA5" w:rsidRDefault="005624E3" w:rsidP="00101A80">
            <w:pPr>
              <w:spacing w:before="120" w:after="120" w:line="240" w:lineRule="atLeast"/>
              <w:rPr>
                <w:rFonts w:cs="Arial"/>
                <w:sz w:val="18"/>
                <w:szCs w:val="18"/>
              </w:rPr>
            </w:pPr>
          </w:p>
        </w:tc>
        <w:tc>
          <w:tcPr>
            <w:tcW w:w="3296" w:type="dxa"/>
            <w:shd w:val="clear" w:color="auto" w:fill="auto"/>
          </w:tcPr>
          <w:p w:rsidR="005624E3" w:rsidRPr="00605BA5" w:rsidRDefault="005624E3" w:rsidP="00101A80">
            <w:pPr>
              <w:spacing w:before="120" w:after="120" w:line="240" w:lineRule="atLeast"/>
              <w:rPr>
                <w:rFonts w:cs="Arial"/>
                <w:sz w:val="18"/>
                <w:szCs w:val="18"/>
              </w:rPr>
            </w:pPr>
            <w:r>
              <w:rPr>
                <w:noProof/>
                <w:sz w:val="18"/>
              </w:rPr>
              <w:t>Az 1990. január 1-je után jóváhagyott navigációs radarberendezések és fordulási szögsebességjelzők</w:t>
            </w:r>
          </w:p>
        </w:tc>
        <w:tc>
          <w:tcPr>
            <w:tcW w:w="5387" w:type="dxa"/>
            <w:shd w:val="clear" w:color="auto" w:fill="auto"/>
          </w:tcPr>
          <w:p w:rsidR="005624E3" w:rsidRPr="00605BA5" w:rsidRDefault="005624E3" w:rsidP="00101A80">
            <w:pPr>
              <w:spacing w:before="120" w:after="120" w:line="240" w:lineRule="atLeast"/>
              <w:rPr>
                <w:rFonts w:cs="Arial"/>
                <w:sz w:val="18"/>
                <w:szCs w:val="18"/>
              </w:rPr>
            </w:pPr>
            <w:r>
              <w:rPr>
                <w:sz w:val="18"/>
              </w:rPr>
              <w:t>A rajnai belvízi hajózáshoz használt navigációs radarberendezésekre vonatkozó minimumkövetelményeknek és vizsgálati feltételeknek, valamint a rajnai belvízi hajózáshoz használt fordulási szögsebességjelzőkre vonatkozó minimumkövetelményeknek és vizsgálati feltételeknek megfelelően 1990. január 1-jén vagy az után jóváhagyott navigációs radarberendezések és fordulási szögsebességjelzők továbbra is beszerelhetők és használhatók, amennyiben rendelkeznek az e szabvány, a 2006/87/EK irányelv vagy az 1989-II-35 CCNR-határozat szerinti érvényes beszerelési bizonyítvánnyal.</w:t>
            </w:r>
          </w:p>
        </w:tc>
        <w:tc>
          <w:tcPr>
            <w:tcW w:w="1276" w:type="dxa"/>
            <w:shd w:val="clear" w:color="auto" w:fill="auto"/>
          </w:tcPr>
          <w:p w:rsidR="005624E3" w:rsidRPr="00605BA5" w:rsidRDefault="005624E3" w:rsidP="00101A80">
            <w:pPr>
              <w:spacing w:before="120" w:after="120" w:line="240" w:lineRule="atLeast"/>
              <w:rPr>
                <w:rFonts w:cs="Arial"/>
                <w:sz w:val="18"/>
                <w:szCs w:val="18"/>
              </w:rPr>
            </w:pPr>
          </w:p>
        </w:tc>
        <w:tc>
          <w:tcPr>
            <w:tcW w:w="1276" w:type="dxa"/>
          </w:tcPr>
          <w:p w:rsidR="005624E3" w:rsidRPr="00605BA5" w:rsidRDefault="005624E3" w:rsidP="00101A80">
            <w:pPr>
              <w:spacing w:before="120" w:after="120" w:line="240" w:lineRule="atLeast"/>
              <w:rPr>
                <w:rFonts w:cs="Arial"/>
                <w:sz w:val="18"/>
                <w:szCs w:val="18"/>
              </w:rPr>
            </w:pPr>
            <w:r>
              <w:rPr>
                <w:sz w:val="18"/>
              </w:rPr>
              <w:t>2009.12.01.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shd w:val="clear" w:color="auto" w:fill="auto"/>
          </w:tcPr>
          <w:p w:rsidR="005624E3" w:rsidRPr="00605BA5" w:rsidRDefault="005624E3" w:rsidP="00101A80">
            <w:pPr>
              <w:spacing w:before="120" w:after="120" w:line="240" w:lineRule="atLeast"/>
              <w:rPr>
                <w:rFonts w:cs="Arial"/>
                <w:sz w:val="18"/>
                <w:szCs w:val="18"/>
              </w:rPr>
            </w:pPr>
          </w:p>
        </w:tc>
        <w:tc>
          <w:tcPr>
            <w:tcW w:w="3296" w:type="dxa"/>
            <w:shd w:val="clear" w:color="auto" w:fill="auto"/>
          </w:tcPr>
          <w:p w:rsidR="005624E3" w:rsidRPr="00605BA5" w:rsidRDefault="005624E3" w:rsidP="00101A80">
            <w:pPr>
              <w:spacing w:before="120" w:after="120" w:line="240" w:lineRule="atLeast"/>
              <w:rPr>
                <w:rFonts w:cs="Arial"/>
                <w:sz w:val="18"/>
                <w:szCs w:val="18"/>
              </w:rPr>
            </w:pPr>
            <w:r>
              <w:rPr>
                <w:noProof/>
                <w:sz w:val="18"/>
              </w:rPr>
              <w:t>A 2006. december 31. után jóváhagyott navigációs radarberendezések és fordulási szögsebességjelzők</w:t>
            </w:r>
          </w:p>
        </w:tc>
        <w:tc>
          <w:tcPr>
            <w:tcW w:w="5387" w:type="dxa"/>
            <w:shd w:val="clear" w:color="auto" w:fill="auto"/>
          </w:tcPr>
          <w:p w:rsidR="005624E3" w:rsidRPr="00605BA5" w:rsidRDefault="005624E3" w:rsidP="00101A80">
            <w:pPr>
              <w:spacing w:before="120" w:after="120" w:line="240" w:lineRule="atLeast"/>
              <w:rPr>
                <w:rFonts w:cs="Arial"/>
                <w:sz w:val="18"/>
                <w:szCs w:val="18"/>
              </w:rPr>
            </w:pPr>
            <w:r>
              <w:rPr>
                <w:sz w:val="18"/>
              </w:rPr>
              <w:t>A 2006/87/EK irányelvben meghatározott minimumkövetelményeknek és vizsgálati feltételeknek megfelelően 2006. december 31-én vagy az után jóváhagyott navigációs radarberendezések és fordulási szögsebességjelzők továbbra is beszerelhetők és használhatók, amennyiben rendelkeznek az e szabvány vagy a 2006/87/EK irányelv szerinti érvényes beszerelési bizonyítvánnyal.</w:t>
            </w:r>
          </w:p>
        </w:tc>
        <w:tc>
          <w:tcPr>
            <w:tcW w:w="1276" w:type="dxa"/>
            <w:shd w:val="clear" w:color="auto" w:fill="auto"/>
          </w:tcPr>
          <w:p w:rsidR="005624E3" w:rsidRPr="00605BA5" w:rsidRDefault="005624E3" w:rsidP="00101A80">
            <w:pPr>
              <w:spacing w:before="120" w:after="120" w:line="240" w:lineRule="atLeast"/>
              <w:rPr>
                <w:rFonts w:cs="Arial"/>
                <w:sz w:val="18"/>
                <w:szCs w:val="18"/>
              </w:rPr>
            </w:pPr>
          </w:p>
        </w:tc>
        <w:tc>
          <w:tcPr>
            <w:tcW w:w="1276" w:type="dxa"/>
          </w:tcPr>
          <w:p w:rsidR="005624E3" w:rsidRPr="00605BA5" w:rsidRDefault="005624E3" w:rsidP="00101A80">
            <w:pPr>
              <w:spacing w:before="120" w:after="120" w:line="240" w:lineRule="atLeast"/>
              <w:rPr>
                <w:rFonts w:cs="Arial"/>
                <w:sz w:val="18"/>
                <w:szCs w:val="18"/>
              </w:rPr>
            </w:pPr>
            <w:r>
              <w:rPr>
                <w:sz w:val="18"/>
              </w:rPr>
              <w:t>2018.10.07.</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tcBorders>
              <w:bottom w:val="single" w:sz="4" w:space="0" w:color="auto"/>
            </w:tcBorders>
            <w:shd w:val="clear" w:color="auto" w:fill="auto"/>
          </w:tcPr>
          <w:p w:rsidR="005624E3" w:rsidRPr="00605BA5" w:rsidRDefault="005624E3" w:rsidP="00101A80">
            <w:pPr>
              <w:spacing w:before="120" w:after="120" w:line="240" w:lineRule="atLeast"/>
              <w:rPr>
                <w:rFonts w:cs="Arial"/>
                <w:sz w:val="18"/>
                <w:szCs w:val="18"/>
              </w:rPr>
            </w:pPr>
          </w:p>
        </w:tc>
        <w:tc>
          <w:tcPr>
            <w:tcW w:w="3296" w:type="dxa"/>
            <w:tcBorders>
              <w:bottom w:val="single" w:sz="4" w:space="0" w:color="auto"/>
            </w:tcBorders>
            <w:shd w:val="clear" w:color="auto" w:fill="auto"/>
          </w:tcPr>
          <w:p w:rsidR="005624E3" w:rsidRPr="00605BA5" w:rsidRDefault="005624E3" w:rsidP="00101A80">
            <w:pPr>
              <w:spacing w:before="120" w:after="120" w:line="240" w:lineRule="atLeast"/>
              <w:rPr>
                <w:rFonts w:cs="Arial"/>
                <w:sz w:val="18"/>
                <w:szCs w:val="18"/>
              </w:rPr>
            </w:pPr>
            <w:r>
              <w:rPr>
                <w:noProof/>
                <w:sz w:val="18"/>
              </w:rPr>
              <w:t>A 2009. december 1-je után jóváhagyott navigációs radarberendezések és fordulási szögsebességjelzők</w:t>
            </w:r>
          </w:p>
        </w:tc>
        <w:tc>
          <w:tcPr>
            <w:tcW w:w="5387" w:type="dxa"/>
            <w:shd w:val="clear" w:color="auto" w:fill="auto"/>
          </w:tcPr>
          <w:p w:rsidR="005624E3" w:rsidRPr="00605BA5" w:rsidRDefault="005624E3" w:rsidP="00101A80">
            <w:pPr>
              <w:spacing w:before="120" w:after="120" w:line="240" w:lineRule="atLeast"/>
              <w:rPr>
                <w:rFonts w:cs="Arial"/>
                <w:sz w:val="18"/>
                <w:szCs w:val="18"/>
              </w:rPr>
            </w:pPr>
            <w:r>
              <w:rPr>
                <w:sz w:val="18"/>
              </w:rPr>
              <w:t>A 2008-II-11 CCNR-határozat minimumkövetelményeinek és vizsgálati feltételeinek megfelelően 2009. december 1-jén vagy az után jóváhagyott navigációs radarberendezések és fordulási szögsebességjelzők továbbra is beszerelhetők és használhatók, amennyiben rendelkeznek az e szabvány vagy a 2008-II-11 CCNR-határozat szerinti érvényes beszerelési bizonyítvánnyal.</w:t>
            </w:r>
          </w:p>
        </w:tc>
        <w:tc>
          <w:tcPr>
            <w:tcW w:w="1276" w:type="dxa"/>
            <w:shd w:val="clear" w:color="auto" w:fill="auto"/>
          </w:tcPr>
          <w:p w:rsidR="005624E3" w:rsidRPr="00605BA5" w:rsidRDefault="005624E3" w:rsidP="00101A80">
            <w:pPr>
              <w:spacing w:before="120" w:after="120" w:line="240" w:lineRule="atLeast"/>
              <w:rPr>
                <w:rFonts w:cs="Arial"/>
                <w:sz w:val="18"/>
                <w:szCs w:val="18"/>
              </w:rPr>
            </w:pPr>
          </w:p>
        </w:tc>
        <w:tc>
          <w:tcPr>
            <w:tcW w:w="1276" w:type="dxa"/>
          </w:tcPr>
          <w:p w:rsidR="005624E3" w:rsidRPr="00605BA5" w:rsidRDefault="005624E3" w:rsidP="00101A80">
            <w:pPr>
              <w:spacing w:before="120" w:after="120" w:line="240" w:lineRule="atLeast"/>
              <w:rPr>
                <w:rFonts w:cs="Arial"/>
                <w:sz w:val="18"/>
                <w:szCs w:val="18"/>
              </w:rPr>
            </w:pPr>
            <w:r>
              <w:rPr>
                <w:sz w:val="18"/>
              </w:rPr>
              <w:t>2018.10.07.</w:t>
            </w:r>
          </w:p>
        </w:tc>
      </w:tr>
      <w:tr w:rsidR="005624E3" w:rsidRPr="003F5E4D"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tcBorders>
              <w:bottom w:val="nil"/>
            </w:tcBorders>
            <w:shd w:val="clear" w:color="auto" w:fill="auto"/>
          </w:tcPr>
          <w:p w:rsidR="005624E3" w:rsidRPr="00DE735E" w:rsidRDefault="005624E3" w:rsidP="00101A80">
            <w:pPr>
              <w:spacing w:before="120" w:after="120" w:line="240" w:lineRule="atLeast"/>
              <w:rPr>
                <w:rFonts w:cs="Arial"/>
                <w:sz w:val="18"/>
                <w:szCs w:val="18"/>
              </w:rPr>
            </w:pPr>
            <w:r>
              <w:rPr>
                <w:sz w:val="18"/>
              </w:rPr>
              <w:t>3. bekezdés</w:t>
            </w:r>
          </w:p>
        </w:tc>
        <w:tc>
          <w:tcPr>
            <w:tcW w:w="3296" w:type="dxa"/>
            <w:tcBorders>
              <w:bottom w:val="nil"/>
            </w:tcBorders>
            <w:shd w:val="clear" w:color="auto" w:fill="auto"/>
          </w:tcPr>
          <w:p w:rsidR="005624E3" w:rsidRPr="00DE735E" w:rsidRDefault="005624E3" w:rsidP="00101A80">
            <w:pPr>
              <w:spacing w:before="120" w:after="120" w:line="240" w:lineRule="atLeast"/>
              <w:rPr>
                <w:rFonts w:cs="Arial"/>
                <w:sz w:val="18"/>
                <w:szCs w:val="18"/>
              </w:rPr>
            </w:pPr>
            <w:r>
              <w:rPr>
                <w:sz w:val="18"/>
              </w:rPr>
              <w:t>Belvízi AIS-berendezés</w:t>
            </w:r>
          </w:p>
        </w:tc>
        <w:tc>
          <w:tcPr>
            <w:tcW w:w="5387" w:type="dxa"/>
            <w:shd w:val="clear" w:color="auto" w:fill="auto"/>
          </w:tcPr>
          <w:p w:rsidR="005624E3" w:rsidRPr="00605BA5" w:rsidRDefault="005624E3" w:rsidP="00101A80">
            <w:pPr>
              <w:spacing w:before="120" w:after="120" w:line="240" w:lineRule="atLeast"/>
              <w:rPr>
                <w:rFonts w:cs="Arial"/>
                <w:sz w:val="18"/>
                <w:szCs w:val="18"/>
              </w:rPr>
            </w:pPr>
            <w:r>
              <w:rPr>
                <w:sz w:val="18"/>
              </w:rPr>
              <w:t>A belvízi AIS vizsgálati szabvány 1.0 és 1.01 kiadása szerinti típusjóváhagyással rendelkező és 2015. december 1-je előtt felszerelt belvízi AIS-berendezések továbbra is használhatók.</w:t>
            </w:r>
          </w:p>
        </w:tc>
        <w:tc>
          <w:tcPr>
            <w:tcW w:w="1276" w:type="dxa"/>
            <w:shd w:val="clear" w:color="auto" w:fill="auto"/>
          </w:tcPr>
          <w:p w:rsidR="005624E3" w:rsidRPr="00605BA5" w:rsidRDefault="005624E3" w:rsidP="00101A80">
            <w:pPr>
              <w:spacing w:before="120" w:after="120" w:line="240" w:lineRule="atLeast"/>
              <w:rPr>
                <w:rFonts w:cs="Arial"/>
                <w:sz w:val="18"/>
                <w:szCs w:val="18"/>
              </w:rPr>
            </w:pPr>
          </w:p>
        </w:tc>
        <w:tc>
          <w:tcPr>
            <w:tcW w:w="1276" w:type="dxa"/>
          </w:tcPr>
          <w:p w:rsidR="005624E3" w:rsidRPr="00DE735E" w:rsidRDefault="005624E3" w:rsidP="00101A80">
            <w:pPr>
              <w:spacing w:before="120" w:after="120" w:line="240" w:lineRule="atLeast"/>
              <w:rPr>
                <w:rFonts w:cs="Arial"/>
                <w:sz w:val="18"/>
                <w:szCs w:val="18"/>
              </w:rPr>
            </w:pPr>
            <w:r>
              <w:rPr>
                <w:sz w:val="18"/>
              </w:rPr>
              <w:t>2013.12.01.</w:t>
            </w:r>
          </w:p>
        </w:tc>
      </w:tr>
      <w:tr w:rsidR="005624E3" w:rsidRPr="00DF5C3B" w:rsidTr="00101A80">
        <w:trPr>
          <w:cantSplit/>
          <w:jc w:val="center"/>
        </w:trPr>
        <w:tc>
          <w:tcPr>
            <w:tcW w:w="1342" w:type="dxa"/>
            <w:tcBorders>
              <w:top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tcBorders>
              <w:top w:val="nil"/>
            </w:tcBorders>
            <w:shd w:val="clear" w:color="auto" w:fill="auto"/>
          </w:tcPr>
          <w:p w:rsidR="005624E3" w:rsidRPr="00DE735E" w:rsidRDefault="005624E3" w:rsidP="00101A80">
            <w:pPr>
              <w:spacing w:before="120" w:after="120" w:line="240" w:lineRule="atLeast"/>
              <w:rPr>
                <w:rFonts w:cs="Arial"/>
                <w:sz w:val="18"/>
                <w:szCs w:val="18"/>
              </w:rPr>
            </w:pPr>
          </w:p>
        </w:tc>
        <w:tc>
          <w:tcPr>
            <w:tcW w:w="3296" w:type="dxa"/>
            <w:tcBorders>
              <w:top w:val="nil"/>
            </w:tcBorders>
            <w:shd w:val="clear" w:color="auto" w:fill="auto"/>
          </w:tcPr>
          <w:p w:rsidR="005624E3" w:rsidRPr="00DE735E" w:rsidRDefault="005624E3" w:rsidP="00101A80">
            <w:pPr>
              <w:spacing w:before="120" w:after="120" w:line="240" w:lineRule="atLeast"/>
              <w:rPr>
                <w:rFonts w:cs="Arial"/>
                <w:sz w:val="18"/>
                <w:szCs w:val="18"/>
              </w:rPr>
            </w:pPr>
          </w:p>
        </w:tc>
        <w:tc>
          <w:tcPr>
            <w:tcW w:w="5387" w:type="dxa"/>
            <w:shd w:val="clear" w:color="auto" w:fill="auto"/>
          </w:tcPr>
          <w:p w:rsidR="005624E3" w:rsidRPr="00020C43" w:rsidRDefault="005624E3" w:rsidP="00101A80">
            <w:pPr>
              <w:spacing w:before="120" w:after="120" w:line="240" w:lineRule="atLeast"/>
              <w:rPr>
                <w:rFonts w:cs="Arial"/>
                <w:sz w:val="18"/>
                <w:szCs w:val="18"/>
              </w:rPr>
            </w:pPr>
            <w:r>
              <w:rPr>
                <w:sz w:val="18"/>
              </w:rPr>
              <w:t>A 2012-II-20 CCNR-határozattal elfogadott belvízi AIS vizsgálati szabvány 2.0 kiadásának követelményei szerinti jóváhagyást 2012. október 19-én vagy azt követően elnyerő belvízi AIS-berendezések továbbra is felszerelhetők és használhatók.</w:t>
            </w:r>
          </w:p>
        </w:tc>
        <w:tc>
          <w:tcPr>
            <w:tcW w:w="1276" w:type="dxa"/>
            <w:shd w:val="clear" w:color="auto" w:fill="auto"/>
          </w:tcPr>
          <w:p w:rsidR="005624E3" w:rsidRPr="00605BA5" w:rsidRDefault="005624E3" w:rsidP="00101A80">
            <w:pPr>
              <w:spacing w:before="120" w:after="120" w:line="240" w:lineRule="atLeast"/>
              <w:rPr>
                <w:rFonts w:cs="Arial"/>
                <w:sz w:val="18"/>
                <w:szCs w:val="18"/>
              </w:rPr>
            </w:pPr>
          </w:p>
        </w:tc>
        <w:tc>
          <w:tcPr>
            <w:tcW w:w="1276" w:type="dxa"/>
          </w:tcPr>
          <w:p w:rsidR="005624E3" w:rsidRPr="00DF5C3B" w:rsidRDefault="005624E3" w:rsidP="00101A80">
            <w:pPr>
              <w:spacing w:before="120" w:after="120" w:line="240" w:lineRule="atLeast"/>
              <w:rPr>
                <w:rFonts w:cs="Arial"/>
                <w:sz w:val="18"/>
                <w:szCs w:val="18"/>
              </w:rPr>
            </w:pPr>
            <w:r>
              <w:rPr>
                <w:sz w:val="18"/>
              </w:rPr>
              <w:t>2018.10.07.</w:t>
            </w:r>
          </w:p>
        </w:tc>
      </w:tr>
      <w:tr w:rsidR="005624E3" w:rsidRPr="003F30FB" w:rsidTr="00101A80">
        <w:trPr>
          <w:cantSplit/>
          <w:jc w:val="center"/>
        </w:trPr>
        <w:tc>
          <w:tcPr>
            <w:tcW w:w="1342" w:type="dxa"/>
            <w:vMerge w:val="restart"/>
            <w:tcBorders>
              <w:top w:val="nil"/>
            </w:tcBorders>
            <w:shd w:val="clear" w:color="auto" w:fill="auto"/>
          </w:tcPr>
          <w:p w:rsidR="005624E3" w:rsidRPr="003F30FB" w:rsidRDefault="005624E3" w:rsidP="00101A80">
            <w:pPr>
              <w:spacing w:before="120" w:after="120" w:line="240" w:lineRule="atLeast"/>
              <w:rPr>
                <w:rFonts w:cs="Arial"/>
                <w:sz w:val="18"/>
                <w:szCs w:val="18"/>
              </w:rPr>
            </w:pPr>
            <w:r>
              <w:rPr>
                <w:sz w:val="18"/>
              </w:rPr>
              <w:t>7.12. cikk</w:t>
            </w:r>
          </w:p>
        </w:tc>
        <w:tc>
          <w:tcPr>
            <w:tcW w:w="1458"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 xml:space="preserve">4. bekezdés </w:t>
            </w:r>
            <w:r>
              <w:rPr>
                <w:rFonts w:cs="Arial"/>
                <w:sz w:val="18"/>
                <w:szCs w:val="18"/>
              </w:rPr>
              <w:br/>
            </w:r>
            <w:r>
              <w:rPr>
                <w:sz w:val="18"/>
              </w:rPr>
              <w:t>második mondat</w:t>
            </w:r>
          </w:p>
        </w:tc>
        <w:tc>
          <w:tcPr>
            <w:tcW w:w="3296"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Kijelző</w:t>
            </w:r>
          </w:p>
        </w:tc>
        <w:tc>
          <w:tcPr>
            <w:tcW w:w="5387"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3F30FB" w:rsidRDefault="005624E3" w:rsidP="00101A80">
            <w:pPr>
              <w:widowControl w:val="0"/>
              <w:spacing w:before="120" w:after="120" w:line="240" w:lineRule="atLeast"/>
              <w:rPr>
                <w:rFonts w:cs="Arial"/>
                <w:sz w:val="18"/>
                <w:szCs w:val="18"/>
              </w:rPr>
            </w:pPr>
          </w:p>
        </w:tc>
        <w:tc>
          <w:tcPr>
            <w:tcW w:w="1276" w:type="dxa"/>
          </w:tcPr>
          <w:p w:rsidR="005624E3" w:rsidRPr="003F30FB" w:rsidRDefault="005624E3" w:rsidP="00101A80">
            <w:pPr>
              <w:widowControl w:val="0"/>
              <w:spacing w:before="120" w:after="120" w:line="240" w:lineRule="atLeast"/>
              <w:rPr>
                <w:rFonts w:cs="Arial"/>
                <w:sz w:val="18"/>
                <w:szCs w:val="18"/>
              </w:rPr>
            </w:pPr>
            <w:r>
              <w:rPr>
                <w:sz w:val="18"/>
              </w:rPr>
              <w:t>2018.01.01.</w:t>
            </w:r>
          </w:p>
        </w:tc>
      </w:tr>
      <w:tr w:rsidR="005624E3" w:rsidRPr="003F30FB" w:rsidTr="00101A80">
        <w:trPr>
          <w:cantSplit/>
          <w:jc w:val="center"/>
        </w:trPr>
        <w:tc>
          <w:tcPr>
            <w:tcW w:w="1342" w:type="dxa"/>
            <w:vMerge/>
            <w:shd w:val="clear" w:color="auto" w:fill="auto"/>
          </w:tcPr>
          <w:p w:rsidR="005624E3" w:rsidRPr="003F30FB" w:rsidRDefault="005624E3" w:rsidP="00101A80">
            <w:pPr>
              <w:spacing w:before="120" w:after="120" w:line="240" w:lineRule="atLeast"/>
              <w:rPr>
                <w:rFonts w:cs="Arial"/>
                <w:sz w:val="18"/>
                <w:szCs w:val="18"/>
              </w:rPr>
            </w:pPr>
          </w:p>
        </w:tc>
        <w:tc>
          <w:tcPr>
            <w:tcW w:w="1458"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5. bekezdés</w:t>
            </w:r>
          </w:p>
        </w:tc>
        <w:tc>
          <w:tcPr>
            <w:tcW w:w="3296"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Megállás és rögzítés</w:t>
            </w:r>
          </w:p>
        </w:tc>
        <w:tc>
          <w:tcPr>
            <w:tcW w:w="5387"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2025.01.01.</w:t>
            </w:r>
          </w:p>
        </w:tc>
        <w:tc>
          <w:tcPr>
            <w:tcW w:w="1276" w:type="dxa"/>
          </w:tcPr>
          <w:p w:rsidR="005624E3" w:rsidRPr="003F30FB" w:rsidRDefault="005624E3" w:rsidP="00101A80">
            <w:pPr>
              <w:widowControl w:val="0"/>
              <w:spacing w:before="120" w:after="120" w:line="240" w:lineRule="atLeast"/>
              <w:rPr>
                <w:rFonts w:cs="Arial"/>
                <w:sz w:val="18"/>
                <w:szCs w:val="18"/>
              </w:rPr>
            </w:pPr>
            <w:r>
              <w:rPr>
                <w:sz w:val="18"/>
              </w:rPr>
              <w:t>2018.01.01.</w:t>
            </w:r>
          </w:p>
        </w:tc>
      </w:tr>
      <w:tr w:rsidR="005624E3" w:rsidRPr="003F30FB" w:rsidTr="00101A80">
        <w:trPr>
          <w:cantSplit/>
          <w:jc w:val="center"/>
        </w:trPr>
        <w:tc>
          <w:tcPr>
            <w:tcW w:w="1342" w:type="dxa"/>
            <w:vMerge/>
            <w:shd w:val="clear" w:color="auto" w:fill="auto"/>
          </w:tcPr>
          <w:p w:rsidR="005624E3" w:rsidRPr="003F30FB" w:rsidRDefault="005624E3" w:rsidP="00101A80">
            <w:pPr>
              <w:spacing w:before="120" w:after="120" w:line="240" w:lineRule="atLeast"/>
              <w:rPr>
                <w:rFonts w:cs="Arial"/>
                <w:sz w:val="18"/>
                <w:szCs w:val="18"/>
              </w:rPr>
            </w:pPr>
          </w:p>
        </w:tc>
        <w:tc>
          <w:tcPr>
            <w:tcW w:w="1458"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6. bekezdés</w:t>
            </w:r>
          </w:p>
        </w:tc>
        <w:tc>
          <w:tcPr>
            <w:tcW w:w="3296"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Automatikus kikapcsolás</w:t>
            </w:r>
          </w:p>
        </w:tc>
        <w:tc>
          <w:tcPr>
            <w:tcW w:w="5387"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2025.01.01.</w:t>
            </w:r>
          </w:p>
        </w:tc>
        <w:tc>
          <w:tcPr>
            <w:tcW w:w="1276" w:type="dxa"/>
          </w:tcPr>
          <w:p w:rsidR="005624E3" w:rsidRPr="003F30FB" w:rsidRDefault="005624E3" w:rsidP="00101A80">
            <w:pPr>
              <w:widowControl w:val="0"/>
              <w:spacing w:before="120" w:after="120" w:line="240" w:lineRule="atLeast"/>
              <w:rPr>
                <w:rFonts w:cs="Arial"/>
                <w:sz w:val="18"/>
                <w:szCs w:val="18"/>
              </w:rPr>
            </w:pPr>
            <w:r>
              <w:rPr>
                <w:sz w:val="18"/>
              </w:rPr>
              <w:t>2018.01.01.</w:t>
            </w:r>
          </w:p>
        </w:tc>
      </w:tr>
      <w:tr w:rsidR="005624E3" w:rsidRPr="003F30FB" w:rsidTr="00101A80">
        <w:trPr>
          <w:cantSplit/>
          <w:jc w:val="center"/>
        </w:trPr>
        <w:tc>
          <w:tcPr>
            <w:tcW w:w="1342" w:type="dxa"/>
            <w:vMerge/>
            <w:shd w:val="clear" w:color="auto" w:fill="auto"/>
          </w:tcPr>
          <w:p w:rsidR="005624E3" w:rsidRPr="003F30FB" w:rsidRDefault="005624E3" w:rsidP="00101A80">
            <w:pPr>
              <w:spacing w:before="120" w:after="120" w:line="240" w:lineRule="atLeast"/>
              <w:rPr>
                <w:rFonts w:cs="Arial"/>
                <w:sz w:val="18"/>
                <w:szCs w:val="18"/>
              </w:rPr>
            </w:pPr>
          </w:p>
        </w:tc>
        <w:tc>
          <w:tcPr>
            <w:tcW w:w="1458" w:type="dxa"/>
            <w:shd w:val="clear" w:color="auto" w:fill="auto"/>
          </w:tcPr>
          <w:p w:rsidR="005624E3" w:rsidRPr="003F30FB" w:rsidRDefault="005624E3" w:rsidP="00101A80">
            <w:pPr>
              <w:widowControl w:val="0"/>
              <w:spacing w:before="120" w:after="120" w:line="240" w:lineRule="atLeast"/>
              <w:ind w:left="-15" w:firstLine="15"/>
              <w:rPr>
                <w:rFonts w:cs="Arial"/>
                <w:sz w:val="18"/>
                <w:szCs w:val="18"/>
              </w:rPr>
            </w:pPr>
            <w:r>
              <w:rPr>
                <w:sz w:val="18"/>
              </w:rPr>
              <w:t xml:space="preserve">7. bekezdés </w:t>
            </w:r>
            <w:r>
              <w:rPr>
                <w:rFonts w:cs="Arial"/>
                <w:sz w:val="18"/>
                <w:szCs w:val="18"/>
              </w:rPr>
              <w:br/>
            </w:r>
            <w:r>
              <w:rPr>
                <w:sz w:val="18"/>
              </w:rPr>
              <w:t>első és második mondat</w:t>
            </w:r>
          </w:p>
        </w:tc>
        <w:tc>
          <w:tcPr>
            <w:tcW w:w="3296"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Szabályok és óvintézkedések</w:t>
            </w:r>
          </w:p>
        </w:tc>
        <w:tc>
          <w:tcPr>
            <w:tcW w:w="5387"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2025.01.01.</w:t>
            </w:r>
          </w:p>
        </w:tc>
        <w:tc>
          <w:tcPr>
            <w:tcW w:w="1276" w:type="dxa"/>
          </w:tcPr>
          <w:p w:rsidR="005624E3" w:rsidRPr="003F30FB" w:rsidRDefault="005624E3" w:rsidP="00101A80">
            <w:pPr>
              <w:widowControl w:val="0"/>
              <w:spacing w:before="120" w:after="120" w:line="240" w:lineRule="atLeast"/>
              <w:rPr>
                <w:rFonts w:cs="Arial"/>
                <w:sz w:val="18"/>
                <w:szCs w:val="18"/>
              </w:rPr>
            </w:pPr>
            <w:r>
              <w:rPr>
                <w:sz w:val="18"/>
              </w:rPr>
              <w:t>2018.01.01.</w:t>
            </w:r>
          </w:p>
        </w:tc>
      </w:tr>
      <w:tr w:rsidR="005624E3" w:rsidRPr="003F30FB" w:rsidTr="00101A80">
        <w:trPr>
          <w:cantSplit/>
          <w:jc w:val="center"/>
        </w:trPr>
        <w:tc>
          <w:tcPr>
            <w:tcW w:w="1342" w:type="dxa"/>
            <w:vMerge/>
            <w:shd w:val="clear" w:color="auto" w:fill="auto"/>
          </w:tcPr>
          <w:p w:rsidR="005624E3" w:rsidRPr="003F30FB" w:rsidRDefault="005624E3" w:rsidP="00101A80">
            <w:pPr>
              <w:spacing w:before="120" w:after="120" w:line="240" w:lineRule="atLeast"/>
              <w:rPr>
                <w:rFonts w:cs="Arial"/>
                <w:sz w:val="18"/>
                <w:szCs w:val="18"/>
              </w:rPr>
            </w:pPr>
          </w:p>
        </w:tc>
        <w:tc>
          <w:tcPr>
            <w:tcW w:w="1458" w:type="dxa"/>
            <w:shd w:val="clear" w:color="auto" w:fill="auto"/>
          </w:tcPr>
          <w:p w:rsidR="005624E3" w:rsidRPr="003F30FB" w:rsidRDefault="005624E3" w:rsidP="00101A80">
            <w:pPr>
              <w:widowControl w:val="0"/>
              <w:spacing w:before="120" w:after="120" w:line="240" w:lineRule="atLeast"/>
              <w:ind w:left="-15" w:firstLine="15"/>
              <w:rPr>
                <w:rFonts w:cs="Arial"/>
                <w:sz w:val="18"/>
                <w:szCs w:val="18"/>
              </w:rPr>
            </w:pPr>
            <w:r>
              <w:rPr>
                <w:sz w:val="18"/>
              </w:rPr>
              <w:t xml:space="preserve">7. bekezdés </w:t>
            </w:r>
            <w:r>
              <w:rPr>
                <w:rFonts w:cs="Arial"/>
                <w:sz w:val="18"/>
                <w:szCs w:val="18"/>
              </w:rPr>
              <w:br/>
            </w:r>
            <w:r>
              <w:rPr>
                <w:sz w:val="18"/>
              </w:rPr>
              <w:t>harmadik mondat</w:t>
            </w:r>
          </w:p>
        </w:tc>
        <w:tc>
          <w:tcPr>
            <w:tcW w:w="3296"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Optikai jelzés</w:t>
            </w:r>
          </w:p>
        </w:tc>
        <w:tc>
          <w:tcPr>
            <w:tcW w:w="5387"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3F30FB" w:rsidRDefault="005624E3" w:rsidP="00101A80">
            <w:pPr>
              <w:widowControl w:val="0"/>
              <w:spacing w:before="120" w:after="120" w:line="240" w:lineRule="atLeast"/>
              <w:rPr>
                <w:rFonts w:cs="Arial"/>
                <w:sz w:val="18"/>
                <w:szCs w:val="18"/>
              </w:rPr>
            </w:pPr>
          </w:p>
        </w:tc>
        <w:tc>
          <w:tcPr>
            <w:tcW w:w="1276" w:type="dxa"/>
          </w:tcPr>
          <w:p w:rsidR="005624E3" w:rsidRPr="003F30FB" w:rsidRDefault="005624E3" w:rsidP="00101A80">
            <w:pPr>
              <w:widowControl w:val="0"/>
              <w:spacing w:before="120" w:after="120" w:line="240" w:lineRule="atLeast"/>
              <w:rPr>
                <w:rFonts w:cs="Arial"/>
                <w:sz w:val="18"/>
                <w:szCs w:val="18"/>
              </w:rPr>
            </w:pPr>
            <w:r>
              <w:rPr>
                <w:sz w:val="18"/>
              </w:rPr>
              <w:t>2018.01.01.</w:t>
            </w:r>
          </w:p>
        </w:tc>
      </w:tr>
      <w:tr w:rsidR="005624E3" w:rsidRPr="003F30FB" w:rsidTr="00101A80">
        <w:trPr>
          <w:cantSplit/>
          <w:jc w:val="center"/>
        </w:trPr>
        <w:tc>
          <w:tcPr>
            <w:tcW w:w="1342" w:type="dxa"/>
            <w:vMerge/>
            <w:shd w:val="clear" w:color="auto" w:fill="auto"/>
          </w:tcPr>
          <w:p w:rsidR="005624E3" w:rsidRPr="003F30FB" w:rsidRDefault="005624E3" w:rsidP="00101A80">
            <w:pPr>
              <w:spacing w:before="120" w:after="120" w:line="240" w:lineRule="atLeast"/>
              <w:rPr>
                <w:rFonts w:cs="Arial"/>
                <w:sz w:val="18"/>
                <w:szCs w:val="18"/>
              </w:rPr>
            </w:pPr>
          </w:p>
        </w:tc>
        <w:tc>
          <w:tcPr>
            <w:tcW w:w="1458"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8. bekezdés</w:t>
            </w:r>
          </w:p>
        </w:tc>
        <w:tc>
          <w:tcPr>
            <w:tcW w:w="3296" w:type="dxa"/>
            <w:shd w:val="clear" w:color="auto" w:fill="auto"/>
          </w:tcPr>
          <w:p w:rsidR="005624E3" w:rsidRPr="003F30FB" w:rsidRDefault="005624E3" w:rsidP="00101A80">
            <w:pPr>
              <w:widowControl w:val="0"/>
              <w:tabs>
                <w:tab w:val="left" w:pos="1260"/>
              </w:tabs>
              <w:adjustRightInd w:val="0"/>
              <w:spacing w:before="120" w:after="120" w:line="240" w:lineRule="atLeast"/>
              <w:rPr>
                <w:rFonts w:cs="Arial"/>
                <w:sz w:val="18"/>
                <w:szCs w:val="18"/>
              </w:rPr>
            </w:pPr>
            <w:r>
              <w:rPr>
                <w:sz w:val="18"/>
              </w:rPr>
              <w:t>Vészhelyzeti leeresztő funkció</w:t>
            </w:r>
          </w:p>
        </w:tc>
        <w:tc>
          <w:tcPr>
            <w:tcW w:w="5387"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Ha a hidraulikus leeresztés nem lehetséges: N.R.C., legkésőbb a belvízi hajóbizonyítvány megújításakor e dátumot követően:</w:t>
            </w:r>
          </w:p>
        </w:tc>
        <w:tc>
          <w:tcPr>
            <w:tcW w:w="1276"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2040.01.01.</w:t>
            </w:r>
          </w:p>
        </w:tc>
        <w:tc>
          <w:tcPr>
            <w:tcW w:w="1276" w:type="dxa"/>
          </w:tcPr>
          <w:p w:rsidR="005624E3" w:rsidRPr="003F30FB" w:rsidRDefault="005624E3" w:rsidP="00101A80">
            <w:pPr>
              <w:widowControl w:val="0"/>
              <w:spacing w:before="120" w:after="120" w:line="240" w:lineRule="atLeast"/>
              <w:rPr>
                <w:rFonts w:cs="Arial"/>
                <w:sz w:val="18"/>
                <w:szCs w:val="18"/>
              </w:rPr>
            </w:pPr>
            <w:r>
              <w:rPr>
                <w:sz w:val="18"/>
              </w:rPr>
              <w:t>2018.01.01.</w:t>
            </w:r>
          </w:p>
        </w:tc>
      </w:tr>
      <w:tr w:rsidR="005624E3" w:rsidRPr="000E732C" w:rsidTr="00101A80">
        <w:trPr>
          <w:cantSplit/>
          <w:trHeight w:val="163"/>
          <w:jc w:val="center"/>
        </w:trPr>
        <w:tc>
          <w:tcPr>
            <w:tcW w:w="1342" w:type="dxa"/>
            <w:vMerge/>
            <w:shd w:val="clear" w:color="auto" w:fill="auto"/>
          </w:tcPr>
          <w:p w:rsidR="005624E3" w:rsidRPr="003F30FB" w:rsidRDefault="005624E3" w:rsidP="00101A80">
            <w:pPr>
              <w:spacing w:before="120" w:after="120" w:line="240" w:lineRule="atLeast"/>
              <w:rPr>
                <w:rFonts w:cs="Arial"/>
                <w:sz w:val="18"/>
                <w:szCs w:val="18"/>
              </w:rPr>
            </w:pPr>
          </w:p>
        </w:tc>
        <w:tc>
          <w:tcPr>
            <w:tcW w:w="1458" w:type="dxa"/>
            <w:vMerge w:val="restart"/>
            <w:shd w:val="clear" w:color="auto" w:fill="auto"/>
          </w:tcPr>
          <w:p w:rsidR="005624E3" w:rsidRPr="003F30FB" w:rsidDel="00F12D85" w:rsidRDefault="005624E3" w:rsidP="00101A80">
            <w:pPr>
              <w:widowControl w:val="0"/>
              <w:spacing w:before="120" w:after="120" w:line="240" w:lineRule="atLeast"/>
              <w:rPr>
                <w:rFonts w:cs="Arial"/>
                <w:sz w:val="18"/>
                <w:szCs w:val="18"/>
              </w:rPr>
            </w:pPr>
            <w:r>
              <w:rPr>
                <w:sz w:val="18"/>
              </w:rPr>
              <w:t>12. bekezdés c) pont</w:t>
            </w:r>
          </w:p>
        </w:tc>
        <w:tc>
          <w:tcPr>
            <w:tcW w:w="3296" w:type="dxa"/>
            <w:vMerge w:val="restart"/>
            <w:shd w:val="clear" w:color="auto" w:fill="auto"/>
          </w:tcPr>
          <w:p w:rsidR="005624E3" w:rsidRPr="003F30FB" w:rsidRDefault="005624E3" w:rsidP="00101A80">
            <w:pPr>
              <w:widowControl w:val="0"/>
              <w:tabs>
                <w:tab w:val="left" w:pos="1260"/>
              </w:tabs>
              <w:adjustRightInd w:val="0"/>
              <w:spacing w:before="120" w:after="120" w:line="240" w:lineRule="atLeast"/>
              <w:rPr>
                <w:rFonts w:cs="Arial"/>
                <w:sz w:val="18"/>
                <w:szCs w:val="18"/>
              </w:rPr>
            </w:pPr>
            <w:r>
              <w:rPr>
                <w:sz w:val="18"/>
              </w:rPr>
              <w:t>Vizsgálatok</w:t>
            </w:r>
          </w:p>
        </w:tc>
        <w:tc>
          <w:tcPr>
            <w:tcW w:w="5387"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N.R.C., legkésőbb a belvízi hajóbizonyítvány megújításakor.</w:t>
            </w:r>
          </w:p>
        </w:tc>
        <w:tc>
          <w:tcPr>
            <w:tcW w:w="1276" w:type="dxa"/>
            <w:vMerge w:val="restart"/>
            <w:shd w:val="clear" w:color="auto" w:fill="auto"/>
          </w:tcPr>
          <w:p w:rsidR="005624E3" w:rsidRPr="003F30FB" w:rsidRDefault="005624E3" w:rsidP="00101A80">
            <w:pPr>
              <w:widowControl w:val="0"/>
              <w:spacing w:before="120" w:after="120" w:line="240" w:lineRule="atLeast"/>
              <w:rPr>
                <w:rFonts w:cs="Arial"/>
                <w:sz w:val="18"/>
                <w:szCs w:val="18"/>
              </w:rPr>
            </w:pPr>
          </w:p>
        </w:tc>
        <w:tc>
          <w:tcPr>
            <w:tcW w:w="1276" w:type="dxa"/>
            <w:vMerge w:val="restart"/>
          </w:tcPr>
          <w:p w:rsidR="005624E3" w:rsidRPr="003F30FB" w:rsidRDefault="005624E3" w:rsidP="00101A80">
            <w:pPr>
              <w:widowControl w:val="0"/>
              <w:spacing w:before="120" w:after="120" w:line="240" w:lineRule="atLeast"/>
              <w:rPr>
                <w:rFonts w:cs="Arial"/>
                <w:sz w:val="18"/>
                <w:szCs w:val="18"/>
              </w:rPr>
            </w:pPr>
            <w:r>
              <w:rPr>
                <w:sz w:val="18"/>
              </w:rPr>
              <w:t>2018.01.01.</w:t>
            </w:r>
          </w:p>
        </w:tc>
      </w:tr>
      <w:tr w:rsidR="005624E3" w:rsidRPr="00A0619C" w:rsidTr="00101A80">
        <w:trPr>
          <w:cantSplit/>
          <w:trHeight w:val="163"/>
          <w:jc w:val="center"/>
        </w:trPr>
        <w:tc>
          <w:tcPr>
            <w:tcW w:w="1342" w:type="dxa"/>
            <w:vMerge/>
            <w:shd w:val="clear" w:color="auto" w:fill="auto"/>
          </w:tcPr>
          <w:p w:rsidR="005624E3" w:rsidRPr="000E732C" w:rsidRDefault="005624E3" w:rsidP="00101A80">
            <w:pPr>
              <w:spacing w:before="120" w:after="120" w:line="240" w:lineRule="atLeast"/>
              <w:rPr>
                <w:rFonts w:cs="Arial"/>
                <w:sz w:val="18"/>
                <w:szCs w:val="18"/>
              </w:rPr>
            </w:pPr>
          </w:p>
        </w:tc>
        <w:tc>
          <w:tcPr>
            <w:tcW w:w="1458" w:type="dxa"/>
            <w:vMerge/>
            <w:shd w:val="clear" w:color="auto" w:fill="auto"/>
          </w:tcPr>
          <w:p w:rsidR="005624E3" w:rsidRPr="008921FB" w:rsidRDefault="005624E3" w:rsidP="00101A80">
            <w:pPr>
              <w:widowControl w:val="0"/>
              <w:spacing w:before="120" w:after="120" w:line="240" w:lineRule="atLeast"/>
              <w:rPr>
                <w:rFonts w:cs="Arial"/>
                <w:sz w:val="18"/>
                <w:szCs w:val="18"/>
                <w:highlight w:val="lightGray"/>
              </w:rPr>
            </w:pPr>
          </w:p>
        </w:tc>
        <w:tc>
          <w:tcPr>
            <w:tcW w:w="3296" w:type="dxa"/>
            <w:vMerge/>
            <w:shd w:val="clear" w:color="auto" w:fill="auto"/>
          </w:tcPr>
          <w:p w:rsidR="005624E3" w:rsidRPr="008921FB" w:rsidRDefault="005624E3" w:rsidP="00101A80">
            <w:pPr>
              <w:widowControl w:val="0"/>
              <w:tabs>
                <w:tab w:val="left" w:pos="1260"/>
              </w:tabs>
              <w:adjustRightInd w:val="0"/>
              <w:spacing w:before="120" w:after="120" w:line="240" w:lineRule="atLeast"/>
              <w:rPr>
                <w:rFonts w:cs="Arial"/>
                <w:sz w:val="18"/>
                <w:szCs w:val="18"/>
                <w:highlight w:val="lightGray"/>
              </w:rPr>
            </w:pPr>
          </w:p>
        </w:tc>
        <w:tc>
          <w:tcPr>
            <w:tcW w:w="5387" w:type="dxa"/>
            <w:shd w:val="clear" w:color="auto" w:fill="auto"/>
          </w:tcPr>
          <w:p w:rsidR="005624E3" w:rsidRPr="003F30FB" w:rsidRDefault="005624E3" w:rsidP="00101A80">
            <w:pPr>
              <w:widowControl w:val="0"/>
              <w:spacing w:before="120" w:after="120" w:line="240" w:lineRule="atLeast"/>
              <w:rPr>
                <w:rFonts w:cs="Arial"/>
                <w:sz w:val="18"/>
                <w:szCs w:val="18"/>
              </w:rPr>
            </w:pPr>
            <w:r>
              <w:rPr>
                <w:sz w:val="18"/>
              </w:rPr>
              <w:t>Ha nem szolgáltatható matematikai bizonyíték, az ellenőrző szerv más megfelelő bizonyítékot is elismerhet.</w:t>
            </w:r>
          </w:p>
        </w:tc>
        <w:tc>
          <w:tcPr>
            <w:tcW w:w="1276" w:type="dxa"/>
            <w:vMerge/>
            <w:shd w:val="clear" w:color="auto" w:fill="auto"/>
          </w:tcPr>
          <w:p w:rsidR="005624E3" w:rsidRPr="008921FB" w:rsidRDefault="005624E3" w:rsidP="00101A80">
            <w:pPr>
              <w:widowControl w:val="0"/>
              <w:spacing w:before="120" w:after="120" w:line="240" w:lineRule="atLeast"/>
              <w:rPr>
                <w:rFonts w:cs="Arial"/>
                <w:sz w:val="18"/>
                <w:szCs w:val="18"/>
                <w:highlight w:val="lightGray"/>
              </w:rPr>
            </w:pPr>
          </w:p>
        </w:tc>
        <w:tc>
          <w:tcPr>
            <w:tcW w:w="1276" w:type="dxa"/>
            <w:vMerge/>
          </w:tcPr>
          <w:p w:rsidR="005624E3" w:rsidRPr="008921FB" w:rsidRDefault="005624E3" w:rsidP="00101A80">
            <w:pPr>
              <w:widowControl w:val="0"/>
              <w:spacing w:before="120" w:after="120" w:line="240" w:lineRule="atLeast"/>
              <w:rPr>
                <w:rFonts w:cs="Arial"/>
                <w:sz w:val="18"/>
                <w:szCs w:val="18"/>
                <w:highlight w:val="lightGray"/>
              </w:rPr>
            </w:pP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20" w:after="120" w:line="240" w:lineRule="atLeast"/>
              <w:jc w:val="center"/>
              <w:rPr>
                <w:rFonts w:cs="Arial"/>
                <w:sz w:val="18"/>
                <w:szCs w:val="18"/>
              </w:rPr>
            </w:pPr>
            <w:r>
              <w:rPr>
                <w:b/>
                <w:sz w:val="18"/>
              </w:rPr>
              <w:t>8. FEJEZET</w:t>
            </w:r>
          </w:p>
        </w:tc>
        <w:tc>
          <w:tcPr>
            <w:tcW w:w="5387" w:type="dxa"/>
            <w:shd w:val="clear" w:color="auto" w:fill="auto"/>
          </w:tcPr>
          <w:p w:rsidR="005624E3" w:rsidRPr="00C903F8" w:rsidRDefault="005624E3" w:rsidP="00101A80">
            <w:pPr>
              <w:spacing w:before="120" w:after="120" w:line="240" w:lineRule="atLeast"/>
              <w:rPr>
                <w:rFonts w:cs="Arial"/>
                <w:sz w:val="18"/>
                <w:szCs w:val="18"/>
              </w:rPr>
            </w:pP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c>
          <w:tcPr>
            <w:tcW w:w="1276" w:type="dxa"/>
          </w:tcPr>
          <w:p w:rsidR="005624E3" w:rsidRPr="00C903F8" w:rsidRDefault="005624E3" w:rsidP="00101A80">
            <w:pPr>
              <w:spacing w:before="120" w:after="120" w:line="240" w:lineRule="atLeast"/>
              <w:rPr>
                <w:rFonts w:cs="Arial"/>
                <w:sz w:val="18"/>
                <w:szCs w:val="18"/>
              </w:rPr>
            </w:pP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8.02.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Csövek védelme</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2025.01.01.</w:t>
            </w:r>
          </w:p>
        </w:tc>
        <w:tc>
          <w:tcPr>
            <w:tcW w:w="1276" w:type="dxa"/>
          </w:tcPr>
          <w:p w:rsidR="005624E3" w:rsidRPr="00C903F8" w:rsidRDefault="005624E3" w:rsidP="00101A80">
            <w:pPr>
              <w:spacing w:before="120" w:after="120" w:line="240" w:lineRule="atLeast"/>
              <w:rPr>
                <w:rFonts w:cs="Arial"/>
                <w:sz w:val="18"/>
                <w:szCs w:val="18"/>
              </w:rPr>
            </w:pPr>
            <w:r>
              <w:rPr>
                <w:sz w:val="18"/>
              </w:rPr>
              <w:t>2007.04.01.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spacing w:before="120" w:after="120" w:line="240" w:lineRule="atLeast"/>
              <w:rPr>
                <w:rFonts w:cs="Arial"/>
                <w:noProof/>
                <w:sz w:val="18"/>
                <w:szCs w:val="18"/>
              </w:rPr>
            </w:pPr>
            <w:r>
              <w:rPr>
                <w:noProof/>
                <w:sz w:val="18"/>
              </w:rPr>
              <w:t>Borítással ellátott csőrendszer</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2025.01.01.</w:t>
            </w:r>
          </w:p>
        </w:tc>
        <w:tc>
          <w:tcPr>
            <w:tcW w:w="1276" w:type="dxa"/>
          </w:tcPr>
          <w:p w:rsidR="005624E3" w:rsidRPr="00C903F8" w:rsidRDefault="005624E3" w:rsidP="00101A80">
            <w:pPr>
              <w:spacing w:before="120" w:after="120" w:line="240" w:lineRule="atLeast"/>
              <w:rPr>
                <w:rFonts w:cs="Arial"/>
                <w:sz w:val="18"/>
                <w:szCs w:val="18"/>
              </w:rPr>
            </w:pPr>
            <w:r>
              <w:rPr>
                <w:sz w:val="18"/>
              </w:rPr>
              <w:t>2007.04.01.</w:t>
            </w:r>
          </w:p>
        </w:tc>
      </w:tr>
      <w:tr w:rsidR="005624E3" w:rsidRPr="00C903F8" w:rsidTr="00101A80">
        <w:trPr>
          <w:cantSplit/>
          <w:jc w:val="center"/>
        </w:trPr>
        <w:tc>
          <w:tcPr>
            <w:tcW w:w="1342" w:type="dxa"/>
            <w:tcBorders>
              <w:bottom w:val="single" w:sz="4" w:space="0" w:color="auto"/>
            </w:tcBorders>
            <w:shd w:val="clear" w:color="auto" w:fill="auto"/>
          </w:tcPr>
          <w:p w:rsidR="005624E3" w:rsidRPr="00C903F8" w:rsidRDefault="005624E3" w:rsidP="00101A80">
            <w:pPr>
              <w:spacing w:before="240" w:after="240" w:line="240" w:lineRule="atLeast"/>
              <w:rPr>
                <w:rFonts w:cs="Arial"/>
                <w:sz w:val="18"/>
                <w:szCs w:val="18"/>
              </w:rPr>
            </w:pPr>
            <w:r>
              <w:rPr>
                <w:sz w:val="18"/>
              </w:rPr>
              <w:t>8.03. cikk</w:t>
            </w:r>
          </w:p>
        </w:tc>
        <w:tc>
          <w:tcPr>
            <w:tcW w:w="1458" w:type="dxa"/>
            <w:shd w:val="clear" w:color="auto" w:fill="auto"/>
          </w:tcPr>
          <w:p w:rsidR="005624E3" w:rsidRPr="00C903F8" w:rsidRDefault="005624E3" w:rsidP="00101A80">
            <w:pPr>
              <w:spacing w:before="240" w:after="24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240" w:after="240" w:line="240" w:lineRule="atLeast"/>
              <w:rPr>
                <w:rFonts w:cs="Arial"/>
                <w:sz w:val="18"/>
                <w:szCs w:val="18"/>
              </w:rPr>
            </w:pPr>
            <w:r>
              <w:rPr>
                <w:noProof/>
                <w:sz w:val="18"/>
              </w:rPr>
              <w:t>Ellenőrző berendezések</w:t>
            </w:r>
          </w:p>
        </w:tc>
        <w:tc>
          <w:tcPr>
            <w:tcW w:w="5387" w:type="dxa"/>
            <w:shd w:val="clear" w:color="auto" w:fill="auto"/>
          </w:tcPr>
          <w:p w:rsidR="005624E3" w:rsidRPr="00C903F8" w:rsidRDefault="005624E3" w:rsidP="00101A80">
            <w:pPr>
              <w:spacing w:before="240" w:after="2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2010.01.01.</w:t>
            </w:r>
          </w:p>
        </w:tc>
        <w:tc>
          <w:tcPr>
            <w:tcW w:w="1276" w:type="dxa"/>
          </w:tcPr>
          <w:p w:rsidR="005624E3" w:rsidRPr="00C903F8" w:rsidRDefault="005624E3" w:rsidP="00101A80">
            <w:pPr>
              <w:spacing w:before="240" w:after="240" w:line="240" w:lineRule="atLeast"/>
              <w:rPr>
                <w:rFonts w:cs="Arial"/>
                <w:sz w:val="18"/>
                <w:szCs w:val="18"/>
              </w:rPr>
            </w:pPr>
            <w:r>
              <w:rPr>
                <w:sz w:val="18"/>
              </w:rPr>
              <w:t>2004.04.01.</w:t>
            </w: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240" w:after="240" w:line="240" w:lineRule="atLeast"/>
              <w:rPr>
                <w:rFonts w:cs="Arial"/>
                <w:sz w:val="18"/>
                <w:szCs w:val="18"/>
              </w:rPr>
            </w:pPr>
            <w:r>
              <w:rPr>
                <w:sz w:val="18"/>
              </w:rPr>
              <w:t>8.05. cikk</w:t>
            </w:r>
          </w:p>
        </w:tc>
        <w:tc>
          <w:tcPr>
            <w:tcW w:w="1458" w:type="dxa"/>
            <w:shd w:val="clear" w:color="auto" w:fill="auto"/>
          </w:tcPr>
          <w:p w:rsidR="005624E3" w:rsidRPr="00C903F8" w:rsidRDefault="005624E3" w:rsidP="00101A80">
            <w:pPr>
              <w:spacing w:before="240" w:after="24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240" w:after="240" w:line="240" w:lineRule="atLeast"/>
              <w:rPr>
                <w:rFonts w:cs="Arial"/>
                <w:sz w:val="18"/>
                <w:szCs w:val="18"/>
              </w:rPr>
            </w:pPr>
            <w:r>
              <w:rPr>
                <w:sz w:val="18"/>
              </w:rPr>
              <w:t>Tüzelőanyag-tartályok farválaszfal mögötti elhelyezésének tilalma</w:t>
            </w:r>
          </w:p>
        </w:tc>
        <w:tc>
          <w:tcPr>
            <w:tcW w:w="5387" w:type="dxa"/>
            <w:shd w:val="clear" w:color="auto" w:fill="auto"/>
          </w:tcPr>
          <w:p w:rsidR="005624E3" w:rsidRPr="00C903F8" w:rsidRDefault="005624E3" w:rsidP="00101A80">
            <w:pPr>
              <w:spacing w:before="240" w:after="2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2035.01.01.</w:t>
            </w:r>
          </w:p>
        </w:tc>
        <w:tc>
          <w:tcPr>
            <w:tcW w:w="1276" w:type="dxa"/>
          </w:tcPr>
          <w:p w:rsidR="005624E3" w:rsidRPr="00C903F8" w:rsidRDefault="005624E3" w:rsidP="00101A80">
            <w:pPr>
              <w:spacing w:before="240" w:after="240" w:line="240" w:lineRule="atLeast"/>
              <w:rPr>
                <w:rFonts w:cs="Arial"/>
                <w:sz w:val="18"/>
                <w:szCs w:val="18"/>
              </w:rPr>
            </w:pPr>
            <w:r>
              <w:rPr>
                <w:sz w:val="18"/>
              </w:rPr>
              <w:t>2018.10.07.</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240" w:after="240" w:line="240" w:lineRule="atLeast"/>
              <w:rPr>
                <w:rFonts w:cs="Arial"/>
                <w:sz w:val="18"/>
                <w:szCs w:val="18"/>
              </w:rPr>
            </w:pPr>
          </w:p>
        </w:tc>
        <w:tc>
          <w:tcPr>
            <w:tcW w:w="1458" w:type="dxa"/>
            <w:shd w:val="clear" w:color="auto" w:fill="auto"/>
          </w:tcPr>
          <w:p w:rsidR="005624E3" w:rsidRPr="00C903F8" w:rsidRDefault="005624E3" w:rsidP="00101A80">
            <w:pPr>
              <w:spacing w:before="240" w:after="240" w:line="240" w:lineRule="atLeast"/>
              <w:rPr>
                <w:rFonts w:cs="Arial"/>
                <w:sz w:val="18"/>
                <w:szCs w:val="18"/>
              </w:rPr>
            </w:pPr>
            <w:r>
              <w:rPr>
                <w:sz w:val="18"/>
              </w:rPr>
              <w:t>7. bekezdés első mondat</w:t>
            </w:r>
          </w:p>
        </w:tc>
        <w:tc>
          <w:tcPr>
            <w:tcW w:w="3296" w:type="dxa"/>
            <w:shd w:val="clear" w:color="auto" w:fill="auto"/>
          </w:tcPr>
          <w:p w:rsidR="005624E3" w:rsidRPr="00C903F8" w:rsidRDefault="005624E3" w:rsidP="00101A80">
            <w:pPr>
              <w:spacing w:before="240" w:after="240" w:line="240" w:lineRule="atLeast"/>
              <w:rPr>
                <w:rFonts w:cs="Arial"/>
                <w:sz w:val="18"/>
                <w:szCs w:val="18"/>
              </w:rPr>
            </w:pPr>
            <w:r>
              <w:rPr>
                <w:sz w:val="18"/>
              </w:rPr>
              <w:t>Még az érintett helyiségek lezárásakor is a fedélzetről működtethető gyorszáró szelep a tartályon</w:t>
            </w:r>
          </w:p>
        </w:tc>
        <w:tc>
          <w:tcPr>
            <w:tcW w:w="5387" w:type="dxa"/>
            <w:shd w:val="clear" w:color="auto" w:fill="auto"/>
          </w:tcPr>
          <w:p w:rsidR="005624E3" w:rsidRPr="00C903F8" w:rsidRDefault="005624E3" w:rsidP="00101A80">
            <w:pPr>
              <w:spacing w:before="240" w:after="2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2015.01.01.</w:t>
            </w:r>
          </w:p>
        </w:tc>
        <w:tc>
          <w:tcPr>
            <w:tcW w:w="1276" w:type="dxa"/>
          </w:tcPr>
          <w:p w:rsidR="005624E3" w:rsidRPr="00C903F8" w:rsidRDefault="005624E3" w:rsidP="00101A80">
            <w:pPr>
              <w:spacing w:before="240" w:after="240" w:line="240" w:lineRule="atLeast"/>
              <w:rPr>
                <w:rFonts w:cs="Arial"/>
                <w:sz w:val="18"/>
                <w:szCs w:val="18"/>
              </w:rPr>
            </w:pPr>
            <w:r>
              <w:rPr>
                <w:sz w:val="18"/>
              </w:rPr>
              <w:t>2008.04.01.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240" w:after="240" w:line="240" w:lineRule="atLeast"/>
              <w:rPr>
                <w:rFonts w:cs="Arial"/>
                <w:sz w:val="18"/>
                <w:szCs w:val="18"/>
              </w:rPr>
            </w:pPr>
          </w:p>
        </w:tc>
        <w:tc>
          <w:tcPr>
            <w:tcW w:w="1458" w:type="dxa"/>
            <w:shd w:val="clear" w:color="auto" w:fill="auto"/>
          </w:tcPr>
          <w:p w:rsidR="005624E3" w:rsidRPr="00C903F8" w:rsidRDefault="005624E3" w:rsidP="00101A80">
            <w:pPr>
              <w:spacing w:before="240" w:after="240" w:line="240" w:lineRule="atLeast"/>
              <w:rPr>
                <w:rFonts w:cs="Arial"/>
                <w:sz w:val="18"/>
                <w:szCs w:val="18"/>
              </w:rPr>
            </w:pPr>
            <w:r>
              <w:rPr>
                <w:sz w:val="18"/>
              </w:rPr>
              <w:t>9. bekezdés második mondat</w:t>
            </w:r>
          </w:p>
        </w:tc>
        <w:tc>
          <w:tcPr>
            <w:tcW w:w="3296" w:type="dxa"/>
            <w:shd w:val="clear" w:color="auto" w:fill="auto"/>
          </w:tcPr>
          <w:p w:rsidR="005624E3" w:rsidRPr="00C903F8" w:rsidRDefault="005624E3" w:rsidP="00101A80">
            <w:pPr>
              <w:spacing w:before="240" w:after="240" w:line="240" w:lineRule="atLeast"/>
              <w:rPr>
                <w:rFonts w:cs="Arial"/>
                <w:sz w:val="18"/>
                <w:szCs w:val="18"/>
              </w:rPr>
            </w:pPr>
            <w:r>
              <w:rPr>
                <w:noProof/>
                <w:sz w:val="18"/>
              </w:rPr>
              <w:t>A kapacitásmérő műszerek olvashatósága a maximális feltöltés szintje</w:t>
            </w:r>
          </w:p>
        </w:tc>
        <w:tc>
          <w:tcPr>
            <w:tcW w:w="5387" w:type="dxa"/>
            <w:shd w:val="clear" w:color="auto" w:fill="auto"/>
          </w:tcPr>
          <w:p w:rsidR="005624E3" w:rsidRPr="00C903F8" w:rsidRDefault="005624E3" w:rsidP="00101A80">
            <w:pPr>
              <w:spacing w:before="240" w:after="2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2010.01.01.</w:t>
            </w:r>
          </w:p>
        </w:tc>
        <w:tc>
          <w:tcPr>
            <w:tcW w:w="1276" w:type="dxa"/>
          </w:tcPr>
          <w:p w:rsidR="005624E3" w:rsidRPr="00C903F8" w:rsidRDefault="005624E3" w:rsidP="00101A80">
            <w:pPr>
              <w:spacing w:before="240" w:after="240" w:line="240" w:lineRule="atLeast"/>
              <w:rPr>
                <w:rFonts w:cs="Arial"/>
                <w:sz w:val="18"/>
                <w:szCs w:val="18"/>
              </w:rPr>
            </w:pPr>
            <w:r>
              <w:rPr>
                <w:sz w:val="18"/>
              </w:rPr>
              <w:t>1999.04.01.</w:t>
            </w:r>
          </w:p>
        </w:tc>
      </w:tr>
      <w:tr w:rsidR="005624E3" w:rsidRPr="00C903F8" w:rsidTr="00101A80">
        <w:trPr>
          <w:cantSplit/>
          <w:jc w:val="center"/>
        </w:trPr>
        <w:tc>
          <w:tcPr>
            <w:tcW w:w="1342" w:type="dxa"/>
            <w:tcBorders>
              <w:top w:val="nil"/>
            </w:tcBorders>
            <w:shd w:val="clear" w:color="auto" w:fill="auto"/>
          </w:tcPr>
          <w:p w:rsidR="005624E3" w:rsidRPr="00C903F8" w:rsidRDefault="005624E3" w:rsidP="00101A80">
            <w:pPr>
              <w:spacing w:before="240" w:after="240" w:line="240" w:lineRule="atLeast"/>
              <w:rPr>
                <w:rFonts w:cs="Arial"/>
                <w:sz w:val="18"/>
                <w:szCs w:val="18"/>
              </w:rPr>
            </w:pPr>
          </w:p>
        </w:tc>
        <w:tc>
          <w:tcPr>
            <w:tcW w:w="1458" w:type="dxa"/>
            <w:shd w:val="clear" w:color="auto" w:fill="auto"/>
          </w:tcPr>
          <w:p w:rsidR="005624E3" w:rsidRPr="00C903F8" w:rsidRDefault="005624E3" w:rsidP="00101A80">
            <w:pPr>
              <w:spacing w:before="240" w:after="240" w:line="240" w:lineRule="atLeast"/>
              <w:rPr>
                <w:rFonts w:cs="Arial"/>
                <w:sz w:val="18"/>
                <w:szCs w:val="18"/>
              </w:rPr>
            </w:pPr>
            <w:r>
              <w:rPr>
                <w:sz w:val="18"/>
              </w:rPr>
              <w:t>13. bekezdés</w:t>
            </w:r>
          </w:p>
        </w:tc>
        <w:tc>
          <w:tcPr>
            <w:tcW w:w="3296" w:type="dxa"/>
            <w:shd w:val="clear" w:color="auto" w:fill="auto"/>
          </w:tcPr>
          <w:p w:rsidR="005624E3" w:rsidRPr="00C903F8" w:rsidRDefault="005624E3" w:rsidP="00101A80">
            <w:pPr>
              <w:spacing w:before="240" w:after="240" w:line="240" w:lineRule="atLeast"/>
              <w:rPr>
                <w:rFonts w:cs="Arial"/>
                <w:sz w:val="18"/>
                <w:szCs w:val="18"/>
              </w:rPr>
            </w:pPr>
            <w:r>
              <w:rPr>
                <w:noProof/>
                <w:sz w:val="18"/>
              </w:rPr>
              <w:t>A tüzelőanyag-tartály töltöttségi szintjét jelző eszköz nemcsak a főmotorok, hanem a hajó biztonságos üzeméhez szükséges egyéb motorok tekintetében is</w:t>
            </w:r>
          </w:p>
        </w:tc>
        <w:tc>
          <w:tcPr>
            <w:tcW w:w="5387" w:type="dxa"/>
            <w:shd w:val="clear" w:color="auto" w:fill="auto"/>
          </w:tcPr>
          <w:p w:rsidR="005624E3" w:rsidRPr="00C903F8" w:rsidRDefault="005624E3" w:rsidP="00101A80">
            <w:pPr>
              <w:spacing w:before="240" w:after="2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2015.01.01.</w:t>
            </w:r>
          </w:p>
        </w:tc>
        <w:tc>
          <w:tcPr>
            <w:tcW w:w="1276" w:type="dxa"/>
          </w:tcPr>
          <w:p w:rsidR="005624E3" w:rsidRPr="00C903F8" w:rsidRDefault="005624E3" w:rsidP="00101A80">
            <w:pPr>
              <w:spacing w:before="240" w:after="240" w:line="240" w:lineRule="atLeast"/>
              <w:rPr>
                <w:rFonts w:cs="Arial"/>
                <w:sz w:val="18"/>
                <w:szCs w:val="18"/>
              </w:rPr>
            </w:pPr>
            <w:r>
              <w:rPr>
                <w:sz w:val="18"/>
              </w:rPr>
              <w:t>1999.04.01.</w:t>
            </w:r>
          </w:p>
        </w:tc>
      </w:tr>
      <w:tr w:rsidR="005624E3" w:rsidRPr="00C903F8" w:rsidTr="00101A80">
        <w:trPr>
          <w:cantSplit/>
          <w:jc w:val="center"/>
        </w:trPr>
        <w:tc>
          <w:tcPr>
            <w:tcW w:w="1342" w:type="dxa"/>
            <w:shd w:val="clear" w:color="auto" w:fill="auto"/>
          </w:tcPr>
          <w:p w:rsidR="005624E3" w:rsidRPr="00C903F8" w:rsidRDefault="005624E3" w:rsidP="00101A80">
            <w:pPr>
              <w:spacing w:before="240" w:after="240" w:line="240" w:lineRule="atLeast"/>
              <w:rPr>
                <w:rFonts w:cs="Arial"/>
                <w:sz w:val="18"/>
                <w:szCs w:val="18"/>
              </w:rPr>
            </w:pPr>
            <w:r>
              <w:rPr>
                <w:sz w:val="18"/>
              </w:rPr>
              <w:t>8.06. cikk</w:t>
            </w:r>
          </w:p>
        </w:tc>
        <w:tc>
          <w:tcPr>
            <w:tcW w:w="1458" w:type="dxa"/>
            <w:shd w:val="clear" w:color="auto" w:fill="auto"/>
          </w:tcPr>
          <w:p w:rsidR="005624E3" w:rsidRPr="00C903F8" w:rsidRDefault="005624E3" w:rsidP="00101A80">
            <w:pPr>
              <w:spacing w:before="240" w:after="240" w:line="240" w:lineRule="atLeast"/>
              <w:rPr>
                <w:rFonts w:cs="Arial"/>
                <w:sz w:val="18"/>
                <w:szCs w:val="18"/>
              </w:rPr>
            </w:pPr>
          </w:p>
        </w:tc>
        <w:tc>
          <w:tcPr>
            <w:tcW w:w="3296" w:type="dxa"/>
            <w:shd w:val="clear" w:color="auto" w:fill="auto"/>
          </w:tcPr>
          <w:p w:rsidR="005624E3" w:rsidRPr="00C903F8" w:rsidRDefault="005624E3" w:rsidP="00101A80">
            <w:pPr>
              <w:spacing w:before="240" w:after="240" w:line="240" w:lineRule="atLeast"/>
              <w:rPr>
                <w:rFonts w:cs="Arial"/>
                <w:sz w:val="18"/>
                <w:szCs w:val="18"/>
              </w:rPr>
            </w:pPr>
            <w:r>
              <w:rPr>
                <w:noProof/>
                <w:sz w:val="18"/>
              </w:rPr>
              <w:t>Kenőolaj tárolására szolgáló tartályok; csövek és tartozékok</w:t>
            </w:r>
          </w:p>
        </w:tc>
        <w:tc>
          <w:tcPr>
            <w:tcW w:w="5387" w:type="dxa"/>
            <w:shd w:val="clear" w:color="auto" w:fill="auto"/>
          </w:tcPr>
          <w:p w:rsidR="005624E3" w:rsidRPr="00C903F8" w:rsidRDefault="005624E3" w:rsidP="00101A80">
            <w:pPr>
              <w:spacing w:before="240" w:after="2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2045.01.01.</w:t>
            </w:r>
          </w:p>
        </w:tc>
        <w:tc>
          <w:tcPr>
            <w:tcW w:w="1276" w:type="dxa"/>
          </w:tcPr>
          <w:p w:rsidR="005624E3" w:rsidRPr="00C903F8" w:rsidRDefault="005624E3" w:rsidP="00101A80">
            <w:pPr>
              <w:spacing w:before="240" w:after="240" w:line="240" w:lineRule="atLeast"/>
              <w:rPr>
                <w:rFonts w:cs="Arial"/>
                <w:sz w:val="18"/>
                <w:szCs w:val="18"/>
              </w:rPr>
            </w:pPr>
            <w:r>
              <w:rPr>
                <w:sz w:val="18"/>
              </w:rPr>
              <w:t>2007.04.01.</w:t>
            </w:r>
          </w:p>
        </w:tc>
      </w:tr>
      <w:tr w:rsidR="005624E3" w:rsidRPr="00C903F8" w:rsidTr="00101A80">
        <w:trPr>
          <w:cantSplit/>
          <w:jc w:val="center"/>
        </w:trPr>
        <w:tc>
          <w:tcPr>
            <w:tcW w:w="1342" w:type="dxa"/>
            <w:shd w:val="clear" w:color="auto" w:fill="auto"/>
          </w:tcPr>
          <w:p w:rsidR="005624E3" w:rsidRPr="00C903F8" w:rsidRDefault="005624E3" w:rsidP="00101A80">
            <w:pPr>
              <w:spacing w:before="240" w:after="240" w:line="240" w:lineRule="atLeast"/>
              <w:rPr>
                <w:rFonts w:cs="Arial"/>
                <w:sz w:val="18"/>
                <w:szCs w:val="18"/>
              </w:rPr>
            </w:pPr>
            <w:r>
              <w:rPr>
                <w:sz w:val="18"/>
              </w:rPr>
              <w:t>8.07. cikk</w:t>
            </w:r>
          </w:p>
        </w:tc>
        <w:tc>
          <w:tcPr>
            <w:tcW w:w="1458" w:type="dxa"/>
            <w:shd w:val="clear" w:color="auto" w:fill="auto"/>
          </w:tcPr>
          <w:p w:rsidR="005624E3" w:rsidRPr="00C903F8" w:rsidRDefault="005624E3" w:rsidP="00101A80">
            <w:pPr>
              <w:spacing w:before="240" w:after="240" w:line="240" w:lineRule="atLeast"/>
              <w:rPr>
                <w:rFonts w:cs="Arial"/>
                <w:sz w:val="18"/>
                <w:szCs w:val="18"/>
              </w:rPr>
            </w:pPr>
          </w:p>
        </w:tc>
        <w:tc>
          <w:tcPr>
            <w:tcW w:w="3296" w:type="dxa"/>
            <w:shd w:val="clear" w:color="auto" w:fill="auto"/>
          </w:tcPr>
          <w:p w:rsidR="005624E3" w:rsidRPr="00C903F8" w:rsidRDefault="005624E3" w:rsidP="00101A80">
            <w:pPr>
              <w:spacing w:before="240" w:after="240" w:line="240" w:lineRule="atLeast"/>
              <w:rPr>
                <w:rFonts w:cs="Arial"/>
                <w:sz w:val="18"/>
                <w:szCs w:val="18"/>
              </w:rPr>
            </w:pPr>
            <w:r>
              <w:rPr>
                <w:noProof/>
                <w:sz w:val="18"/>
              </w:rPr>
              <w:t>Az erőátviteli rendszerben, a vezérlő- és indítórendszerben, valamint a fűtőrendszerben olaj tárolására szolgáló tartályok; csövek és tartozékok</w:t>
            </w:r>
          </w:p>
        </w:tc>
        <w:tc>
          <w:tcPr>
            <w:tcW w:w="5387" w:type="dxa"/>
            <w:shd w:val="clear" w:color="auto" w:fill="auto"/>
          </w:tcPr>
          <w:p w:rsidR="005624E3" w:rsidRPr="00C903F8" w:rsidRDefault="005624E3" w:rsidP="00101A80">
            <w:pPr>
              <w:spacing w:before="240" w:after="2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40" w:after="240" w:line="240" w:lineRule="atLeast"/>
              <w:rPr>
                <w:rFonts w:cs="Arial"/>
                <w:sz w:val="18"/>
                <w:szCs w:val="18"/>
              </w:rPr>
            </w:pPr>
            <w:r>
              <w:rPr>
                <w:sz w:val="18"/>
              </w:rPr>
              <w:t>2045.01.01.</w:t>
            </w:r>
          </w:p>
        </w:tc>
        <w:tc>
          <w:tcPr>
            <w:tcW w:w="1276" w:type="dxa"/>
            <w:tcBorders>
              <w:bottom w:val="single" w:sz="4" w:space="0" w:color="auto"/>
            </w:tcBorders>
          </w:tcPr>
          <w:p w:rsidR="005624E3" w:rsidRPr="00C903F8" w:rsidRDefault="005624E3" w:rsidP="00101A80">
            <w:pPr>
              <w:spacing w:before="240" w:after="240" w:line="240" w:lineRule="atLeast"/>
              <w:rPr>
                <w:rFonts w:cs="Arial"/>
                <w:sz w:val="18"/>
                <w:szCs w:val="18"/>
              </w:rPr>
            </w:pPr>
            <w:r>
              <w:rPr>
                <w:sz w:val="18"/>
              </w:rPr>
              <w:t>2007.04.01.</w:t>
            </w:r>
          </w:p>
        </w:tc>
      </w:tr>
      <w:tr w:rsidR="005624E3" w:rsidRPr="00C01A94" w:rsidTr="00101A80">
        <w:trPr>
          <w:cantSplit/>
          <w:jc w:val="center"/>
        </w:trPr>
        <w:tc>
          <w:tcPr>
            <w:tcW w:w="6096" w:type="dxa"/>
            <w:gridSpan w:val="3"/>
            <w:tcBorders>
              <w:bottom w:val="single" w:sz="4" w:space="0" w:color="auto"/>
            </w:tcBorders>
            <w:shd w:val="clear" w:color="auto" w:fill="auto"/>
          </w:tcPr>
          <w:p w:rsidR="005624E3" w:rsidRPr="00C903F8" w:rsidRDefault="005624E3" w:rsidP="00101A80">
            <w:pPr>
              <w:spacing w:before="80" w:after="80" w:line="240" w:lineRule="atLeast"/>
              <w:jc w:val="center"/>
              <w:rPr>
                <w:rFonts w:cs="Arial"/>
                <w:sz w:val="18"/>
                <w:szCs w:val="18"/>
              </w:rPr>
            </w:pPr>
            <w:r>
              <w:rPr>
                <w:b/>
                <w:sz w:val="18"/>
              </w:rPr>
              <w:t>9. FEJEZET</w:t>
            </w:r>
          </w:p>
        </w:tc>
        <w:tc>
          <w:tcPr>
            <w:tcW w:w="5387" w:type="dxa"/>
            <w:tcBorders>
              <w:bottom w:val="single" w:sz="4" w:space="0" w:color="auto"/>
            </w:tcBorders>
            <w:shd w:val="clear" w:color="auto" w:fill="auto"/>
          </w:tcPr>
          <w:p w:rsidR="005624E3" w:rsidRPr="00C01A94" w:rsidRDefault="005624E3" w:rsidP="00101A80">
            <w:pPr>
              <w:spacing w:before="80" w:after="80" w:line="240" w:lineRule="atLeast"/>
              <w:rPr>
                <w:rFonts w:cs="Arial"/>
                <w:sz w:val="18"/>
                <w:szCs w:val="18"/>
              </w:rPr>
            </w:pPr>
            <w:r>
              <w:rPr>
                <w:sz w:val="18"/>
              </w:rPr>
              <w:t>A már beszerelt, típusjóváhagyással nem rendelkező motorok esetében csak a 9.02. cikk alkalmazandó.</w:t>
            </w:r>
          </w:p>
        </w:tc>
        <w:tc>
          <w:tcPr>
            <w:tcW w:w="1276" w:type="dxa"/>
            <w:tcBorders>
              <w:bottom w:val="single" w:sz="4" w:space="0" w:color="auto"/>
            </w:tcBorders>
            <w:shd w:val="clear" w:color="auto" w:fill="auto"/>
          </w:tcPr>
          <w:p w:rsidR="005624E3" w:rsidRPr="00C01A94" w:rsidRDefault="005624E3" w:rsidP="00101A80">
            <w:pPr>
              <w:spacing w:before="80" w:after="80" w:line="240" w:lineRule="atLeast"/>
              <w:rPr>
                <w:rFonts w:cs="Arial"/>
                <w:sz w:val="18"/>
                <w:szCs w:val="18"/>
              </w:rPr>
            </w:pPr>
          </w:p>
        </w:tc>
        <w:tc>
          <w:tcPr>
            <w:tcW w:w="1276" w:type="dxa"/>
            <w:tcBorders>
              <w:bottom w:val="nil"/>
            </w:tcBorders>
          </w:tcPr>
          <w:p w:rsidR="005624E3" w:rsidRPr="00C01A94" w:rsidRDefault="005624E3" w:rsidP="00101A80">
            <w:pPr>
              <w:spacing w:before="80" w:after="80" w:line="240" w:lineRule="atLeast"/>
              <w:rPr>
                <w:rFonts w:cs="Arial"/>
                <w:sz w:val="18"/>
                <w:szCs w:val="18"/>
              </w:rPr>
            </w:pPr>
            <w:r>
              <w:rPr>
                <w:sz w:val="18"/>
              </w:rPr>
              <w:t>2018.10.07.</w:t>
            </w:r>
          </w:p>
        </w:tc>
      </w:tr>
      <w:tr w:rsidR="005624E3" w:rsidRPr="00A0619C" w:rsidTr="00101A80">
        <w:trPr>
          <w:cantSplit/>
          <w:jc w:val="center"/>
        </w:trPr>
        <w:tc>
          <w:tcPr>
            <w:tcW w:w="1342" w:type="dxa"/>
            <w:tcBorders>
              <w:bottom w:val="single" w:sz="4" w:space="0" w:color="auto"/>
            </w:tcBorders>
            <w:shd w:val="clear" w:color="auto" w:fill="auto"/>
          </w:tcPr>
          <w:p w:rsidR="005624E3" w:rsidRPr="004B606C" w:rsidRDefault="005624E3" w:rsidP="00101A80">
            <w:pPr>
              <w:spacing w:before="80" w:after="80" w:line="240" w:lineRule="atLeast"/>
              <w:rPr>
                <w:rFonts w:eastAsia="Calibri" w:cs="Arial"/>
                <w:sz w:val="18"/>
                <w:szCs w:val="18"/>
              </w:rPr>
            </w:pPr>
            <w:r>
              <w:rPr>
                <w:sz w:val="18"/>
              </w:rPr>
              <w:t>9.01. cikk</w:t>
            </w:r>
          </w:p>
        </w:tc>
        <w:tc>
          <w:tcPr>
            <w:tcW w:w="1458" w:type="dxa"/>
            <w:tcBorders>
              <w:bottom w:val="single" w:sz="4" w:space="0" w:color="auto"/>
            </w:tcBorders>
            <w:shd w:val="clear" w:color="auto" w:fill="auto"/>
          </w:tcPr>
          <w:p w:rsidR="005624E3" w:rsidRPr="004B606C" w:rsidRDefault="005624E3" w:rsidP="00101A80">
            <w:pPr>
              <w:spacing w:before="80" w:after="80" w:line="240" w:lineRule="atLeast"/>
              <w:rPr>
                <w:rFonts w:eastAsia="Calibri" w:cs="Arial"/>
                <w:sz w:val="18"/>
                <w:szCs w:val="18"/>
              </w:rPr>
            </w:pPr>
            <w:r>
              <w:rPr>
                <w:sz w:val="18"/>
              </w:rPr>
              <w:t>1–4. bekezdés</w:t>
            </w:r>
          </w:p>
        </w:tc>
        <w:tc>
          <w:tcPr>
            <w:tcW w:w="3296" w:type="dxa"/>
            <w:tcBorders>
              <w:bottom w:val="single" w:sz="4" w:space="0" w:color="auto"/>
            </w:tcBorders>
            <w:shd w:val="clear" w:color="auto" w:fill="auto"/>
          </w:tcPr>
          <w:p w:rsidR="005624E3" w:rsidRPr="004B606C" w:rsidRDefault="005624E3" w:rsidP="00101A80">
            <w:pPr>
              <w:spacing w:before="80" w:after="80" w:line="240" w:lineRule="atLeast"/>
              <w:rPr>
                <w:rFonts w:eastAsia="Calibri" w:cs="Arial"/>
                <w:sz w:val="18"/>
                <w:szCs w:val="18"/>
              </w:rPr>
            </w:pPr>
            <w:r>
              <w:rPr>
                <w:sz w:val="18"/>
              </w:rPr>
              <w:t>Általános rendelkezések</w:t>
            </w:r>
          </w:p>
        </w:tc>
        <w:tc>
          <w:tcPr>
            <w:tcW w:w="5387" w:type="dxa"/>
            <w:vMerge w:val="restart"/>
            <w:tcBorders>
              <w:right w:val="single" w:sz="4" w:space="0" w:color="auto"/>
            </w:tcBorders>
            <w:shd w:val="clear" w:color="auto" w:fill="auto"/>
            <w:vAlign w:val="center"/>
          </w:tcPr>
          <w:p w:rsidR="005624E3" w:rsidRPr="00C903F8" w:rsidRDefault="005624E3" w:rsidP="00101A80">
            <w:pPr>
              <w:spacing w:before="80" w:after="80" w:line="240" w:lineRule="atLeast"/>
              <w:rPr>
                <w:rFonts w:cs="Arial"/>
                <w:sz w:val="18"/>
                <w:szCs w:val="18"/>
              </w:rPr>
            </w:pPr>
            <w:r>
              <w:rPr>
                <w:sz w:val="18"/>
              </w:rPr>
              <w:t>A típusra és a beépítésre vonatkozó, a beépítéskor hatályos rendelkezéseknek megfelelő motorok esetében: N.R.</w:t>
            </w:r>
          </w:p>
        </w:tc>
        <w:tc>
          <w:tcPr>
            <w:tcW w:w="1276" w:type="dxa"/>
            <w:tcBorders>
              <w:left w:val="single" w:sz="4" w:space="0" w:color="auto"/>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276" w:type="dxa"/>
            <w:tcBorders>
              <w:top w:val="nil"/>
              <w:bottom w:val="nil"/>
            </w:tcBorders>
          </w:tcPr>
          <w:p w:rsidR="005624E3" w:rsidRPr="00C903F8" w:rsidRDefault="005624E3" w:rsidP="00101A80">
            <w:pPr>
              <w:spacing w:before="80" w:after="80" w:line="240" w:lineRule="atLeast"/>
              <w:rPr>
                <w:rFonts w:cs="Arial"/>
                <w:sz w:val="18"/>
                <w:szCs w:val="18"/>
              </w:rPr>
            </w:pPr>
          </w:p>
        </w:tc>
      </w:tr>
      <w:tr w:rsidR="005624E3" w:rsidRPr="00C01A94" w:rsidTr="00101A80">
        <w:trPr>
          <w:cantSplit/>
          <w:jc w:val="center"/>
        </w:trPr>
        <w:tc>
          <w:tcPr>
            <w:tcW w:w="1342" w:type="dxa"/>
            <w:tcBorders>
              <w:top w:val="single" w:sz="4" w:space="0" w:color="auto"/>
              <w:bottom w:val="single" w:sz="4" w:space="0" w:color="auto"/>
              <w:right w:val="single" w:sz="4" w:space="0" w:color="auto"/>
            </w:tcBorders>
            <w:shd w:val="clear" w:color="auto" w:fill="auto"/>
          </w:tcPr>
          <w:p w:rsidR="005624E3" w:rsidRPr="004B606C" w:rsidRDefault="005624E3" w:rsidP="00101A80">
            <w:pPr>
              <w:spacing w:before="80" w:after="80" w:line="240" w:lineRule="atLeast"/>
              <w:rPr>
                <w:sz w:val="18"/>
                <w:szCs w:val="18"/>
              </w:rPr>
            </w:pPr>
            <w:r>
              <w:rPr>
                <w:sz w:val="18"/>
              </w:rPr>
              <w:t>9,06</w:t>
            </w:r>
          </w:p>
        </w:tc>
        <w:tc>
          <w:tcPr>
            <w:tcW w:w="1458" w:type="dxa"/>
            <w:tcBorders>
              <w:top w:val="single" w:sz="4" w:space="0" w:color="auto"/>
              <w:left w:val="single" w:sz="4" w:space="0" w:color="auto"/>
              <w:bottom w:val="single" w:sz="4" w:space="0" w:color="auto"/>
              <w:right w:val="single" w:sz="4" w:space="0" w:color="auto"/>
            </w:tcBorders>
            <w:shd w:val="clear" w:color="auto" w:fill="auto"/>
          </w:tcPr>
          <w:p w:rsidR="005624E3" w:rsidRPr="004B606C" w:rsidRDefault="005624E3" w:rsidP="00101A80">
            <w:pPr>
              <w:spacing w:before="80" w:after="80" w:line="240" w:lineRule="atLeast"/>
              <w:rPr>
                <w:sz w:val="18"/>
                <w:szCs w:val="18"/>
              </w:rPr>
            </w:pPr>
          </w:p>
        </w:tc>
        <w:tc>
          <w:tcPr>
            <w:tcW w:w="3296" w:type="dxa"/>
            <w:tcBorders>
              <w:top w:val="single" w:sz="4" w:space="0" w:color="auto"/>
              <w:left w:val="single" w:sz="4" w:space="0" w:color="auto"/>
              <w:bottom w:val="single" w:sz="4" w:space="0" w:color="auto"/>
            </w:tcBorders>
            <w:shd w:val="clear" w:color="auto" w:fill="auto"/>
          </w:tcPr>
          <w:p w:rsidR="005624E3" w:rsidRPr="004B606C" w:rsidRDefault="005624E3" w:rsidP="00101A80">
            <w:pPr>
              <w:spacing w:before="80" w:after="80" w:line="240" w:lineRule="atLeast"/>
              <w:rPr>
                <w:sz w:val="18"/>
                <w:szCs w:val="18"/>
              </w:rPr>
            </w:pPr>
            <w:r>
              <w:rPr>
                <w:sz w:val="18"/>
              </w:rPr>
              <w:t>Átvételi vizsgálat</w:t>
            </w:r>
          </w:p>
        </w:tc>
        <w:tc>
          <w:tcPr>
            <w:tcW w:w="5387" w:type="dxa"/>
            <w:vMerge/>
            <w:tcBorders>
              <w:right w:val="single" w:sz="4" w:space="0" w:color="auto"/>
            </w:tcBorders>
            <w:shd w:val="clear" w:color="auto" w:fill="auto"/>
          </w:tcPr>
          <w:p w:rsidR="005624E3" w:rsidRPr="00C903F8" w:rsidRDefault="005624E3" w:rsidP="00101A80">
            <w:pPr>
              <w:pStyle w:val="tbl-norm"/>
              <w:spacing w:before="80" w:beforeAutospacing="0" w:after="80" w:afterAutospacing="0" w:line="240" w:lineRule="atLeast"/>
              <w:jc w:val="both"/>
              <w:rPr>
                <w:rFonts w:cs="Arial"/>
                <w:sz w:val="18"/>
                <w:szCs w:val="18"/>
              </w:rPr>
            </w:pPr>
          </w:p>
        </w:tc>
        <w:tc>
          <w:tcPr>
            <w:tcW w:w="1276" w:type="dxa"/>
            <w:tcBorders>
              <w:top w:val="nil"/>
              <w:left w:val="single" w:sz="4" w:space="0" w:color="auto"/>
              <w:right w:val="single" w:sz="4" w:space="0" w:color="auto"/>
            </w:tcBorders>
            <w:shd w:val="clear" w:color="auto" w:fill="auto"/>
          </w:tcPr>
          <w:p w:rsidR="005624E3" w:rsidRPr="00C903F8" w:rsidRDefault="005624E3" w:rsidP="00101A80">
            <w:pPr>
              <w:spacing w:before="80" w:after="80" w:line="240" w:lineRule="atLeast"/>
              <w:rPr>
                <w:rFonts w:cs="Arial"/>
                <w:sz w:val="18"/>
                <w:szCs w:val="18"/>
              </w:rPr>
            </w:pPr>
          </w:p>
        </w:tc>
        <w:tc>
          <w:tcPr>
            <w:tcW w:w="1276" w:type="dxa"/>
            <w:tcBorders>
              <w:top w:val="nil"/>
              <w:left w:val="single" w:sz="4" w:space="0" w:color="auto"/>
            </w:tcBorders>
          </w:tcPr>
          <w:p w:rsidR="005624E3" w:rsidRPr="00C903F8" w:rsidRDefault="005624E3" w:rsidP="00101A80">
            <w:pPr>
              <w:spacing w:before="80" w:after="80" w:line="240" w:lineRule="atLeast"/>
              <w:rPr>
                <w:rFonts w:cs="Arial"/>
                <w:sz w:val="18"/>
                <w:szCs w:val="18"/>
              </w:rPr>
            </w:pPr>
          </w:p>
        </w:tc>
      </w:tr>
      <w:tr w:rsidR="005624E3" w:rsidRPr="00C903F8" w:rsidTr="00101A80">
        <w:trPr>
          <w:cantSplit/>
          <w:jc w:val="center"/>
        </w:trPr>
        <w:tc>
          <w:tcPr>
            <w:tcW w:w="6096" w:type="dxa"/>
            <w:gridSpan w:val="3"/>
            <w:tcBorders>
              <w:top w:val="single" w:sz="4" w:space="0" w:color="auto"/>
            </w:tcBorders>
            <w:shd w:val="clear" w:color="auto" w:fill="auto"/>
          </w:tcPr>
          <w:p w:rsidR="005624E3" w:rsidRPr="00852DB3" w:rsidRDefault="005624E3" w:rsidP="00101A80">
            <w:pPr>
              <w:spacing w:before="80" w:after="80" w:line="240" w:lineRule="atLeast"/>
              <w:jc w:val="center"/>
              <w:rPr>
                <w:rFonts w:cs="Arial"/>
                <w:b/>
                <w:sz w:val="18"/>
                <w:szCs w:val="18"/>
              </w:rPr>
            </w:pPr>
            <w:r>
              <w:rPr>
                <w:b/>
                <w:sz w:val="18"/>
              </w:rPr>
              <w:t>10. FEJEZET</w:t>
            </w:r>
          </w:p>
        </w:tc>
        <w:tc>
          <w:tcPr>
            <w:tcW w:w="5387" w:type="dxa"/>
            <w:shd w:val="clear" w:color="auto" w:fill="auto"/>
          </w:tcPr>
          <w:p w:rsidR="005624E3" w:rsidRPr="00852DB3" w:rsidRDefault="005624E3" w:rsidP="00101A80">
            <w:pPr>
              <w:spacing w:before="80" w:after="80" w:line="240" w:lineRule="atLeast"/>
              <w:jc w:val="center"/>
              <w:rPr>
                <w:rFonts w:cs="Arial"/>
                <w:sz w:val="18"/>
                <w:szCs w:val="18"/>
              </w:rPr>
            </w:pP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c>
          <w:tcPr>
            <w:tcW w:w="1276" w:type="dxa"/>
          </w:tcPr>
          <w:p w:rsidR="005624E3" w:rsidRPr="00852DB3" w:rsidRDefault="005624E3" w:rsidP="00101A80">
            <w:pPr>
              <w:spacing w:before="80" w:after="80" w:line="240" w:lineRule="atLeast"/>
              <w:jc w:val="center"/>
              <w:rPr>
                <w:rFonts w:cs="Arial"/>
                <w:sz w:val="18"/>
                <w:szCs w:val="18"/>
              </w:rPr>
            </w:pPr>
          </w:p>
        </w:tc>
      </w:tr>
      <w:tr w:rsidR="005624E3" w:rsidRPr="00C903F8" w:rsidTr="00101A80">
        <w:trPr>
          <w:cantSplit/>
          <w:jc w:val="center"/>
        </w:trPr>
        <w:tc>
          <w:tcPr>
            <w:tcW w:w="1342" w:type="dxa"/>
            <w:vMerge w:val="restart"/>
            <w:shd w:val="clear" w:color="auto" w:fill="auto"/>
          </w:tcPr>
          <w:p w:rsidR="005624E3" w:rsidRPr="004B4203" w:rsidRDefault="005624E3" w:rsidP="00101A80">
            <w:pPr>
              <w:spacing w:before="80" w:after="80" w:line="240" w:lineRule="atLeast"/>
              <w:rPr>
                <w:rFonts w:cs="Arial"/>
                <w:sz w:val="18"/>
                <w:szCs w:val="18"/>
              </w:rPr>
            </w:pPr>
            <w:r>
              <w:rPr>
                <w:sz w:val="18"/>
              </w:rPr>
              <w:t>10.01. cikk</w:t>
            </w: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2. bekezdés e) pont</w:t>
            </w:r>
          </w:p>
        </w:tc>
        <w:tc>
          <w:tcPr>
            <w:tcW w:w="3296" w:type="dxa"/>
            <w:shd w:val="clear" w:color="auto" w:fill="auto"/>
          </w:tcPr>
          <w:p w:rsidR="005624E3" w:rsidRPr="00F9107C" w:rsidRDefault="005624E3" w:rsidP="00101A80">
            <w:pPr>
              <w:spacing w:before="80" w:after="80" w:line="240" w:lineRule="atLeast"/>
              <w:rPr>
                <w:rFonts w:cs="Arial"/>
                <w:noProof/>
                <w:sz w:val="18"/>
                <w:szCs w:val="18"/>
              </w:rPr>
            </w:pPr>
            <w:r>
              <w:rPr>
                <w:noProof/>
                <w:sz w:val="18"/>
              </w:rPr>
              <w:t>A kapcsolótáblák tervrajzai, valamint az elektromos propulziós motorok dokumentációja</w:t>
            </w:r>
          </w:p>
        </w:tc>
        <w:tc>
          <w:tcPr>
            <w:tcW w:w="5387"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c>
          <w:tcPr>
            <w:tcW w:w="1276" w:type="dxa"/>
          </w:tcPr>
          <w:p w:rsidR="005624E3" w:rsidRPr="004B4203" w:rsidRDefault="005624E3" w:rsidP="00101A80">
            <w:pPr>
              <w:spacing w:before="80" w:after="8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4B4203"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2. bekezdés f) pont</w:t>
            </w:r>
          </w:p>
        </w:tc>
        <w:tc>
          <w:tcPr>
            <w:tcW w:w="3296" w:type="dxa"/>
            <w:shd w:val="clear" w:color="auto" w:fill="auto"/>
          </w:tcPr>
          <w:p w:rsidR="005624E3" w:rsidRPr="00F9107C" w:rsidRDefault="005624E3" w:rsidP="00101A80">
            <w:pPr>
              <w:spacing w:before="80" w:after="80" w:line="240" w:lineRule="atLeast"/>
              <w:rPr>
                <w:rFonts w:cs="Arial"/>
                <w:noProof/>
                <w:sz w:val="18"/>
                <w:szCs w:val="18"/>
              </w:rPr>
            </w:pPr>
            <w:r>
              <w:rPr>
                <w:noProof/>
                <w:sz w:val="18"/>
              </w:rPr>
              <w:t>Az elektronikus rendszerek tervrajzai</w:t>
            </w:r>
          </w:p>
        </w:tc>
        <w:tc>
          <w:tcPr>
            <w:tcW w:w="5387"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c>
          <w:tcPr>
            <w:tcW w:w="1276" w:type="dxa"/>
          </w:tcPr>
          <w:p w:rsidR="005624E3" w:rsidRPr="004B4203" w:rsidRDefault="005624E3" w:rsidP="00101A80">
            <w:pPr>
              <w:spacing w:before="80" w:after="8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4B4203"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2. bekezdés g) pont</w:t>
            </w:r>
          </w:p>
        </w:tc>
        <w:tc>
          <w:tcPr>
            <w:tcW w:w="3296" w:type="dxa"/>
            <w:shd w:val="clear" w:color="auto" w:fill="auto"/>
          </w:tcPr>
          <w:p w:rsidR="005624E3" w:rsidRPr="00F9107C" w:rsidRDefault="005624E3" w:rsidP="00101A80">
            <w:pPr>
              <w:spacing w:before="80" w:after="80" w:line="240" w:lineRule="atLeast"/>
              <w:rPr>
                <w:rFonts w:cs="Arial"/>
                <w:noProof/>
                <w:sz w:val="18"/>
                <w:szCs w:val="18"/>
              </w:rPr>
            </w:pPr>
            <w:r>
              <w:rPr>
                <w:noProof/>
                <w:sz w:val="18"/>
              </w:rPr>
              <w:t>A vezérlőkörök tervrajzai</w:t>
            </w:r>
          </w:p>
        </w:tc>
        <w:tc>
          <w:tcPr>
            <w:tcW w:w="5387"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c>
          <w:tcPr>
            <w:tcW w:w="1276" w:type="dxa"/>
          </w:tcPr>
          <w:p w:rsidR="005624E3" w:rsidRPr="004B4203" w:rsidRDefault="005624E3" w:rsidP="00101A80">
            <w:pPr>
              <w:spacing w:before="80" w:after="80" w:line="240" w:lineRule="atLeast"/>
              <w:jc w:val="center"/>
              <w:rPr>
                <w:rFonts w:cs="Arial"/>
                <w:sz w:val="18"/>
                <w:szCs w:val="18"/>
              </w:rPr>
            </w:pPr>
            <w:r>
              <w:rPr>
                <w:sz w:val="18"/>
              </w:rPr>
              <w:t>2018.10.07.</w:t>
            </w:r>
          </w:p>
        </w:tc>
      </w:tr>
      <w:tr w:rsidR="005624E3" w:rsidRPr="00C903F8" w:rsidTr="00101A80">
        <w:trPr>
          <w:cantSplit/>
          <w:jc w:val="center"/>
        </w:trPr>
        <w:tc>
          <w:tcPr>
            <w:tcW w:w="1342" w:type="dxa"/>
            <w:tcBorders>
              <w:bottom w:val="nil"/>
            </w:tcBorders>
            <w:shd w:val="clear" w:color="auto" w:fill="auto"/>
          </w:tcPr>
          <w:p w:rsidR="005624E3" w:rsidRPr="004B4203" w:rsidRDefault="005624E3" w:rsidP="00101A80">
            <w:pPr>
              <w:spacing w:before="80" w:after="80" w:line="240" w:lineRule="atLeast"/>
              <w:rPr>
                <w:rFonts w:cs="Arial"/>
                <w:sz w:val="18"/>
                <w:szCs w:val="18"/>
              </w:rPr>
            </w:pPr>
            <w:r>
              <w:rPr>
                <w:sz w:val="18"/>
              </w:rPr>
              <w:t>10.03. cikk</w:t>
            </w:r>
          </w:p>
        </w:tc>
        <w:tc>
          <w:tcPr>
            <w:tcW w:w="1458" w:type="dxa"/>
            <w:shd w:val="clear" w:color="auto" w:fill="auto"/>
          </w:tcPr>
          <w:p w:rsidR="005624E3" w:rsidRPr="00852DB3" w:rsidRDefault="005624E3" w:rsidP="00101A80">
            <w:pPr>
              <w:spacing w:before="80" w:after="80" w:line="240" w:lineRule="atLeast"/>
              <w:rPr>
                <w:rFonts w:cs="Arial"/>
                <w:sz w:val="18"/>
                <w:szCs w:val="18"/>
              </w:rPr>
            </w:pPr>
          </w:p>
        </w:tc>
        <w:tc>
          <w:tcPr>
            <w:tcW w:w="3296" w:type="dxa"/>
            <w:shd w:val="clear" w:color="auto" w:fill="auto"/>
          </w:tcPr>
          <w:p w:rsidR="005624E3" w:rsidRPr="00F9107C" w:rsidRDefault="005624E3" w:rsidP="00101A80">
            <w:pPr>
              <w:spacing w:before="80" w:after="80" w:line="240" w:lineRule="atLeast"/>
              <w:rPr>
                <w:rFonts w:cs="Arial"/>
                <w:noProof/>
                <w:sz w:val="18"/>
                <w:szCs w:val="18"/>
              </w:rPr>
            </w:pPr>
            <w:r>
              <w:rPr>
                <w:noProof/>
                <w:sz w:val="18"/>
              </w:rPr>
              <w:t>Védelem típusa a berendezések helyétől függően</w:t>
            </w:r>
          </w:p>
        </w:tc>
        <w:tc>
          <w:tcPr>
            <w:tcW w:w="5387"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c>
          <w:tcPr>
            <w:tcW w:w="1276" w:type="dxa"/>
          </w:tcPr>
          <w:p w:rsidR="005624E3" w:rsidRPr="004B4203" w:rsidRDefault="005624E3" w:rsidP="00101A80">
            <w:pPr>
              <w:spacing w:before="80" w:after="80" w:line="240" w:lineRule="atLeast"/>
              <w:jc w:val="center"/>
              <w:rPr>
                <w:rFonts w:cs="Arial"/>
                <w:sz w:val="18"/>
                <w:szCs w:val="18"/>
              </w:rPr>
            </w:pPr>
            <w:r>
              <w:rPr>
                <w:sz w:val="18"/>
              </w:rPr>
              <w:t>2018.10.07.</w:t>
            </w:r>
          </w:p>
        </w:tc>
      </w:tr>
      <w:tr w:rsidR="005624E3" w:rsidRPr="00C903F8" w:rsidTr="00101A80">
        <w:trPr>
          <w:cantSplit/>
          <w:jc w:val="center"/>
        </w:trPr>
        <w:tc>
          <w:tcPr>
            <w:tcW w:w="1342" w:type="dxa"/>
            <w:tcBorders>
              <w:bottom w:val="nil"/>
            </w:tcBorders>
            <w:shd w:val="clear" w:color="auto" w:fill="auto"/>
          </w:tcPr>
          <w:p w:rsidR="005624E3" w:rsidRPr="004B4203" w:rsidRDefault="005624E3" w:rsidP="00101A80">
            <w:pPr>
              <w:spacing w:before="80" w:after="80" w:line="240" w:lineRule="atLeast"/>
              <w:rPr>
                <w:rFonts w:cs="Arial"/>
                <w:sz w:val="18"/>
                <w:szCs w:val="18"/>
              </w:rPr>
            </w:pPr>
            <w:r>
              <w:rPr>
                <w:sz w:val="18"/>
              </w:rPr>
              <w:t>10.04. cikk</w:t>
            </w:r>
          </w:p>
        </w:tc>
        <w:tc>
          <w:tcPr>
            <w:tcW w:w="1458" w:type="dxa"/>
            <w:shd w:val="clear" w:color="auto" w:fill="auto"/>
          </w:tcPr>
          <w:p w:rsidR="005624E3" w:rsidRPr="00852DB3" w:rsidRDefault="005624E3" w:rsidP="00101A80">
            <w:pPr>
              <w:spacing w:before="80" w:after="80" w:line="240" w:lineRule="atLeast"/>
              <w:rPr>
                <w:rFonts w:cs="Arial"/>
                <w:sz w:val="18"/>
                <w:szCs w:val="18"/>
              </w:rPr>
            </w:pPr>
          </w:p>
        </w:tc>
        <w:tc>
          <w:tcPr>
            <w:tcW w:w="3296" w:type="dxa"/>
            <w:shd w:val="clear" w:color="auto" w:fill="auto"/>
          </w:tcPr>
          <w:p w:rsidR="005624E3" w:rsidRPr="00F9107C" w:rsidRDefault="005624E3" w:rsidP="00101A80">
            <w:pPr>
              <w:spacing w:before="80" w:after="80" w:line="240" w:lineRule="atLeast"/>
              <w:rPr>
                <w:rFonts w:cs="Arial"/>
                <w:noProof/>
                <w:sz w:val="18"/>
                <w:szCs w:val="18"/>
              </w:rPr>
            </w:pPr>
            <w:r>
              <w:rPr>
                <w:noProof/>
                <w:sz w:val="18"/>
              </w:rPr>
              <w:t>Robbanásvédelem</w:t>
            </w:r>
          </w:p>
        </w:tc>
        <w:tc>
          <w:tcPr>
            <w:tcW w:w="5387"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c>
          <w:tcPr>
            <w:tcW w:w="1276" w:type="dxa"/>
          </w:tcPr>
          <w:p w:rsidR="005624E3" w:rsidRPr="004B4203" w:rsidRDefault="005624E3" w:rsidP="00101A80">
            <w:pPr>
              <w:spacing w:before="80" w:after="80" w:line="240" w:lineRule="atLeast"/>
              <w:jc w:val="center"/>
              <w:rPr>
                <w:rFonts w:cs="Arial"/>
                <w:sz w:val="18"/>
                <w:szCs w:val="18"/>
              </w:rPr>
            </w:pPr>
            <w:r>
              <w:rPr>
                <w:sz w:val="18"/>
              </w:rPr>
              <w:t>2018.10.07.</w:t>
            </w:r>
          </w:p>
        </w:tc>
      </w:tr>
      <w:tr w:rsidR="005624E3" w:rsidRPr="00C903F8" w:rsidTr="00101A80">
        <w:trPr>
          <w:cantSplit/>
          <w:jc w:val="center"/>
        </w:trPr>
        <w:tc>
          <w:tcPr>
            <w:tcW w:w="1342" w:type="dxa"/>
            <w:tcBorders>
              <w:bottom w:val="nil"/>
            </w:tcBorders>
            <w:shd w:val="clear" w:color="auto" w:fill="auto"/>
          </w:tcPr>
          <w:p w:rsidR="005624E3" w:rsidRPr="004B4203" w:rsidRDefault="005624E3" w:rsidP="00101A80">
            <w:pPr>
              <w:spacing w:before="100" w:after="100" w:line="240" w:lineRule="atLeast"/>
              <w:rPr>
                <w:rFonts w:cs="Arial"/>
                <w:sz w:val="18"/>
                <w:szCs w:val="18"/>
              </w:rPr>
            </w:pPr>
            <w:r>
              <w:rPr>
                <w:sz w:val="18"/>
              </w:rPr>
              <w:t>10.05. cikk</w:t>
            </w:r>
          </w:p>
        </w:tc>
        <w:tc>
          <w:tcPr>
            <w:tcW w:w="1458" w:type="dxa"/>
            <w:shd w:val="clear" w:color="auto" w:fill="auto"/>
          </w:tcPr>
          <w:p w:rsidR="005624E3" w:rsidRPr="00852DB3" w:rsidRDefault="005624E3" w:rsidP="00101A80">
            <w:pPr>
              <w:spacing w:before="100" w:after="100" w:line="240" w:lineRule="atLeast"/>
              <w:rPr>
                <w:rFonts w:cs="Arial"/>
                <w:sz w:val="18"/>
                <w:szCs w:val="18"/>
              </w:rPr>
            </w:pPr>
            <w:r>
              <w:rPr>
                <w:sz w:val="18"/>
              </w:rPr>
              <w:t>4. bekezdés</w:t>
            </w:r>
          </w:p>
        </w:tc>
        <w:tc>
          <w:tcPr>
            <w:tcW w:w="3296" w:type="dxa"/>
            <w:shd w:val="clear" w:color="auto" w:fill="auto"/>
          </w:tcPr>
          <w:p w:rsidR="005624E3" w:rsidRPr="00F9107C" w:rsidRDefault="005624E3" w:rsidP="00101A80">
            <w:pPr>
              <w:spacing w:before="100" w:after="100" w:line="240" w:lineRule="atLeast"/>
              <w:rPr>
                <w:rFonts w:cs="Arial"/>
                <w:noProof/>
                <w:sz w:val="18"/>
                <w:szCs w:val="18"/>
              </w:rPr>
            </w:pPr>
            <w:r>
              <w:rPr>
                <w:noProof/>
                <w:sz w:val="18"/>
              </w:rPr>
              <w:t>A földelőkábelek keresztmetszete</w:t>
            </w:r>
          </w:p>
        </w:tc>
        <w:tc>
          <w:tcPr>
            <w:tcW w:w="5387" w:type="dxa"/>
            <w:shd w:val="clear" w:color="auto" w:fill="auto"/>
          </w:tcPr>
          <w:p w:rsidR="005624E3" w:rsidRPr="00852DB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00" w:after="100" w:line="240" w:lineRule="atLeast"/>
              <w:jc w:val="center"/>
              <w:rPr>
                <w:rFonts w:cs="Arial"/>
                <w:sz w:val="18"/>
                <w:szCs w:val="18"/>
              </w:rPr>
            </w:pPr>
          </w:p>
        </w:tc>
        <w:tc>
          <w:tcPr>
            <w:tcW w:w="1276" w:type="dxa"/>
          </w:tcPr>
          <w:p w:rsidR="005624E3" w:rsidRPr="004B4203" w:rsidRDefault="005624E3" w:rsidP="00101A80">
            <w:pPr>
              <w:spacing w:before="100" w:after="100" w:line="240" w:lineRule="atLeast"/>
              <w:jc w:val="center"/>
              <w:rPr>
                <w:rFonts w:cs="Arial"/>
                <w:sz w:val="18"/>
                <w:szCs w:val="18"/>
              </w:rPr>
            </w:pPr>
            <w:r>
              <w:rPr>
                <w:sz w:val="18"/>
              </w:rPr>
              <w:t>2018.10.07.</w:t>
            </w:r>
          </w:p>
        </w:tc>
      </w:tr>
      <w:tr w:rsidR="005624E3" w:rsidRPr="00C903F8" w:rsidTr="00101A80">
        <w:trPr>
          <w:cantSplit/>
          <w:jc w:val="center"/>
        </w:trPr>
        <w:tc>
          <w:tcPr>
            <w:tcW w:w="1342" w:type="dxa"/>
            <w:tcBorders>
              <w:bottom w:val="nil"/>
            </w:tcBorders>
            <w:shd w:val="clear" w:color="auto" w:fill="auto"/>
          </w:tcPr>
          <w:p w:rsidR="005624E3" w:rsidRPr="004B4203" w:rsidRDefault="005624E3" w:rsidP="00101A80">
            <w:pPr>
              <w:spacing w:before="100" w:after="100" w:line="240" w:lineRule="atLeast"/>
              <w:rPr>
                <w:rFonts w:cs="Arial"/>
                <w:sz w:val="18"/>
                <w:szCs w:val="18"/>
              </w:rPr>
            </w:pPr>
            <w:r>
              <w:rPr>
                <w:sz w:val="18"/>
              </w:rPr>
              <w:t xml:space="preserve">10.06. cikk </w:t>
            </w:r>
          </w:p>
        </w:tc>
        <w:tc>
          <w:tcPr>
            <w:tcW w:w="1458" w:type="dxa"/>
            <w:shd w:val="clear" w:color="auto" w:fill="auto"/>
          </w:tcPr>
          <w:p w:rsidR="005624E3" w:rsidRPr="00852DB3" w:rsidRDefault="005624E3" w:rsidP="00101A80">
            <w:pPr>
              <w:spacing w:before="100" w:after="100" w:line="240" w:lineRule="atLeast"/>
              <w:rPr>
                <w:rFonts w:cs="Arial"/>
                <w:sz w:val="18"/>
                <w:szCs w:val="18"/>
              </w:rPr>
            </w:pPr>
            <w:r>
              <w:rPr>
                <w:sz w:val="18"/>
              </w:rPr>
              <w:t>1. táblázat</w:t>
            </w:r>
          </w:p>
        </w:tc>
        <w:tc>
          <w:tcPr>
            <w:tcW w:w="3296" w:type="dxa"/>
            <w:shd w:val="clear" w:color="auto" w:fill="auto"/>
          </w:tcPr>
          <w:p w:rsidR="005624E3" w:rsidRPr="00F9107C" w:rsidRDefault="005624E3" w:rsidP="00101A80">
            <w:pPr>
              <w:spacing w:before="100" w:after="100" w:line="240" w:lineRule="atLeast"/>
              <w:rPr>
                <w:rFonts w:cs="Arial"/>
                <w:noProof/>
                <w:sz w:val="18"/>
                <w:szCs w:val="18"/>
              </w:rPr>
            </w:pPr>
            <w:r>
              <w:rPr>
                <w:noProof/>
                <w:sz w:val="18"/>
              </w:rPr>
              <w:t>Háromfázisú váltóáram</w:t>
            </w:r>
          </w:p>
        </w:tc>
        <w:tc>
          <w:tcPr>
            <w:tcW w:w="5387" w:type="dxa"/>
            <w:shd w:val="clear" w:color="auto" w:fill="auto"/>
          </w:tcPr>
          <w:p w:rsidR="005624E3" w:rsidRPr="00852DB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00" w:after="100" w:line="240" w:lineRule="atLeast"/>
              <w:jc w:val="center"/>
              <w:rPr>
                <w:rFonts w:cs="Arial"/>
                <w:sz w:val="18"/>
                <w:szCs w:val="18"/>
              </w:rPr>
            </w:pPr>
          </w:p>
        </w:tc>
        <w:tc>
          <w:tcPr>
            <w:tcW w:w="1276" w:type="dxa"/>
          </w:tcPr>
          <w:p w:rsidR="005624E3" w:rsidRPr="004B4203" w:rsidRDefault="005624E3" w:rsidP="00101A80">
            <w:pPr>
              <w:spacing w:before="100" w:after="100" w:line="240" w:lineRule="atLeast"/>
              <w:jc w:val="center"/>
              <w:rPr>
                <w:rFonts w:cs="Arial"/>
                <w:sz w:val="18"/>
                <w:szCs w:val="18"/>
              </w:rPr>
            </w:pPr>
            <w:r>
              <w:rPr>
                <w:sz w:val="18"/>
              </w:rPr>
              <w:t>2018.10.07.</w:t>
            </w:r>
          </w:p>
        </w:tc>
      </w:tr>
      <w:tr w:rsidR="005624E3" w:rsidRPr="00C903F8" w:rsidTr="00101A80">
        <w:trPr>
          <w:cantSplit/>
          <w:jc w:val="center"/>
        </w:trPr>
        <w:tc>
          <w:tcPr>
            <w:tcW w:w="1342" w:type="dxa"/>
            <w:tcBorders>
              <w:bottom w:val="nil"/>
            </w:tcBorders>
            <w:shd w:val="clear" w:color="auto" w:fill="auto"/>
          </w:tcPr>
          <w:p w:rsidR="005624E3" w:rsidRPr="004B4203" w:rsidRDefault="005624E3" w:rsidP="00101A80">
            <w:pPr>
              <w:spacing w:before="100" w:after="100" w:line="240" w:lineRule="atLeast"/>
              <w:rPr>
                <w:rFonts w:cs="Arial"/>
                <w:sz w:val="18"/>
                <w:szCs w:val="18"/>
              </w:rPr>
            </w:pPr>
            <w:r>
              <w:rPr>
                <w:sz w:val="18"/>
              </w:rPr>
              <w:t>10.08. cikk</w:t>
            </w:r>
          </w:p>
        </w:tc>
        <w:tc>
          <w:tcPr>
            <w:tcW w:w="1458" w:type="dxa"/>
            <w:shd w:val="clear" w:color="auto" w:fill="auto"/>
          </w:tcPr>
          <w:p w:rsidR="005624E3" w:rsidRPr="00852DB3" w:rsidRDefault="005624E3" w:rsidP="00101A80">
            <w:pPr>
              <w:spacing w:before="100" w:after="100" w:line="240" w:lineRule="atLeast"/>
              <w:rPr>
                <w:rFonts w:cs="Arial"/>
                <w:sz w:val="18"/>
                <w:szCs w:val="18"/>
              </w:rPr>
            </w:pPr>
            <w:r>
              <w:rPr>
                <w:sz w:val="18"/>
              </w:rPr>
              <w:t>1. bekezdés</w:t>
            </w:r>
          </w:p>
        </w:tc>
        <w:tc>
          <w:tcPr>
            <w:tcW w:w="3296" w:type="dxa"/>
            <w:shd w:val="clear" w:color="auto" w:fill="auto"/>
          </w:tcPr>
          <w:p w:rsidR="005624E3" w:rsidRPr="00DB7D1E" w:rsidRDefault="005624E3" w:rsidP="00101A80">
            <w:pPr>
              <w:spacing w:before="100" w:after="100" w:line="240" w:lineRule="atLeast"/>
              <w:rPr>
                <w:rFonts w:cs="Arial"/>
                <w:noProof/>
                <w:sz w:val="18"/>
                <w:szCs w:val="18"/>
                <w:lang w:val="es-ES"/>
              </w:rPr>
            </w:pPr>
            <w:r w:rsidRPr="00DB7D1E">
              <w:rPr>
                <w:noProof/>
                <w:sz w:val="18"/>
                <w:lang w:val="es-ES"/>
              </w:rPr>
              <w:t>Megfelelés az EN 15869-1, az EN 15869</w:t>
            </w:r>
            <w:r w:rsidRPr="00DB7D1E">
              <w:rPr>
                <w:lang w:val="es-ES"/>
              </w:rPr>
              <w:softHyphen/>
            </w:r>
            <w:r w:rsidRPr="00DB7D1E">
              <w:rPr>
                <w:noProof/>
                <w:sz w:val="18"/>
                <w:lang w:val="es-ES"/>
              </w:rPr>
              <w:t>3 és az EN 16840 európai szabványnak</w:t>
            </w:r>
          </w:p>
        </w:tc>
        <w:tc>
          <w:tcPr>
            <w:tcW w:w="5387" w:type="dxa"/>
            <w:shd w:val="clear" w:color="auto" w:fill="auto"/>
          </w:tcPr>
          <w:p w:rsidR="005624E3" w:rsidRPr="00852DB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00" w:after="100" w:line="240" w:lineRule="atLeast"/>
              <w:jc w:val="center"/>
              <w:rPr>
                <w:rFonts w:cs="Arial"/>
                <w:sz w:val="18"/>
                <w:szCs w:val="18"/>
              </w:rPr>
            </w:pPr>
          </w:p>
        </w:tc>
        <w:tc>
          <w:tcPr>
            <w:tcW w:w="1276" w:type="dxa"/>
          </w:tcPr>
          <w:p w:rsidR="005624E3" w:rsidRPr="004B4203" w:rsidRDefault="005624E3" w:rsidP="00101A80">
            <w:pPr>
              <w:spacing w:before="100" w:after="10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val="restart"/>
            <w:shd w:val="clear" w:color="auto" w:fill="auto"/>
          </w:tcPr>
          <w:p w:rsidR="005624E3" w:rsidRPr="004B4203" w:rsidRDefault="005624E3" w:rsidP="00101A80">
            <w:pPr>
              <w:spacing w:before="100" w:after="100" w:line="240" w:lineRule="atLeast"/>
              <w:rPr>
                <w:rFonts w:cs="Arial"/>
                <w:sz w:val="18"/>
                <w:szCs w:val="18"/>
              </w:rPr>
            </w:pPr>
            <w:r>
              <w:rPr>
                <w:sz w:val="18"/>
              </w:rPr>
              <w:t xml:space="preserve">10.10. cikk </w:t>
            </w:r>
          </w:p>
        </w:tc>
        <w:tc>
          <w:tcPr>
            <w:tcW w:w="1458" w:type="dxa"/>
            <w:shd w:val="clear" w:color="auto" w:fill="auto"/>
          </w:tcPr>
          <w:p w:rsidR="005624E3" w:rsidRPr="00852DB3"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852DB3" w:rsidRDefault="005624E3" w:rsidP="00101A80">
            <w:pPr>
              <w:spacing w:before="100" w:after="100" w:line="240" w:lineRule="atLeast"/>
              <w:rPr>
                <w:rFonts w:cs="Arial"/>
                <w:sz w:val="18"/>
                <w:szCs w:val="18"/>
              </w:rPr>
            </w:pPr>
            <w:r>
              <w:rPr>
                <w:sz w:val="18"/>
              </w:rPr>
              <w:t>Transzformátorok beépítése</w:t>
            </w:r>
          </w:p>
        </w:tc>
        <w:tc>
          <w:tcPr>
            <w:tcW w:w="5387" w:type="dxa"/>
            <w:shd w:val="clear" w:color="auto" w:fill="auto"/>
          </w:tcPr>
          <w:p w:rsidR="005624E3" w:rsidRPr="00852DB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00" w:after="100" w:line="240" w:lineRule="atLeast"/>
              <w:jc w:val="center"/>
              <w:rPr>
                <w:rFonts w:cs="Arial"/>
                <w:sz w:val="18"/>
                <w:szCs w:val="18"/>
              </w:rPr>
            </w:pPr>
          </w:p>
        </w:tc>
        <w:tc>
          <w:tcPr>
            <w:tcW w:w="1276" w:type="dxa"/>
          </w:tcPr>
          <w:p w:rsidR="005624E3" w:rsidRPr="004B4203" w:rsidRDefault="005624E3" w:rsidP="00101A80">
            <w:pPr>
              <w:spacing w:before="100" w:after="10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100" w:after="100" w:line="240" w:lineRule="atLeast"/>
              <w:rPr>
                <w:rFonts w:cs="Arial"/>
                <w:sz w:val="18"/>
                <w:szCs w:val="18"/>
              </w:rPr>
            </w:pPr>
          </w:p>
        </w:tc>
        <w:tc>
          <w:tcPr>
            <w:tcW w:w="1458" w:type="dxa"/>
            <w:shd w:val="clear" w:color="auto" w:fill="auto"/>
          </w:tcPr>
          <w:p w:rsidR="005624E3" w:rsidRPr="004B4203" w:rsidRDefault="005624E3" w:rsidP="00101A80">
            <w:pPr>
              <w:spacing w:before="100" w:after="100" w:line="240" w:lineRule="atLeast"/>
              <w:rPr>
                <w:rFonts w:cs="Arial"/>
                <w:sz w:val="18"/>
                <w:szCs w:val="18"/>
              </w:rPr>
            </w:pPr>
            <w:r>
              <w:rPr>
                <w:sz w:val="18"/>
              </w:rPr>
              <w:t>3. bekezdés</w:t>
            </w:r>
          </w:p>
        </w:tc>
        <w:tc>
          <w:tcPr>
            <w:tcW w:w="3296" w:type="dxa"/>
            <w:shd w:val="clear" w:color="auto" w:fill="auto"/>
          </w:tcPr>
          <w:p w:rsidR="005624E3" w:rsidRPr="00F9107C" w:rsidRDefault="005624E3" w:rsidP="00101A80">
            <w:pPr>
              <w:spacing w:before="100" w:after="100" w:line="240" w:lineRule="atLeast"/>
              <w:rPr>
                <w:rFonts w:cs="Arial"/>
                <w:noProof/>
                <w:sz w:val="18"/>
                <w:szCs w:val="18"/>
              </w:rPr>
            </w:pPr>
            <w:r>
              <w:rPr>
                <w:sz w:val="18"/>
              </w:rPr>
              <w:t>A transzformátorok elkülönített elsődleges és másodlagos tekercselése</w:t>
            </w:r>
          </w:p>
        </w:tc>
        <w:tc>
          <w:tcPr>
            <w:tcW w:w="5387" w:type="dxa"/>
            <w:shd w:val="clear" w:color="auto" w:fill="auto"/>
          </w:tcPr>
          <w:p w:rsidR="005624E3" w:rsidRPr="004B420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00" w:after="100" w:line="240" w:lineRule="atLeast"/>
              <w:jc w:val="center"/>
              <w:rPr>
                <w:rFonts w:cs="Arial"/>
                <w:sz w:val="18"/>
                <w:szCs w:val="18"/>
              </w:rPr>
            </w:pPr>
          </w:p>
        </w:tc>
        <w:tc>
          <w:tcPr>
            <w:tcW w:w="1276" w:type="dxa"/>
          </w:tcPr>
          <w:p w:rsidR="005624E3" w:rsidRPr="00304E7F" w:rsidRDefault="005624E3" w:rsidP="00101A80">
            <w:pPr>
              <w:spacing w:before="100" w:after="10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100" w:after="100" w:line="240" w:lineRule="atLeast"/>
              <w:rPr>
                <w:rFonts w:cs="Arial"/>
                <w:sz w:val="18"/>
                <w:szCs w:val="18"/>
              </w:rPr>
            </w:pPr>
          </w:p>
        </w:tc>
        <w:tc>
          <w:tcPr>
            <w:tcW w:w="1458" w:type="dxa"/>
            <w:shd w:val="clear" w:color="auto" w:fill="auto"/>
          </w:tcPr>
          <w:p w:rsidR="005624E3" w:rsidRPr="004B4203" w:rsidRDefault="005624E3" w:rsidP="00101A80">
            <w:pPr>
              <w:spacing w:before="100" w:after="100" w:line="240" w:lineRule="atLeast"/>
              <w:rPr>
                <w:rFonts w:cs="Arial"/>
                <w:sz w:val="18"/>
                <w:szCs w:val="18"/>
              </w:rPr>
            </w:pPr>
            <w:r>
              <w:rPr>
                <w:sz w:val="18"/>
              </w:rPr>
              <w:t>4. bekezdés</w:t>
            </w:r>
          </w:p>
        </w:tc>
        <w:tc>
          <w:tcPr>
            <w:tcW w:w="3296" w:type="dxa"/>
            <w:shd w:val="clear" w:color="auto" w:fill="auto"/>
          </w:tcPr>
          <w:p w:rsidR="005624E3" w:rsidRPr="00F9107C" w:rsidRDefault="005624E3" w:rsidP="00101A80">
            <w:pPr>
              <w:spacing w:before="100" w:after="100" w:line="240" w:lineRule="atLeast"/>
              <w:rPr>
                <w:rFonts w:cs="Arial"/>
                <w:noProof/>
                <w:sz w:val="18"/>
                <w:szCs w:val="18"/>
              </w:rPr>
            </w:pPr>
            <w:r>
              <w:rPr>
                <w:sz w:val="18"/>
              </w:rPr>
              <w:t>Transzformátorok másodlagos tekercsének megcsapolásai</w:t>
            </w:r>
          </w:p>
        </w:tc>
        <w:tc>
          <w:tcPr>
            <w:tcW w:w="5387" w:type="dxa"/>
            <w:shd w:val="clear" w:color="auto" w:fill="auto"/>
          </w:tcPr>
          <w:p w:rsidR="005624E3" w:rsidRPr="004B420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00" w:after="100" w:line="240" w:lineRule="atLeast"/>
              <w:jc w:val="center"/>
              <w:rPr>
                <w:rFonts w:cs="Arial"/>
                <w:sz w:val="18"/>
                <w:szCs w:val="18"/>
              </w:rPr>
            </w:pPr>
          </w:p>
        </w:tc>
        <w:tc>
          <w:tcPr>
            <w:tcW w:w="1276" w:type="dxa"/>
          </w:tcPr>
          <w:p w:rsidR="005624E3" w:rsidRPr="00304E7F" w:rsidRDefault="005624E3" w:rsidP="00101A80">
            <w:pPr>
              <w:spacing w:before="100" w:after="10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tcBorders>
              <w:bottom w:val="nil"/>
            </w:tcBorders>
            <w:shd w:val="clear" w:color="auto" w:fill="auto"/>
          </w:tcPr>
          <w:p w:rsidR="005624E3" w:rsidRPr="008F6ABB" w:rsidRDefault="005624E3" w:rsidP="00101A80">
            <w:pPr>
              <w:spacing w:before="100" w:after="100" w:line="240" w:lineRule="atLeast"/>
              <w:rPr>
                <w:rFonts w:cs="Arial"/>
                <w:sz w:val="18"/>
                <w:szCs w:val="18"/>
              </w:rPr>
            </w:pPr>
          </w:p>
        </w:tc>
        <w:tc>
          <w:tcPr>
            <w:tcW w:w="1458" w:type="dxa"/>
            <w:shd w:val="clear" w:color="auto" w:fill="auto"/>
          </w:tcPr>
          <w:p w:rsidR="005624E3" w:rsidRPr="004B4203" w:rsidRDefault="005624E3" w:rsidP="00101A80">
            <w:pPr>
              <w:spacing w:before="100" w:after="100" w:line="240" w:lineRule="atLeast"/>
              <w:rPr>
                <w:rFonts w:cs="Arial"/>
                <w:sz w:val="18"/>
                <w:szCs w:val="18"/>
              </w:rPr>
            </w:pPr>
            <w:r>
              <w:rPr>
                <w:sz w:val="18"/>
              </w:rPr>
              <w:t>5. bekezdés</w:t>
            </w:r>
          </w:p>
        </w:tc>
        <w:tc>
          <w:tcPr>
            <w:tcW w:w="3296" w:type="dxa"/>
            <w:shd w:val="clear" w:color="auto" w:fill="auto"/>
          </w:tcPr>
          <w:p w:rsidR="005624E3" w:rsidRPr="00F9107C" w:rsidRDefault="005624E3" w:rsidP="00101A80">
            <w:pPr>
              <w:spacing w:before="100" w:after="100" w:line="240" w:lineRule="atLeast"/>
              <w:rPr>
                <w:rFonts w:cs="Arial"/>
                <w:noProof/>
                <w:sz w:val="18"/>
                <w:szCs w:val="18"/>
              </w:rPr>
            </w:pPr>
            <w:r>
              <w:rPr>
                <w:sz w:val="18"/>
              </w:rPr>
              <w:t xml:space="preserve"> A gyártót, a motorteljesítményt, a generátorokat és a transzformátorokat ismertető tábla</w:t>
            </w:r>
          </w:p>
        </w:tc>
        <w:tc>
          <w:tcPr>
            <w:tcW w:w="5387" w:type="dxa"/>
            <w:shd w:val="clear" w:color="auto" w:fill="auto"/>
          </w:tcPr>
          <w:p w:rsidR="005624E3" w:rsidRPr="004B4203"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00" w:after="100" w:line="240" w:lineRule="atLeast"/>
              <w:jc w:val="center"/>
              <w:rPr>
                <w:rFonts w:cs="Arial"/>
                <w:sz w:val="18"/>
                <w:szCs w:val="18"/>
              </w:rPr>
            </w:pPr>
          </w:p>
        </w:tc>
        <w:tc>
          <w:tcPr>
            <w:tcW w:w="1276" w:type="dxa"/>
          </w:tcPr>
          <w:p w:rsidR="005624E3" w:rsidRPr="00304E7F" w:rsidRDefault="005624E3" w:rsidP="00101A80">
            <w:pPr>
              <w:spacing w:before="100" w:after="10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val="restart"/>
            <w:shd w:val="clear" w:color="auto" w:fill="auto"/>
          </w:tcPr>
          <w:p w:rsidR="005624E3" w:rsidRPr="004B4203" w:rsidRDefault="005624E3" w:rsidP="00101A80">
            <w:pPr>
              <w:spacing w:before="120" w:after="120" w:line="240" w:lineRule="atLeast"/>
              <w:rPr>
                <w:rFonts w:cs="Arial"/>
                <w:sz w:val="18"/>
                <w:szCs w:val="18"/>
              </w:rPr>
            </w:pPr>
            <w:r>
              <w:rPr>
                <w:sz w:val="18"/>
              </w:rPr>
              <w:t xml:space="preserve">10.11. cikk </w:t>
            </w:r>
          </w:p>
        </w:tc>
        <w:tc>
          <w:tcPr>
            <w:tcW w:w="1458" w:type="dxa"/>
            <w:shd w:val="clear" w:color="auto" w:fill="auto"/>
          </w:tcPr>
          <w:p w:rsidR="005624E3" w:rsidRPr="00F9107C" w:rsidRDefault="005624E3" w:rsidP="00101A80">
            <w:pPr>
              <w:spacing w:before="120" w:after="120" w:line="240" w:lineRule="atLeast"/>
              <w:rPr>
                <w:rFonts w:cs="Arial"/>
                <w:sz w:val="18"/>
                <w:szCs w:val="18"/>
              </w:rPr>
            </w:pPr>
            <w:r>
              <w:rPr>
                <w:sz w:val="18"/>
              </w:rPr>
              <w:t>3. bekezdés</w:t>
            </w:r>
          </w:p>
        </w:tc>
        <w:tc>
          <w:tcPr>
            <w:tcW w:w="3296" w:type="dxa"/>
            <w:shd w:val="clear" w:color="auto" w:fill="auto"/>
          </w:tcPr>
          <w:p w:rsidR="005624E3" w:rsidRPr="001717EA" w:rsidRDefault="005624E3" w:rsidP="00101A80">
            <w:pPr>
              <w:spacing w:before="120" w:after="120" w:line="240" w:lineRule="atLeast"/>
              <w:rPr>
                <w:rFonts w:cs="Arial"/>
                <w:sz w:val="18"/>
                <w:szCs w:val="18"/>
              </w:rPr>
            </w:pPr>
            <w:r>
              <w:rPr>
                <w:sz w:val="18"/>
              </w:rPr>
              <w:t>A kiszolgáló helyiség vagy a szekrény szellőzése a nyitott fedélzet felé</w:t>
            </w:r>
          </w:p>
        </w:tc>
        <w:tc>
          <w:tcPr>
            <w:tcW w:w="5387" w:type="dxa"/>
            <w:shd w:val="clear" w:color="auto" w:fill="auto"/>
          </w:tcPr>
          <w:p w:rsidR="005624E3" w:rsidRPr="00852DB3" w:rsidRDefault="005624E3" w:rsidP="00101A80">
            <w:pPr>
              <w:spacing w:before="120" w:after="12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20" w:after="120" w:line="240" w:lineRule="atLeast"/>
              <w:jc w:val="center"/>
              <w:rPr>
                <w:rFonts w:cs="Arial"/>
                <w:sz w:val="18"/>
                <w:szCs w:val="18"/>
              </w:rPr>
            </w:pPr>
          </w:p>
        </w:tc>
        <w:tc>
          <w:tcPr>
            <w:tcW w:w="1276" w:type="dxa"/>
          </w:tcPr>
          <w:p w:rsidR="005624E3" w:rsidRPr="004B4203" w:rsidRDefault="005624E3" w:rsidP="00101A80">
            <w:pPr>
              <w:spacing w:before="120" w:after="12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120" w:after="120" w:line="240" w:lineRule="atLeast"/>
              <w:rPr>
                <w:rFonts w:cs="Arial"/>
                <w:sz w:val="18"/>
                <w:szCs w:val="18"/>
              </w:rPr>
            </w:pPr>
          </w:p>
        </w:tc>
        <w:tc>
          <w:tcPr>
            <w:tcW w:w="1458" w:type="dxa"/>
            <w:shd w:val="clear" w:color="auto" w:fill="auto"/>
          </w:tcPr>
          <w:p w:rsidR="005624E3" w:rsidRPr="004B4203" w:rsidRDefault="005624E3" w:rsidP="00101A80">
            <w:pPr>
              <w:spacing w:before="120" w:after="120" w:line="240" w:lineRule="atLeast"/>
              <w:rPr>
                <w:rFonts w:cs="Arial"/>
                <w:sz w:val="18"/>
                <w:szCs w:val="18"/>
              </w:rPr>
            </w:pPr>
            <w:r>
              <w:rPr>
                <w:sz w:val="18"/>
              </w:rPr>
              <w:t>12. bekezdés</w:t>
            </w:r>
          </w:p>
        </w:tc>
        <w:tc>
          <w:tcPr>
            <w:tcW w:w="3296" w:type="dxa"/>
            <w:shd w:val="clear" w:color="auto" w:fill="auto"/>
          </w:tcPr>
          <w:p w:rsidR="005624E3" w:rsidRPr="001717EA" w:rsidRDefault="005624E3" w:rsidP="00101A80">
            <w:pPr>
              <w:spacing w:before="120" w:after="120" w:line="240" w:lineRule="atLeast"/>
              <w:rPr>
                <w:rFonts w:cs="Arial"/>
                <w:sz w:val="18"/>
                <w:szCs w:val="18"/>
              </w:rPr>
            </w:pPr>
            <w:r>
              <w:rPr>
                <w:sz w:val="18"/>
              </w:rPr>
              <w:t>A töltőberendezések bemérése</w:t>
            </w:r>
          </w:p>
        </w:tc>
        <w:tc>
          <w:tcPr>
            <w:tcW w:w="5387" w:type="dxa"/>
            <w:shd w:val="clear" w:color="auto" w:fill="auto"/>
          </w:tcPr>
          <w:p w:rsidR="005624E3" w:rsidRPr="004B4203" w:rsidRDefault="005624E3" w:rsidP="00101A80">
            <w:pPr>
              <w:spacing w:before="120" w:after="12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20" w:after="120" w:line="240" w:lineRule="atLeast"/>
              <w:jc w:val="center"/>
              <w:rPr>
                <w:rFonts w:cs="Arial"/>
                <w:sz w:val="18"/>
                <w:szCs w:val="18"/>
              </w:rPr>
            </w:pPr>
          </w:p>
        </w:tc>
        <w:tc>
          <w:tcPr>
            <w:tcW w:w="1276" w:type="dxa"/>
          </w:tcPr>
          <w:p w:rsidR="005624E3" w:rsidRPr="00304E7F" w:rsidRDefault="005624E3" w:rsidP="00101A80">
            <w:pPr>
              <w:spacing w:before="120" w:after="12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120" w:after="120" w:line="240" w:lineRule="atLeast"/>
              <w:rPr>
                <w:rFonts w:cs="Arial"/>
                <w:sz w:val="18"/>
                <w:szCs w:val="18"/>
              </w:rPr>
            </w:pPr>
          </w:p>
        </w:tc>
        <w:tc>
          <w:tcPr>
            <w:tcW w:w="1458" w:type="dxa"/>
            <w:shd w:val="clear" w:color="auto" w:fill="auto"/>
          </w:tcPr>
          <w:p w:rsidR="005624E3" w:rsidRPr="004B4203" w:rsidRDefault="005624E3" w:rsidP="00101A80">
            <w:pPr>
              <w:spacing w:before="120" w:after="120" w:line="240" w:lineRule="atLeast"/>
              <w:rPr>
                <w:rFonts w:cs="Arial"/>
                <w:sz w:val="18"/>
                <w:szCs w:val="18"/>
              </w:rPr>
            </w:pPr>
            <w:r>
              <w:rPr>
                <w:sz w:val="18"/>
              </w:rPr>
              <w:t>13. bekezdés</w:t>
            </w:r>
          </w:p>
        </w:tc>
        <w:tc>
          <w:tcPr>
            <w:tcW w:w="3296" w:type="dxa"/>
            <w:shd w:val="clear" w:color="auto" w:fill="auto"/>
          </w:tcPr>
          <w:p w:rsidR="005624E3" w:rsidRPr="001717EA" w:rsidRDefault="005624E3" w:rsidP="00101A80">
            <w:pPr>
              <w:spacing w:before="120" w:after="120" w:line="240" w:lineRule="atLeast"/>
              <w:rPr>
                <w:rFonts w:cs="Arial"/>
                <w:sz w:val="18"/>
                <w:szCs w:val="18"/>
              </w:rPr>
            </w:pPr>
            <w:r>
              <w:rPr>
                <w:sz w:val="18"/>
              </w:rPr>
              <w:t>Automatikus töltőberendezések</w:t>
            </w:r>
          </w:p>
        </w:tc>
        <w:tc>
          <w:tcPr>
            <w:tcW w:w="5387" w:type="dxa"/>
            <w:shd w:val="clear" w:color="auto" w:fill="auto"/>
          </w:tcPr>
          <w:p w:rsidR="005624E3" w:rsidRPr="004B4203" w:rsidRDefault="005624E3" w:rsidP="00101A80">
            <w:pPr>
              <w:spacing w:before="120" w:after="12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20" w:after="120" w:line="240" w:lineRule="atLeast"/>
              <w:jc w:val="center"/>
              <w:rPr>
                <w:rFonts w:cs="Arial"/>
                <w:sz w:val="18"/>
                <w:szCs w:val="18"/>
              </w:rPr>
            </w:pPr>
          </w:p>
        </w:tc>
        <w:tc>
          <w:tcPr>
            <w:tcW w:w="1276" w:type="dxa"/>
          </w:tcPr>
          <w:p w:rsidR="005624E3" w:rsidRPr="00304E7F" w:rsidRDefault="005624E3" w:rsidP="00101A80">
            <w:pPr>
              <w:spacing w:before="120" w:after="12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120" w:after="120" w:line="240" w:lineRule="atLeast"/>
              <w:rPr>
                <w:rFonts w:cs="Arial"/>
                <w:sz w:val="18"/>
                <w:szCs w:val="18"/>
              </w:rPr>
            </w:pPr>
          </w:p>
        </w:tc>
        <w:tc>
          <w:tcPr>
            <w:tcW w:w="1458" w:type="dxa"/>
            <w:shd w:val="clear" w:color="auto" w:fill="auto"/>
          </w:tcPr>
          <w:p w:rsidR="005624E3" w:rsidRPr="004B4203" w:rsidRDefault="005624E3" w:rsidP="00101A80">
            <w:pPr>
              <w:spacing w:before="120" w:after="120" w:line="240" w:lineRule="atLeast"/>
              <w:rPr>
                <w:rFonts w:cs="Arial"/>
                <w:sz w:val="18"/>
                <w:szCs w:val="18"/>
              </w:rPr>
            </w:pPr>
            <w:r>
              <w:rPr>
                <w:sz w:val="18"/>
              </w:rPr>
              <w:t>14. bekezdés</w:t>
            </w:r>
          </w:p>
        </w:tc>
        <w:tc>
          <w:tcPr>
            <w:tcW w:w="3296" w:type="dxa"/>
            <w:shd w:val="clear" w:color="auto" w:fill="auto"/>
          </w:tcPr>
          <w:p w:rsidR="005624E3" w:rsidRPr="001717EA" w:rsidRDefault="005624E3" w:rsidP="00101A80">
            <w:pPr>
              <w:spacing w:before="120" w:after="120" w:line="240" w:lineRule="atLeast"/>
              <w:rPr>
                <w:rFonts w:cs="Arial"/>
                <w:sz w:val="18"/>
                <w:szCs w:val="18"/>
              </w:rPr>
            </w:pPr>
            <w:r>
              <w:rPr>
                <w:sz w:val="18"/>
              </w:rPr>
              <w:t>Legnagyobb töltési feszültség</w:t>
            </w:r>
          </w:p>
        </w:tc>
        <w:tc>
          <w:tcPr>
            <w:tcW w:w="5387" w:type="dxa"/>
            <w:shd w:val="clear" w:color="auto" w:fill="auto"/>
          </w:tcPr>
          <w:p w:rsidR="005624E3" w:rsidRPr="004B4203" w:rsidRDefault="005624E3" w:rsidP="00101A80">
            <w:pPr>
              <w:spacing w:before="120" w:after="12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20" w:after="120" w:line="240" w:lineRule="atLeast"/>
              <w:jc w:val="center"/>
              <w:rPr>
                <w:rFonts w:cs="Arial"/>
                <w:sz w:val="18"/>
                <w:szCs w:val="18"/>
              </w:rPr>
            </w:pPr>
          </w:p>
        </w:tc>
        <w:tc>
          <w:tcPr>
            <w:tcW w:w="1276" w:type="dxa"/>
          </w:tcPr>
          <w:p w:rsidR="005624E3" w:rsidRPr="00304E7F" w:rsidRDefault="005624E3" w:rsidP="00101A80">
            <w:pPr>
              <w:spacing w:before="120" w:after="12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120" w:after="120" w:line="240" w:lineRule="atLeast"/>
              <w:rPr>
                <w:rFonts w:cs="Arial"/>
                <w:sz w:val="18"/>
                <w:szCs w:val="18"/>
              </w:rPr>
            </w:pPr>
          </w:p>
        </w:tc>
        <w:tc>
          <w:tcPr>
            <w:tcW w:w="1458" w:type="dxa"/>
            <w:shd w:val="clear" w:color="auto" w:fill="auto"/>
          </w:tcPr>
          <w:p w:rsidR="005624E3" w:rsidRPr="004B4203" w:rsidRDefault="005624E3" w:rsidP="00101A80">
            <w:pPr>
              <w:spacing w:before="120" w:after="120" w:line="240" w:lineRule="atLeast"/>
              <w:rPr>
                <w:rFonts w:cs="Arial"/>
                <w:sz w:val="18"/>
                <w:szCs w:val="18"/>
              </w:rPr>
            </w:pPr>
            <w:r>
              <w:rPr>
                <w:sz w:val="18"/>
              </w:rPr>
              <w:t>15. bekezdés</w:t>
            </w:r>
          </w:p>
        </w:tc>
        <w:tc>
          <w:tcPr>
            <w:tcW w:w="3296" w:type="dxa"/>
            <w:shd w:val="clear" w:color="auto" w:fill="auto"/>
          </w:tcPr>
          <w:p w:rsidR="005624E3" w:rsidRPr="001717EA" w:rsidRDefault="005624E3" w:rsidP="00101A80">
            <w:pPr>
              <w:spacing w:before="120" w:after="120" w:line="240" w:lineRule="atLeast"/>
              <w:rPr>
                <w:rFonts w:cs="Arial"/>
                <w:sz w:val="18"/>
                <w:szCs w:val="18"/>
              </w:rPr>
            </w:pPr>
            <w:r>
              <w:rPr>
                <w:sz w:val="18"/>
              </w:rPr>
              <w:t>A lítium-ion akkumulátorokra vonatkozó EN 62619 és EN 62620 szabvány</w:t>
            </w:r>
          </w:p>
        </w:tc>
        <w:tc>
          <w:tcPr>
            <w:tcW w:w="5387" w:type="dxa"/>
            <w:shd w:val="clear" w:color="auto" w:fill="auto"/>
          </w:tcPr>
          <w:p w:rsidR="005624E3" w:rsidRPr="004B4203" w:rsidRDefault="005624E3" w:rsidP="00101A80">
            <w:pPr>
              <w:spacing w:before="120" w:after="12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120" w:after="120" w:line="240" w:lineRule="atLeast"/>
              <w:jc w:val="center"/>
              <w:rPr>
                <w:rFonts w:cs="Arial"/>
                <w:sz w:val="18"/>
                <w:szCs w:val="18"/>
              </w:rPr>
            </w:pPr>
          </w:p>
        </w:tc>
        <w:tc>
          <w:tcPr>
            <w:tcW w:w="1276" w:type="dxa"/>
          </w:tcPr>
          <w:p w:rsidR="005624E3" w:rsidRPr="00304E7F" w:rsidRDefault="005624E3" w:rsidP="00101A80">
            <w:pPr>
              <w:spacing w:before="120" w:after="12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tcBorders>
              <w:bottom w:val="single" w:sz="4" w:space="0" w:color="auto"/>
            </w:tcBorders>
            <w:shd w:val="clear" w:color="auto" w:fill="auto"/>
            <w:vAlign w:val="center"/>
          </w:tcPr>
          <w:p w:rsidR="005624E3" w:rsidRPr="008F6ABB" w:rsidRDefault="005624E3" w:rsidP="00101A80">
            <w:pPr>
              <w:spacing w:before="120" w:after="120" w:line="240" w:lineRule="atLeast"/>
              <w:rPr>
                <w:rFonts w:cs="Arial"/>
                <w:sz w:val="18"/>
                <w:szCs w:val="18"/>
              </w:rPr>
            </w:pPr>
          </w:p>
        </w:tc>
        <w:tc>
          <w:tcPr>
            <w:tcW w:w="1458" w:type="dxa"/>
            <w:tcBorders>
              <w:bottom w:val="single" w:sz="4" w:space="0" w:color="auto"/>
            </w:tcBorders>
            <w:shd w:val="clear" w:color="auto" w:fill="auto"/>
            <w:vAlign w:val="center"/>
          </w:tcPr>
          <w:p w:rsidR="005624E3" w:rsidRPr="004B4203" w:rsidRDefault="005624E3" w:rsidP="00101A80">
            <w:pPr>
              <w:spacing w:before="120" w:after="120" w:line="240" w:lineRule="atLeast"/>
              <w:rPr>
                <w:rFonts w:cs="Arial"/>
                <w:sz w:val="18"/>
                <w:szCs w:val="18"/>
              </w:rPr>
            </w:pPr>
            <w:r>
              <w:rPr>
                <w:sz w:val="18"/>
              </w:rPr>
              <w:t>16. bekezdés</w:t>
            </w:r>
          </w:p>
        </w:tc>
        <w:tc>
          <w:tcPr>
            <w:tcW w:w="3296" w:type="dxa"/>
            <w:tcBorders>
              <w:bottom w:val="single" w:sz="4" w:space="0" w:color="auto"/>
            </w:tcBorders>
            <w:shd w:val="clear" w:color="auto" w:fill="auto"/>
          </w:tcPr>
          <w:p w:rsidR="005624E3" w:rsidRPr="001717EA" w:rsidRDefault="005624E3" w:rsidP="00101A80">
            <w:pPr>
              <w:spacing w:before="120" w:after="120" w:line="240" w:lineRule="atLeast"/>
              <w:rPr>
                <w:rFonts w:cs="Arial"/>
                <w:sz w:val="18"/>
                <w:szCs w:val="18"/>
              </w:rPr>
            </w:pPr>
            <w:r>
              <w:rPr>
                <w:sz w:val="18"/>
              </w:rPr>
              <w:t>Akkumulátorkezelési rendszer</w:t>
            </w:r>
          </w:p>
        </w:tc>
        <w:tc>
          <w:tcPr>
            <w:tcW w:w="5387" w:type="dxa"/>
            <w:tcBorders>
              <w:bottom w:val="single" w:sz="4" w:space="0" w:color="auto"/>
            </w:tcBorders>
            <w:shd w:val="clear" w:color="auto" w:fill="auto"/>
          </w:tcPr>
          <w:p w:rsidR="005624E3" w:rsidRPr="004B4203" w:rsidRDefault="005624E3" w:rsidP="00101A80">
            <w:pPr>
              <w:spacing w:before="120" w:after="120" w:line="240" w:lineRule="atLeast"/>
              <w:rPr>
                <w:rFonts w:cs="Arial"/>
                <w:sz w:val="18"/>
                <w:szCs w:val="18"/>
              </w:rPr>
            </w:pPr>
            <w:r>
              <w:rPr>
                <w:sz w:val="18"/>
              </w:rPr>
              <w:t>N.R.C.</w:t>
            </w:r>
          </w:p>
        </w:tc>
        <w:tc>
          <w:tcPr>
            <w:tcW w:w="1276" w:type="dxa"/>
            <w:tcBorders>
              <w:bottom w:val="single" w:sz="4" w:space="0" w:color="auto"/>
            </w:tcBorders>
            <w:shd w:val="clear" w:color="auto" w:fill="auto"/>
          </w:tcPr>
          <w:p w:rsidR="005624E3" w:rsidRPr="004B4203" w:rsidRDefault="005624E3" w:rsidP="00101A80">
            <w:pPr>
              <w:spacing w:before="120" w:after="120" w:line="240" w:lineRule="atLeast"/>
              <w:jc w:val="center"/>
              <w:rPr>
                <w:rFonts w:cs="Arial"/>
                <w:sz w:val="18"/>
                <w:szCs w:val="18"/>
              </w:rPr>
            </w:pPr>
          </w:p>
        </w:tc>
        <w:tc>
          <w:tcPr>
            <w:tcW w:w="1276" w:type="dxa"/>
            <w:tcBorders>
              <w:bottom w:val="single" w:sz="4" w:space="0" w:color="auto"/>
            </w:tcBorders>
          </w:tcPr>
          <w:p w:rsidR="005624E3" w:rsidRPr="00304E7F" w:rsidRDefault="005624E3" w:rsidP="00101A80">
            <w:pPr>
              <w:spacing w:before="120" w:after="12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val="restart"/>
            <w:shd w:val="clear" w:color="auto" w:fill="auto"/>
          </w:tcPr>
          <w:p w:rsidR="005624E3" w:rsidRPr="008F6ABB" w:rsidRDefault="005624E3" w:rsidP="00101A80">
            <w:pPr>
              <w:spacing w:before="80" w:after="80" w:line="240" w:lineRule="atLeast"/>
              <w:rPr>
                <w:rFonts w:cs="Arial"/>
                <w:sz w:val="18"/>
                <w:szCs w:val="18"/>
              </w:rPr>
            </w:pPr>
            <w:r>
              <w:rPr>
                <w:sz w:val="18"/>
              </w:rPr>
              <w:t>10.15. cikk</w:t>
            </w:r>
          </w:p>
        </w:tc>
        <w:tc>
          <w:tcPr>
            <w:tcW w:w="1458" w:type="dxa"/>
            <w:shd w:val="clear" w:color="auto" w:fill="auto"/>
          </w:tcPr>
          <w:p w:rsidR="005624E3" w:rsidRPr="004B4203" w:rsidRDefault="005624E3" w:rsidP="00101A80">
            <w:pPr>
              <w:spacing w:before="80" w:after="80" w:line="240" w:lineRule="atLeast"/>
              <w:rPr>
                <w:rFonts w:cs="Arial"/>
                <w:sz w:val="18"/>
                <w:szCs w:val="18"/>
              </w:rPr>
            </w:pPr>
            <w:r>
              <w:rPr>
                <w:sz w:val="18"/>
              </w:rPr>
              <w:t>11. bekezdés</w:t>
            </w:r>
          </w:p>
        </w:tc>
        <w:tc>
          <w:tcPr>
            <w:tcW w:w="3296" w:type="dxa"/>
            <w:shd w:val="clear" w:color="auto" w:fill="auto"/>
          </w:tcPr>
          <w:p w:rsidR="005624E3" w:rsidRPr="00F9107C" w:rsidRDefault="005624E3" w:rsidP="00101A80">
            <w:pPr>
              <w:spacing w:before="80" w:after="80" w:line="240" w:lineRule="atLeast"/>
              <w:rPr>
                <w:rFonts w:cs="Arial"/>
                <w:sz w:val="18"/>
                <w:szCs w:val="18"/>
              </w:rPr>
            </w:pPr>
            <w:r>
              <w:rPr>
                <w:sz w:val="18"/>
              </w:rPr>
              <w:t>A kábelkötegek átvezetései</w:t>
            </w:r>
          </w:p>
        </w:tc>
        <w:tc>
          <w:tcPr>
            <w:tcW w:w="5387" w:type="dxa"/>
            <w:shd w:val="clear" w:color="auto" w:fill="auto"/>
          </w:tcPr>
          <w:p w:rsidR="005624E3" w:rsidRPr="004B420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80" w:after="80" w:line="240" w:lineRule="atLeast"/>
              <w:jc w:val="center"/>
              <w:rPr>
                <w:rFonts w:cs="Arial"/>
                <w:sz w:val="18"/>
                <w:szCs w:val="18"/>
              </w:rPr>
            </w:pPr>
          </w:p>
        </w:tc>
        <w:tc>
          <w:tcPr>
            <w:tcW w:w="1276" w:type="dxa"/>
          </w:tcPr>
          <w:p w:rsidR="005624E3" w:rsidRPr="00304E7F" w:rsidRDefault="005624E3" w:rsidP="00101A80">
            <w:pPr>
              <w:spacing w:before="80" w:after="8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80" w:after="80" w:line="240" w:lineRule="atLeast"/>
              <w:rPr>
                <w:rFonts w:cs="Arial"/>
                <w:sz w:val="18"/>
                <w:szCs w:val="18"/>
              </w:rPr>
            </w:pPr>
          </w:p>
        </w:tc>
        <w:tc>
          <w:tcPr>
            <w:tcW w:w="1458" w:type="dxa"/>
            <w:shd w:val="clear" w:color="auto" w:fill="auto"/>
          </w:tcPr>
          <w:p w:rsidR="005624E3" w:rsidRPr="004B4203" w:rsidRDefault="005624E3" w:rsidP="00101A80">
            <w:pPr>
              <w:spacing w:before="80" w:after="80" w:line="240" w:lineRule="atLeast"/>
              <w:rPr>
                <w:rFonts w:cs="Arial"/>
                <w:sz w:val="18"/>
                <w:szCs w:val="18"/>
              </w:rPr>
            </w:pPr>
            <w:r>
              <w:rPr>
                <w:sz w:val="18"/>
              </w:rPr>
              <w:t>12. bekezdés</w:t>
            </w:r>
          </w:p>
        </w:tc>
        <w:tc>
          <w:tcPr>
            <w:tcW w:w="3296" w:type="dxa"/>
            <w:shd w:val="clear" w:color="auto" w:fill="auto"/>
          </w:tcPr>
          <w:p w:rsidR="005624E3" w:rsidRPr="00F9107C" w:rsidRDefault="005624E3" w:rsidP="00101A80">
            <w:pPr>
              <w:spacing w:before="80" w:after="80" w:line="240" w:lineRule="atLeast"/>
              <w:rPr>
                <w:rFonts w:cs="Arial"/>
                <w:sz w:val="18"/>
                <w:szCs w:val="18"/>
              </w:rPr>
            </w:pPr>
            <w:r>
              <w:rPr>
                <w:sz w:val="18"/>
              </w:rPr>
              <w:t>A vészhelyzeti elektromos áramforrástól az áramfogyasztó berendezéshez vezető kábelek</w:t>
            </w:r>
          </w:p>
        </w:tc>
        <w:tc>
          <w:tcPr>
            <w:tcW w:w="5387" w:type="dxa"/>
            <w:shd w:val="clear" w:color="auto" w:fill="auto"/>
          </w:tcPr>
          <w:p w:rsidR="005624E3" w:rsidRPr="004B420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80" w:after="80" w:line="240" w:lineRule="atLeast"/>
              <w:jc w:val="center"/>
              <w:rPr>
                <w:rFonts w:cs="Arial"/>
                <w:sz w:val="18"/>
                <w:szCs w:val="18"/>
              </w:rPr>
            </w:pPr>
          </w:p>
        </w:tc>
        <w:tc>
          <w:tcPr>
            <w:tcW w:w="1276" w:type="dxa"/>
          </w:tcPr>
          <w:p w:rsidR="005624E3" w:rsidRPr="00304E7F" w:rsidRDefault="005624E3" w:rsidP="00101A80">
            <w:pPr>
              <w:spacing w:before="80" w:after="8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80" w:after="80" w:line="240" w:lineRule="atLeast"/>
              <w:rPr>
                <w:rFonts w:cs="Arial"/>
                <w:sz w:val="18"/>
                <w:szCs w:val="18"/>
              </w:rPr>
            </w:pPr>
          </w:p>
        </w:tc>
        <w:tc>
          <w:tcPr>
            <w:tcW w:w="1458" w:type="dxa"/>
            <w:shd w:val="clear" w:color="auto" w:fill="auto"/>
          </w:tcPr>
          <w:p w:rsidR="005624E3" w:rsidRPr="004B4203" w:rsidRDefault="005624E3" w:rsidP="00101A80">
            <w:pPr>
              <w:spacing w:before="80" w:after="80" w:line="240" w:lineRule="atLeast"/>
              <w:rPr>
                <w:rFonts w:cs="Arial"/>
                <w:sz w:val="18"/>
                <w:szCs w:val="18"/>
              </w:rPr>
            </w:pPr>
            <w:r>
              <w:rPr>
                <w:sz w:val="18"/>
              </w:rPr>
              <w:t>13. bekezdés</w:t>
            </w:r>
          </w:p>
        </w:tc>
        <w:tc>
          <w:tcPr>
            <w:tcW w:w="3296" w:type="dxa"/>
            <w:shd w:val="clear" w:color="auto" w:fill="auto"/>
          </w:tcPr>
          <w:p w:rsidR="005624E3" w:rsidRPr="00F9107C" w:rsidRDefault="005624E3" w:rsidP="00101A80">
            <w:pPr>
              <w:spacing w:before="80" w:after="80" w:line="240" w:lineRule="atLeast"/>
              <w:rPr>
                <w:rFonts w:cs="Arial"/>
                <w:sz w:val="18"/>
                <w:szCs w:val="18"/>
              </w:rPr>
            </w:pPr>
            <w:r>
              <w:rPr>
                <w:sz w:val="18"/>
              </w:rPr>
              <w:t>Magas környezeti hőmérsékletű területeken áthaladó kábelek</w:t>
            </w:r>
          </w:p>
        </w:tc>
        <w:tc>
          <w:tcPr>
            <w:tcW w:w="5387" w:type="dxa"/>
            <w:shd w:val="clear" w:color="auto" w:fill="auto"/>
          </w:tcPr>
          <w:p w:rsidR="005624E3" w:rsidRPr="004B420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80" w:after="80" w:line="240" w:lineRule="atLeast"/>
              <w:jc w:val="center"/>
              <w:rPr>
                <w:rFonts w:cs="Arial"/>
                <w:sz w:val="18"/>
                <w:szCs w:val="18"/>
              </w:rPr>
            </w:pPr>
          </w:p>
        </w:tc>
        <w:tc>
          <w:tcPr>
            <w:tcW w:w="1276" w:type="dxa"/>
          </w:tcPr>
          <w:p w:rsidR="005624E3" w:rsidRPr="00304E7F" w:rsidRDefault="005624E3" w:rsidP="00101A80">
            <w:pPr>
              <w:spacing w:before="80" w:after="8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tcBorders>
              <w:bottom w:val="nil"/>
            </w:tcBorders>
            <w:shd w:val="clear" w:color="auto" w:fill="auto"/>
          </w:tcPr>
          <w:p w:rsidR="005624E3" w:rsidRPr="008F6ABB" w:rsidRDefault="005624E3" w:rsidP="00101A80">
            <w:pPr>
              <w:spacing w:before="80" w:after="80" w:line="240" w:lineRule="atLeast"/>
              <w:rPr>
                <w:rFonts w:cs="Arial"/>
                <w:sz w:val="18"/>
                <w:szCs w:val="18"/>
              </w:rPr>
            </w:pPr>
          </w:p>
        </w:tc>
        <w:tc>
          <w:tcPr>
            <w:tcW w:w="1458" w:type="dxa"/>
            <w:shd w:val="clear" w:color="auto" w:fill="auto"/>
          </w:tcPr>
          <w:p w:rsidR="005624E3" w:rsidRPr="004B4203" w:rsidRDefault="005624E3" w:rsidP="00101A80">
            <w:pPr>
              <w:spacing w:before="80" w:after="80" w:line="240" w:lineRule="atLeast"/>
              <w:rPr>
                <w:rFonts w:cs="Arial"/>
                <w:sz w:val="18"/>
                <w:szCs w:val="18"/>
              </w:rPr>
            </w:pPr>
            <w:r>
              <w:rPr>
                <w:sz w:val="18"/>
              </w:rPr>
              <w:t>14. bekezdés</w:t>
            </w:r>
          </w:p>
        </w:tc>
        <w:tc>
          <w:tcPr>
            <w:tcW w:w="3296" w:type="dxa"/>
            <w:shd w:val="clear" w:color="auto" w:fill="auto"/>
          </w:tcPr>
          <w:p w:rsidR="005624E3" w:rsidRPr="00F9107C" w:rsidRDefault="005624E3" w:rsidP="00101A80">
            <w:pPr>
              <w:spacing w:before="80" w:after="80" w:line="240" w:lineRule="atLeast"/>
              <w:rPr>
                <w:rFonts w:cs="Arial"/>
                <w:sz w:val="18"/>
                <w:szCs w:val="18"/>
              </w:rPr>
            </w:pPr>
            <w:r>
              <w:rPr>
                <w:sz w:val="18"/>
              </w:rPr>
              <w:t>A fő és a vészhelyzeti tápkábelek elhelyezése</w:t>
            </w:r>
          </w:p>
        </w:tc>
        <w:tc>
          <w:tcPr>
            <w:tcW w:w="5387" w:type="dxa"/>
            <w:shd w:val="clear" w:color="auto" w:fill="auto"/>
          </w:tcPr>
          <w:p w:rsidR="005624E3" w:rsidRPr="004B420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80" w:after="80" w:line="240" w:lineRule="atLeast"/>
              <w:jc w:val="center"/>
              <w:rPr>
                <w:rFonts w:cs="Arial"/>
                <w:sz w:val="18"/>
                <w:szCs w:val="18"/>
              </w:rPr>
            </w:pPr>
          </w:p>
        </w:tc>
        <w:tc>
          <w:tcPr>
            <w:tcW w:w="1276" w:type="dxa"/>
          </w:tcPr>
          <w:p w:rsidR="005624E3" w:rsidRPr="00304E7F" w:rsidRDefault="005624E3" w:rsidP="00101A80">
            <w:pPr>
              <w:spacing w:before="80" w:after="8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val="restart"/>
            <w:shd w:val="clear" w:color="auto" w:fill="auto"/>
          </w:tcPr>
          <w:p w:rsidR="005624E3" w:rsidRPr="004B4203" w:rsidRDefault="005624E3" w:rsidP="00101A80">
            <w:pPr>
              <w:spacing w:before="120" w:after="120" w:line="240" w:lineRule="atLeast"/>
              <w:rPr>
                <w:rFonts w:cs="Arial"/>
                <w:sz w:val="18"/>
                <w:szCs w:val="18"/>
              </w:rPr>
            </w:pPr>
            <w:r>
              <w:rPr>
                <w:sz w:val="18"/>
              </w:rPr>
              <w:t xml:space="preserve">10.18. cikk </w:t>
            </w:r>
          </w:p>
        </w:tc>
        <w:tc>
          <w:tcPr>
            <w:tcW w:w="1458" w:type="dxa"/>
            <w:shd w:val="clear" w:color="auto" w:fill="auto"/>
          </w:tcPr>
          <w:p w:rsidR="005624E3" w:rsidRPr="00852DB3" w:rsidRDefault="005624E3" w:rsidP="00101A80">
            <w:pPr>
              <w:spacing w:before="120" w:after="120" w:line="240" w:lineRule="atLeast"/>
              <w:rPr>
                <w:rFonts w:cs="Arial"/>
                <w:sz w:val="18"/>
                <w:szCs w:val="18"/>
              </w:rPr>
            </w:pPr>
            <w:r>
              <w:rPr>
                <w:sz w:val="18"/>
              </w:rPr>
              <w:t>1. bekezdés</w:t>
            </w:r>
          </w:p>
        </w:tc>
        <w:tc>
          <w:tcPr>
            <w:tcW w:w="3296" w:type="dxa"/>
            <w:shd w:val="clear" w:color="auto" w:fill="auto"/>
          </w:tcPr>
          <w:p w:rsidR="005624E3" w:rsidRPr="001717EA" w:rsidRDefault="005624E3" w:rsidP="00101A80">
            <w:pPr>
              <w:spacing w:before="120" w:after="120" w:line="240" w:lineRule="atLeast"/>
              <w:rPr>
                <w:rFonts w:cs="Arial"/>
                <w:sz w:val="18"/>
                <w:szCs w:val="18"/>
              </w:rPr>
            </w:pPr>
            <w:r>
              <w:rPr>
                <w:sz w:val="18"/>
              </w:rPr>
              <w:t>A hálózatról való lekapcsolásra szolgáló eszköz</w:t>
            </w:r>
          </w:p>
        </w:tc>
        <w:tc>
          <w:tcPr>
            <w:tcW w:w="5387" w:type="dxa"/>
            <w:shd w:val="clear" w:color="auto" w:fill="auto"/>
          </w:tcPr>
          <w:p w:rsidR="005624E3" w:rsidRPr="00C408A4" w:rsidRDefault="005624E3" w:rsidP="00101A80">
            <w:pPr>
              <w:spacing w:before="120" w:after="12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20" w:after="120" w:line="240" w:lineRule="atLeast"/>
              <w:jc w:val="center"/>
              <w:rPr>
                <w:rFonts w:cs="Arial"/>
                <w:sz w:val="18"/>
                <w:szCs w:val="18"/>
              </w:rPr>
            </w:pPr>
          </w:p>
        </w:tc>
        <w:tc>
          <w:tcPr>
            <w:tcW w:w="1276" w:type="dxa"/>
          </w:tcPr>
          <w:p w:rsidR="005624E3" w:rsidRPr="004B4203" w:rsidRDefault="005624E3" w:rsidP="00101A80">
            <w:pPr>
              <w:spacing w:before="120" w:after="12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60" w:after="60" w:line="240" w:lineRule="atLeast"/>
              <w:rPr>
                <w:rFonts w:cs="Arial"/>
                <w:sz w:val="18"/>
                <w:szCs w:val="18"/>
              </w:rPr>
            </w:pPr>
          </w:p>
        </w:tc>
        <w:tc>
          <w:tcPr>
            <w:tcW w:w="1458" w:type="dxa"/>
            <w:shd w:val="clear" w:color="auto" w:fill="auto"/>
          </w:tcPr>
          <w:p w:rsidR="005624E3" w:rsidRPr="004B4203" w:rsidRDefault="005624E3" w:rsidP="00101A80">
            <w:pPr>
              <w:spacing w:before="60" w:after="60" w:line="240" w:lineRule="atLeast"/>
              <w:rPr>
                <w:rFonts w:cs="Arial"/>
                <w:sz w:val="18"/>
                <w:szCs w:val="18"/>
              </w:rPr>
            </w:pPr>
            <w:r>
              <w:rPr>
                <w:sz w:val="18"/>
              </w:rPr>
              <w:t>2. bekezdés</w:t>
            </w:r>
          </w:p>
        </w:tc>
        <w:tc>
          <w:tcPr>
            <w:tcW w:w="3296" w:type="dxa"/>
            <w:shd w:val="clear" w:color="auto" w:fill="auto"/>
          </w:tcPr>
          <w:p w:rsidR="005624E3" w:rsidRPr="00C408A4" w:rsidRDefault="005624E3" w:rsidP="00101A80">
            <w:pPr>
              <w:spacing w:before="60" w:after="60" w:line="240" w:lineRule="atLeast"/>
              <w:rPr>
                <w:rFonts w:cs="Arial"/>
                <w:sz w:val="18"/>
                <w:szCs w:val="18"/>
              </w:rPr>
            </w:pPr>
            <w:r>
              <w:rPr>
                <w:sz w:val="18"/>
              </w:rPr>
              <w:t>Hozzáférhetőség</w:t>
            </w:r>
          </w:p>
        </w:tc>
        <w:tc>
          <w:tcPr>
            <w:tcW w:w="5387" w:type="dxa"/>
            <w:shd w:val="clear" w:color="auto" w:fill="auto"/>
          </w:tcPr>
          <w:p w:rsidR="005624E3" w:rsidRPr="00C408A4"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60" w:after="60" w:line="240" w:lineRule="atLeast"/>
              <w:jc w:val="center"/>
              <w:rPr>
                <w:rFonts w:cs="Arial"/>
                <w:sz w:val="18"/>
                <w:szCs w:val="18"/>
              </w:rPr>
            </w:pPr>
          </w:p>
        </w:tc>
        <w:tc>
          <w:tcPr>
            <w:tcW w:w="1276" w:type="dxa"/>
          </w:tcPr>
          <w:p w:rsidR="005624E3" w:rsidRPr="00304E7F" w:rsidRDefault="005624E3" w:rsidP="00101A80">
            <w:pPr>
              <w:spacing w:before="60" w:after="6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60" w:after="60" w:line="240" w:lineRule="atLeast"/>
              <w:rPr>
                <w:rFonts w:cs="Arial"/>
                <w:sz w:val="18"/>
                <w:szCs w:val="18"/>
              </w:rPr>
            </w:pPr>
          </w:p>
        </w:tc>
        <w:tc>
          <w:tcPr>
            <w:tcW w:w="1458" w:type="dxa"/>
            <w:shd w:val="clear" w:color="auto" w:fill="auto"/>
          </w:tcPr>
          <w:p w:rsidR="005624E3" w:rsidRPr="004B4203"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C408A4" w:rsidRDefault="005624E3" w:rsidP="00101A80">
            <w:pPr>
              <w:spacing w:before="60" w:after="60" w:line="240" w:lineRule="atLeast"/>
              <w:rPr>
                <w:rFonts w:cs="Arial"/>
                <w:sz w:val="18"/>
                <w:szCs w:val="18"/>
              </w:rPr>
            </w:pPr>
            <w:r>
              <w:rPr>
                <w:sz w:val="18"/>
              </w:rPr>
              <w:t>A vezérlő- és teljesítményelektronikai áramkörök galvanikus elválasztása</w:t>
            </w:r>
          </w:p>
        </w:tc>
        <w:tc>
          <w:tcPr>
            <w:tcW w:w="5387" w:type="dxa"/>
            <w:shd w:val="clear" w:color="auto" w:fill="auto"/>
          </w:tcPr>
          <w:p w:rsidR="005624E3" w:rsidRPr="00C408A4"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60" w:after="60" w:line="240" w:lineRule="atLeast"/>
              <w:jc w:val="center"/>
              <w:rPr>
                <w:rFonts w:cs="Arial"/>
                <w:sz w:val="18"/>
                <w:szCs w:val="18"/>
              </w:rPr>
            </w:pPr>
          </w:p>
        </w:tc>
        <w:tc>
          <w:tcPr>
            <w:tcW w:w="1276" w:type="dxa"/>
          </w:tcPr>
          <w:p w:rsidR="005624E3" w:rsidRPr="00304E7F" w:rsidRDefault="005624E3" w:rsidP="00101A80">
            <w:pPr>
              <w:spacing w:before="60" w:after="6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60" w:after="60" w:line="240" w:lineRule="atLeast"/>
              <w:rPr>
                <w:rFonts w:cs="Arial"/>
                <w:sz w:val="18"/>
                <w:szCs w:val="18"/>
              </w:rPr>
            </w:pPr>
          </w:p>
        </w:tc>
        <w:tc>
          <w:tcPr>
            <w:tcW w:w="1458" w:type="dxa"/>
            <w:shd w:val="clear" w:color="auto" w:fill="auto"/>
          </w:tcPr>
          <w:p w:rsidR="005624E3" w:rsidRPr="004B4203" w:rsidRDefault="005624E3" w:rsidP="00101A80">
            <w:pPr>
              <w:spacing w:before="60" w:after="60" w:line="240" w:lineRule="atLeast"/>
              <w:rPr>
                <w:rFonts w:cs="Arial"/>
                <w:sz w:val="18"/>
                <w:szCs w:val="18"/>
              </w:rPr>
            </w:pPr>
            <w:r>
              <w:rPr>
                <w:sz w:val="18"/>
              </w:rPr>
              <w:t>4. bekezdés</w:t>
            </w:r>
          </w:p>
        </w:tc>
        <w:tc>
          <w:tcPr>
            <w:tcW w:w="3296" w:type="dxa"/>
            <w:shd w:val="clear" w:color="auto" w:fill="auto"/>
          </w:tcPr>
          <w:p w:rsidR="005624E3" w:rsidRPr="00C408A4" w:rsidRDefault="005624E3" w:rsidP="00101A80">
            <w:pPr>
              <w:spacing w:before="60" w:after="60" w:line="240" w:lineRule="atLeast"/>
              <w:rPr>
                <w:rFonts w:cs="Arial"/>
                <w:sz w:val="18"/>
                <w:szCs w:val="18"/>
              </w:rPr>
            </w:pPr>
            <w:r>
              <w:rPr>
                <w:sz w:val="18"/>
              </w:rPr>
              <w:t>Működés feszültség- és frekvenciaingadozások mellett</w:t>
            </w:r>
          </w:p>
        </w:tc>
        <w:tc>
          <w:tcPr>
            <w:tcW w:w="5387" w:type="dxa"/>
            <w:shd w:val="clear" w:color="auto" w:fill="auto"/>
          </w:tcPr>
          <w:p w:rsidR="005624E3" w:rsidRPr="00C408A4"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60" w:after="60" w:line="240" w:lineRule="atLeast"/>
              <w:jc w:val="center"/>
              <w:rPr>
                <w:rFonts w:cs="Arial"/>
                <w:sz w:val="18"/>
                <w:szCs w:val="18"/>
              </w:rPr>
            </w:pPr>
          </w:p>
        </w:tc>
        <w:tc>
          <w:tcPr>
            <w:tcW w:w="1276" w:type="dxa"/>
          </w:tcPr>
          <w:p w:rsidR="005624E3" w:rsidRPr="00304E7F" w:rsidRDefault="005624E3" w:rsidP="00101A80">
            <w:pPr>
              <w:spacing w:before="60" w:after="6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60" w:after="60" w:line="240" w:lineRule="atLeast"/>
              <w:rPr>
                <w:rFonts w:cs="Arial"/>
                <w:sz w:val="18"/>
                <w:szCs w:val="18"/>
              </w:rPr>
            </w:pPr>
          </w:p>
        </w:tc>
        <w:tc>
          <w:tcPr>
            <w:tcW w:w="1458" w:type="dxa"/>
            <w:shd w:val="clear" w:color="auto" w:fill="auto"/>
          </w:tcPr>
          <w:p w:rsidR="005624E3" w:rsidRPr="004B4203" w:rsidRDefault="005624E3" w:rsidP="00101A80">
            <w:pPr>
              <w:spacing w:before="60" w:after="60" w:line="240" w:lineRule="atLeast"/>
              <w:rPr>
                <w:rFonts w:cs="Arial"/>
                <w:sz w:val="18"/>
                <w:szCs w:val="18"/>
              </w:rPr>
            </w:pPr>
            <w:r>
              <w:rPr>
                <w:sz w:val="18"/>
              </w:rPr>
              <w:t>5. bekezdés</w:t>
            </w:r>
          </w:p>
        </w:tc>
        <w:tc>
          <w:tcPr>
            <w:tcW w:w="3296" w:type="dxa"/>
            <w:shd w:val="clear" w:color="auto" w:fill="auto"/>
          </w:tcPr>
          <w:p w:rsidR="005624E3" w:rsidRPr="00C408A4" w:rsidRDefault="005624E3" w:rsidP="00101A80">
            <w:pPr>
              <w:spacing w:before="60" w:after="60" w:line="240" w:lineRule="atLeast"/>
              <w:rPr>
                <w:rFonts w:cs="Arial"/>
                <w:sz w:val="18"/>
                <w:szCs w:val="18"/>
              </w:rPr>
            </w:pPr>
            <w:r>
              <w:rPr>
                <w:sz w:val="18"/>
              </w:rPr>
              <w:t>Lemerülési idő a hálózatról való lekapcsolódás után</w:t>
            </w:r>
          </w:p>
        </w:tc>
        <w:tc>
          <w:tcPr>
            <w:tcW w:w="5387" w:type="dxa"/>
            <w:shd w:val="clear" w:color="auto" w:fill="auto"/>
          </w:tcPr>
          <w:p w:rsidR="005624E3" w:rsidRPr="00C408A4"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408A4" w:rsidRDefault="005624E3" w:rsidP="00101A80">
            <w:pPr>
              <w:spacing w:before="60" w:after="60" w:line="240" w:lineRule="atLeast"/>
              <w:jc w:val="center"/>
              <w:rPr>
                <w:rFonts w:cs="Arial"/>
                <w:sz w:val="18"/>
                <w:szCs w:val="18"/>
              </w:rPr>
            </w:pPr>
          </w:p>
        </w:tc>
        <w:tc>
          <w:tcPr>
            <w:tcW w:w="1276" w:type="dxa"/>
          </w:tcPr>
          <w:p w:rsidR="005624E3" w:rsidRPr="00304E7F" w:rsidRDefault="005624E3" w:rsidP="00101A80">
            <w:pPr>
              <w:spacing w:before="60" w:after="6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60" w:after="60" w:line="240" w:lineRule="atLeast"/>
              <w:rPr>
                <w:rFonts w:cs="Arial"/>
                <w:sz w:val="18"/>
                <w:szCs w:val="18"/>
              </w:rPr>
            </w:pPr>
          </w:p>
        </w:tc>
        <w:tc>
          <w:tcPr>
            <w:tcW w:w="1458" w:type="dxa"/>
            <w:shd w:val="clear" w:color="auto" w:fill="auto"/>
          </w:tcPr>
          <w:p w:rsidR="005624E3" w:rsidRPr="004B4203" w:rsidRDefault="005624E3" w:rsidP="00101A80">
            <w:pPr>
              <w:spacing w:before="60" w:after="60" w:line="240" w:lineRule="atLeast"/>
              <w:rPr>
                <w:rFonts w:cs="Arial"/>
                <w:sz w:val="18"/>
                <w:szCs w:val="18"/>
              </w:rPr>
            </w:pPr>
            <w:r>
              <w:rPr>
                <w:sz w:val="18"/>
              </w:rPr>
              <w:t>6. bekezdés</w:t>
            </w:r>
          </w:p>
        </w:tc>
        <w:tc>
          <w:tcPr>
            <w:tcW w:w="3296" w:type="dxa"/>
            <w:shd w:val="clear" w:color="auto" w:fill="auto"/>
          </w:tcPr>
          <w:p w:rsidR="005624E3" w:rsidRPr="00C408A4" w:rsidRDefault="005624E3" w:rsidP="00101A80">
            <w:pPr>
              <w:spacing w:before="60" w:after="60" w:line="240" w:lineRule="atLeast"/>
              <w:rPr>
                <w:rFonts w:cs="Arial"/>
                <w:sz w:val="18"/>
                <w:szCs w:val="18"/>
              </w:rPr>
            </w:pPr>
            <w:r>
              <w:rPr>
                <w:sz w:val="18"/>
              </w:rPr>
              <w:t>A külső vezérlőjelek meghibásodására adott válaszlépés</w:t>
            </w:r>
          </w:p>
        </w:tc>
        <w:tc>
          <w:tcPr>
            <w:tcW w:w="5387" w:type="dxa"/>
            <w:shd w:val="clear" w:color="auto" w:fill="auto"/>
          </w:tcPr>
          <w:p w:rsidR="005624E3" w:rsidRPr="00C408A4"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60" w:after="60" w:line="240" w:lineRule="atLeast"/>
              <w:jc w:val="center"/>
              <w:rPr>
                <w:rFonts w:cs="Arial"/>
                <w:sz w:val="18"/>
                <w:szCs w:val="18"/>
              </w:rPr>
            </w:pPr>
          </w:p>
        </w:tc>
        <w:tc>
          <w:tcPr>
            <w:tcW w:w="1276" w:type="dxa"/>
          </w:tcPr>
          <w:p w:rsidR="005624E3" w:rsidRPr="00304E7F" w:rsidRDefault="005624E3" w:rsidP="00101A80">
            <w:pPr>
              <w:spacing w:before="60" w:after="6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60" w:after="60" w:line="240" w:lineRule="atLeast"/>
              <w:rPr>
                <w:rFonts w:cs="Arial"/>
                <w:sz w:val="18"/>
                <w:szCs w:val="18"/>
              </w:rPr>
            </w:pPr>
          </w:p>
        </w:tc>
        <w:tc>
          <w:tcPr>
            <w:tcW w:w="1458" w:type="dxa"/>
            <w:shd w:val="clear" w:color="auto" w:fill="auto"/>
          </w:tcPr>
          <w:p w:rsidR="005624E3" w:rsidRPr="004B4203" w:rsidRDefault="005624E3" w:rsidP="00101A80">
            <w:pPr>
              <w:spacing w:before="60" w:after="60" w:line="240" w:lineRule="atLeast"/>
              <w:rPr>
                <w:rFonts w:cs="Arial"/>
                <w:sz w:val="18"/>
                <w:szCs w:val="18"/>
              </w:rPr>
            </w:pPr>
            <w:r>
              <w:rPr>
                <w:sz w:val="18"/>
              </w:rPr>
              <w:t>7. bekezdés</w:t>
            </w:r>
          </w:p>
        </w:tc>
        <w:tc>
          <w:tcPr>
            <w:tcW w:w="3296" w:type="dxa"/>
            <w:shd w:val="clear" w:color="auto" w:fill="auto"/>
          </w:tcPr>
          <w:p w:rsidR="005624E3" w:rsidRPr="00C408A4" w:rsidRDefault="005624E3" w:rsidP="00101A80">
            <w:pPr>
              <w:spacing w:before="60" w:after="60" w:line="240" w:lineRule="atLeast"/>
              <w:rPr>
                <w:rFonts w:cs="Arial"/>
                <w:sz w:val="18"/>
                <w:szCs w:val="18"/>
              </w:rPr>
            </w:pPr>
            <w:r>
              <w:rPr>
                <w:sz w:val="18"/>
              </w:rPr>
              <w:t>A vezérlőfeszültség meghibásodására adott válaszlépés</w:t>
            </w:r>
          </w:p>
        </w:tc>
        <w:tc>
          <w:tcPr>
            <w:tcW w:w="5387" w:type="dxa"/>
            <w:shd w:val="clear" w:color="auto" w:fill="auto"/>
          </w:tcPr>
          <w:p w:rsidR="005624E3" w:rsidRPr="00C408A4"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60" w:after="60" w:line="240" w:lineRule="atLeast"/>
              <w:jc w:val="center"/>
              <w:rPr>
                <w:rFonts w:cs="Arial"/>
                <w:sz w:val="18"/>
                <w:szCs w:val="18"/>
              </w:rPr>
            </w:pPr>
          </w:p>
        </w:tc>
        <w:tc>
          <w:tcPr>
            <w:tcW w:w="1276" w:type="dxa"/>
          </w:tcPr>
          <w:p w:rsidR="005624E3" w:rsidRPr="00304E7F" w:rsidRDefault="005624E3" w:rsidP="00101A80">
            <w:pPr>
              <w:spacing w:before="60" w:after="6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60" w:after="60" w:line="240" w:lineRule="atLeast"/>
              <w:rPr>
                <w:rFonts w:cs="Arial"/>
                <w:sz w:val="18"/>
                <w:szCs w:val="18"/>
              </w:rPr>
            </w:pPr>
          </w:p>
        </w:tc>
        <w:tc>
          <w:tcPr>
            <w:tcW w:w="1458" w:type="dxa"/>
            <w:shd w:val="clear" w:color="auto" w:fill="auto"/>
          </w:tcPr>
          <w:p w:rsidR="005624E3" w:rsidRPr="004B4203" w:rsidRDefault="005624E3" w:rsidP="00101A80">
            <w:pPr>
              <w:spacing w:before="60" w:after="60" w:line="240" w:lineRule="atLeast"/>
              <w:rPr>
                <w:rFonts w:cs="Arial"/>
                <w:sz w:val="18"/>
                <w:szCs w:val="18"/>
              </w:rPr>
            </w:pPr>
            <w:r>
              <w:rPr>
                <w:sz w:val="18"/>
              </w:rPr>
              <w:t>8. bekezdés</w:t>
            </w:r>
          </w:p>
        </w:tc>
        <w:tc>
          <w:tcPr>
            <w:tcW w:w="3296" w:type="dxa"/>
            <w:shd w:val="clear" w:color="auto" w:fill="auto"/>
          </w:tcPr>
          <w:p w:rsidR="005624E3" w:rsidRPr="00C408A4" w:rsidRDefault="005624E3" w:rsidP="00101A80">
            <w:pPr>
              <w:spacing w:before="60" w:after="60" w:line="240" w:lineRule="atLeast"/>
              <w:rPr>
                <w:rFonts w:cs="Arial"/>
                <w:sz w:val="18"/>
                <w:szCs w:val="18"/>
              </w:rPr>
            </w:pPr>
            <w:r>
              <w:rPr>
                <w:sz w:val="18"/>
              </w:rPr>
              <w:t>A hibák feltárása és a feltáratlan hibák megelőzése</w:t>
            </w:r>
          </w:p>
        </w:tc>
        <w:tc>
          <w:tcPr>
            <w:tcW w:w="5387" w:type="dxa"/>
            <w:shd w:val="clear" w:color="auto" w:fill="auto"/>
          </w:tcPr>
          <w:p w:rsidR="005624E3" w:rsidRPr="00C408A4"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60" w:after="60" w:line="240" w:lineRule="atLeast"/>
              <w:jc w:val="center"/>
              <w:rPr>
                <w:rFonts w:cs="Arial"/>
                <w:sz w:val="18"/>
                <w:szCs w:val="18"/>
              </w:rPr>
            </w:pPr>
          </w:p>
        </w:tc>
        <w:tc>
          <w:tcPr>
            <w:tcW w:w="1276" w:type="dxa"/>
          </w:tcPr>
          <w:p w:rsidR="005624E3" w:rsidRPr="00304E7F" w:rsidRDefault="005624E3" w:rsidP="00101A80">
            <w:pPr>
              <w:spacing w:before="60" w:after="6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8F6ABB" w:rsidRDefault="005624E3" w:rsidP="00101A80">
            <w:pPr>
              <w:spacing w:before="60" w:after="60" w:line="240" w:lineRule="atLeast"/>
              <w:rPr>
                <w:rFonts w:cs="Arial"/>
                <w:sz w:val="18"/>
                <w:szCs w:val="18"/>
              </w:rPr>
            </w:pPr>
          </w:p>
        </w:tc>
        <w:tc>
          <w:tcPr>
            <w:tcW w:w="1458" w:type="dxa"/>
            <w:shd w:val="clear" w:color="auto" w:fill="auto"/>
          </w:tcPr>
          <w:p w:rsidR="005624E3" w:rsidRPr="004B4203" w:rsidRDefault="005624E3" w:rsidP="00101A80">
            <w:pPr>
              <w:spacing w:before="60" w:after="60" w:line="240" w:lineRule="atLeast"/>
              <w:rPr>
                <w:rFonts w:cs="Arial"/>
                <w:sz w:val="18"/>
                <w:szCs w:val="18"/>
              </w:rPr>
            </w:pPr>
            <w:r>
              <w:rPr>
                <w:sz w:val="18"/>
              </w:rPr>
              <w:t>9. bekezdés</w:t>
            </w:r>
          </w:p>
        </w:tc>
        <w:tc>
          <w:tcPr>
            <w:tcW w:w="3296" w:type="dxa"/>
            <w:shd w:val="clear" w:color="auto" w:fill="auto"/>
          </w:tcPr>
          <w:p w:rsidR="005624E3" w:rsidRPr="00C408A4" w:rsidRDefault="005624E3" w:rsidP="00101A80">
            <w:pPr>
              <w:spacing w:before="60" w:after="60" w:line="240" w:lineRule="atLeast"/>
              <w:rPr>
                <w:rFonts w:cs="Arial"/>
                <w:sz w:val="18"/>
                <w:szCs w:val="18"/>
              </w:rPr>
            </w:pPr>
            <w:r>
              <w:rPr>
                <w:sz w:val="18"/>
              </w:rPr>
              <w:t>Ellenőrzés</w:t>
            </w:r>
          </w:p>
        </w:tc>
        <w:tc>
          <w:tcPr>
            <w:tcW w:w="5387" w:type="dxa"/>
            <w:shd w:val="clear" w:color="auto" w:fill="auto"/>
          </w:tcPr>
          <w:p w:rsidR="005624E3" w:rsidRPr="00C408A4"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60" w:after="60" w:line="240" w:lineRule="atLeast"/>
              <w:jc w:val="center"/>
              <w:rPr>
                <w:rFonts w:cs="Arial"/>
                <w:sz w:val="18"/>
                <w:szCs w:val="18"/>
              </w:rPr>
            </w:pPr>
          </w:p>
        </w:tc>
        <w:tc>
          <w:tcPr>
            <w:tcW w:w="1276" w:type="dxa"/>
          </w:tcPr>
          <w:p w:rsidR="005624E3" w:rsidRPr="00304E7F" w:rsidRDefault="005624E3" w:rsidP="00101A80">
            <w:pPr>
              <w:spacing w:before="60" w:after="60" w:line="240" w:lineRule="atLeast"/>
              <w:jc w:val="center"/>
              <w:rPr>
                <w:rFonts w:cs="Arial"/>
                <w:sz w:val="18"/>
                <w:szCs w:val="18"/>
              </w:rPr>
            </w:pPr>
            <w:r>
              <w:rPr>
                <w:sz w:val="18"/>
              </w:rPr>
              <w:t>2018.10.07.</w:t>
            </w:r>
          </w:p>
        </w:tc>
      </w:tr>
      <w:tr w:rsidR="005624E3" w:rsidRPr="00C903F8" w:rsidTr="00101A80">
        <w:trPr>
          <w:cantSplit/>
          <w:jc w:val="center"/>
        </w:trPr>
        <w:tc>
          <w:tcPr>
            <w:tcW w:w="1342" w:type="dxa"/>
            <w:vMerge/>
            <w:tcBorders>
              <w:bottom w:val="nil"/>
            </w:tcBorders>
            <w:shd w:val="clear" w:color="auto" w:fill="auto"/>
          </w:tcPr>
          <w:p w:rsidR="005624E3" w:rsidRPr="008F6ABB" w:rsidRDefault="005624E3" w:rsidP="00101A80">
            <w:pPr>
              <w:spacing w:before="60" w:after="60" w:line="240" w:lineRule="atLeast"/>
              <w:rPr>
                <w:rFonts w:cs="Arial"/>
                <w:sz w:val="18"/>
                <w:szCs w:val="18"/>
              </w:rPr>
            </w:pPr>
          </w:p>
        </w:tc>
        <w:tc>
          <w:tcPr>
            <w:tcW w:w="1458" w:type="dxa"/>
            <w:shd w:val="clear" w:color="auto" w:fill="auto"/>
          </w:tcPr>
          <w:p w:rsidR="005624E3" w:rsidRPr="004B4203" w:rsidRDefault="005624E3" w:rsidP="00101A80">
            <w:pPr>
              <w:spacing w:before="60" w:after="60" w:line="240" w:lineRule="atLeast"/>
              <w:rPr>
                <w:rFonts w:cs="Arial"/>
                <w:sz w:val="18"/>
                <w:szCs w:val="18"/>
              </w:rPr>
            </w:pPr>
            <w:r>
              <w:rPr>
                <w:sz w:val="18"/>
              </w:rPr>
              <w:t>10. bekezdés</w:t>
            </w:r>
          </w:p>
        </w:tc>
        <w:tc>
          <w:tcPr>
            <w:tcW w:w="3296" w:type="dxa"/>
            <w:shd w:val="clear" w:color="auto" w:fill="auto"/>
          </w:tcPr>
          <w:p w:rsidR="005624E3" w:rsidRPr="00C408A4" w:rsidRDefault="005624E3" w:rsidP="00101A80">
            <w:pPr>
              <w:spacing w:before="60" w:after="60" w:line="240" w:lineRule="atLeast"/>
              <w:rPr>
                <w:rFonts w:cs="Arial"/>
                <w:sz w:val="18"/>
                <w:szCs w:val="18"/>
              </w:rPr>
            </w:pPr>
            <w:r>
              <w:rPr>
                <w:sz w:val="18"/>
              </w:rPr>
              <w:t>Típusvizsgálat</w:t>
            </w:r>
          </w:p>
        </w:tc>
        <w:tc>
          <w:tcPr>
            <w:tcW w:w="5387" w:type="dxa"/>
            <w:shd w:val="clear" w:color="auto" w:fill="auto"/>
          </w:tcPr>
          <w:p w:rsidR="005624E3" w:rsidRPr="00C408A4"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4B4203" w:rsidRDefault="005624E3" w:rsidP="00101A80">
            <w:pPr>
              <w:spacing w:before="60" w:after="60" w:line="240" w:lineRule="atLeast"/>
              <w:jc w:val="center"/>
              <w:rPr>
                <w:rFonts w:cs="Arial"/>
                <w:sz w:val="18"/>
                <w:szCs w:val="18"/>
              </w:rPr>
            </w:pPr>
          </w:p>
        </w:tc>
        <w:tc>
          <w:tcPr>
            <w:tcW w:w="1276" w:type="dxa"/>
          </w:tcPr>
          <w:p w:rsidR="005624E3" w:rsidRPr="00304E7F" w:rsidRDefault="005624E3" w:rsidP="00101A80">
            <w:pPr>
              <w:spacing w:before="60" w:after="60" w:line="240" w:lineRule="atLeast"/>
              <w:jc w:val="center"/>
              <w:rPr>
                <w:rFonts w:cs="Arial"/>
                <w:sz w:val="18"/>
                <w:szCs w:val="18"/>
              </w:rPr>
            </w:pPr>
            <w:r>
              <w:rPr>
                <w:sz w:val="18"/>
              </w:rPr>
              <w:t>2018.10.07.</w:t>
            </w:r>
          </w:p>
        </w:tc>
      </w:tr>
      <w:tr w:rsidR="005624E3" w:rsidRPr="00C903F8" w:rsidTr="00101A80">
        <w:trPr>
          <w:cantSplit/>
          <w:jc w:val="center"/>
        </w:trPr>
        <w:tc>
          <w:tcPr>
            <w:tcW w:w="6096" w:type="dxa"/>
            <w:gridSpan w:val="3"/>
            <w:tcBorders>
              <w:bottom w:val="nil"/>
            </w:tcBorders>
            <w:shd w:val="clear" w:color="auto" w:fill="auto"/>
          </w:tcPr>
          <w:p w:rsidR="005624E3" w:rsidRPr="00C903F8" w:rsidRDefault="005624E3" w:rsidP="00101A80">
            <w:pPr>
              <w:spacing w:before="120" w:after="120" w:line="240" w:lineRule="atLeast"/>
              <w:jc w:val="center"/>
              <w:rPr>
                <w:rFonts w:cs="Arial"/>
                <w:noProof/>
                <w:sz w:val="18"/>
                <w:szCs w:val="18"/>
              </w:rPr>
            </w:pPr>
            <w:r>
              <w:rPr>
                <w:b/>
                <w:sz w:val="18"/>
              </w:rPr>
              <w:t>13. FEJEZET</w:t>
            </w:r>
          </w:p>
        </w:tc>
        <w:tc>
          <w:tcPr>
            <w:tcW w:w="5387" w:type="dxa"/>
            <w:shd w:val="clear" w:color="auto" w:fill="auto"/>
          </w:tcPr>
          <w:p w:rsidR="005624E3" w:rsidRDefault="005624E3" w:rsidP="00101A80">
            <w:pPr>
              <w:spacing w:before="120" w:after="120" w:line="240" w:lineRule="atLeast"/>
              <w:rPr>
                <w:rFonts w:cs="Arial"/>
                <w:sz w:val="18"/>
                <w:szCs w:val="18"/>
              </w:rPr>
            </w:pP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c>
          <w:tcPr>
            <w:tcW w:w="1276" w:type="dxa"/>
          </w:tcPr>
          <w:p w:rsidR="005624E3" w:rsidRPr="00C903F8" w:rsidRDefault="005624E3" w:rsidP="00101A80">
            <w:pPr>
              <w:spacing w:before="120" w:after="120" w:line="240" w:lineRule="atLeast"/>
              <w:rPr>
                <w:rFonts w:cs="Arial"/>
                <w:sz w:val="18"/>
                <w:szCs w:val="18"/>
              </w:rPr>
            </w:pP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13.02.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 b) pont</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Acélból vagy egyéb ellenálló, nem gyúlékony anyagból készült, legalább 10 liter űrtartalmú edények</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c>
          <w:tcPr>
            <w:tcW w:w="1276" w:type="dxa"/>
          </w:tcPr>
          <w:p w:rsidR="005624E3" w:rsidRPr="00C903F8" w:rsidRDefault="005624E3" w:rsidP="00101A80">
            <w:pPr>
              <w:spacing w:before="60" w:after="60" w:line="240" w:lineRule="atLeast"/>
              <w:rPr>
                <w:rFonts w:cs="Arial"/>
                <w:sz w:val="18"/>
                <w:szCs w:val="18"/>
              </w:rPr>
            </w:pPr>
            <w:r>
              <w:rPr>
                <w:sz w:val="18"/>
              </w:rPr>
              <w:t>2011.12.01.</w:t>
            </w: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13.03.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Európai szabvány</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2010.01.01.</w:t>
            </w:r>
          </w:p>
        </w:tc>
        <w:tc>
          <w:tcPr>
            <w:tcW w:w="1276" w:type="dxa"/>
          </w:tcPr>
          <w:p w:rsidR="005624E3" w:rsidRPr="00C903F8" w:rsidRDefault="005624E3" w:rsidP="00101A80">
            <w:pPr>
              <w:spacing w:before="60" w:after="60" w:line="240" w:lineRule="atLeast"/>
              <w:rPr>
                <w:rFonts w:cs="Arial"/>
                <w:sz w:val="18"/>
                <w:szCs w:val="18"/>
              </w:rPr>
            </w:pPr>
            <w:r>
              <w:rPr>
                <w:sz w:val="18"/>
              </w:rPr>
              <w:t>2002.04.01.</w:t>
            </w:r>
          </w:p>
        </w:tc>
      </w:tr>
      <w:tr w:rsidR="005624E3" w:rsidRPr="00C903F8" w:rsidTr="00101A80">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A, B és C osztályú tüzek oltására való alkalmasság</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2007.01.01.</w:t>
            </w:r>
          </w:p>
        </w:tc>
        <w:tc>
          <w:tcPr>
            <w:tcW w:w="1276" w:type="dxa"/>
          </w:tcPr>
          <w:p w:rsidR="005624E3" w:rsidRPr="00C903F8" w:rsidRDefault="005624E3" w:rsidP="00101A80">
            <w:pPr>
              <w:spacing w:before="60" w:after="60" w:line="240" w:lineRule="atLeast"/>
              <w:rPr>
                <w:rFonts w:cs="Arial"/>
                <w:sz w:val="18"/>
                <w:szCs w:val="18"/>
              </w:rPr>
            </w:pPr>
            <w:r>
              <w:rPr>
                <w:sz w:val="18"/>
              </w:rPr>
              <w:t>2002.04.01.</w:t>
            </w:r>
          </w:p>
        </w:tc>
      </w:tr>
      <w:tr w:rsidR="005624E3" w:rsidRPr="00C903F8" w:rsidTr="00101A80">
        <w:trPr>
          <w:cantSplit/>
          <w:jc w:val="center"/>
        </w:trPr>
        <w:tc>
          <w:tcPr>
            <w:tcW w:w="1342" w:type="dxa"/>
            <w:tcBorders>
              <w:top w:val="single" w:sz="4" w:space="0" w:color="auto"/>
            </w:tcBorders>
            <w:shd w:val="clear" w:color="auto" w:fill="auto"/>
          </w:tcPr>
          <w:p w:rsidR="005624E3" w:rsidRPr="00C903F8" w:rsidRDefault="005624E3" w:rsidP="00101A80">
            <w:pPr>
              <w:spacing w:before="60" w:after="60" w:line="240" w:lineRule="atLeast"/>
              <w:rPr>
                <w:rFonts w:cs="Arial"/>
                <w:sz w:val="18"/>
                <w:szCs w:val="18"/>
              </w:rPr>
            </w:pPr>
            <w:r>
              <w:rPr>
                <w:sz w:val="18"/>
              </w:rPr>
              <w:t>13.04. cikk</w:t>
            </w: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A lakóterek, kormányállások és utasterek védelmét szolgáló tartósan rögzített tűzvédelmi rendszerek</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2035.01.01.</w:t>
            </w:r>
          </w:p>
        </w:tc>
        <w:tc>
          <w:tcPr>
            <w:tcW w:w="1276" w:type="dxa"/>
          </w:tcPr>
          <w:p w:rsidR="005624E3" w:rsidRPr="00C903F8" w:rsidRDefault="005624E3" w:rsidP="00101A80">
            <w:pPr>
              <w:spacing w:before="60" w:after="60" w:line="240" w:lineRule="atLeast"/>
              <w:rPr>
                <w:rFonts w:cs="Arial"/>
                <w:sz w:val="18"/>
                <w:szCs w:val="18"/>
              </w:rPr>
            </w:pPr>
            <w:r>
              <w:rPr>
                <w:sz w:val="18"/>
              </w:rPr>
              <w:t>2002.04.01.</w:t>
            </w:r>
          </w:p>
        </w:tc>
      </w:tr>
      <w:tr w:rsidR="005624E3" w:rsidRPr="00C903F8" w:rsidTr="00101A80">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13.05.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A gépterek, kazánterek és szivattyúházak védelmét szolgáló tartósan rögzített tűzvédelmi rendszerek</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vertAlign w:val="superscript"/>
              </w:rPr>
              <w:footnoteReference w:id="40"/>
            </w:r>
            <w:r>
              <w:rPr>
                <w:sz w:val="18"/>
              </w:rPr>
              <w:t>N.R.C., legkésőbb a belvízi hajóbizonyítvány megújításakor e dátumot követően:</w:t>
            </w:r>
          </w:p>
        </w:tc>
        <w:tc>
          <w:tcPr>
            <w:tcW w:w="1276" w:type="dxa"/>
            <w:shd w:val="clear" w:color="auto" w:fill="auto"/>
          </w:tcPr>
          <w:p w:rsidR="005624E3" w:rsidRPr="00AD76BF" w:rsidRDefault="005624E3" w:rsidP="00101A80">
            <w:pPr>
              <w:spacing w:before="120" w:after="120" w:line="240" w:lineRule="atLeast"/>
              <w:rPr>
                <w:rFonts w:cs="Arial"/>
                <w:sz w:val="18"/>
                <w:szCs w:val="18"/>
              </w:rPr>
            </w:pPr>
          </w:p>
        </w:tc>
        <w:tc>
          <w:tcPr>
            <w:tcW w:w="1276" w:type="dxa"/>
          </w:tcPr>
          <w:p w:rsidR="005624E3" w:rsidRPr="00C903F8" w:rsidRDefault="005624E3" w:rsidP="00101A80">
            <w:pPr>
              <w:spacing w:before="120" w:after="120" w:line="240" w:lineRule="atLeast"/>
              <w:rPr>
                <w:rFonts w:cs="Arial"/>
                <w:sz w:val="18"/>
                <w:szCs w:val="18"/>
                <w:vertAlign w:val="superscript"/>
              </w:rPr>
            </w:pPr>
            <w:r>
              <w:rPr>
                <w:sz w:val="18"/>
              </w:rPr>
              <w:t>2002.04.01.</w:t>
            </w:r>
          </w:p>
        </w:tc>
      </w:tr>
      <w:tr w:rsidR="005624E3" w:rsidRPr="00C903F8" w:rsidTr="00101A80">
        <w:trPr>
          <w:cantSplit/>
          <w:jc w:val="center"/>
        </w:trPr>
        <w:tc>
          <w:tcPr>
            <w:tcW w:w="1342" w:type="dxa"/>
            <w:tcBorders>
              <w:bottom w:val="single" w:sz="4" w:space="0" w:color="auto"/>
            </w:tcBorders>
            <w:shd w:val="clear" w:color="auto" w:fill="auto"/>
          </w:tcPr>
          <w:p w:rsidR="005624E3" w:rsidRPr="00C903F8" w:rsidRDefault="005624E3" w:rsidP="00101A80">
            <w:pPr>
              <w:spacing w:before="200" w:line="240" w:lineRule="atLeast"/>
              <w:rPr>
                <w:rFonts w:cs="Arial"/>
                <w:sz w:val="18"/>
                <w:szCs w:val="18"/>
              </w:rPr>
            </w:pPr>
            <w:r>
              <w:rPr>
                <w:sz w:val="18"/>
              </w:rPr>
              <w:t>13.07. cikk</w:t>
            </w:r>
            <w:r>
              <w:rPr>
                <w:color w:val="000000"/>
                <w:sz w:val="18"/>
                <w:vertAlign w:val="superscript"/>
              </w:rPr>
              <w:footnoteReference w:id="41"/>
            </w:r>
          </w:p>
        </w:tc>
        <w:tc>
          <w:tcPr>
            <w:tcW w:w="1458" w:type="dxa"/>
            <w:tcBorders>
              <w:bottom w:val="single" w:sz="4" w:space="0" w:color="auto"/>
            </w:tcBorders>
            <w:shd w:val="clear" w:color="auto" w:fill="auto"/>
          </w:tcPr>
          <w:p w:rsidR="005624E3" w:rsidRPr="00C903F8" w:rsidRDefault="005624E3" w:rsidP="00101A80">
            <w:pPr>
              <w:spacing w:before="200" w:line="240" w:lineRule="atLeast"/>
              <w:rPr>
                <w:rFonts w:cs="Arial"/>
                <w:sz w:val="18"/>
                <w:szCs w:val="18"/>
              </w:rPr>
            </w:pPr>
          </w:p>
        </w:tc>
        <w:tc>
          <w:tcPr>
            <w:tcW w:w="3296" w:type="dxa"/>
            <w:tcBorders>
              <w:bottom w:val="single" w:sz="4" w:space="0" w:color="auto"/>
            </w:tcBorders>
            <w:shd w:val="clear" w:color="auto" w:fill="auto"/>
          </w:tcPr>
          <w:p w:rsidR="005624E3" w:rsidRPr="00C903F8" w:rsidRDefault="005624E3" w:rsidP="00101A80">
            <w:pPr>
              <w:spacing w:before="200" w:line="240" w:lineRule="atLeast"/>
              <w:rPr>
                <w:rFonts w:cs="Arial"/>
                <w:sz w:val="18"/>
                <w:szCs w:val="18"/>
              </w:rPr>
            </w:pPr>
            <w:r>
              <w:rPr>
                <w:noProof/>
                <w:sz w:val="18"/>
              </w:rPr>
              <w:t>Az európai szabvány alkalmazása a szolgálati csónakra</w:t>
            </w:r>
          </w:p>
        </w:tc>
        <w:tc>
          <w:tcPr>
            <w:tcW w:w="5387" w:type="dxa"/>
            <w:shd w:val="clear" w:color="auto" w:fill="auto"/>
          </w:tcPr>
          <w:p w:rsidR="005624E3" w:rsidRPr="00C903F8" w:rsidRDefault="005624E3" w:rsidP="00101A80">
            <w:pPr>
              <w:spacing w:before="2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00" w:line="240" w:lineRule="atLeast"/>
              <w:rPr>
                <w:rFonts w:cs="Arial"/>
                <w:sz w:val="18"/>
                <w:szCs w:val="18"/>
              </w:rPr>
            </w:pPr>
            <w:r>
              <w:rPr>
                <w:sz w:val="18"/>
              </w:rPr>
              <w:t>2020.01.01.</w:t>
            </w:r>
          </w:p>
        </w:tc>
        <w:tc>
          <w:tcPr>
            <w:tcW w:w="1276" w:type="dxa"/>
          </w:tcPr>
          <w:p w:rsidR="005624E3" w:rsidRPr="00C903F8" w:rsidRDefault="005624E3" w:rsidP="00101A80">
            <w:pPr>
              <w:spacing w:before="200" w:line="240" w:lineRule="atLeast"/>
              <w:rPr>
                <w:rFonts w:cs="Arial"/>
                <w:sz w:val="18"/>
                <w:szCs w:val="18"/>
              </w:rPr>
            </w:pPr>
            <w:r>
              <w:rPr>
                <w:sz w:val="18"/>
              </w:rPr>
              <w:t>2003.10.01.</w:t>
            </w: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200" w:line="240" w:lineRule="atLeast"/>
              <w:rPr>
                <w:rFonts w:cs="Arial"/>
                <w:sz w:val="18"/>
                <w:szCs w:val="18"/>
              </w:rPr>
            </w:pPr>
            <w:r>
              <w:rPr>
                <w:sz w:val="18"/>
              </w:rPr>
              <w:t>13.08. cikk</w:t>
            </w:r>
          </w:p>
        </w:tc>
        <w:tc>
          <w:tcPr>
            <w:tcW w:w="1458" w:type="dxa"/>
            <w:tcBorders>
              <w:bottom w:val="nil"/>
            </w:tcBorders>
            <w:shd w:val="clear" w:color="auto" w:fill="auto"/>
          </w:tcPr>
          <w:p w:rsidR="005624E3" w:rsidRPr="00C903F8" w:rsidRDefault="005624E3" w:rsidP="00101A80">
            <w:pPr>
              <w:spacing w:before="200" w:line="240" w:lineRule="atLeast"/>
              <w:rPr>
                <w:rFonts w:cs="Arial"/>
                <w:sz w:val="18"/>
                <w:szCs w:val="18"/>
              </w:rPr>
            </w:pPr>
            <w:r>
              <w:rPr>
                <w:sz w:val="18"/>
              </w:rPr>
              <w:t>2. bekezdés</w:t>
            </w:r>
          </w:p>
        </w:tc>
        <w:tc>
          <w:tcPr>
            <w:tcW w:w="3296" w:type="dxa"/>
            <w:tcBorders>
              <w:bottom w:val="nil"/>
            </w:tcBorders>
            <w:shd w:val="clear" w:color="auto" w:fill="auto"/>
          </w:tcPr>
          <w:p w:rsidR="005624E3" w:rsidRPr="00C903F8" w:rsidRDefault="005624E3" w:rsidP="00101A80">
            <w:pPr>
              <w:spacing w:before="200" w:line="240" w:lineRule="atLeast"/>
              <w:rPr>
                <w:rFonts w:cs="Arial"/>
                <w:sz w:val="18"/>
                <w:szCs w:val="18"/>
              </w:rPr>
            </w:pPr>
            <w:r>
              <w:rPr>
                <w:noProof/>
                <w:sz w:val="18"/>
              </w:rPr>
              <w:t>Felfújható mentőmellények</w:t>
            </w:r>
          </w:p>
        </w:tc>
        <w:tc>
          <w:tcPr>
            <w:tcW w:w="5387" w:type="dxa"/>
            <w:shd w:val="clear" w:color="auto" w:fill="auto"/>
          </w:tcPr>
          <w:p w:rsidR="005624E3" w:rsidRPr="00C903F8" w:rsidRDefault="005624E3" w:rsidP="00101A80">
            <w:pPr>
              <w:spacing w:before="2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00" w:line="240" w:lineRule="atLeast"/>
              <w:rPr>
                <w:rFonts w:cs="Arial"/>
                <w:sz w:val="18"/>
                <w:szCs w:val="18"/>
              </w:rPr>
            </w:pPr>
            <w:r>
              <w:rPr>
                <w:sz w:val="18"/>
              </w:rPr>
              <w:t>2010.01.01.</w:t>
            </w:r>
          </w:p>
        </w:tc>
        <w:tc>
          <w:tcPr>
            <w:tcW w:w="1276" w:type="dxa"/>
          </w:tcPr>
          <w:p w:rsidR="005624E3" w:rsidRPr="00C903F8" w:rsidRDefault="005624E3" w:rsidP="00101A80">
            <w:pPr>
              <w:spacing w:before="200" w:line="240" w:lineRule="atLeast"/>
              <w:rPr>
                <w:rFonts w:cs="Arial"/>
                <w:sz w:val="18"/>
                <w:szCs w:val="18"/>
              </w:rPr>
            </w:pPr>
            <w:r>
              <w:rPr>
                <w:sz w:val="18"/>
              </w:rPr>
              <w:t>2003.10.01.</w:t>
            </w:r>
          </w:p>
        </w:tc>
      </w:tr>
      <w:tr w:rsidR="005624E3" w:rsidRPr="00C903F8" w:rsidTr="00101A80">
        <w:trPr>
          <w:cantSplit/>
          <w:jc w:val="center"/>
        </w:trPr>
        <w:tc>
          <w:tcPr>
            <w:tcW w:w="1342" w:type="dxa"/>
            <w:tcBorders>
              <w:top w:val="nil"/>
            </w:tcBorders>
            <w:shd w:val="clear" w:color="auto" w:fill="auto"/>
          </w:tcPr>
          <w:p w:rsidR="005624E3" w:rsidRPr="00C903F8" w:rsidRDefault="005624E3" w:rsidP="00101A80">
            <w:pPr>
              <w:spacing w:before="200" w:line="240" w:lineRule="atLeast"/>
              <w:rPr>
                <w:rFonts w:cs="Arial"/>
                <w:sz w:val="18"/>
                <w:szCs w:val="18"/>
              </w:rPr>
            </w:pPr>
          </w:p>
        </w:tc>
        <w:tc>
          <w:tcPr>
            <w:tcW w:w="1458" w:type="dxa"/>
            <w:tcBorders>
              <w:top w:val="nil"/>
            </w:tcBorders>
            <w:shd w:val="clear" w:color="auto" w:fill="auto"/>
          </w:tcPr>
          <w:p w:rsidR="005624E3" w:rsidRPr="00C903F8" w:rsidRDefault="005624E3" w:rsidP="00101A80">
            <w:pPr>
              <w:spacing w:before="200" w:line="240" w:lineRule="atLeast"/>
              <w:rPr>
                <w:rFonts w:cs="Arial"/>
                <w:sz w:val="18"/>
                <w:szCs w:val="18"/>
              </w:rPr>
            </w:pPr>
          </w:p>
        </w:tc>
        <w:tc>
          <w:tcPr>
            <w:tcW w:w="3296" w:type="dxa"/>
            <w:tcBorders>
              <w:top w:val="nil"/>
            </w:tcBorders>
            <w:shd w:val="clear" w:color="auto" w:fill="auto"/>
          </w:tcPr>
          <w:p w:rsidR="005624E3" w:rsidRPr="00C903F8" w:rsidRDefault="005624E3" w:rsidP="00101A80">
            <w:pPr>
              <w:spacing w:before="200" w:line="240" w:lineRule="atLeast"/>
              <w:rPr>
                <w:rFonts w:cs="Arial"/>
                <w:sz w:val="18"/>
                <w:szCs w:val="18"/>
              </w:rPr>
            </w:pPr>
          </w:p>
        </w:tc>
        <w:tc>
          <w:tcPr>
            <w:tcW w:w="5387" w:type="dxa"/>
            <w:shd w:val="clear" w:color="auto" w:fill="auto"/>
          </w:tcPr>
          <w:p w:rsidR="005624E3" w:rsidRPr="00C903F8" w:rsidRDefault="005624E3" w:rsidP="00101A80">
            <w:pPr>
              <w:spacing w:before="200" w:line="240" w:lineRule="atLeast"/>
              <w:rPr>
                <w:rFonts w:cs="Arial"/>
                <w:sz w:val="18"/>
                <w:szCs w:val="18"/>
              </w:rPr>
            </w:pPr>
            <w:r>
              <w:rPr>
                <w:sz w:val="18"/>
              </w:rPr>
              <w:t>A 2003. szeptember 30-án a fedélzeten lévő mentőmellények felhasználhatók a belvízi hajóbizonyítvány megújításáig e dátumot követően:</w:t>
            </w:r>
          </w:p>
        </w:tc>
        <w:tc>
          <w:tcPr>
            <w:tcW w:w="1276" w:type="dxa"/>
            <w:shd w:val="clear" w:color="auto" w:fill="auto"/>
          </w:tcPr>
          <w:p w:rsidR="005624E3" w:rsidRPr="00C903F8" w:rsidRDefault="005624E3" w:rsidP="00101A80">
            <w:pPr>
              <w:spacing w:before="200" w:line="240" w:lineRule="atLeast"/>
              <w:rPr>
                <w:rFonts w:cs="Arial"/>
                <w:sz w:val="18"/>
                <w:szCs w:val="18"/>
              </w:rPr>
            </w:pPr>
            <w:r>
              <w:rPr>
                <w:sz w:val="18"/>
              </w:rPr>
              <w:t>2010.01.01.</w:t>
            </w:r>
          </w:p>
        </w:tc>
        <w:tc>
          <w:tcPr>
            <w:tcW w:w="1276" w:type="dxa"/>
          </w:tcPr>
          <w:p w:rsidR="005624E3" w:rsidRPr="00C903F8" w:rsidRDefault="005624E3" w:rsidP="00101A80">
            <w:pPr>
              <w:spacing w:before="200" w:line="240" w:lineRule="atLeast"/>
              <w:rPr>
                <w:rFonts w:cs="Arial"/>
                <w:sz w:val="18"/>
                <w:szCs w:val="18"/>
              </w:rPr>
            </w:pPr>
            <w:r>
              <w:rPr>
                <w:sz w:val="18"/>
              </w:rPr>
              <w:t>2003.10.01.</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200" w:line="240" w:lineRule="atLeast"/>
              <w:jc w:val="center"/>
              <w:rPr>
                <w:rFonts w:cs="Arial"/>
                <w:sz w:val="18"/>
                <w:szCs w:val="18"/>
              </w:rPr>
            </w:pPr>
            <w:r>
              <w:rPr>
                <w:b/>
                <w:sz w:val="18"/>
              </w:rPr>
              <w:t>14. FEJEZET</w:t>
            </w:r>
          </w:p>
        </w:tc>
        <w:tc>
          <w:tcPr>
            <w:tcW w:w="5387" w:type="dxa"/>
            <w:shd w:val="clear" w:color="auto" w:fill="auto"/>
          </w:tcPr>
          <w:p w:rsidR="005624E3" w:rsidRPr="00C903F8" w:rsidRDefault="005624E3" w:rsidP="00101A80">
            <w:pPr>
              <w:spacing w:before="200" w:line="240" w:lineRule="atLeast"/>
              <w:rPr>
                <w:rFonts w:cs="Arial"/>
                <w:sz w:val="18"/>
                <w:szCs w:val="18"/>
              </w:rPr>
            </w:pPr>
          </w:p>
        </w:tc>
        <w:tc>
          <w:tcPr>
            <w:tcW w:w="1276" w:type="dxa"/>
            <w:shd w:val="clear" w:color="auto" w:fill="auto"/>
          </w:tcPr>
          <w:p w:rsidR="005624E3" w:rsidRPr="00C903F8" w:rsidRDefault="005624E3" w:rsidP="00101A80">
            <w:pPr>
              <w:spacing w:before="200" w:line="240" w:lineRule="atLeast"/>
              <w:rPr>
                <w:rFonts w:cs="Arial"/>
                <w:sz w:val="18"/>
                <w:szCs w:val="18"/>
              </w:rPr>
            </w:pPr>
          </w:p>
        </w:tc>
        <w:tc>
          <w:tcPr>
            <w:tcW w:w="1276" w:type="dxa"/>
          </w:tcPr>
          <w:p w:rsidR="005624E3" w:rsidRPr="00C903F8" w:rsidRDefault="005624E3" w:rsidP="00101A80">
            <w:pPr>
              <w:spacing w:before="200" w:line="240" w:lineRule="atLeast"/>
              <w:rPr>
                <w:rFonts w:cs="Arial"/>
                <w:sz w:val="18"/>
                <w:szCs w:val="18"/>
              </w:rPr>
            </w:pP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240" w:after="240" w:line="240" w:lineRule="atLeast"/>
              <w:rPr>
                <w:rFonts w:cs="Arial"/>
                <w:sz w:val="18"/>
                <w:szCs w:val="18"/>
              </w:rPr>
            </w:pPr>
            <w:r>
              <w:rPr>
                <w:sz w:val="18"/>
              </w:rPr>
              <w:t>14.02. cikk</w:t>
            </w:r>
          </w:p>
        </w:tc>
        <w:tc>
          <w:tcPr>
            <w:tcW w:w="1458" w:type="dxa"/>
            <w:tcBorders>
              <w:bottom w:val="nil"/>
            </w:tcBorders>
            <w:shd w:val="clear" w:color="auto" w:fill="auto"/>
          </w:tcPr>
          <w:p w:rsidR="005624E3" w:rsidRPr="00C903F8" w:rsidRDefault="005624E3" w:rsidP="00101A80">
            <w:pPr>
              <w:spacing w:before="240" w:after="24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240" w:after="240" w:line="240" w:lineRule="atLeast"/>
              <w:rPr>
                <w:rFonts w:cs="Arial"/>
                <w:sz w:val="18"/>
                <w:szCs w:val="18"/>
              </w:rPr>
            </w:pPr>
            <w:r>
              <w:rPr>
                <w:noProof/>
                <w:sz w:val="18"/>
              </w:rPr>
              <w:t>A fedélzetek, oldalfedélzetek és egyéb munkaállomások külső peremének felszerelése</w:t>
            </w:r>
          </w:p>
        </w:tc>
        <w:tc>
          <w:tcPr>
            <w:tcW w:w="5387" w:type="dxa"/>
            <w:shd w:val="clear" w:color="auto" w:fill="auto"/>
          </w:tcPr>
          <w:p w:rsidR="005624E3" w:rsidRPr="00C903F8" w:rsidRDefault="005624E3" w:rsidP="00101A80">
            <w:pPr>
              <w:spacing w:before="240" w:after="24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240" w:after="240" w:line="240" w:lineRule="atLeast"/>
              <w:rPr>
                <w:rFonts w:cs="Arial"/>
                <w:sz w:val="18"/>
                <w:szCs w:val="18"/>
              </w:rPr>
            </w:pPr>
          </w:p>
        </w:tc>
        <w:tc>
          <w:tcPr>
            <w:tcW w:w="1276" w:type="dxa"/>
          </w:tcPr>
          <w:p w:rsidR="005624E3" w:rsidRPr="00C903F8" w:rsidRDefault="005624E3" w:rsidP="00101A80">
            <w:pPr>
              <w:spacing w:before="240" w:after="240" w:line="240" w:lineRule="atLeast"/>
              <w:rPr>
                <w:rFonts w:cs="Arial"/>
                <w:sz w:val="18"/>
                <w:szCs w:val="18"/>
              </w:rPr>
            </w:pPr>
            <w:r>
              <w:rPr>
                <w:sz w:val="18"/>
              </w:rPr>
              <w:t>2018.10.07.</w:t>
            </w:r>
          </w:p>
        </w:tc>
      </w:tr>
      <w:tr w:rsidR="005624E3" w:rsidRPr="00C903F8" w:rsidTr="00101A80">
        <w:trPr>
          <w:cantSplit/>
          <w:jc w:val="center"/>
        </w:trPr>
        <w:tc>
          <w:tcPr>
            <w:tcW w:w="1342" w:type="dxa"/>
            <w:shd w:val="clear" w:color="auto" w:fill="auto"/>
          </w:tcPr>
          <w:p w:rsidR="005624E3" w:rsidRPr="00C903F8" w:rsidRDefault="005624E3" w:rsidP="00101A80">
            <w:pPr>
              <w:spacing w:before="200" w:line="240" w:lineRule="atLeast"/>
              <w:rPr>
                <w:rFonts w:cs="Arial"/>
                <w:sz w:val="18"/>
                <w:szCs w:val="18"/>
              </w:rPr>
            </w:pPr>
            <w:r>
              <w:rPr>
                <w:sz w:val="18"/>
              </w:rPr>
              <w:t>14.04. cikk</w:t>
            </w:r>
          </w:p>
        </w:tc>
        <w:tc>
          <w:tcPr>
            <w:tcW w:w="1458" w:type="dxa"/>
            <w:shd w:val="clear" w:color="auto" w:fill="auto"/>
          </w:tcPr>
          <w:p w:rsidR="005624E3" w:rsidRPr="00C903F8" w:rsidRDefault="005624E3" w:rsidP="00101A80">
            <w:pPr>
              <w:spacing w:before="2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200" w:line="240" w:lineRule="atLeast"/>
              <w:rPr>
                <w:rFonts w:cs="Arial"/>
                <w:sz w:val="18"/>
                <w:szCs w:val="18"/>
              </w:rPr>
            </w:pPr>
            <w:r>
              <w:rPr>
                <w:noProof/>
                <w:sz w:val="18"/>
              </w:rPr>
              <w:t>Oldalfedélzeti védőkorlátok</w:t>
            </w:r>
          </w:p>
        </w:tc>
        <w:tc>
          <w:tcPr>
            <w:tcW w:w="5387" w:type="dxa"/>
            <w:shd w:val="clear" w:color="auto" w:fill="auto"/>
          </w:tcPr>
          <w:p w:rsidR="005624E3" w:rsidRPr="00C903F8" w:rsidRDefault="005624E3" w:rsidP="00101A80">
            <w:pPr>
              <w:spacing w:before="2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200" w:line="240" w:lineRule="atLeast"/>
              <w:rPr>
                <w:rFonts w:cs="Arial"/>
                <w:sz w:val="18"/>
                <w:szCs w:val="18"/>
              </w:rPr>
            </w:pPr>
          </w:p>
        </w:tc>
        <w:tc>
          <w:tcPr>
            <w:tcW w:w="1276" w:type="dxa"/>
          </w:tcPr>
          <w:p w:rsidR="005624E3" w:rsidRPr="00C903F8" w:rsidRDefault="005624E3" w:rsidP="00101A80">
            <w:pPr>
              <w:spacing w:before="200" w:line="240" w:lineRule="atLeast"/>
              <w:rPr>
                <w:rFonts w:cs="Arial"/>
                <w:sz w:val="18"/>
                <w:szCs w:val="18"/>
              </w:rPr>
            </w:pPr>
            <w:r>
              <w:rPr>
                <w:sz w:val="18"/>
              </w:rPr>
              <w:t>2018.10.07.</w:t>
            </w:r>
          </w:p>
        </w:tc>
      </w:tr>
      <w:tr w:rsidR="005624E3" w:rsidRPr="00C903F8" w:rsidTr="00101A80">
        <w:trPr>
          <w:cantSplit/>
          <w:jc w:val="center"/>
        </w:trPr>
        <w:tc>
          <w:tcPr>
            <w:tcW w:w="1342" w:type="dxa"/>
            <w:shd w:val="clear" w:color="auto" w:fill="auto"/>
          </w:tcPr>
          <w:p w:rsidR="005624E3" w:rsidRPr="00C903F8" w:rsidRDefault="005624E3" w:rsidP="00101A80">
            <w:pPr>
              <w:spacing w:before="200" w:line="240" w:lineRule="atLeast"/>
              <w:rPr>
                <w:rFonts w:cs="Arial"/>
                <w:sz w:val="18"/>
                <w:szCs w:val="18"/>
              </w:rPr>
            </w:pPr>
            <w:r>
              <w:rPr>
                <w:sz w:val="18"/>
              </w:rPr>
              <w:t>14.12. cikk</w:t>
            </w:r>
          </w:p>
        </w:tc>
        <w:tc>
          <w:tcPr>
            <w:tcW w:w="1458" w:type="dxa"/>
            <w:shd w:val="clear" w:color="auto" w:fill="auto"/>
          </w:tcPr>
          <w:p w:rsidR="005624E3" w:rsidRPr="00C903F8" w:rsidRDefault="005624E3" w:rsidP="00101A80">
            <w:pPr>
              <w:spacing w:before="200" w:line="240" w:lineRule="atLeast"/>
              <w:rPr>
                <w:rFonts w:cs="Arial"/>
                <w:sz w:val="18"/>
                <w:szCs w:val="18"/>
              </w:rPr>
            </w:pPr>
            <w:r>
              <w:rPr>
                <w:sz w:val="18"/>
              </w:rPr>
              <w:t>2., 4., 5. és 9. bekezdés</w:t>
            </w:r>
            <w:r>
              <w:rPr>
                <w:snapToGrid w:val="0"/>
                <w:color w:val="000000"/>
                <w:sz w:val="18"/>
                <w:vertAlign w:val="superscript"/>
              </w:rPr>
              <w:t xml:space="preserve"> </w:t>
            </w:r>
          </w:p>
        </w:tc>
        <w:tc>
          <w:tcPr>
            <w:tcW w:w="3296" w:type="dxa"/>
            <w:shd w:val="clear" w:color="auto" w:fill="auto"/>
          </w:tcPr>
          <w:p w:rsidR="005624E3" w:rsidRPr="00C903F8" w:rsidRDefault="005624E3" w:rsidP="00F75A1F">
            <w:pPr>
              <w:spacing w:before="200" w:line="240" w:lineRule="atLeast"/>
              <w:rPr>
                <w:rFonts w:cs="Arial"/>
                <w:sz w:val="18"/>
                <w:szCs w:val="18"/>
              </w:rPr>
            </w:pPr>
            <w:r>
              <w:rPr>
                <w:noProof/>
                <w:sz w:val="18"/>
              </w:rPr>
              <w:t>Gyár</w:t>
            </w:r>
            <w:r w:rsidR="00F75A1F">
              <w:rPr>
                <w:noProof/>
                <w:sz w:val="18"/>
              </w:rPr>
              <w:t>i adat</w:t>
            </w:r>
            <w:r>
              <w:rPr>
                <w:noProof/>
                <w:sz w:val="18"/>
              </w:rPr>
              <w:t>tábla, védőszerkezetek, fedélzeten tartandó dokumentumok</w:t>
            </w:r>
          </w:p>
        </w:tc>
        <w:tc>
          <w:tcPr>
            <w:tcW w:w="5387" w:type="dxa"/>
            <w:shd w:val="clear" w:color="auto" w:fill="auto"/>
          </w:tcPr>
          <w:p w:rsidR="005624E3" w:rsidRPr="00C903F8" w:rsidRDefault="005624E3" w:rsidP="00101A80">
            <w:pPr>
              <w:spacing w:before="2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00" w:line="240" w:lineRule="atLeast"/>
              <w:rPr>
                <w:rFonts w:cs="Arial"/>
                <w:sz w:val="18"/>
                <w:szCs w:val="18"/>
              </w:rPr>
            </w:pPr>
            <w:r>
              <w:rPr>
                <w:sz w:val="18"/>
              </w:rPr>
              <w:t>2020.01.01.</w:t>
            </w:r>
          </w:p>
        </w:tc>
        <w:tc>
          <w:tcPr>
            <w:tcW w:w="1276" w:type="dxa"/>
          </w:tcPr>
          <w:p w:rsidR="005624E3" w:rsidRPr="00C903F8" w:rsidRDefault="005624E3" w:rsidP="00101A80">
            <w:pPr>
              <w:spacing w:before="200" w:line="240" w:lineRule="atLeast"/>
              <w:rPr>
                <w:rFonts w:cs="Arial"/>
                <w:sz w:val="18"/>
                <w:szCs w:val="18"/>
              </w:rPr>
            </w:pPr>
            <w:r>
              <w:rPr>
                <w:sz w:val="18"/>
              </w:rPr>
              <w:t>2011.12.01.</w:t>
            </w:r>
          </w:p>
        </w:tc>
      </w:tr>
      <w:tr w:rsidR="005624E3" w:rsidRPr="00C903F8" w:rsidTr="00101A80">
        <w:trPr>
          <w:cantSplit/>
          <w:trHeight w:val="70"/>
          <w:jc w:val="center"/>
        </w:trPr>
        <w:tc>
          <w:tcPr>
            <w:tcW w:w="6096" w:type="dxa"/>
            <w:gridSpan w:val="3"/>
            <w:shd w:val="clear" w:color="auto" w:fill="auto"/>
          </w:tcPr>
          <w:p w:rsidR="005624E3" w:rsidRPr="00C903F8" w:rsidRDefault="005624E3" w:rsidP="00101A80">
            <w:pPr>
              <w:spacing w:before="60" w:after="60" w:line="240" w:lineRule="atLeast"/>
              <w:jc w:val="center"/>
              <w:rPr>
                <w:rFonts w:cs="Arial"/>
                <w:b/>
                <w:sz w:val="18"/>
                <w:szCs w:val="18"/>
              </w:rPr>
            </w:pPr>
            <w:r>
              <w:rPr>
                <w:b/>
                <w:sz w:val="18"/>
              </w:rPr>
              <w:t>18. FEJEZET</w:t>
            </w:r>
          </w:p>
        </w:tc>
        <w:tc>
          <w:tcPr>
            <w:tcW w:w="5387"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c>
          <w:tcPr>
            <w:tcW w:w="1276" w:type="dxa"/>
          </w:tcPr>
          <w:p w:rsidR="005624E3" w:rsidRPr="00C903F8" w:rsidRDefault="005624E3" w:rsidP="00101A80">
            <w:pPr>
              <w:spacing w:before="60" w:after="60" w:line="240" w:lineRule="atLeast"/>
              <w:rPr>
                <w:rFonts w:cs="Arial"/>
                <w:sz w:val="18"/>
                <w:szCs w:val="18"/>
              </w:rPr>
            </w:pPr>
          </w:p>
        </w:tc>
      </w:tr>
      <w:tr w:rsidR="005624E3" w:rsidRPr="00C903F8" w:rsidTr="00101A80">
        <w:trPr>
          <w:cantSplit/>
          <w:jc w:val="center"/>
        </w:trPr>
        <w:tc>
          <w:tcPr>
            <w:tcW w:w="1342" w:type="dxa"/>
            <w:vMerge w:val="restart"/>
            <w:shd w:val="clear" w:color="auto" w:fill="auto"/>
          </w:tcPr>
          <w:p w:rsidR="005624E3" w:rsidRPr="00605BA5" w:rsidRDefault="005624E3" w:rsidP="00101A80">
            <w:pPr>
              <w:spacing w:before="60" w:after="60" w:line="240" w:lineRule="atLeast"/>
              <w:rPr>
                <w:rFonts w:cs="Arial"/>
                <w:sz w:val="18"/>
                <w:szCs w:val="18"/>
              </w:rPr>
            </w:pPr>
            <w:r>
              <w:rPr>
                <w:sz w:val="18"/>
              </w:rPr>
              <w:t>18.01. cikk</w:t>
            </w:r>
          </w:p>
        </w:tc>
        <w:tc>
          <w:tcPr>
            <w:tcW w:w="1458" w:type="dxa"/>
            <w:vMerge w:val="restart"/>
            <w:shd w:val="clear" w:color="auto" w:fill="auto"/>
          </w:tcPr>
          <w:p w:rsidR="005624E3" w:rsidRPr="00605BA5" w:rsidRDefault="005624E3" w:rsidP="00101A80">
            <w:pPr>
              <w:adjustRightInd w:val="0"/>
              <w:spacing w:before="60" w:after="60" w:line="240" w:lineRule="atLeast"/>
              <w:ind w:right="-108"/>
              <w:rPr>
                <w:rFonts w:cs="Arial"/>
                <w:sz w:val="18"/>
                <w:szCs w:val="18"/>
              </w:rPr>
            </w:pPr>
            <w:r>
              <w:rPr>
                <w:sz w:val="18"/>
              </w:rPr>
              <w:t>2. bekezdés 1. és 2. táblázat, 5. bekezdés</w:t>
            </w:r>
          </w:p>
        </w:tc>
        <w:tc>
          <w:tcPr>
            <w:tcW w:w="3296" w:type="dxa"/>
            <w:vMerge w:val="restart"/>
            <w:shd w:val="clear" w:color="auto" w:fill="auto"/>
          </w:tcPr>
          <w:p w:rsidR="005624E3" w:rsidRPr="00605BA5" w:rsidRDefault="005624E3" w:rsidP="00101A80">
            <w:pPr>
              <w:adjustRightInd w:val="0"/>
              <w:spacing w:before="60" w:after="60" w:line="240" w:lineRule="atLeast"/>
              <w:rPr>
                <w:rFonts w:cs="Arial"/>
                <w:sz w:val="18"/>
                <w:szCs w:val="18"/>
              </w:rPr>
            </w:pPr>
            <w:r>
              <w:rPr>
                <w:noProof/>
                <w:sz w:val="18"/>
              </w:rPr>
              <w:t>Határértékek/ellenőrzési értékek és típusjóváhagyások</w:t>
            </w:r>
          </w:p>
        </w:tc>
        <w:tc>
          <w:tcPr>
            <w:tcW w:w="5387" w:type="dxa"/>
            <w:shd w:val="clear" w:color="auto" w:fill="auto"/>
          </w:tcPr>
          <w:p w:rsidR="005624E3" w:rsidRPr="00605BA5" w:rsidRDefault="005624E3" w:rsidP="00101A80">
            <w:pPr>
              <w:spacing w:before="60" w:after="60" w:line="240" w:lineRule="atLeast"/>
              <w:rPr>
                <w:rFonts w:cs="Arial"/>
                <w:sz w:val="18"/>
                <w:szCs w:val="18"/>
              </w:rPr>
            </w:pPr>
            <w:r>
              <w:rPr>
                <w:sz w:val="18"/>
              </w:rPr>
              <w:t>N.R.C., amíg:</w:t>
            </w:r>
          </w:p>
          <w:p w:rsidR="005624E3" w:rsidRPr="00605BA5" w:rsidRDefault="005624E3" w:rsidP="00101A80">
            <w:pPr>
              <w:spacing w:before="60" w:after="60" w:line="240" w:lineRule="atLeast"/>
              <w:ind w:left="317" w:hanging="317"/>
              <w:rPr>
                <w:rFonts w:cs="Arial"/>
                <w:sz w:val="18"/>
                <w:szCs w:val="18"/>
              </w:rPr>
            </w:pPr>
            <w:r>
              <w:rPr>
                <w:sz w:val="18"/>
              </w:rPr>
              <w:t>a)</w:t>
            </w:r>
            <w:r>
              <w:tab/>
            </w:r>
            <w:r>
              <w:rPr>
                <w:sz w:val="18"/>
              </w:rPr>
              <w:t>a határ- és ellenőrzési értékek nem nagyobbak a II. lépés szerinti értékek kétszeresénél;</w:t>
            </w:r>
          </w:p>
          <w:p w:rsidR="005624E3" w:rsidRPr="00605BA5" w:rsidRDefault="005624E3" w:rsidP="00101A80">
            <w:pPr>
              <w:spacing w:before="60" w:after="60" w:line="240" w:lineRule="atLeast"/>
              <w:ind w:left="317" w:hanging="317"/>
              <w:rPr>
                <w:rFonts w:cs="Arial"/>
                <w:sz w:val="18"/>
                <w:szCs w:val="18"/>
              </w:rPr>
            </w:pPr>
            <w:r>
              <w:rPr>
                <w:sz w:val="18"/>
              </w:rPr>
              <w:t>b)</w:t>
            </w:r>
            <w:r>
              <w:tab/>
            </w:r>
            <w:r>
              <w:rPr>
                <w:sz w:val="18"/>
              </w:rPr>
              <w:t>a fedélzeti szennyvízkezelő műhöz a gyártó vagy egy szakértő olyan igazolást mellékel, amely tanúsítja, hogy a fedélzeti szennyvízkezelő mű a vízi járművön előálló tipikus terhelési viszonyok között képes ellátni feladatát;</w:t>
            </w:r>
          </w:p>
          <w:p w:rsidR="005624E3" w:rsidRPr="00605BA5" w:rsidRDefault="005624E3" w:rsidP="00101A80">
            <w:pPr>
              <w:adjustRightInd w:val="0"/>
              <w:spacing w:before="60" w:after="60" w:line="240" w:lineRule="atLeast"/>
              <w:ind w:left="318" w:hanging="318"/>
              <w:rPr>
                <w:rFonts w:cs="Arial"/>
                <w:sz w:val="18"/>
                <w:szCs w:val="18"/>
              </w:rPr>
            </w:pPr>
            <w:r>
              <w:rPr>
                <w:sz w:val="18"/>
              </w:rPr>
              <w:t>c)</w:t>
            </w:r>
            <w:r>
              <w:tab/>
            </w:r>
            <w:r>
              <w:rPr>
                <w:noProof/>
                <w:sz w:val="18"/>
              </w:rPr>
              <w:t>olyan szennyvíziszap-kezelési rendszer van érvényben, amely a személyhajó fedélzetén működő szennyvízkezelő mű üzemi feltételeit figyelembe véve alkalmasnak tekinthető.</w:t>
            </w:r>
          </w:p>
        </w:tc>
        <w:tc>
          <w:tcPr>
            <w:tcW w:w="1276" w:type="dxa"/>
            <w:shd w:val="clear" w:color="auto" w:fill="auto"/>
          </w:tcPr>
          <w:p w:rsidR="005624E3" w:rsidRPr="00605BA5" w:rsidRDefault="005624E3" w:rsidP="00101A80">
            <w:pPr>
              <w:spacing w:before="60" w:after="60" w:line="240" w:lineRule="atLeast"/>
              <w:rPr>
                <w:rFonts w:cs="Arial"/>
                <w:sz w:val="18"/>
                <w:szCs w:val="18"/>
              </w:rPr>
            </w:pPr>
          </w:p>
        </w:tc>
        <w:tc>
          <w:tcPr>
            <w:tcW w:w="1276" w:type="dxa"/>
          </w:tcPr>
          <w:p w:rsidR="005624E3" w:rsidRPr="00605BA5" w:rsidRDefault="005624E3" w:rsidP="00101A80">
            <w:pPr>
              <w:spacing w:before="60" w:after="60" w:line="240" w:lineRule="atLeast"/>
              <w:rPr>
                <w:rFonts w:cs="Arial"/>
                <w:sz w:val="18"/>
                <w:szCs w:val="18"/>
              </w:rPr>
            </w:pPr>
            <w:r>
              <w:rPr>
                <w:sz w:val="18"/>
              </w:rPr>
              <w:t>2011.12.01.</w:t>
            </w:r>
          </w:p>
        </w:tc>
      </w:tr>
      <w:tr w:rsidR="005624E3" w:rsidRPr="00C903F8" w:rsidTr="00101A80">
        <w:trPr>
          <w:cantSplit/>
          <w:jc w:val="center"/>
        </w:trPr>
        <w:tc>
          <w:tcPr>
            <w:tcW w:w="1342" w:type="dxa"/>
            <w:vMerge/>
            <w:shd w:val="clear" w:color="auto" w:fill="auto"/>
          </w:tcPr>
          <w:p w:rsidR="005624E3" w:rsidRPr="00605BA5" w:rsidRDefault="005624E3" w:rsidP="00101A80">
            <w:pPr>
              <w:spacing w:before="60" w:after="60" w:line="240" w:lineRule="atLeast"/>
              <w:rPr>
                <w:rFonts w:cs="Arial"/>
                <w:sz w:val="18"/>
                <w:szCs w:val="18"/>
              </w:rPr>
            </w:pPr>
          </w:p>
        </w:tc>
        <w:tc>
          <w:tcPr>
            <w:tcW w:w="1458" w:type="dxa"/>
            <w:vMerge/>
            <w:shd w:val="clear" w:color="auto" w:fill="auto"/>
          </w:tcPr>
          <w:p w:rsidR="005624E3" w:rsidRPr="00605BA5" w:rsidRDefault="005624E3" w:rsidP="00101A80">
            <w:pPr>
              <w:spacing w:before="60" w:after="60" w:line="240" w:lineRule="atLeast"/>
              <w:rPr>
                <w:rFonts w:cs="Arial"/>
                <w:sz w:val="18"/>
                <w:szCs w:val="18"/>
              </w:rPr>
            </w:pPr>
          </w:p>
        </w:tc>
        <w:tc>
          <w:tcPr>
            <w:tcW w:w="3296" w:type="dxa"/>
            <w:vMerge/>
            <w:shd w:val="clear" w:color="auto" w:fill="auto"/>
          </w:tcPr>
          <w:p w:rsidR="005624E3" w:rsidRPr="00605BA5" w:rsidRDefault="005624E3" w:rsidP="00101A80">
            <w:pPr>
              <w:tabs>
                <w:tab w:val="left" w:pos="1080"/>
              </w:tabs>
              <w:spacing w:before="60" w:after="60" w:line="240" w:lineRule="atLeast"/>
              <w:rPr>
                <w:rFonts w:cs="Arial"/>
                <w:noProof/>
                <w:sz w:val="18"/>
                <w:szCs w:val="18"/>
              </w:rPr>
            </w:pPr>
          </w:p>
        </w:tc>
        <w:tc>
          <w:tcPr>
            <w:tcW w:w="5387" w:type="dxa"/>
            <w:shd w:val="clear" w:color="auto" w:fill="auto"/>
          </w:tcPr>
          <w:p w:rsidR="005624E3" w:rsidRPr="00605BA5" w:rsidRDefault="005624E3" w:rsidP="00101A80">
            <w:pPr>
              <w:spacing w:before="60" w:after="60" w:line="240" w:lineRule="atLeast"/>
              <w:rPr>
                <w:rFonts w:cs="Arial"/>
                <w:sz w:val="18"/>
                <w:szCs w:val="18"/>
              </w:rPr>
            </w:pPr>
            <w:r>
              <w:rPr>
                <w:sz w:val="18"/>
              </w:rPr>
              <w:t>A 2010-II-27 CCNR-határozat (II. lépés) követelményeinek megfelelően 2011. december 1-jén vagy az után jóváhagyott fedélzeti szennyvízkezelő művek továbbra is beszerelhetők és használhatók.</w:t>
            </w:r>
          </w:p>
        </w:tc>
        <w:tc>
          <w:tcPr>
            <w:tcW w:w="1276" w:type="dxa"/>
            <w:shd w:val="clear" w:color="auto" w:fill="auto"/>
          </w:tcPr>
          <w:p w:rsidR="005624E3" w:rsidRPr="00605BA5" w:rsidRDefault="005624E3" w:rsidP="00101A80">
            <w:pPr>
              <w:spacing w:before="60" w:after="60" w:line="240" w:lineRule="atLeast"/>
              <w:rPr>
                <w:rFonts w:cs="Arial"/>
                <w:sz w:val="18"/>
                <w:szCs w:val="18"/>
              </w:rPr>
            </w:pPr>
          </w:p>
        </w:tc>
        <w:tc>
          <w:tcPr>
            <w:tcW w:w="1276" w:type="dxa"/>
          </w:tcPr>
          <w:p w:rsidR="005624E3" w:rsidRPr="00605BA5" w:rsidRDefault="005624E3" w:rsidP="00101A80">
            <w:pPr>
              <w:spacing w:before="60" w:after="60" w:line="240" w:lineRule="atLeast"/>
              <w:rPr>
                <w:rFonts w:cs="Arial"/>
                <w:sz w:val="18"/>
                <w:szCs w:val="18"/>
              </w:rPr>
            </w:pPr>
            <w:r>
              <w:rPr>
                <w:sz w:val="18"/>
              </w:rPr>
              <w:t>2018.10.07.</w:t>
            </w:r>
          </w:p>
        </w:tc>
      </w:tr>
      <w:tr w:rsidR="005624E3" w:rsidRPr="00C903F8" w:rsidTr="00101A80">
        <w:trPr>
          <w:cantSplit/>
          <w:jc w:val="center"/>
        </w:trPr>
        <w:tc>
          <w:tcPr>
            <w:tcW w:w="1342" w:type="dxa"/>
            <w:vMerge/>
            <w:shd w:val="clear" w:color="auto" w:fill="auto"/>
          </w:tcPr>
          <w:p w:rsidR="005624E3" w:rsidRPr="00605BA5" w:rsidRDefault="005624E3" w:rsidP="00101A80">
            <w:pPr>
              <w:spacing w:before="60" w:after="60" w:line="240" w:lineRule="atLeast"/>
              <w:rPr>
                <w:rFonts w:cs="Arial"/>
                <w:sz w:val="18"/>
                <w:szCs w:val="18"/>
              </w:rPr>
            </w:pPr>
          </w:p>
        </w:tc>
        <w:tc>
          <w:tcPr>
            <w:tcW w:w="1458" w:type="dxa"/>
            <w:vMerge/>
            <w:shd w:val="clear" w:color="auto" w:fill="auto"/>
          </w:tcPr>
          <w:p w:rsidR="005624E3" w:rsidRPr="00605BA5" w:rsidRDefault="005624E3" w:rsidP="00101A80">
            <w:pPr>
              <w:spacing w:before="60" w:after="60" w:line="240" w:lineRule="atLeast"/>
              <w:rPr>
                <w:rFonts w:cs="Arial"/>
                <w:sz w:val="18"/>
                <w:szCs w:val="18"/>
              </w:rPr>
            </w:pPr>
          </w:p>
        </w:tc>
        <w:tc>
          <w:tcPr>
            <w:tcW w:w="3296" w:type="dxa"/>
            <w:vMerge/>
            <w:shd w:val="clear" w:color="auto" w:fill="auto"/>
          </w:tcPr>
          <w:p w:rsidR="005624E3" w:rsidRPr="00605BA5" w:rsidRDefault="005624E3" w:rsidP="00101A80">
            <w:pPr>
              <w:tabs>
                <w:tab w:val="left" w:pos="1080"/>
              </w:tabs>
              <w:spacing w:before="60" w:after="60" w:line="240" w:lineRule="atLeast"/>
              <w:rPr>
                <w:rFonts w:cs="Arial"/>
                <w:noProof/>
                <w:sz w:val="18"/>
                <w:szCs w:val="18"/>
              </w:rPr>
            </w:pPr>
          </w:p>
        </w:tc>
        <w:tc>
          <w:tcPr>
            <w:tcW w:w="5387" w:type="dxa"/>
            <w:shd w:val="clear" w:color="auto" w:fill="auto"/>
          </w:tcPr>
          <w:p w:rsidR="005624E3" w:rsidRPr="00605BA5" w:rsidRDefault="005624E3" w:rsidP="00101A80">
            <w:pPr>
              <w:spacing w:before="60" w:after="60" w:line="240" w:lineRule="atLeast"/>
              <w:rPr>
                <w:rFonts w:cs="Arial"/>
                <w:sz w:val="18"/>
                <w:szCs w:val="18"/>
              </w:rPr>
            </w:pPr>
            <w:r>
              <w:rPr>
                <w:sz w:val="18"/>
              </w:rPr>
              <w:t>A 2012/49/EU irányelv (II. lépés) követelményeinek megfelelően 2013. január 10-én vagy az után jóváhagyott fedélzeti szennyvízkezelő művek továbbra is beszerelhetők és használhatók.</w:t>
            </w:r>
          </w:p>
        </w:tc>
        <w:tc>
          <w:tcPr>
            <w:tcW w:w="1276" w:type="dxa"/>
            <w:shd w:val="clear" w:color="auto" w:fill="auto"/>
          </w:tcPr>
          <w:p w:rsidR="005624E3" w:rsidRPr="00605BA5" w:rsidRDefault="005624E3" w:rsidP="00101A80">
            <w:pPr>
              <w:spacing w:before="60" w:after="60" w:line="240" w:lineRule="atLeast"/>
              <w:rPr>
                <w:rFonts w:cs="Arial"/>
                <w:sz w:val="18"/>
                <w:szCs w:val="18"/>
              </w:rPr>
            </w:pPr>
          </w:p>
        </w:tc>
        <w:tc>
          <w:tcPr>
            <w:tcW w:w="1276" w:type="dxa"/>
          </w:tcPr>
          <w:p w:rsidR="005624E3" w:rsidRPr="00605BA5" w:rsidRDefault="005624E3" w:rsidP="00101A80">
            <w:pPr>
              <w:spacing w:before="60" w:after="60" w:line="240" w:lineRule="atLeast"/>
              <w:rPr>
                <w:rFonts w:cs="Arial"/>
                <w:sz w:val="18"/>
                <w:szCs w:val="18"/>
              </w:rPr>
            </w:pPr>
            <w:r>
              <w:rPr>
                <w:sz w:val="18"/>
              </w:rPr>
              <w:t>2018.10.07.</w:t>
            </w:r>
          </w:p>
        </w:tc>
      </w:tr>
      <w:tr w:rsidR="005624E3" w:rsidRPr="00C903F8" w:rsidTr="00101A80">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19. FEJEZET</w:t>
            </w:r>
          </w:p>
        </w:tc>
        <w:tc>
          <w:tcPr>
            <w:tcW w:w="5387"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c>
          <w:tcPr>
            <w:tcW w:w="1276" w:type="dxa"/>
          </w:tcPr>
          <w:p w:rsidR="005624E3" w:rsidRPr="00C903F8" w:rsidRDefault="005624E3" w:rsidP="00101A80">
            <w:pPr>
              <w:spacing w:before="60" w:after="60" w:line="240" w:lineRule="atLeast"/>
              <w:rPr>
                <w:rFonts w:cs="Arial"/>
                <w:sz w:val="18"/>
                <w:szCs w:val="18"/>
              </w:rPr>
            </w:pP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19.01. cikk</w:t>
            </w:r>
          </w:p>
        </w:tc>
        <w:tc>
          <w:tcPr>
            <w:tcW w:w="1458" w:type="dxa"/>
            <w:vMerge w:val="restart"/>
            <w:shd w:val="clear" w:color="auto" w:fill="auto"/>
          </w:tcPr>
          <w:p w:rsidR="005624E3" w:rsidRPr="00C903F8" w:rsidRDefault="005624E3" w:rsidP="00101A80">
            <w:pPr>
              <w:spacing w:before="60" w:after="60" w:line="240" w:lineRule="atLeast"/>
              <w:rPr>
                <w:rFonts w:cs="Arial"/>
                <w:sz w:val="18"/>
                <w:szCs w:val="18"/>
              </w:rPr>
            </w:pPr>
            <w:r>
              <w:rPr>
                <w:sz w:val="18"/>
              </w:rPr>
              <w:t>2. bekezdés e) pont</w:t>
            </w:r>
          </w:p>
        </w:tc>
        <w:tc>
          <w:tcPr>
            <w:tcW w:w="3296" w:type="dxa"/>
            <w:vMerge w:val="restart"/>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A 17. fejezet szerinti, cseppfolyósított gázzal működő berendezések tilalma</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vMerge/>
            <w:shd w:val="clear" w:color="auto" w:fill="auto"/>
          </w:tcPr>
          <w:p w:rsidR="005624E3" w:rsidRPr="00C903F8" w:rsidRDefault="005624E3" w:rsidP="00101A80">
            <w:pPr>
              <w:spacing w:before="60" w:after="60" w:line="240" w:lineRule="atLeast"/>
              <w:rPr>
                <w:rFonts w:cs="Arial"/>
                <w:sz w:val="18"/>
                <w:szCs w:val="18"/>
              </w:rPr>
            </w:pPr>
          </w:p>
        </w:tc>
        <w:tc>
          <w:tcPr>
            <w:tcW w:w="3296" w:type="dxa"/>
            <w:vMerge/>
            <w:shd w:val="clear" w:color="auto" w:fill="auto"/>
          </w:tcPr>
          <w:p w:rsidR="005624E3" w:rsidRPr="00C903F8" w:rsidRDefault="005624E3" w:rsidP="00101A80">
            <w:pPr>
              <w:tabs>
                <w:tab w:val="left" w:pos="1080"/>
              </w:tabs>
              <w:spacing w:before="60" w:after="60" w:line="240" w:lineRule="atLeast"/>
              <w:rPr>
                <w:rFonts w:cs="Arial"/>
                <w:sz w:val="18"/>
                <w:szCs w:val="18"/>
              </w:rPr>
            </w:pP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Az átmeneti rendelkezés csak a 19.15. cikk 8. bekezdésének megfelelően felszerelt riasztórendszerekre vonatkozik.</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5. és 6. bekezdés</w:t>
            </w:r>
          </w:p>
        </w:tc>
        <w:tc>
          <w:tcPr>
            <w:tcW w:w="3296" w:type="dxa"/>
            <w:shd w:val="clear" w:color="auto" w:fill="auto"/>
          </w:tcPr>
          <w:p w:rsidR="005624E3" w:rsidRPr="00C903F8" w:rsidRDefault="005624E3" w:rsidP="005D5D40">
            <w:pPr>
              <w:tabs>
                <w:tab w:val="right" w:pos="3856"/>
                <w:tab w:val="center" w:pos="4536"/>
                <w:tab w:val="left" w:pos="6521"/>
                <w:tab w:val="right" w:pos="9072"/>
              </w:tabs>
              <w:spacing w:before="60" w:after="60" w:line="240" w:lineRule="atLeast"/>
              <w:rPr>
                <w:rFonts w:cs="Arial"/>
                <w:sz w:val="18"/>
                <w:szCs w:val="18"/>
              </w:rPr>
            </w:pPr>
            <w:r>
              <w:rPr>
                <w:color w:val="000000"/>
                <w:sz w:val="18"/>
              </w:rPr>
              <w:t>A</w:t>
            </w:r>
            <w:r w:rsidR="005D5D40">
              <w:rPr>
                <w:color w:val="000000"/>
                <w:sz w:val="18"/>
              </w:rPr>
              <w:t xml:space="preserve"> korlátozott látótér</w:t>
            </w:r>
            <w:r>
              <w:rPr>
                <w:color w:val="000000"/>
                <w:sz w:val="18"/>
              </w:rPr>
              <w:t xml:space="preserve"> a hajó előtt két hajóhossz, ha az 250 méternél kevesebb </w:t>
            </w:r>
            <w:r>
              <w:rPr>
                <w:rFonts w:cs="Arial"/>
                <w:color w:val="000000"/>
                <w:sz w:val="18"/>
                <w:szCs w:val="18"/>
              </w:rPr>
              <w:br/>
            </w:r>
            <w:r>
              <w:rPr>
                <w:sz w:val="18"/>
              </w:rPr>
              <w:t>Megfelelő kilátás hátrafelé</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2018.10.07.</w:t>
            </w: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19.02. cikk</w:t>
            </w:r>
          </w:p>
        </w:tc>
        <w:tc>
          <w:tcPr>
            <w:tcW w:w="1458" w:type="dxa"/>
            <w:tcBorders>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r>
              <w:rPr>
                <w:sz w:val="18"/>
              </w:rPr>
              <w:t>2. bekezdés</w:t>
            </w:r>
          </w:p>
        </w:tc>
        <w:tc>
          <w:tcPr>
            <w:tcW w:w="3296" w:type="dxa"/>
            <w:tcBorders>
              <w:bottom w:val="single" w:sz="4" w:space="0" w:color="auto"/>
            </w:tcBorders>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A válaszfalak száma és helye</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tcBorders>
              <w:bottom w:val="nil"/>
            </w:tcBorders>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A farválaszfal helyzete</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2035.01.01.</w:t>
            </w:r>
          </w:p>
        </w:tc>
        <w:tc>
          <w:tcPr>
            <w:tcW w:w="1276" w:type="dxa"/>
          </w:tcPr>
          <w:p w:rsidR="005624E3" w:rsidRPr="009B46F3" w:rsidRDefault="005624E3" w:rsidP="00101A80">
            <w:pPr>
              <w:spacing w:before="60" w:after="60" w:line="240" w:lineRule="atLeast"/>
              <w:rPr>
                <w:rFonts w:cs="Arial"/>
                <w:sz w:val="18"/>
                <w:szCs w:val="18"/>
                <w:highlight w:val="green"/>
              </w:rPr>
            </w:pPr>
            <w:r>
              <w:rPr>
                <w:sz w:val="18"/>
              </w:rPr>
              <w:t>2018.10.07.</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tcBorders>
              <w:top w:val="nil"/>
            </w:tcBorders>
            <w:shd w:val="clear" w:color="auto" w:fill="auto"/>
          </w:tcPr>
          <w:p w:rsidR="005624E3" w:rsidRPr="00C903F8" w:rsidRDefault="005624E3" w:rsidP="00101A80">
            <w:pPr>
              <w:spacing w:before="60" w:after="60" w:line="240" w:lineRule="atLeast"/>
              <w:rPr>
                <w:rFonts w:cs="Arial"/>
                <w:sz w:val="18"/>
                <w:szCs w:val="18"/>
              </w:rPr>
            </w:pPr>
          </w:p>
        </w:tc>
        <w:tc>
          <w:tcPr>
            <w:tcW w:w="3296" w:type="dxa"/>
            <w:tcBorders>
              <w:top w:val="nil"/>
            </w:tcBorders>
            <w:shd w:val="clear" w:color="auto" w:fill="auto"/>
          </w:tcPr>
          <w:p w:rsidR="005624E3" w:rsidRPr="00C903F8" w:rsidRDefault="005624E3" w:rsidP="00101A80">
            <w:pPr>
              <w:tabs>
                <w:tab w:val="left" w:pos="1080"/>
              </w:tabs>
              <w:spacing w:before="60" w:after="60" w:line="240" w:lineRule="atLeast"/>
              <w:rPr>
                <w:rFonts w:cs="Arial"/>
                <w:sz w:val="18"/>
                <w:szCs w:val="18"/>
              </w:rPr>
            </w:pP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Ez a követelmény nem vonatkozik azokra a személyhajókra, amelyek a 19.03. cikk 9. bekezdésében meghatározott kétteres elárasztásra vonatkozó alapvető követelményeknek vagy a 19.07. cikkben foglalt követelményeknek való megfelelés következtében egyenértékű biztonsági és műveletképességi szintet képviselnek.</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c>
          <w:tcPr>
            <w:tcW w:w="1276" w:type="dxa"/>
          </w:tcPr>
          <w:p w:rsidR="005624E3" w:rsidRPr="009B46F3" w:rsidRDefault="005624E3" w:rsidP="00101A80">
            <w:pPr>
              <w:spacing w:before="60" w:after="60" w:line="240" w:lineRule="atLeast"/>
              <w:rPr>
                <w:rFonts w:cs="Arial"/>
                <w:sz w:val="18"/>
                <w:szCs w:val="18"/>
                <w:highlight w:val="green"/>
              </w:rPr>
            </w:pPr>
            <w:r>
              <w:rPr>
                <w:sz w:val="18"/>
              </w:rPr>
              <w:t>2018.10.07.</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5. bekezdés második mondat</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Biztonsági peremvonal, ha nincs válaszfalfedélzet</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noProof/>
                <w:sz w:val="18"/>
              </w:rPr>
              <w:t>Azon személyhajók esetében, amelyek gerincfektetése 1996 január 1-je előtt történt, 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15.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A duplafenék minimális magassága, az oldalüreg szélessége</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19.03.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1–6.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Sérülés nélküli stabilitás</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noProof/>
                <w:sz w:val="18"/>
              </w:rPr>
              <w:t>N.R.C., és ha a maximális utaslétszámot emelik,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tcBorders>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r>
              <w:rPr>
                <w:sz w:val="18"/>
              </w:rPr>
              <w:t>7. és 8.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Sérült stabilitás</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9. bekezdés</w:t>
            </w:r>
          </w:p>
        </w:tc>
        <w:tc>
          <w:tcPr>
            <w:tcW w:w="3296" w:type="dxa"/>
            <w:tcBorders>
              <w:bottom w:val="single" w:sz="4" w:space="0" w:color="auto"/>
            </w:tcBorders>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Sérült stabilitás</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vMerge w:val="restart"/>
            <w:tcBorders>
              <w:top w:val="nil"/>
            </w:tcBorders>
            <w:shd w:val="clear" w:color="auto" w:fill="auto"/>
          </w:tcPr>
          <w:p w:rsidR="005624E3" w:rsidRPr="00C903F8" w:rsidRDefault="005624E3" w:rsidP="00101A80">
            <w:pPr>
              <w:spacing w:before="60" w:after="60" w:line="240" w:lineRule="atLeast"/>
              <w:rPr>
                <w:rFonts w:cs="Arial"/>
                <w:sz w:val="18"/>
                <w:szCs w:val="18"/>
              </w:rPr>
            </w:pPr>
          </w:p>
        </w:tc>
        <w:tc>
          <w:tcPr>
            <w:tcW w:w="3296" w:type="dxa"/>
            <w:vMerge w:val="restart"/>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A hajófenék sérülésének függőleges kiterjedése</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vMerge/>
            <w:tcBorders>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3296" w:type="dxa"/>
            <w:vMerge/>
            <w:shd w:val="clear" w:color="auto" w:fill="auto"/>
          </w:tcPr>
          <w:p w:rsidR="005624E3" w:rsidRPr="00C903F8" w:rsidRDefault="005624E3" w:rsidP="00101A80">
            <w:pPr>
              <w:tabs>
                <w:tab w:val="left" w:pos="1080"/>
              </w:tabs>
              <w:spacing w:before="60" w:after="60" w:line="240" w:lineRule="atLeast"/>
              <w:rPr>
                <w:rFonts w:cs="Arial"/>
                <w:sz w:val="18"/>
                <w:szCs w:val="18"/>
              </w:rPr>
            </w:pPr>
          </w:p>
        </w:tc>
        <w:tc>
          <w:tcPr>
            <w:tcW w:w="5387" w:type="dxa"/>
            <w:shd w:val="clear" w:color="auto" w:fill="auto"/>
          </w:tcPr>
          <w:p w:rsidR="005624E3" w:rsidRPr="00C903F8" w:rsidRDefault="005624E3" w:rsidP="00101A80">
            <w:pPr>
              <w:spacing w:before="60" w:after="60" w:line="240" w:lineRule="atLeast"/>
              <w:rPr>
                <w:rFonts w:cs="Arial"/>
                <w:sz w:val="18"/>
                <w:szCs w:val="18"/>
              </w:rPr>
            </w:pPr>
            <w:r>
              <w:rPr>
                <w:noProof/>
                <w:sz w:val="18"/>
              </w:rPr>
              <w:t>N.R.C., legalább 0,50 m-es szakaszon és a hajófenéktől számított legfeljebb 0,60 m-en, olyan vízmentes fedélzettel rendelkező hajók esetében, melyek tekintetében az első belvízi hajóbizonyítványt 2005.12.31. előtt bocsátották ki.</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c>
          <w:tcPr>
            <w:tcW w:w="1276" w:type="dxa"/>
          </w:tcPr>
          <w:p w:rsidR="005624E3" w:rsidRPr="00C903F8" w:rsidRDefault="005624E3" w:rsidP="00101A80">
            <w:pPr>
              <w:spacing w:before="60" w:after="60" w:line="240" w:lineRule="atLeast"/>
              <w:rPr>
                <w:rFonts w:cs="Arial"/>
                <w:sz w:val="18"/>
                <w:szCs w:val="18"/>
              </w:rPr>
            </w:pPr>
            <w:r>
              <w:rPr>
                <w:sz w:val="18"/>
              </w:rPr>
              <w:t>2011.12.01.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tcBorders>
              <w:top w:val="nil"/>
            </w:tcBorders>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Kétteres elárasztás</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10–13. bekezdés</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sz w:val="18"/>
              </w:rPr>
              <w:t>Sérült stabilitás</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100" w:after="100" w:line="240" w:lineRule="atLeast"/>
              <w:rPr>
                <w:rFonts w:cs="Arial"/>
                <w:sz w:val="18"/>
                <w:szCs w:val="18"/>
              </w:rPr>
            </w:pPr>
            <w:r>
              <w:rPr>
                <w:sz w:val="18"/>
              </w:rPr>
              <w:t>19.05.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 a) pont</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noProof/>
                <w:sz w:val="18"/>
              </w:rPr>
              <w:t>Az utaslétszám, amelyre a 19.06. cikk 8. bekezdése szerinti evakuálási terület megléte bizonyított</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 b) pont</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noProof/>
                <w:sz w:val="18"/>
              </w:rPr>
              <w:t>A 19.03. cikk szerinti stabilitási számításhoz figyelembe veendő utaslétszám</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100" w:after="100" w:line="240" w:lineRule="atLeast"/>
              <w:rPr>
                <w:rFonts w:cs="Arial"/>
                <w:sz w:val="18"/>
                <w:szCs w:val="18"/>
              </w:rPr>
            </w:pPr>
            <w:r>
              <w:rPr>
                <w:sz w:val="18"/>
              </w:rPr>
              <w:t>19.06.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1. bekezdés első mondat</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sz w:val="18"/>
              </w:rPr>
              <w:t>Az utastereknek, amennyiben a válaszfalfedélzet alatt vannak, a farválaszfal előtt kell lenniük</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034331" w:rsidRDefault="005624E3" w:rsidP="00101A80">
            <w:pPr>
              <w:spacing w:before="100" w:after="100" w:line="240" w:lineRule="atLeast"/>
              <w:rPr>
                <w:rFonts w:cs="Arial"/>
                <w:sz w:val="18"/>
                <w:szCs w:val="18"/>
                <w:highlight w:val="green"/>
              </w:rPr>
            </w:pPr>
            <w:r>
              <w:rPr>
                <w:sz w:val="18"/>
              </w:rPr>
              <w:t>2018.10.07.</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1. bekezdés második mondat</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noProof/>
                <w:sz w:val="18"/>
              </w:rPr>
              <w:t>Zárt terek</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tcPr>
          <w:p w:rsidR="005624E3" w:rsidRPr="00C903F8" w:rsidRDefault="005624E3" w:rsidP="00101A80">
            <w:pPr>
              <w:spacing w:before="100" w:after="100" w:line="240" w:lineRule="atLeast"/>
              <w:rPr>
                <w:rFonts w:cs="Arial"/>
                <w:sz w:val="18"/>
                <w:szCs w:val="18"/>
              </w:rPr>
            </w:pPr>
            <w:r>
              <w:rPr>
                <w:sz w:val="18"/>
              </w:rPr>
              <w:t>2011.12.01.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DB7D1E" w:rsidRDefault="005624E3" w:rsidP="00101A80">
            <w:pPr>
              <w:spacing w:before="100" w:after="100" w:line="240" w:lineRule="atLeast"/>
              <w:rPr>
                <w:rFonts w:cs="Arial"/>
                <w:sz w:val="18"/>
                <w:szCs w:val="18"/>
                <w:lang w:val="fr-FR"/>
              </w:rPr>
            </w:pPr>
            <w:r w:rsidRPr="00DB7D1E">
              <w:rPr>
                <w:sz w:val="18"/>
                <w:lang w:val="fr-FR"/>
              </w:rPr>
              <w:t>3. bekezdés c) pont első mondat</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noProof/>
                <w:sz w:val="18"/>
              </w:rPr>
              <w:t>A kijáratok szabad magassága</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DB7D1E" w:rsidRDefault="005624E3" w:rsidP="00101A80">
            <w:pPr>
              <w:spacing w:before="100" w:after="100" w:line="240" w:lineRule="atLeast"/>
              <w:rPr>
                <w:rFonts w:cs="Arial"/>
                <w:sz w:val="18"/>
                <w:szCs w:val="18"/>
                <w:lang w:val="fr-FR"/>
              </w:rPr>
            </w:pPr>
            <w:r w:rsidRPr="00DB7D1E">
              <w:rPr>
                <w:sz w:val="18"/>
                <w:lang w:val="fr-FR"/>
              </w:rPr>
              <w:t>3. bekezdés c) pont második mondat</w:t>
            </w:r>
          </w:p>
        </w:tc>
        <w:tc>
          <w:tcPr>
            <w:tcW w:w="3296" w:type="dxa"/>
            <w:shd w:val="clear" w:color="auto" w:fill="auto"/>
          </w:tcPr>
          <w:p w:rsidR="005624E3" w:rsidRPr="00DB7D1E" w:rsidRDefault="005624E3" w:rsidP="00101A80">
            <w:pPr>
              <w:tabs>
                <w:tab w:val="left" w:pos="1080"/>
              </w:tabs>
              <w:spacing w:before="100" w:after="100" w:line="240" w:lineRule="atLeast"/>
              <w:rPr>
                <w:rFonts w:cs="Arial"/>
                <w:sz w:val="18"/>
                <w:szCs w:val="18"/>
                <w:lang w:val="fr-FR"/>
              </w:rPr>
            </w:pPr>
            <w:r w:rsidRPr="00DB7D1E">
              <w:rPr>
                <w:noProof/>
                <w:sz w:val="18"/>
                <w:lang w:val="fr-FR"/>
              </w:rPr>
              <w:t>Az utasterek és más kis helyiségek ajtajainak szabad szélessége</w:t>
            </w:r>
          </w:p>
        </w:tc>
        <w:tc>
          <w:tcPr>
            <w:tcW w:w="5387" w:type="dxa"/>
            <w:shd w:val="clear" w:color="auto" w:fill="auto"/>
          </w:tcPr>
          <w:p w:rsidR="005624E3" w:rsidRPr="00DB7D1E" w:rsidRDefault="005624E3" w:rsidP="00101A80">
            <w:pPr>
              <w:spacing w:before="100" w:after="100" w:line="240" w:lineRule="atLeast"/>
              <w:rPr>
                <w:rFonts w:cs="Arial"/>
                <w:sz w:val="18"/>
                <w:szCs w:val="18"/>
                <w:lang w:val="fr-FR"/>
              </w:rPr>
            </w:pPr>
            <w:r w:rsidRPr="00DB7D1E">
              <w:rPr>
                <w:sz w:val="18"/>
                <w:lang w:val="fr-FR"/>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3. bekezdés f) pont első mondat</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noProof/>
                <w:sz w:val="18"/>
              </w:rPr>
              <w:t>A vészkijáratok mérete</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3. bekezdés g) pont</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noProof/>
                <w:sz w:val="18"/>
              </w:rPr>
              <w:t>A csökkent mozgásképességű személyek általi használatra szolgáló helyiségek kijáratai</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4. bekezdés d) pont</w:t>
            </w:r>
          </w:p>
        </w:tc>
        <w:tc>
          <w:tcPr>
            <w:tcW w:w="3296" w:type="dxa"/>
            <w:shd w:val="clear" w:color="auto" w:fill="auto"/>
          </w:tcPr>
          <w:p w:rsidR="005624E3" w:rsidRPr="00C903F8" w:rsidRDefault="005624E3" w:rsidP="00101A80">
            <w:pPr>
              <w:tabs>
                <w:tab w:val="left" w:pos="930"/>
              </w:tabs>
              <w:spacing w:before="100" w:after="100" w:line="240" w:lineRule="atLeast"/>
              <w:rPr>
                <w:rFonts w:cs="Arial"/>
                <w:sz w:val="18"/>
                <w:szCs w:val="18"/>
              </w:rPr>
            </w:pPr>
            <w:r>
              <w:rPr>
                <w:noProof/>
                <w:sz w:val="18"/>
              </w:rPr>
              <w:t>A csökkent mozgásképességű személyek általi használatra szolgáló ajtók</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Az összekötő folyosókra vonatkozó követelmények</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 b)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Az evakuálási területekre vezető menekülési útvonalak</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 c) pont</w:t>
            </w:r>
            <w:r>
              <w:rPr>
                <w:color w:val="000000"/>
                <w:sz w:val="18"/>
                <w:vertAlign w:val="superscript"/>
              </w:rPr>
              <w:footnoteReference w:id="42"/>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A konyhákon keresztül vezető menekülési útvonalak tilalma</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2020.01.01.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 d)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menekülési útvonalak mentén nem lehetnek lépcsőfokok, létrák vagy hasonlók</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noProof/>
                <w:sz w:val="18"/>
              </w:rPr>
              <w:t>Megfelelő biztonsági útvonal-kijelölő rendszer</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2015.01.01.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8. bekezdés</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noProof/>
                <w:sz w:val="18"/>
              </w:rPr>
              <w:t>A gyülekezőhelyekre vonatkozó követelmények</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DB7D1E" w:rsidRDefault="005624E3" w:rsidP="00101A80">
            <w:pPr>
              <w:spacing w:before="100" w:after="100" w:line="240" w:lineRule="atLeast"/>
              <w:rPr>
                <w:rFonts w:cs="Arial"/>
                <w:sz w:val="18"/>
                <w:szCs w:val="18"/>
                <w:lang w:val="pt-PT"/>
              </w:rPr>
            </w:pPr>
            <w:r w:rsidRPr="00DB7D1E">
              <w:rPr>
                <w:sz w:val="18"/>
                <w:lang w:val="pt-PT"/>
              </w:rPr>
              <w:t>9. bekezdés a), b), c), e) pont és utolsó mondat</w:t>
            </w:r>
          </w:p>
        </w:tc>
        <w:tc>
          <w:tcPr>
            <w:tcW w:w="3296" w:type="dxa"/>
            <w:shd w:val="clear" w:color="auto" w:fill="auto"/>
          </w:tcPr>
          <w:p w:rsidR="005624E3" w:rsidRPr="00DB7D1E" w:rsidRDefault="005624E3" w:rsidP="00101A80">
            <w:pPr>
              <w:tabs>
                <w:tab w:val="left" w:pos="1080"/>
              </w:tabs>
              <w:spacing w:before="100" w:after="100" w:line="240" w:lineRule="atLeast"/>
              <w:rPr>
                <w:rFonts w:cs="Arial"/>
                <w:sz w:val="18"/>
                <w:szCs w:val="18"/>
                <w:lang w:val="pt-PT"/>
              </w:rPr>
            </w:pPr>
            <w:r w:rsidRPr="00DB7D1E">
              <w:rPr>
                <w:noProof/>
                <w:sz w:val="18"/>
                <w:lang w:val="pt-PT"/>
              </w:rPr>
              <w:t>Az utasok által használt területeken lévő lépcsőkre és fordulóikra vonatkozó követelmények</w:t>
            </w:r>
          </w:p>
        </w:tc>
        <w:tc>
          <w:tcPr>
            <w:tcW w:w="5387" w:type="dxa"/>
            <w:shd w:val="clear" w:color="auto" w:fill="auto"/>
          </w:tcPr>
          <w:p w:rsidR="005624E3" w:rsidRPr="00DB7D1E" w:rsidRDefault="005624E3" w:rsidP="00101A80">
            <w:pPr>
              <w:spacing w:before="100" w:after="100" w:line="240" w:lineRule="atLeast"/>
              <w:rPr>
                <w:rFonts w:cs="Arial"/>
                <w:sz w:val="18"/>
                <w:szCs w:val="18"/>
                <w:lang w:val="pt-PT"/>
              </w:rPr>
            </w:pPr>
            <w:r w:rsidRPr="00DB7D1E">
              <w:rPr>
                <w:sz w:val="18"/>
                <w:lang w:val="pt-PT"/>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DB7D1E" w:rsidRDefault="005624E3" w:rsidP="00101A80">
            <w:pPr>
              <w:spacing w:before="100" w:after="100" w:line="240" w:lineRule="atLeast"/>
              <w:rPr>
                <w:rFonts w:cs="Arial"/>
                <w:sz w:val="18"/>
                <w:szCs w:val="18"/>
                <w:lang w:val="fr-FR"/>
              </w:rPr>
            </w:pPr>
            <w:r w:rsidRPr="00DB7D1E">
              <w:rPr>
                <w:sz w:val="18"/>
                <w:lang w:val="fr-FR"/>
              </w:rPr>
              <w:t xml:space="preserve">10. bekezdés a) pont </w:t>
            </w:r>
            <w:r w:rsidRPr="00DB7D1E">
              <w:rPr>
                <w:rFonts w:cs="Arial"/>
                <w:sz w:val="18"/>
                <w:szCs w:val="18"/>
                <w:lang w:val="fr-FR"/>
              </w:rPr>
              <w:br/>
            </w:r>
            <w:r w:rsidRPr="00DB7D1E">
              <w:rPr>
                <w:sz w:val="18"/>
                <w:lang w:val="fr-FR"/>
              </w:rPr>
              <w:t>első mondat</w:t>
            </w:r>
          </w:p>
        </w:tc>
        <w:tc>
          <w:tcPr>
            <w:tcW w:w="3296" w:type="dxa"/>
            <w:shd w:val="clear" w:color="auto" w:fill="auto"/>
          </w:tcPr>
          <w:p w:rsidR="005624E3" w:rsidRPr="00C903F8" w:rsidRDefault="005624E3" w:rsidP="00101A80">
            <w:pPr>
              <w:tabs>
                <w:tab w:val="left" w:pos="1080"/>
              </w:tabs>
              <w:spacing w:before="100" w:after="100" w:line="240" w:lineRule="atLeast"/>
              <w:rPr>
                <w:rFonts w:cs="Arial"/>
                <w:sz w:val="18"/>
                <w:szCs w:val="18"/>
              </w:rPr>
            </w:pPr>
            <w:r>
              <w:rPr>
                <w:noProof/>
                <w:sz w:val="18"/>
              </w:rPr>
              <w:t>Az EN 711:1995 európai szabvány szerinti korlát</w:t>
            </w:r>
          </w:p>
        </w:tc>
        <w:tc>
          <w:tcPr>
            <w:tcW w:w="5387"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DB7D1E" w:rsidRDefault="005624E3" w:rsidP="00101A80">
            <w:pPr>
              <w:spacing w:before="100" w:after="100" w:line="240" w:lineRule="atLeast"/>
              <w:rPr>
                <w:rFonts w:cs="Arial"/>
                <w:sz w:val="18"/>
                <w:szCs w:val="18"/>
                <w:lang w:val="fr-FR"/>
              </w:rPr>
            </w:pPr>
            <w:r w:rsidRPr="00DB7D1E">
              <w:rPr>
                <w:sz w:val="18"/>
                <w:lang w:val="fr-FR"/>
              </w:rPr>
              <w:t>10. bekezdés a) pont második mondat</w:t>
            </w:r>
          </w:p>
        </w:tc>
        <w:tc>
          <w:tcPr>
            <w:tcW w:w="3296" w:type="dxa"/>
            <w:shd w:val="clear" w:color="auto" w:fill="auto"/>
          </w:tcPr>
          <w:p w:rsidR="005624E3" w:rsidRPr="00DB7D1E" w:rsidRDefault="005624E3" w:rsidP="00101A80">
            <w:pPr>
              <w:tabs>
                <w:tab w:val="left" w:pos="1080"/>
              </w:tabs>
              <w:spacing w:before="100" w:after="100" w:line="240" w:lineRule="atLeast"/>
              <w:rPr>
                <w:rFonts w:cs="Arial"/>
                <w:sz w:val="18"/>
                <w:szCs w:val="18"/>
                <w:lang w:val="fr-FR"/>
              </w:rPr>
            </w:pPr>
            <w:r w:rsidRPr="00DB7D1E">
              <w:rPr>
                <w:sz w:val="18"/>
                <w:lang w:val="fr-FR"/>
              </w:rPr>
              <w:t>A csökkent mozgásképességű személyek általi használatra szolgáló fedélzeti mellvédek és korlátok magassága</w:t>
            </w:r>
          </w:p>
        </w:tc>
        <w:tc>
          <w:tcPr>
            <w:tcW w:w="5387" w:type="dxa"/>
            <w:shd w:val="clear" w:color="auto" w:fill="auto"/>
          </w:tcPr>
          <w:p w:rsidR="005624E3" w:rsidRPr="00DB7D1E" w:rsidRDefault="005624E3" w:rsidP="00101A80">
            <w:pPr>
              <w:spacing w:before="100" w:after="100" w:line="240" w:lineRule="atLeast"/>
              <w:rPr>
                <w:rFonts w:cs="Arial"/>
                <w:sz w:val="18"/>
                <w:szCs w:val="18"/>
                <w:lang w:val="fr-FR"/>
              </w:rPr>
            </w:pPr>
            <w:r w:rsidRPr="00DB7D1E">
              <w:rPr>
                <w:sz w:val="18"/>
                <w:lang w:val="fr-FR"/>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2045.01.01.</w:t>
            </w:r>
          </w:p>
        </w:tc>
        <w:tc>
          <w:tcPr>
            <w:tcW w:w="1276" w:type="dxa"/>
          </w:tcPr>
          <w:p w:rsidR="005624E3" w:rsidRPr="00C903F8" w:rsidRDefault="005624E3" w:rsidP="00101A80">
            <w:pPr>
              <w:spacing w:before="100" w:after="10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10. bekezdés b) pont második mondat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Az általában csökkent mozgásképességű személyek be- és kiszállására szolgáló nyílások szabad szélessége</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13. bekezdés</w:t>
            </w:r>
          </w:p>
        </w:tc>
        <w:tc>
          <w:tcPr>
            <w:tcW w:w="3296" w:type="dxa"/>
            <w:shd w:val="clear" w:color="auto" w:fill="auto"/>
          </w:tcPr>
          <w:p w:rsidR="005624E3" w:rsidRPr="00C903F8" w:rsidRDefault="005624E3" w:rsidP="00101A80">
            <w:pPr>
              <w:tabs>
                <w:tab w:val="left" w:pos="1080"/>
              </w:tabs>
              <w:spacing w:before="160" w:after="160" w:line="240" w:lineRule="atLeast"/>
              <w:rPr>
                <w:rFonts w:cs="Arial"/>
                <w:sz w:val="18"/>
                <w:szCs w:val="18"/>
              </w:rPr>
            </w:pPr>
            <w:r>
              <w:rPr>
                <w:noProof/>
                <w:sz w:val="18"/>
              </w:rPr>
              <w:t>A csökkent mozgásképességű személyek általi használatra szolgáló átjárók és falak</w:t>
            </w:r>
          </w:p>
        </w:tc>
        <w:tc>
          <w:tcPr>
            <w:tcW w:w="5387"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2045.01.01.</w:t>
            </w:r>
          </w:p>
        </w:tc>
        <w:tc>
          <w:tcPr>
            <w:tcW w:w="1276" w:type="dxa"/>
          </w:tcPr>
          <w:p w:rsidR="005624E3" w:rsidRPr="00C903F8" w:rsidRDefault="005624E3" w:rsidP="00101A80">
            <w:pPr>
              <w:spacing w:before="16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14. bekezdés első mondat</w:t>
            </w:r>
          </w:p>
        </w:tc>
        <w:tc>
          <w:tcPr>
            <w:tcW w:w="3296" w:type="dxa"/>
            <w:shd w:val="clear" w:color="auto" w:fill="auto"/>
          </w:tcPr>
          <w:p w:rsidR="005624E3" w:rsidRPr="00C903F8" w:rsidRDefault="005624E3" w:rsidP="00101A80">
            <w:pPr>
              <w:tabs>
                <w:tab w:val="left" w:pos="1080"/>
              </w:tabs>
              <w:spacing w:before="160" w:after="160" w:line="240" w:lineRule="atLeast"/>
              <w:rPr>
                <w:rFonts w:cs="Arial"/>
                <w:sz w:val="18"/>
                <w:szCs w:val="18"/>
              </w:rPr>
            </w:pPr>
            <w:r>
              <w:rPr>
                <w:noProof/>
                <w:sz w:val="18"/>
              </w:rPr>
              <w:t>Az átjárókban lévő üvegajtók, üvegfalak és ablaktáblák kialakítása</w:t>
            </w:r>
          </w:p>
        </w:tc>
        <w:tc>
          <w:tcPr>
            <w:tcW w:w="5387"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2045.01.01.</w:t>
            </w:r>
          </w:p>
        </w:tc>
        <w:tc>
          <w:tcPr>
            <w:tcW w:w="1276" w:type="dxa"/>
          </w:tcPr>
          <w:p w:rsidR="005624E3" w:rsidRPr="00C903F8" w:rsidRDefault="005624E3" w:rsidP="00101A80">
            <w:pPr>
              <w:spacing w:before="16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15. bekezdés</w:t>
            </w:r>
          </w:p>
        </w:tc>
        <w:tc>
          <w:tcPr>
            <w:tcW w:w="3296" w:type="dxa"/>
            <w:shd w:val="clear" w:color="auto" w:fill="auto"/>
          </w:tcPr>
          <w:p w:rsidR="005624E3" w:rsidRPr="00C903F8" w:rsidRDefault="005624E3" w:rsidP="00101A80">
            <w:pPr>
              <w:tabs>
                <w:tab w:val="left" w:pos="1080"/>
              </w:tabs>
              <w:spacing w:before="160" w:after="160" w:line="240" w:lineRule="atLeast"/>
              <w:rPr>
                <w:rFonts w:cs="Arial"/>
                <w:sz w:val="18"/>
                <w:szCs w:val="18"/>
              </w:rPr>
            </w:pPr>
            <w:r>
              <w:rPr>
                <w:sz w:val="18"/>
              </w:rPr>
              <w:t>A teljesen vagy részben panorámaablakokból álló felépítményekre vonatkozó követelmények</w:t>
            </w:r>
          </w:p>
        </w:tc>
        <w:tc>
          <w:tcPr>
            <w:tcW w:w="5387"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2045.01.01.</w:t>
            </w:r>
          </w:p>
        </w:tc>
        <w:tc>
          <w:tcPr>
            <w:tcW w:w="1276" w:type="dxa"/>
          </w:tcPr>
          <w:p w:rsidR="005624E3" w:rsidRPr="00C903F8" w:rsidRDefault="005624E3" w:rsidP="00101A80">
            <w:pPr>
              <w:spacing w:before="16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17. bekezdés második mondat</w:t>
            </w:r>
          </w:p>
        </w:tc>
        <w:tc>
          <w:tcPr>
            <w:tcW w:w="3296" w:type="dxa"/>
            <w:shd w:val="clear" w:color="auto" w:fill="auto"/>
          </w:tcPr>
          <w:p w:rsidR="005624E3" w:rsidRPr="00C903F8" w:rsidRDefault="005624E3" w:rsidP="00101A80">
            <w:pPr>
              <w:tabs>
                <w:tab w:val="left" w:pos="1080"/>
              </w:tabs>
              <w:spacing w:before="160" w:after="160" w:line="240" w:lineRule="atLeast"/>
              <w:rPr>
                <w:rFonts w:cs="Arial"/>
                <w:sz w:val="18"/>
                <w:szCs w:val="18"/>
              </w:rPr>
            </w:pPr>
            <w:r>
              <w:rPr>
                <w:noProof/>
                <w:sz w:val="18"/>
              </w:rPr>
              <w:t>A csökkent mozgásképességű személyek általi használatra szolgáló WC-kre vonatkozó követelmények</w:t>
            </w:r>
          </w:p>
        </w:tc>
        <w:tc>
          <w:tcPr>
            <w:tcW w:w="5387"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2045.01.01.</w:t>
            </w:r>
          </w:p>
        </w:tc>
        <w:tc>
          <w:tcPr>
            <w:tcW w:w="1276" w:type="dxa"/>
          </w:tcPr>
          <w:p w:rsidR="005624E3" w:rsidRPr="00C903F8" w:rsidRDefault="005624E3" w:rsidP="00101A80">
            <w:pPr>
              <w:spacing w:before="16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18. bekezdés</w:t>
            </w:r>
          </w:p>
        </w:tc>
        <w:tc>
          <w:tcPr>
            <w:tcW w:w="3296" w:type="dxa"/>
            <w:shd w:val="clear" w:color="auto" w:fill="auto"/>
          </w:tcPr>
          <w:p w:rsidR="005624E3" w:rsidRPr="00C903F8" w:rsidRDefault="005624E3" w:rsidP="00101A80">
            <w:pPr>
              <w:tabs>
                <w:tab w:val="left" w:pos="1080"/>
              </w:tabs>
              <w:spacing w:before="160" w:after="160" w:line="240" w:lineRule="atLeast"/>
              <w:rPr>
                <w:rFonts w:cs="Arial"/>
                <w:sz w:val="18"/>
                <w:szCs w:val="18"/>
              </w:rPr>
            </w:pPr>
            <w:r>
              <w:rPr>
                <w:noProof/>
                <w:sz w:val="18"/>
              </w:rPr>
              <w:t>A nyitható ablakkal nem rendelkező kabinok csatlakoztatása a szellőzőrendszerhez</w:t>
            </w:r>
          </w:p>
        </w:tc>
        <w:tc>
          <w:tcPr>
            <w:tcW w:w="5387"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2045.01.01.</w:t>
            </w:r>
          </w:p>
        </w:tc>
        <w:tc>
          <w:tcPr>
            <w:tcW w:w="1276" w:type="dxa"/>
          </w:tcPr>
          <w:p w:rsidR="005624E3" w:rsidRPr="00C903F8" w:rsidRDefault="005624E3" w:rsidP="00101A80">
            <w:pPr>
              <w:spacing w:before="160" w:after="160" w:line="240" w:lineRule="atLeast"/>
              <w:rPr>
                <w:rFonts w:cs="Arial"/>
                <w:sz w:val="18"/>
                <w:szCs w:val="18"/>
              </w:rPr>
            </w:pPr>
            <w:r>
              <w:rPr>
                <w:sz w:val="18"/>
              </w:rPr>
              <w:t>2006.01.01.</w:t>
            </w:r>
          </w:p>
        </w:tc>
      </w:tr>
      <w:tr w:rsidR="005624E3" w:rsidRPr="00C903F8" w:rsidTr="00101A80">
        <w:trPr>
          <w:cantSplit/>
          <w:jc w:val="center"/>
        </w:trPr>
        <w:tc>
          <w:tcPr>
            <w:tcW w:w="1342" w:type="dxa"/>
            <w:tcBorders>
              <w:bottom w:val="single" w:sz="4" w:space="0" w:color="auto"/>
            </w:tcBorders>
            <w:shd w:val="clear" w:color="auto" w:fill="auto"/>
          </w:tcPr>
          <w:p w:rsidR="005624E3" w:rsidRPr="00C903F8" w:rsidRDefault="005624E3" w:rsidP="00101A80">
            <w:pPr>
              <w:spacing w:before="160" w:after="160" w:line="240" w:lineRule="atLeast"/>
              <w:rPr>
                <w:rFonts w:cs="Arial"/>
                <w:sz w:val="18"/>
                <w:szCs w:val="18"/>
              </w:rPr>
            </w:pPr>
            <w:r>
              <w:rPr>
                <w:sz w:val="18"/>
              </w:rPr>
              <w:t>19.07. cikk</w:t>
            </w:r>
            <w:r>
              <w:rPr>
                <w:color w:val="000000"/>
                <w:sz w:val="18"/>
                <w:vertAlign w:val="superscript"/>
              </w:rPr>
              <w:footnoteReference w:id="43"/>
            </w:r>
          </w:p>
        </w:tc>
        <w:tc>
          <w:tcPr>
            <w:tcW w:w="1458" w:type="dxa"/>
            <w:shd w:val="clear" w:color="auto" w:fill="auto"/>
          </w:tcPr>
          <w:p w:rsidR="005624E3" w:rsidRPr="00C903F8" w:rsidRDefault="005624E3" w:rsidP="00101A80">
            <w:pPr>
              <w:spacing w:before="160" w:after="16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160" w:after="160" w:line="240" w:lineRule="atLeast"/>
              <w:rPr>
                <w:rFonts w:cs="Arial"/>
                <w:sz w:val="18"/>
                <w:szCs w:val="18"/>
              </w:rPr>
            </w:pPr>
            <w:r>
              <w:rPr>
                <w:sz w:val="18"/>
              </w:rPr>
              <w:t>Külön géptér</w:t>
            </w:r>
          </w:p>
        </w:tc>
        <w:tc>
          <w:tcPr>
            <w:tcW w:w="5387"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2020.01.01.</w:t>
            </w:r>
          </w:p>
        </w:tc>
        <w:tc>
          <w:tcPr>
            <w:tcW w:w="1276" w:type="dxa"/>
          </w:tcPr>
          <w:p w:rsidR="005624E3" w:rsidRPr="00C903F8" w:rsidRDefault="005624E3" w:rsidP="00101A80">
            <w:pPr>
              <w:spacing w:before="16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r>
              <w:rPr>
                <w:sz w:val="18"/>
              </w:rPr>
              <w:t>19.08.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3. bekezdés a) pont</w:t>
            </w:r>
            <w:r>
              <w:rPr>
                <w:color w:val="000000"/>
                <w:sz w:val="18"/>
                <w:vertAlign w:val="superscript"/>
              </w:rPr>
              <w:footnoteReference w:id="44"/>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Azon riasztórendszerre vonatkozó követelmények, amely révén az utasok, a legénység tagjai és a kiszolgáló személyzet riasztja a hajó parancsnokságát és legénységét</w:t>
            </w:r>
          </w:p>
        </w:tc>
        <w:tc>
          <w:tcPr>
            <w:tcW w:w="5387" w:type="dxa"/>
            <w:shd w:val="clear" w:color="auto" w:fill="auto"/>
          </w:tcPr>
          <w:p w:rsidR="005624E3" w:rsidRPr="00C903F8" w:rsidRDefault="005624E3" w:rsidP="00101A80">
            <w:pPr>
              <w:spacing w:before="160" w:after="160" w:line="240" w:lineRule="atLeast"/>
              <w:rPr>
                <w:rFonts w:cs="Arial"/>
                <w:sz w:val="18"/>
                <w:szCs w:val="18"/>
              </w:rPr>
            </w:pPr>
            <w:r>
              <w:rPr>
                <w:sz w:val="18"/>
              </w:rPr>
              <w:t>Egynapos utazásra alkalmas hajók esetében a követelmény alkalmazandó: 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2020.01.01.</w:t>
            </w:r>
          </w:p>
        </w:tc>
        <w:tc>
          <w:tcPr>
            <w:tcW w:w="1276" w:type="dxa"/>
          </w:tcPr>
          <w:p w:rsidR="005624E3" w:rsidRPr="00C903F8" w:rsidRDefault="005624E3" w:rsidP="00101A80">
            <w:pPr>
              <w:spacing w:before="16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Tartósan rögzített fenékvíz-elvezető rendszer</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19.10.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A 10.16. cikk 3. bekezdése vonatkozik az átjárókra és az utasok szabadidős helyiségeire is</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Megfelelő vészvilágítás</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Vészhelyzeti energiaellátó berendezés</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noProof/>
                <w:sz w:val="18"/>
              </w:rPr>
              <w:t>Egynapos utazásra alkalmas, legfeljebb 25 m vízvonal-hosszúságú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hajók esetében a rendelkezés alkalmazandó: 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4. bekezdés f) pont</w:t>
            </w:r>
          </w:p>
        </w:tc>
        <w:tc>
          <w:tcPr>
            <w:tcW w:w="3296" w:type="dxa"/>
            <w:shd w:val="clear" w:color="auto" w:fill="auto"/>
          </w:tcPr>
          <w:p w:rsidR="005624E3" w:rsidRPr="00C903F8" w:rsidRDefault="005624E3" w:rsidP="00101A80">
            <w:pPr>
              <w:tabs>
                <w:tab w:val="left" w:pos="1080"/>
              </w:tabs>
              <w:spacing w:before="80" w:after="80" w:line="240" w:lineRule="atLeast"/>
              <w:rPr>
                <w:rFonts w:cs="Arial"/>
                <w:sz w:val="18"/>
                <w:szCs w:val="18"/>
              </w:rPr>
            </w:pPr>
            <w:r>
              <w:rPr>
                <w:noProof/>
                <w:sz w:val="18"/>
              </w:rPr>
              <w:t>A 13.02. cikk 2. bekezdésének i) pontja szerinti keresőfények vészüzemi áramellátása</w:t>
            </w:r>
          </w:p>
        </w:tc>
        <w:tc>
          <w:tcPr>
            <w:tcW w:w="5387"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2015.01.01.</w:t>
            </w:r>
          </w:p>
        </w:tc>
        <w:tc>
          <w:tcPr>
            <w:tcW w:w="1276" w:type="dxa"/>
          </w:tcPr>
          <w:p w:rsidR="005624E3" w:rsidRPr="00C903F8" w:rsidRDefault="005624E3" w:rsidP="00101A80">
            <w:pPr>
              <w:spacing w:before="80" w:after="8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4. bekezdés i) pont</w:t>
            </w:r>
          </w:p>
        </w:tc>
        <w:tc>
          <w:tcPr>
            <w:tcW w:w="3296" w:type="dxa"/>
            <w:shd w:val="clear" w:color="auto" w:fill="auto"/>
          </w:tcPr>
          <w:p w:rsidR="005624E3" w:rsidRPr="00C903F8" w:rsidRDefault="005624E3" w:rsidP="00101A80">
            <w:pPr>
              <w:tabs>
                <w:tab w:val="left" w:pos="1080"/>
              </w:tabs>
              <w:spacing w:before="80" w:after="80" w:line="240" w:lineRule="atLeast"/>
              <w:rPr>
                <w:rFonts w:cs="Arial"/>
                <w:sz w:val="18"/>
                <w:szCs w:val="18"/>
              </w:rPr>
            </w:pPr>
            <w:r>
              <w:rPr>
                <w:noProof/>
                <w:sz w:val="18"/>
              </w:rPr>
              <w:t>A 19.06. cikk 9. bekezdésének második mondata szerinti liftek és emelőszerkezetek vészüzemi áramellátása</w:t>
            </w:r>
          </w:p>
        </w:tc>
        <w:tc>
          <w:tcPr>
            <w:tcW w:w="5387"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2015.01.01.</w:t>
            </w:r>
          </w:p>
        </w:tc>
        <w:tc>
          <w:tcPr>
            <w:tcW w:w="1276" w:type="dxa"/>
          </w:tcPr>
          <w:p w:rsidR="005624E3" w:rsidRPr="00C903F8" w:rsidRDefault="005624E3" w:rsidP="00101A80">
            <w:pPr>
              <w:spacing w:before="80" w:after="8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6. bekezdés első mondat</w:t>
            </w:r>
          </w:p>
        </w:tc>
        <w:tc>
          <w:tcPr>
            <w:tcW w:w="3296" w:type="dxa"/>
            <w:shd w:val="clear" w:color="auto" w:fill="auto"/>
          </w:tcPr>
          <w:p w:rsidR="005624E3" w:rsidRPr="00C903F8" w:rsidRDefault="005624E3" w:rsidP="00101A80">
            <w:pPr>
              <w:tabs>
                <w:tab w:val="left" w:pos="1080"/>
              </w:tabs>
              <w:spacing w:before="80" w:after="80" w:line="240" w:lineRule="atLeast"/>
              <w:rPr>
                <w:rFonts w:cs="Arial"/>
                <w:sz w:val="18"/>
                <w:szCs w:val="18"/>
              </w:rPr>
            </w:pPr>
            <w:r>
              <w:rPr>
                <w:noProof/>
                <w:sz w:val="18"/>
              </w:rPr>
              <w:t>A 19.11. cikk 2. bekezdése szerinti térelválasztó elemek</w:t>
            </w:r>
          </w:p>
        </w:tc>
        <w:tc>
          <w:tcPr>
            <w:tcW w:w="5387"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2015.01.01.</w:t>
            </w:r>
          </w:p>
        </w:tc>
        <w:tc>
          <w:tcPr>
            <w:tcW w:w="1276" w:type="dxa"/>
          </w:tcPr>
          <w:p w:rsidR="005624E3" w:rsidRPr="00C903F8" w:rsidRDefault="005624E3" w:rsidP="00101A80">
            <w:pPr>
              <w:spacing w:before="80" w:after="8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6. bekezdés második és harmadik mondat</w:t>
            </w:r>
          </w:p>
        </w:tc>
        <w:tc>
          <w:tcPr>
            <w:tcW w:w="3296" w:type="dxa"/>
            <w:shd w:val="clear" w:color="auto" w:fill="auto"/>
          </w:tcPr>
          <w:p w:rsidR="005624E3" w:rsidRPr="00C903F8" w:rsidRDefault="005624E3" w:rsidP="00101A80">
            <w:pPr>
              <w:tabs>
                <w:tab w:val="left" w:pos="1080"/>
              </w:tabs>
              <w:spacing w:before="80" w:after="80" w:line="240" w:lineRule="atLeast"/>
              <w:rPr>
                <w:rFonts w:cs="Arial"/>
                <w:sz w:val="18"/>
                <w:szCs w:val="18"/>
              </w:rPr>
            </w:pPr>
            <w:r>
              <w:rPr>
                <w:noProof/>
                <w:sz w:val="18"/>
              </w:rPr>
              <w:t>Kábelek felszerelése</w:t>
            </w:r>
          </w:p>
        </w:tc>
        <w:tc>
          <w:tcPr>
            <w:tcW w:w="5387"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2015.01.01.</w:t>
            </w:r>
          </w:p>
        </w:tc>
        <w:tc>
          <w:tcPr>
            <w:tcW w:w="1276" w:type="dxa"/>
          </w:tcPr>
          <w:p w:rsidR="005624E3" w:rsidRPr="00C903F8" w:rsidRDefault="005624E3" w:rsidP="00101A80">
            <w:pPr>
              <w:spacing w:before="80" w:after="8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6. bekezdés negyedik mondat</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Vészhelyzeti energiaellátó berendezés a biztonsági peremvonal felett történő elhelyezése</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trHeight w:val="347"/>
          <w:jc w:val="center"/>
        </w:trPr>
        <w:tc>
          <w:tcPr>
            <w:tcW w:w="1342" w:type="dxa"/>
            <w:vMerge w:val="restart"/>
            <w:shd w:val="clear" w:color="auto" w:fill="auto"/>
          </w:tcPr>
          <w:p w:rsidR="005624E3" w:rsidRPr="00C903F8" w:rsidRDefault="005624E3" w:rsidP="00101A80">
            <w:pPr>
              <w:spacing w:before="60" w:after="60" w:line="240" w:lineRule="atLeast"/>
              <w:rPr>
                <w:rFonts w:cs="Arial"/>
                <w:sz w:val="18"/>
                <w:szCs w:val="18"/>
              </w:rPr>
            </w:pPr>
            <w:r>
              <w:rPr>
                <w:sz w:val="18"/>
              </w:rPr>
              <w:t>19.11. cikk</w:t>
            </w:r>
          </w:p>
        </w:tc>
        <w:tc>
          <w:tcPr>
            <w:tcW w:w="1458" w:type="dxa"/>
            <w:vMerge w:val="restart"/>
            <w:shd w:val="clear" w:color="auto" w:fill="auto"/>
          </w:tcPr>
          <w:p w:rsidR="005624E3" w:rsidRPr="00C903F8" w:rsidRDefault="005624E3" w:rsidP="00101A80">
            <w:pPr>
              <w:spacing w:before="60" w:after="60" w:line="240" w:lineRule="atLeast"/>
              <w:rPr>
                <w:rFonts w:cs="Arial"/>
                <w:sz w:val="18"/>
                <w:szCs w:val="18"/>
              </w:rPr>
            </w:pPr>
            <w:r>
              <w:rPr>
                <w:sz w:val="18"/>
              </w:rPr>
              <w:t>1. bekezdés</w:t>
            </w:r>
          </w:p>
        </w:tc>
        <w:tc>
          <w:tcPr>
            <w:tcW w:w="3296" w:type="dxa"/>
            <w:vMerge w:val="restart"/>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Az anyagok és szerkezeti elemek tűzvédelmi megfelelősége</w:t>
            </w:r>
          </w:p>
        </w:tc>
        <w:tc>
          <w:tcPr>
            <w:tcW w:w="5387" w:type="dxa"/>
            <w:shd w:val="clear" w:color="auto" w:fill="auto"/>
          </w:tcPr>
          <w:p w:rsidR="005624E3" w:rsidRPr="001E07EB"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6F55F5" w:rsidTr="00101A80">
        <w:trPr>
          <w:cantSplit/>
          <w:trHeight w:val="346"/>
          <w:jc w:val="center"/>
        </w:trPr>
        <w:tc>
          <w:tcPr>
            <w:tcW w:w="1342" w:type="dxa"/>
            <w:vMerge/>
            <w:tcBorders>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vMerge/>
            <w:shd w:val="clear" w:color="auto" w:fill="auto"/>
          </w:tcPr>
          <w:p w:rsidR="005624E3" w:rsidRPr="00C903F8" w:rsidRDefault="005624E3" w:rsidP="00101A80">
            <w:pPr>
              <w:spacing w:before="60" w:after="60" w:line="240" w:lineRule="atLeast"/>
              <w:rPr>
                <w:rFonts w:cs="Arial"/>
                <w:sz w:val="18"/>
                <w:szCs w:val="18"/>
              </w:rPr>
            </w:pPr>
          </w:p>
        </w:tc>
        <w:tc>
          <w:tcPr>
            <w:tcW w:w="3296" w:type="dxa"/>
            <w:vMerge/>
            <w:shd w:val="clear" w:color="auto" w:fill="auto"/>
          </w:tcPr>
          <w:p w:rsidR="005624E3" w:rsidRPr="00C903F8" w:rsidRDefault="005624E3" w:rsidP="00101A80">
            <w:pPr>
              <w:tabs>
                <w:tab w:val="left" w:pos="1080"/>
              </w:tabs>
              <w:spacing w:before="60" w:after="60" w:line="240" w:lineRule="atLeast"/>
              <w:rPr>
                <w:rFonts w:cs="Arial"/>
                <w:noProof/>
                <w:sz w:val="18"/>
                <w:szCs w:val="18"/>
              </w:rPr>
            </w:pPr>
          </w:p>
        </w:tc>
        <w:tc>
          <w:tcPr>
            <w:tcW w:w="5387" w:type="dxa"/>
            <w:shd w:val="clear" w:color="auto" w:fill="auto"/>
          </w:tcPr>
          <w:p w:rsidR="005624E3" w:rsidRPr="00600BEE" w:rsidRDefault="005624E3" w:rsidP="00101A80">
            <w:pPr>
              <w:spacing w:before="60" w:after="60" w:line="240" w:lineRule="atLeast"/>
              <w:rPr>
                <w:rFonts w:cs="Arial"/>
                <w:sz w:val="18"/>
                <w:szCs w:val="18"/>
              </w:rPr>
            </w:pPr>
            <w:r>
              <w:rPr>
                <w:sz w:val="18"/>
              </w:rPr>
              <w:t>A tűzállósági vizsgálati eljárások alkalmazására vonatkozó – az MSC.61(67) határozattal</w:t>
            </w:r>
            <w:r>
              <w:rPr>
                <w:rStyle w:val="FootnoteReference"/>
                <w:sz w:val="18"/>
              </w:rPr>
              <w:footnoteReference w:id="45"/>
            </w:r>
            <w:r>
              <w:rPr>
                <w:sz w:val="18"/>
              </w:rPr>
              <w:t xml:space="preserve"> elfogadott – nemzetközi szabályzatnak (FTP-szabályzat) megfelelően jóváhagyott anyagok és szerkezeti elemek: N.R.C.</w:t>
            </w:r>
          </w:p>
        </w:tc>
        <w:tc>
          <w:tcPr>
            <w:tcW w:w="1276" w:type="dxa"/>
            <w:shd w:val="clear" w:color="auto" w:fill="auto"/>
          </w:tcPr>
          <w:p w:rsidR="005624E3" w:rsidRPr="00600BEE" w:rsidRDefault="005624E3" w:rsidP="00101A80">
            <w:pPr>
              <w:spacing w:before="60" w:after="60" w:line="240" w:lineRule="atLeast"/>
              <w:rPr>
                <w:rFonts w:cs="Arial"/>
                <w:sz w:val="18"/>
                <w:szCs w:val="18"/>
              </w:rPr>
            </w:pPr>
          </w:p>
        </w:tc>
        <w:tc>
          <w:tcPr>
            <w:tcW w:w="1276" w:type="dxa"/>
          </w:tcPr>
          <w:p w:rsidR="005624E3" w:rsidRPr="00600BEE" w:rsidRDefault="005624E3" w:rsidP="00101A80">
            <w:pPr>
              <w:spacing w:before="60" w:after="60" w:line="240" w:lineRule="atLeast"/>
              <w:rPr>
                <w:rFonts w:cs="Arial"/>
                <w:sz w:val="18"/>
                <w:szCs w:val="18"/>
              </w:rPr>
            </w:pPr>
            <w:r>
              <w:rPr>
                <w:sz w:val="18"/>
              </w:rPr>
              <w:t>2018.10.07.</w:t>
            </w:r>
          </w:p>
        </w:tc>
      </w:tr>
      <w:tr w:rsidR="005624E3" w:rsidRPr="00C903F8" w:rsidTr="00101A80">
        <w:trPr>
          <w:cantSplit/>
          <w:jc w:val="center"/>
        </w:trPr>
        <w:tc>
          <w:tcPr>
            <w:tcW w:w="1342" w:type="dxa"/>
            <w:tcBorders>
              <w:top w:val="nil"/>
              <w:bottom w:val="nil"/>
            </w:tcBorders>
            <w:shd w:val="clear" w:color="auto" w:fill="auto"/>
          </w:tcPr>
          <w:p w:rsidR="005624E3" w:rsidRPr="006F55F5"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térelválasztó elemek kialakítása</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festékeknek, lakkoknak és egyéb felületkezelő termékeknek, valamint a gépterek és raktárhelyiségek kivételével a helyiségek fedélzetborításának égésgátlóknak kell lenniük</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2015.01.01.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társalgók mennyezetének és falburkolatának éghetetlen anyagokból kell készülniük</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gyülekezőhelyeken a bútoroknak és szerelékeknek éghetetlen anyagból kell készülniük</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Szabályzat szerinti vizsgálat</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Szigetelőanyagok a társalgókban</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9. bekezdés a), b), c) pont második mondat és d) pont</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 térelválasztó elemeken lévő ajtókra vonatkozó követelmények</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11.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sz w:val="18"/>
              </w:rPr>
              <w:t>Térelválasztó elemek</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13. bekezdés</w:t>
            </w:r>
          </w:p>
        </w:tc>
        <w:tc>
          <w:tcPr>
            <w:tcW w:w="3296" w:type="dxa"/>
            <w:shd w:val="clear" w:color="auto" w:fill="auto"/>
          </w:tcPr>
          <w:p w:rsidR="005624E3" w:rsidRPr="00C903F8" w:rsidRDefault="005624E3" w:rsidP="00101A80">
            <w:pPr>
              <w:tabs>
                <w:tab w:val="left" w:pos="1080"/>
              </w:tabs>
              <w:spacing w:before="120" w:after="120" w:line="240" w:lineRule="atLeast"/>
              <w:rPr>
                <w:rFonts w:cs="Arial"/>
                <w:sz w:val="18"/>
                <w:szCs w:val="18"/>
              </w:rPr>
            </w:pPr>
            <w:r>
              <w:rPr>
                <w:noProof/>
                <w:sz w:val="18"/>
              </w:rPr>
              <w:t>Acélból vagy azzal egyenértékű más éghetetlen anyagból készült lépcsők</w:t>
            </w:r>
          </w:p>
        </w:tc>
        <w:tc>
          <w:tcPr>
            <w:tcW w:w="5387"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2045.01.01.</w:t>
            </w:r>
          </w:p>
        </w:tc>
        <w:tc>
          <w:tcPr>
            <w:tcW w:w="1276" w:type="dxa"/>
          </w:tcPr>
          <w:p w:rsidR="005624E3" w:rsidRPr="00C903F8" w:rsidRDefault="005624E3" w:rsidP="00101A80">
            <w:pPr>
              <w:spacing w:before="120" w:after="12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40" w:after="160" w:line="240" w:lineRule="atLeast"/>
              <w:rPr>
                <w:rFonts w:cs="Arial"/>
                <w:sz w:val="18"/>
                <w:szCs w:val="18"/>
              </w:rPr>
            </w:pPr>
          </w:p>
        </w:tc>
        <w:tc>
          <w:tcPr>
            <w:tcW w:w="1458" w:type="dxa"/>
            <w:shd w:val="clear" w:color="auto" w:fill="auto"/>
          </w:tcPr>
          <w:p w:rsidR="005624E3" w:rsidRPr="00C903F8" w:rsidRDefault="005624E3" w:rsidP="00101A80">
            <w:pPr>
              <w:spacing w:before="140" w:after="160" w:line="240" w:lineRule="atLeast"/>
              <w:rPr>
                <w:rFonts w:cs="Arial"/>
                <w:sz w:val="18"/>
                <w:szCs w:val="18"/>
              </w:rPr>
            </w:pPr>
            <w:r>
              <w:rPr>
                <w:sz w:val="18"/>
              </w:rPr>
              <w:t>14. bekezdés</w:t>
            </w:r>
          </w:p>
        </w:tc>
        <w:tc>
          <w:tcPr>
            <w:tcW w:w="3296" w:type="dxa"/>
            <w:shd w:val="clear" w:color="auto" w:fill="auto"/>
          </w:tcPr>
          <w:p w:rsidR="005624E3" w:rsidRPr="00C903F8" w:rsidRDefault="005624E3" w:rsidP="00101A80">
            <w:pPr>
              <w:tabs>
                <w:tab w:val="left" w:pos="1080"/>
              </w:tabs>
              <w:spacing w:before="140" w:after="160" w:line="240" w:lineRule="atLeast"/>
              <w:rPr>
                <w:rFonts w:cs="Arial"/>
                <w:sz w:val="18"/>
                <w:szCs w:val="18"/>
              </w:rPr>
            </w:pPr>
            <w:r>
              <w:rPr>
                <w:sz w:val="18"/>
              </w:rPr>
              <w:t>A belső lépcsőket minden szinten a 2. bekezdés szerinti falakkal kell körülvenni</w:t>
            </w:r>
          </w:p>
        </w:tc>
        <w:tc>
          <w:tcPr>
            <w:tcW w:w="5387" w:type="dxa"/>
            <w:shd w:val="clear" w:color="auto" w:fill="auto"/>
          </w:tcPr>
          <w:p w:rsidR="005624E3" w:rsidRPr="00C903F8" w:rsidRDefault="005624E3" w:rsidP="00101A80">
            <w:pPr>
              <w:spacing w:before="14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60" w:line="240" w:lineRule="atLeast"/>
              <w:rPr>
                <w:rFonts w:cs="Arial"/>
                <w:sz w:val="18"/>
                <w:szCs w:val="18"/>
              </w:rPr>
            </w:pPr>
            <w:r>
              <w:rPr>
                <w:sz w:val="18"/>
              </w:rPr>
              <w:t>2045.01.01.</w:t>
            </w:r>
          </w:p>
        </w:tc>
        <w:tc>
          <w:tcPr>
            <w:tcW w:w="1276" w:type="dxa"/>
          </w:tcPr>
          <w:p w:rsidR="005624E3" w:rsidRPr="00C903F8" w:rsidRDefault="005624E3" w:rsidP="00101A80">
            <w:pPr>
              <w:spacing w:before="14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40" w:after="160" w:line="240" w:lineRule="atLeast"/>
              <w:rPr>
                <w:rFonts w:cs="Arial"/>
                <w:sz w:val="18"/>
                <w:szCs w:val="18"/>
              </w:rPr>
            </w:pPr>
          </w:p>
        </w:tc>
        <w:tc>
          <w:tcPr>
            <w:tcW w:w="1458" w:type="dxa"/>
            <w:shd w:val="clear" w:color="auto" w:fill="auto"/>
          </w:tcPr>
          <w:p w:rsidR="005624E3" w:rsidRPr="00C903F8" w:rsidRDefault="005624E3" w:rsidP="00101A80">
            <w:pPr>
              <w:spacing w:before="140" w:after="160" w:line="240" w:lineRule="atLeast"/>
              <w:rPr>
                <w:rFonts w:cs="Arial"/>
                <w:sz w:val="18"/>
                <w:szCs w:val="18"/>
              </w:rPr>
            </w:pPr>
            <w:r>
              <w:rPr>
                <w:sz w:val="18"/>
              </w:rPr>
              <w:t>15. bekezdés</w:t>
            </w:r>
          </w:p>
        </w:tc>
        <w:tc>
          <w:tcPr>
            <w:tcW w:w="3296" w:type="dxa"/>
            <w:shd w:val="clear" w:color="auto" w:fill="auto"/>
          </w:tcPr>
          <w:p w:rsidR="005624E3" w:rsidRPr="00C903F8" w:rsidRDefault="005624E3" w:rsidP="00101A80">
            <w:pPr>
              <w:tabs>
                <w:tab w:val="left" w:pos="1080"/>
              </w:tabs>
              <w:spacing w:before="140" w:after="160" w:line="240" w:lineRule="atLeast"/>
              <w:rPr>
                <w:rFonts w:cs="Arial"/>
                <w:sz w:val="18"/>
                <w:szCs w:val="18"/>
              </w:rPr>
            </w:pPr>
            <w:r>
              <w:rPr>
                <w:noProof/>
                <w:sz w:val="18"/>
              </w:rPr>
              <w:t>Szellőzőrendszerek és levegőellátást biztosító rendszerek</w:t>
            </w:r>
          </w:p>
        </w:tc>
        <w:tc>
          <w:tcPr>
            <w:tcW w:w="5387" w:type="dxa"/>
            <w:shd w:val="clear" w:color="auto" w:fill="auto"/>
          </w:tcPr>
          <w:p w:rsidR="005624E3" w:rsidRPr="00C903F8" w:rsidRDefault="005624E3" w:rsidP="00101A80">
            <w:pPr>
              <w:spacing w:before="14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60" w:line="240" w:lineRule="atLeast"/>
              <w:rPr>
                <w:rFonts w:cs="Arial"/>
                <w:sz w:val="18"/>
                <w:szCs w:val="18"/>
              </w:rPr>
            </w:pPr>
            <w:r>
              <w:rPr>
                <w:sz w:val="18"/>
              </w:rPr>
              <w:t>2045.01.01.</w:t>
            </w:r>
          </w:p>
        </w:tc>
        <w:tc>
          <w:tcPr>
            <w:tcW w:w="1276" w:type="dxa"/>
          </w:tcPr>
          <w:p w:rsidR="005624E3" w:rsidRPr="00C903F8" w:rsidRDefault="005624E3" w:rsidP="00101A80">
            <w:pPr>
              <w:spacing w:before="14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40" w:after="160" w:line="240" w:lineRule="atLeast"/>
              <w:rPr>
                <w:rFonts w:cs="Arial"/>
                <w:sz w:val="18"/>
                <w:szCs w:val="18"/>
              </w:rPr>
            </w:pPr>
          </w:p>
        </w:tc>
        <w:tc>
          <w:tcPr>
            <w:tcW w:w="1458" w:type="dxa"/>
            <w:shd w:val="clear" w:color="auto" w:fill="auto"/>
          </w:tcPr>
          <w:p w:rsidR="005624E3" w:rsidRPr="00C903F8" w:rsidRDefault="005624E3" w:rsidP="00101A80">
            <w:pPr>
              <w:spacing w:before="140" w:after="160" w:line="240" w:lineRule="atLeast"/>
              <w:rPr>
                <w:rFonts w:cs="Arial"/>
                <w:sz w:val="18"/>
                <w:szCs w:val="18"/>
              </w:rPr>
            </w:pPr>
            <w:r>
              <w:rPr>
                <w:sz w:val="18"/>
              </w:rPr>
              <w:t>16. bekezdés</w:t>
            </w:r>
          </w:p>
        </w:tc>
        <w:tc>
          <w:tcPr>
            <w:tcW w:w="3296" w:type="dxa"/>
            <w:shd w:val="clear" w:color="auto" w:fill="auto"/>
          </w:tcPr>
          <w:p w:rsidR="005624E3" w:rsidRPr="00C903F8" w:rsidRDefault="005624E3" w:rsidP="00101A80">
            <w:pPr>
              <w:tabs>
                <w:tab w:val="left" w:pos="1080"/>
              </w:tabs>
              <w:spacing w:before="140" w:after="160" w:line="240" w:lineRule="atLeast"/>
              <w:rPr>
                <w:rFonts w:cs="Arial"/>
                <w:sz w:val="18"/>
                <w:szCs w:val="18"/>
              </w:rPr>
            </w:pPr>
            <w:r>
              <w:rPr>
                <w:noProof/>
                <w:sz w:val="18"/>
              </w:rPr>
              <w:t>Szellőzőrendszerek és elszívókészülékkel rendelkező tűzhelyek a konyhákban</w:t>
            </w:r>
          </w:p>
        </w:tc>
        <w:tc>
          <w:tcPr>
            <w:tcW w:w="5387" w:type="dxa"/>
            <w:shd w:val="clear" w:color="auto" w:fill="auto"/>
          </w:tcPr>
          <w:p w:rsidR="005624E3" w:rsidRPr="00C903F8" w:rsidRDefault="005624E3" w:rsidP="00101A80">
            <w:pPr>
              <w:spacing w:before="14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60" w:line="240" w:lineRule="atLeast"/>
              <w:rPr>
                <w:rFonts w:cs="Arial"/>
                <w:sz w:val="18"/>
                <w:szCs w:val="18"/>
              </w:rPr>
            </w:pPr>
            <w:r>
              <w:rPr>
                <w:sz w:val="18"/>
              </w:rPr>
              <w:t>2045.01.01.</w:t>
            </w:r>
          </w:p>
        </w:tc>
        <w:tc>
          <w:tcPr>
            <w:tcW w:w="1276" w:type="dxa"/>
          </w:tcPr>
          <w:p w:rsidR="005624E3" w:rsidRPr="00C903F8" w:rsidRDefault="005624E3" w:rsidP="00101A80">
            <w:pPr>
              <w:spacing w:before="14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40" w:after="160" w:line="240" w:lineRule="atLeast"/>
              <w:rPr>
                <w:rFonts w:cs="Arial"/>
                <w:sz w:val="18"/>
                <w:szCs w:val="18"/>
              </w:rPr>
            </w:pPr>
          </w:p>
        </w:tc>
        <w:tc>
          <w:tcPr>
            <w:tcW w:w="1458" w:type="dxa"/>
            <w:shd w:val="clear" w:color="auto" w:fill="auto"/>
          </w:tcPr>
          <w:p w:rsidR="005624E3" w:rsidRPr="00C903F8" w:rsidRDefault="005624E3" w:rsidP="00101A80">
            <w:pPr>
              <w:spacing w:before="140" w:after="160" w:line="240" w:lineRule="atLeast"/>
              <w:rPr>
                <w:rFonts w:cs="Arial"/>
                <w:sz w:val="18"/>
                <w:szCs w:val="18"/>
              </w:rPr>
            </w:pPr>
            <w:r>
              <w:rPr>
                <w:sz w:val="18"/>
              </w:rPr>
              <w:t>17. bekezdés</w:t>
            </w:r>
          </w:p>
        </w:tc>
        <w:tc>
          <w:tcPr>
            <w:tcW w:w="3296" w:type="dxa"/>
            <w:shd w:val="clear" w:color="auto" w:fill="auto"/>
          </w:tcPr>
          <w:p w:rsidR="005624E3" w:rsidRPr="00C903F8" w:rsidRDefault="005624E3" w:rsidP="00101A80">
            <w:pPr>
              <w:tabs>
                <w:tab w:val="left" w:pos="1080"/>
              </w:tabs>
              <w:spacing w:before="140" w:after="160" w:line="240" w:lineRule="atLeast"/>
              <w:rPr>
                <w:rFonts w:cs="Arial"/>
                <w:sz w:val="18"/>
                <w:szCs w:val="18"/>
              </w:rPr>
            </w:pPr>
            <w:r>
              <w:rPr>
                <w:noProof/>
                <w:sz w:val="18"/>
              </w:rPr>
              <w:t>Vezérlőközpontok, lépcsőházak, gyülekezőhelyek és füstelvezető rendszerek</w:t>
            </w:r>
          </w:p>
        </w:tc>
        <w:tc>
          <w:tcPr>
            <w:tcW w:w="5387" w:type="dxa"/>
            <w:shd w:val="clear" w:color="auto" w:fill="auto"/>
          </w:tcPr>
          <w:p w:rsidR="005624E3" w:rsidRPr="00C903F8" w:rsidRDefault="005624E3" w:rsidP="00101A80">
            <w:pPr>
              <w:spacing w:before="14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60" w:line="240" w:lineRule="atLeast"/>
              <w:rPr>
                <w:rFonts w:cs="Arial"/>
                <w:sz w:val="18"/>
                <w:szCs w:val="18"/>
              </w:rPr>
            </w:pPr>
            <w:r>
              <w:rPr>
                <w:sz w:val="18"/>
              </w:rPr>
              <w:t>2045.01.01.</w:t>
            </w:r>
          </w:p>
        </w:tc>
        <w:tc>
          <w:tcPr>
            <w:tcW w:w="1276" w:type="dxa"/>
          </w:tcPr>
          <w:p w:rsidR="005624E3" w:rsidRPr="00C903F8" w:rsidRDefault="005624E3" w:rsidP="00101A80">
            <w:pPr>
              <w:spacing w:before="14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single" w:sz="4" w:space="0" w:color="auto"/>
              <w:bottom w:val="nil"/>
            </w:tcBorders>
            <w:shd w:val="clear" w:color="auto" w:fill="auto"/>
          </w:tcPr>
          <w:p w:rsidR="005624E3" w:rsidRPr="00C903F8" w:rsidRDefault="005624E3" w:rsidP="00101A80">
            <w:pPr>
              <w:spacing w:before="140" w:after="160" w:line="240" w:lineRule="atLeast"/>
              <w:rPr>
                <w:rFonts w:cs="Arial"/>
                <w:sz w:val="18"/>
                <w:szCs w:val="18"/>
              </w:rPr>
            </w:pPr>
            <w:r>
              <w:rPr>
                <w:sz w:val="18"/>
              </w:rPr>
              <w:t>19.12. cikk</w:t>
            </w:r>
          </w:p>
        </w:tc>
        <w:tc>
          <w:tcPr>
            <w:tcW w:w="1458" w:type="dxa"/>
            <w:tcBorders>
              <w:bottom w:val="single" w:sz="4" w:space="0" w:color="auto"/>
            </w:tcBorders>
            <w:shd w:val="clear" w:color="auto" w:fill="auto"/>
          </w:tcPr>
          <w:p w:rsidR="005624E3" w:rsidRPr="00C903F8" w:rsidRDefault="005624E3" w:rsidP="00101A80">
            <w:pPr>
              <w:spacing w:before="140" w:after="160" w:line="240" w:lineRule="atLeast"/>
              <w:rPr>
                <w:rFonts w:cs="Arial"/>
                <w:sz w:val="18"/>
                <w:szCs w:val="18"/>
              </w:rPr>
            </w:pPr>
            <w:r>
              <w:rPr>
                <w:sz w:val="18"/>
              </w:rPr>
              <w:t>8. bekezdés d) pont</w:t>
            </w:r>
          </w:p>
        </w:tc>
        <w:tc>
          <w:tcPr>
            <w:tcW w:w="3296" w:type="dxa"/>
            <w:tcBorders>
              <w:bottom w:val="single" w:sz="4" w:space="0" w:color="auto"/>
            </w:tcBorders>
            <w:shd w:val="clear" w:color="auto" w:fill="auto"/>
          </w:tcPr>
          <w:p w:rsidR="005624E3" w:rsidRPr="00C903F8" w:rsidRDefault="005624E3" w:rsidP="00101A80">
            <w:pPr>
              <w:tabs>
                <w:tab w:val="left" w:pos="1080"/>
              </w:tabs>
              <w:spacing w:before="140" w:after="160" w:line="240" w:lineRule="atLeast"/>
              <w:rPr>
                <w:rFonts w:cs="Arial"/>
                <w:sz w:val="18"/>
                <w:szCs w:val="18"/>
              </w:rPr>
            </w:pPr>
            <w:r>
              <w:rPr>
                <w:sz w:val="18"/>
              </w:rPr>
              <w:t>A tűzoltószivattyúk felszerelése</w:t>
            </w:r>
          </w:p>
        </w:tc>
        <w:tc>
          <w:tcPr>
            <w:tcW w:w="5387" w:type="dxa"/>
            <w:shd w:val="clear" w:color="auto" w:fill="auto"/>
          </w:tcPr>
          <w:p w:rsidR="005624E3" w:rsidRPr="00C903F8" w:rsidRDefault="005624E3" w:rsidP="00101A80">
            <w:pPr>
              <w:spacing w:before="14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60" w:line="240" w:lineRule="atLeast"/>
              <w:rPr>
                <w:rFonts w:cs="Arial"/>
                <w:sz w:val="18"/>
                <w:szCs w:val="18"/>
              </w:rPr>
            </w:pPr>
            <w:r>
              <w:rPr>
                <w:sz w:val="18"/>
              </w:rPr>
              <w:t>2020.01.01.</w:t>
            </w:r>
          </w:p>
        </w:tc>
        <w:tc>
          <w:tcPr>
            <w:tcW w:w="1276" w:type="dxa"/>
          </w:tcPr>
          <w:p w:rsidR="005624E3" w:rsidRPr="00C903F8" w:rsidRDefault="005624E3" w:rsidP="00101A80">
            <w:pPr>
              <w:spacing w:before="140" w:after="160" w:line="240" w:lineRule="atLeast"/>
              <w:rPr>
                <w:rFonts w:cs="Arial"/>
                <w:sz w:val="18"/>
                <w:szCs w:val="18"/>
              </w:rPr>
            </w:pPr>
            <w:r>
              <w:rPr>
                <w:sz w:val="18"/>
              </w:rPr>
              <w:t>2018.10.07.</w:t>
            </w: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40" w:after="160" w:line="240" w:lineRule="atLeast"/>
              <w:rPr>
                <w:rFonts w:cs="Arial"/>
                <w:sz w:val="18"/>
                <w:szCs w:val="18"/>
              </w:rPr>
            </w:pPr>
          </w:p>
        </w:tc>
        <w:tc>
          <w:tcPr>
            <w:tcW w:w="1458" w:type="dxa"/>
            <w:vMerge w:val="restart"/>
            <w:shd w:val="clear" w:color="auto" w:fill="auto"/>
          </w:tcPr>
          <w:p w:rsidR="005624E3" w:rsidRPr="00C903F8" w:rsidRDefault="005624E3" w:rsidP="00101A80">
            <w:pPr>
              <w:spacing w:before="140" w:after="160" w:line="240" w:lineRule="atLeast"/>
              <w:rPr>
                <w:rFonts w:cs="Arial"/>
                <w:sz w:val="18"/>
                <w:szCs w:val="18"/>
              </w:rPr>
            </w:pPr>
            <w:r>
              <w:rPr>
                <w:sz w:val="18"/>
              </w:rPr>
              <w:t>9. bekezdés</w:t>
            </w:r>
          </w:p>
        </w:tc>
        <w:tc>
          <w:tcPr>
            <w:tcW w:w="3296" w:type="dxa"/>
            <w:vMerge w:val="restart"/>
            <w:shd w:val="clear" w:color="auto" w:fill="auto"/>
          </w:tcPr>
          <w:p w:rsidR="005624E3" w:rsidRPr="00C903F8" w:rsidRDefault="005624E3" w:rsidP="00101A80">
            <w:pPr>
              <w:tabs>
                <w:tab w:val="left" w:pos="1080"/>
              </w:tabs>
              <w:spacing w:before="140" w:after="160" w:line="240" w:lineRule="atLeast"/>
              <w:rPr>
                <w:rFonts w:cs="Arial"/>
                <w:sz w:val="18"/>
                <w:szCs w:val="18"/>
              </w:rPr>
            </w:pPr>
            <w:r>
              <w:rPr>
                <w:noProof/>
                <w:sz w:val="18"/>
              </w:rPr>
              <w:t>Tűzoltó rendszer a géptérben</w:t>
            </w:r>
          </w:p>
        </w:tc>
        <w:tc>
          <w:tcPr>
            <w:tcW w:w="5387" w:type="dxa"/>
            <w:shd w:val="clear" w:color="auto" w:fill="auto"/>
          </w:tcPr>
          <w:p w:rsidR="005624E3" w:rsidRPr="00C903F8" w:rsidRDefault="005624E3" w:rsidP="00101A80">
            <w:pPr>
              <w:spacing w:before="140" w:after="160" w:line="240" w:lineRule="atLeast"/>
              <w:rPr>
                <w:rFonts w:cs="Arial"/>
                <w:sz w:val="18"/>
                <w:szCs w:val="18"/>
              </w:rPr>
            </w:pPr>
            <w:r>
              <w:rPr>
                <w:sz w:val="18"/>
              </w:rPr>
              <w:t>N.R.C., legkésőbb a belvízi hajóbizonyítvány megújításakor e dátumot követően:</w:t>
            </w:r>
          </w:p>
        </w:tc>
        <w:tc>
          <w:tcPr>
            <w:tcW w:w="1276" w:type="dxa"/>
            <w:vMerge w:val="restart"/>
            <w:shd w:val="clear" w:color="auto" w:fill="auto"/>
          </w:tcPr>
          <w:p w:rsidR="005624E3" w:rsidRPr="00C903F8" w:rsidRDefault="005624E3" w:rsidP="00101A80">
            <w:pPr>
              <w:spacing w:before="140" w:after="160" w:line="240" w:lineRule="atLeast"/>
              <w:rPr>
                <w:rFonts w:cs="Arial"/>
                <w:sz w:val="18"/>
                <w:szCs w:val="18"/>
              </w:rPr>
            </w:pPr>
            <w:r>
              <w:rPr>
                <w:sz w:val="18"/>
              </w:rPr>
              <w:t>2015.01.01.</w:t>
            </w:r>
          </w:p>
        </w:tc>
        <w:tc>
          <w:tcPr>
            <w:tcW w:w="1276" w:type="dxa"/>
            <w:vMerge w:val="restart"/>
          </w:tcPr>
          <w:p w:rsidR="005624E3" w:rsidRPr="00C903F8" w:rsidRDefault="005624E3" w:rsidP="00101A80">
            <w:pPr>
              <w:spacing w:before="140" w:after="160" w:line="240" w:lineRule="atLeast"/>
              <w:rPr>
                <w:rFonts w:cs="Arial"/>
                <w:sz w:val="18"/>
                <w:szCs w:val="18"/>
              </w:rPr>
            </w:pPr>
            <w:r>
              <w:rPr>
                <w:sz w:val="18"/>
              </w:rPr>
              <w:t>2006.01.01.</w:t>
            </w:r>
          </w:p>
        </w:tc>
      </w:tr>
      <w:tr w:rsidR="005624E3" w:rsidRPr="00A0619C" w:rsidTr="00101A80">
        <w:trPr>
          <w:cantSplit/>
          <w:jc w:val="center"/>
        </w:trPr>
        <w:tc>
          <w:tcPr>
            <w:tcW w:w="1342" w:type="dxa"/>
            <w:tcBorders>
              <w:top w:val="nil"/>
            </w:tcBorders>
            <w:shd w:val="clear" w:color="auto" w:fill="auto"/>
          </w:tcPr>
          <w:p w:rsidR="005624E3" w:rsidRPr="00C903F8" w:rsidRDefault="005624E3" w:rsidP="00101A80">
            <w:pPr>
              <w:spacing w:before="140" w:after="160" w:line="240" w:lineRule="atLeast"/>
              <w:rPr>
                <w:rFonts w:cs="Arial"/>
                <w:sz w:val="18"/>
                <w:szCs w:val="18"/>
              </w:rPr>
            </w:pPr>
          </w:p>
        </w:tc>
        <w:tc>
          <w:tcPr>
            <w:tcW w:w="1458" w:type="dxa"/>
            <w:vMerge/>
            <w:shd w:val="clear" w:color="auto" w:fill="auto"/>
          </w:tcPr>
          <w:p w:rsidR="005624E3" w:rsidRPr="00C903F8" w:rsidRDefault="005624E3" w:rsidP="00101A80">
            <w:pPr>
              <w:spacing w:before="140" w:after="160" w:line="240" w:lineRule="atLeast"/>
              <w:rPr>
                <w:rFonts w:cs="Arial"/>
                <w:sz w:val="18"/>
                <w:szCs w:val="18"/>
              </w:rPr>
            </w:pPr>
          </w:p>
        </w:tc>
        <w:tc>
          <w:tcPr>
            <w:tcW w:w="3296" w:type="dxa"/>
            <w:vMerge/>
            <w:shd w:val="clear" w:color="auto" w:fill="auto"/>
          </w:tcPr>
          <w:p w:rsidR="005624E3" w:rsidRPr="00C903F8" w:rsidRDefault="005624E3" w:rsidP="00101A80">
            <w:pPr>
              <w:tabs>
                <w:tab w:val="left" w:pos="1080"/>
              </w:tabs>
              <w:spacing w:before="140" w:after="160" w:line="240" w:lineRule="atLeast"/>
              <w:rPr>
                <w:rFonts w:cs="Arial"/>
                <w:sz w:val="18"/>
                <w:szCs w:val="18"/>
              </w:rPr>
            </w:pPr>
          </w:p>
        </w:tc>
        <w:tc>
          <w:tcPr>
            <w:tcW w:w="5387" w:type="dxa"/>
            <w:shd w:val="clear" w:color="auto" w:fill="auto"/>
          </w:tcPr>
          <w:p w:rsidR="005624E3" w:rsidRPr="00C903F8" w:rsidRDefault="005624E3" w:rsidP="00101A80">
            <w:pPr>
              <w:spacing w:before="140" w:after="160" w:line="240" w:lineRule="atLeast"/>
              <w:rPr>
                <w:rFonts w:cs="Arial"/>
                <w:sz w:val="18"/>
                <w:szCs w:val="18"/>
              </w:rPr>
            </w:pPr>
            <w:r>
              <w:rPr>
                <w:noProof/>
                <w:sz w:val="18"/>
              </w:rPr>
              <w:t>Az átmeneti rendelkezés nem vonatkozik azon személyhajókra, amelyek gerincfektetése 1995. december 31. után történt, és amelyek teste fából, alumíniumból vagy műanyagból készült, továbbá géptereik nem a 3.04. cikk 3. és 4. bekezdése szerinti anyagból vannak.</w:t>
            </w:r>
          </w:p>
        </w:tc>
        <w:tc>
          <w:tcPr>
            <w:tcW w:w="1276" w:type="dxa"/>
            <w:vMerge/>
            <w:shd w:val="clear" w:color="auto" w:fill="auto"/>
          </w:tcPr>
          <w:p w:rsidR="005624E3" w:rsidRPr="00C903F8" w:rsidRDefault="005624E3" w:rsidP="00101A80">
            <w:pPr>
              <w:spacing w:before="140" w:after="160" w:line="240" w:lineRule="atLeast"/>
              <w:rPr>
                <w:rFonts w:cs="Arial"/>
                <w:sz w:val="18"/>
                <w:szCs w:val="18"/>
              </w:rPr>
            </w:pPr>
          </w:p>
        </w:tc>
        <w:tc>
          <w:tcPr>
            <w:tcW w:w="1276" w:type="dxa"/>
            <w:vMerge/>
          </w:tcPr>
          <w:p w:rsidR="005624E3" w:rsidRPr="00C903F8" w:rsidRDefault="005624E3" w:rsidP="00101A80">
            <w:pPr>
              <w:spacing w:before="140" w:after="160" w:line="240" w:lineRule="atLeast"/>
              <w:rPr>
                <w:rFonts w:cs="Arial"/>
                <w:sz w:val="18"/>
                <w:szCs w:val="18"/>
              </w:rPr>
            </w:pP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140" w:after="160" w:line="240" w:lineRule="atLeast"/>
              <w:rPr>
                <w:rFonts w:cs="Arial"/>
                <w:sz w:val="18"/>
                <w:szCs w:val="18"/>
              </w:rPr>
            </w:pPr>
            <w:r>
              <w:rPr>
                <w:sz w:val="18"/>
              </w:rPr>
              <w:t>19.14. cikk</w:t>
            </w:r>
          </w:p>
        </w:tc>
        <w:tc>
          <w:tcPr>
            <w:tcW w:w="1458" w:type="dxa"/>
            <w:shd w:val="clear" w:color="auto" w:fill="auto"/>
          </w:tcPr>
          <w:p w:rsidR="005624E3" w:rsidRPr="00C903F8" w:rsidRDefault="005624E3" w:rsidP="00101A80">
            <w:pPr>
              <w:spacing w:before="140" w:after="1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tabs>
                <w:tab w:val="left" w:pos="1080"/>
              </w:tabs>
              <w:spacing w:before="140" w:after="160" w:line="240" w:lineRule="atLeast"/>
              <w:rPr>
                <w:rFonts w:cs="Arial"/>
                <w:sz w:val="18"/>
                <w:szCs w:val="18"/>
              </w:rPr>
            </w:pPr>
            <w:r>
              <w:rPr>
                <w:noProof/>
                <w:sz w:val="18"/>
              </w:rPr>
              <w:t>Szennyvízgyűjtő tartályok és szennyvízelvezető berendezések</w:t>
            </w:r>
          </w:p>
        </w:tc>
        <w:tc>
          <w:tcPr>
            <w:tcW w:w="5387" w:type="dxa"/>
            <w:shd w:val="clear" w:color="auto" w:fill="auto"/>
          </w:tcPr>
          <w:p w:rsidR="005624E3" w:rsidRPr="00C903F8" w:rsidRDefault="005624E3" w:rsidP="00101A80">
            <w:pPr>
              <w:spacing w:before="140" w:after="160" w:line="240" w:lineRule="atLeast"/>
              <w:rPr>
                <w:rFonts w:cs="Arial"/>
                <w:sz w:val="18"/>
                <w:szCs w:val="18"/>
              </w:rPr>
            </w:pPr>
            <w:r>
              <w:rPr>
                <w:noProof/>
                <w:sz w:val="18"/>
              </w:rPr>
              <w:t>A legfeljebb 50 fekhellyel rendelkező kabinos hajók és az egynapos utazásra alkalmas hajók esetében: N.R.C., legkésőbb a belvízi hajóbizonyítvány megújításakor e dátumot követően:</w:t>
            </w:r>
          </w:p>
        </w:tc>
        <w:tc>
          <w:tcPr>
            <w:tcW w:w="1276" w:type="dxa"/>
            <w:shd w:val="clear" w:color="auto" w:fill="auto"/>
          </w:tcPr>
          <w:p w:rsidR="005624E3" w:rsidRPr="00C903F8" w:rsidRDefault="005624E3" w:rsidP="00101A80">
            <w:pPr>
              <w:spacing w:before="140" w:after="160" w:line="240" w:lineRule="atLeast"/>
              <w:rPr>
                <w:rFonts w:cs="Arial"/>
                <w:sz w:val="18"/>
                <w:szCs w:val="18"/>
              </w:rPr>
            </w:pPr>
            <w:r>
              <w:rPr>
                <w:sz w:val="18"/>
              </w:rPr>
              <w:t>2045.01.01.</w:t>
            </w:r>
          </w:p>
        </w:tc>
        <w:tc>
          <w:tcPr>
            <w:tcW w:w="1276" w:type="dxa"/>
          </w:tcPr>
          <w:p w:rsidR="005624E3" w:rsidRPr="00C903F8" w:rsidRDefault="005624E3" w:rsidP="00101A80">
            <w:pPr>
              <w:spacing w:before="140" w:after="160" w:line="240" w:lineRule="atLeast"/>
              <w:rPr>
                <w:rFonts w:cs="Arial"/>
                <w:sz w:val="18"/>
                <w:szCs w:val="18"/>
              </w:rPr>
            </w:pPr>
            <w:r>
              <w:rPr>
                <w:sz w:val="18"/>
              </w:rPr>
              <w:t>2006.01.01.</w:t>
            </w:r>
          </w:p>
        </w:tc>
      </w:tr>
      <w:tr w:rsidR="005624E3" w:rsidRPr="00C903F8" w:rsidTr="00101A80">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40" w:after="160" w:line="240" w:lineRule="atLeast"/>
              <w:rPr>
                <w:rFonts w:cs="Arial"/>
                <w:sz w:val="18"/>
                <w:szCs w:val="18"/>
              </w:rPr>
            </w:pPr>
          </w:p>
        </w:tc>
        <w:tc>
          <w:tcPr>
            <w:tcW w:w="1458" w:type="dxa"/>
            <w:shd w:val="clear" w:color="auto" w:fill="auto"/>
          </w:tcPr>
          <w:p w:rsidR="005624E3" w:rsidRPr="00C903F8" w:rsidRDefault="005624E3" w:rsidP="00101A80">
            <w:pPr>
              <w:spacing w:before="140" w:after="16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tabs>
                <w:tab w:val="left" w:pos="1080"/>
              </w:tabs>
              <w:spacing w:before="140" w:after="160" w:line="240" w:lineRule="atLeast"/>
              <w:rPr>
                <w:rFonts w:cs="Arial"/>
                <w:sz w:val="18"/>
                <w:szCs w:val="18"/>
              </w:rPr>
            </w:pPr>
            <w:r>
              <w:rPr>
                <w:noProof/>
                <w:sz w:val="18"/>
              </w:rPr>
              <w:t>A szennyvízgyűjtő tartályokra vonatkozó követelmények</w:t>
            </w:r>
          </w:p>
        </w:tc>
        <w:tc>
          <w:tcPr>
            <w:tcW w:w="5387" w:type="dxa"/>
            <w:shd w:val="clear" w:color="auto" w:fill="auto"/>
          </w:tcPr>
          <w:p w:rsidR="005624E3" w:rsidRPr="00C903F8" w:rsidRDefault="005624E3" w:rsidP="00101A80">
            <w:pPr>
              <w:spacing w:before="140" w:after="160" w:line="240" w:lineRule="atLeast"/>
              <w:rPr>
                <w:rFonts w:cs="Arial"/>
                <w:sz w:val="18"/>
                <w:szCs w:val="18"/>
              </w:rPr>
            </w:pPr>
            <w:r>
              <w:rPr>
                <w:noProof/>
                <w:sz w:val="18"/>
              </w:rPr>
              <w:t>A legfeljebb 50 fekhellyel rendelkező kabinos hajók és a legfeljebb 50 utast szállító egynapos utazásra alkalmas hajók esetében: N.R.C., legkésőbb a belvízi hajóbizonyítvány megújításakor e dátumot követően:</w:t>
            </w:r>
          </w:p>
        </w:tc>
        <w:tc>
          <w:tcPr>
            <w:tcW w:w="1276" w:type="dxa"/>
            <w:shd w:val="clear" w:color="auto" w:fill="auto"/>
          </w:tcPr>
          <w:p w:rsidR="005624E3" w:rsidRPr="00C903F8" w:rsidRDefault="005624E3" w:rsidP="00101A80">
            <w:pPr>
              <w:spacing w:before="140" w:after="160" w:line="240" w:lineRule="atLeast"/>
              <w:rPr>
                <w:rFonts w:cs="Arial"/>
                <w:sz w:val="18"/>
                <w:szCs w:val="18"/>
              </w:rPr>
            </w:pPr>
            <w:r>
              <w:rPr>
                <w:sz w:val="18"/>
              </w:rPr>
              <w:t>2045.01.01.</w:t>
            </w:r>
          </w:p>
        </w:tc>
        <w:tc>
          <w:tcPr>
            <w:tcW w:w="1276" w:type="dxa"/>
          </w:tcPr>
          <w:p w:rsidR="005624E3" w:rsidRPr="00C903F8" w:rsidRDefault="005624E3" w:rsidP="00101A80">
            <w:pPr>
              <w:spacing w:before="140" w:after="160" w:line="240" w:lineRule="atLeast"/>
              <w:rPr>
                <w:rFonts w:cs="Arial"/>
                <w:sz w:val="18"/>
                <w:szCs w:val="18"/>
              </w:rPr>
            </w:pPr>
            <w:r>
              <w:rPr>
                <w:sz w:val="18"/>
              </w:rPr>
              <w:t>2006.01.01.</w:t>
            </w: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19.15.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Sérült stabilitás</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2045.01.01.</w:t>
            </w:r>
          </w:p>
        </w:tc>
        <w:tc>
          <w:tcPr>
            <w:tcW w:w="1276" w:type="dxa"/>
          </w:tcPr>
          <w:p w:rsidR="005624E3" w:rsidRPr="00C903F8" w:rsidRDefault="005624E3" w:rsidP="00101A80">
            <w:pPr>
              <w:spacing w:before="60" w:after="60" w:line="240" w:lineRule="atLeast"/>
              <w:rPr>
                <w:rFonts w:cs="Arial"/>
                <w:sz w:val="18"/>
                <w:szCs w:val="18"/>
              </w:rPr>
            </w:pPr>
            <w:r>
              <w:rPr>
                <w:sz w:val="18"/>
              </w:rPr>
              <w:t>2006.01.01.</w:t>
            </w:r>
          </w:p>
        </w:tc>
      </w:tr>
      <w:tr w:rsidR="005624E3" w:rsidRPr="00C903F8" w:rsidTr="00101A80">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29. FEJEZET</w:t>
            </w:r>
          </w:p>
        </w:tc>
        <w:tc>
          <w:tcPr>
            <w:tcW w:w="5387"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c>
          <w:tcPr>
            <w:tcW w:w="1276" w:type="dxa"/>
          </w:tcPr>
          <w:p w:rsidR="005624E3" w:rsidRPr="00C903F8" w:rsidRDefault="005624E3" w:rsidP="00101A80">
            <w:pPr>
              <w:spacing w:before="60" w:after="6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29.02.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Második, független kormánygép-meghajtóegység vagy kézzel működtetett meghajtóegység működésbe lépése</w:t>
            </w:r>
          </w:p>
        </w:tc>
        <w:tc>
          <w:tcPr>
            <w:tcW w:w="5387"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2025.01.01.</w:t>
            </w:r>
          </w:p>
        </w:tc>
        <w:tc>
          <w:tcPr>
            <w:tcW w:w="1276" w:type="dxa"/>
          </w:tcPr>
          <w:p w:rsidR="005624E3" w:rsidRPr="00C903F8" w:rsidRDefault="005624E3" w:rsidP="00101A80">
            <w:pPr>
              <w:spacing w:before="60" w:after="60" w:line="240" w:lineRule="atLeast"/>
              <w:rPr>
                <w:rFonts w:cs="Arial"/>
                <w:sz w:val="18"/>
                <w:szCs w:val="18"/>
              </w:rPr>
            </w:pPr>
            <w:r>
              <w:rPr>
                <w:sz w:val="18"/>
              </w:rPr>
              <w:t>2005.04.01.</w:t>
            </w:r>
          </w:p>
        </w:tc>
      </w:tr>
    </w:tbl>
    <w:p w:rsidR="005624E3" w:rsidRPr="00C903F8" w:rsidRDefault="005624E3" w:rsidP="005624E3">
      <w:pPr>
        <w:spacing w:line="240" w:lineRule="atLeast"/>
        <w:ind w:left="567" w:hanging="567"/>
        <w:rPr>
          <w:rFonts w:cs="Arial"/>
          <w:sz w:val="18"/>
          <w:szCs w:val="18"/>
        </w:rPr>
      </w:pPr>
    </w:p>
    <w:p w:rsidR="005624E3" w:rsidRDefault="005624E3" w:rsidP="005624E3"/>
    <w:p w:rsidR="005624E3" w:rsidRDefault="005624E3" w:rsidP="005624E3">
      <w:r>
        <w:br w:type="page"/>
      </w:r>
    </w:p>
    <w:p w:rsidR="005624E3" w:rsidRDefault="005624E3" w:rsidP="005624E3"/>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sectPr w:rsidR="005624E3" w:rsidRPr="00C903F8" w:rsidSect="001E2331">
          <w:footnotePr>
            <w:numRestart w:val="eachPage"/>
          </w:footnotePr>
          <w:pgSz w:w="16838" w:h="11906" w:orient="landscape" w:code="9"/>
          <w:pgMar w:top="1418" w:right="1418" w:bottom="1418" w:left="1418" w:header="709" w:footer="709" w:gutter="0"/>
          <w:cols w:space="709"/>
          <w:titlePg/>
          <w:docGrid w:linePitch="272"/>
        </w:sectPr>
      </w:pPr>
    </w:p>
    <w:p w:rsidR="005624E3" w:rsidRPr="00C903F8" w:rsidRDefault="005624E3" w:rsidP="005624E3">
      <w:pPr>
        <w:ind w:left="567" w:hanging="567"/>
        <w:rPr>
          <w:sz w:val="12"/>
        </w:rPr>
      </w:pPr>
    </w:p>
    <w:p w:rsidR="005624E3" w:rsidRPr="00C903F8" w:rsidRDefault="005624E3" w:rsidP="005624E3">
      <w:pPr>
        <w:pStyle w:val="ES-Titre2"/>
        <w:pageBreakBefore w:val="0"/>
      </w:pPr>
      <w:bookmarkStart w:id="579" w:name="_Toc491854283"/>
      <w:bookmarkStart w:id="580" w:name="_Toc535854064"/>
      <w:r>
        <w:t>33. fejezet</w:t>
      </w:r>
      <w:r>
        <w:br/>
        <w:t>A kizárólag a Rajnán (R zóna) kívül közlekedő vízi járművekre vonatkozó átmeneti rendelkezések</w:t>
      </w:r>
      <w:bookmarkEnd w:id="579"/>
      <w:bookmarkEnd w:id="580"/>
    </w:p>
    <w:p w:rsidR="005624E3" w:rsidRPr="00C903F8" w:rsidRDefault="005624E3" w:rsidP="005624E3">
      <w:pPr>
        <w:overflowPunct w:val="0"/>
        <w:adjustRightInd w:val="0"/>
        <w:spacing w:line="240" w:lineRule="exact"/>
        <w:jc w:val="center"/>
        <w:textAlignment w:val="baseline"/>
        <w:rPr>
          <w:rFonts w:eastAsia="Calibri"/>
          <w:b/>
        </w:rPr>
      </w:pPr>
    </w:p>
    <w:p w:rsidR="005624E3" w:rsidRPr="00C903F8" w:rsidRDefault="005624E3" w:rsidP="005624E3">
      <w:pPr>
        <w:pStyle w:val="ES-Titre3prchap32"/>
      </w:pPr>
      <w:bookmarkStart w:id="581" w:name="_Toc491854284"/>
      <w:bookmarkStart w:id="582" w:name="_Toc535854065"/>
      <w:r>
        <w:t>33.01. cikk</w:t>
      </w:r>
      <w:bookmarkEnd w:id="581"/>
      <w:bookmarkEnd w:id="582"/>
    </w:p>
    <w:p w:rsidR="005624E3" w:rsidRPr="00934A8A" w:rsidRDefault="005624E3" w:rsidP="005624E3">
      <w:pPr>
        <w:pStyle w:val="ES-Titre3a"/>
        <w:rPr>
          <w:noProof/>
        </w:rPr>
      </w:pPr>
      <w:bookmarkStart w:id="583" w:name="_Toc421775895"/>
      <w:bookmarkStart w:id="584" w:name="_Toc491854285"/>
      <w:bookmarkStart w:id="585" w:name="_Toc535854066"/>
      <w:r>
        <w:t>Az átmeneti rendelkezések alkalmazhatósága már üzemelő vízi járművekre</w:t>
      </w:r>
      <w:bookmarkEnd w:id="583"/>
      <w:bookmarkEnd w:id="584"/>
      <w:bookmarkEnd w:id="585"/>
    </w:p>
    <w:p w:rsidR="005624E3" w:rsidRPr="00C903F8" w:rsidRDefault="005624E3" w:rsidP="005624E3">
      <w:pPr>
        <w:spacing w:line="240" w:lineRule="atLeast"/>
        <w:ind w:left="567" w:hanging="567"/>
        <w:rPr>
          <w:noProof/>
        </w:rPr>
      </w:pPr>
    </w:p>
    <w:p w:rsidR="005624E3" w:rsidRPr="00274C66" w:rsidRDefault="005624E3" w:rsidP="005624E3">
      <w:pPr>
        <w:spacing w:line="240" w:lineRule="atLeast"/>
        <w:ind w:left="567" w:hanging="567"/>
        <w:rPr>
          <w:noProof/>
        </w:rPr>
      </w:pPr>
      <w:r>
        <w:t>1.</w:t>
      </w:r>
      <w:r>
        <w:tab/>
        <w:t>A 33.02. és 33.03. cikk rendelkezései azon, kizárólag a Rajnán (R zóna) kívüli vízi utakon közlekedő vízi járművekre (R övezet) vonatkoznak, amelyek esetében:</w:t>
      </w:r>
    </w:p>
    <w:p w:rsidR="005624E3" w:rsidRPr="00274C66" w:rsidRDefault="005624E3" w:rsidP="005624E3">
      <w:pPr>
        <w:spacing w:before="60" w:line="240" w:lineRule="atLeast"/>
        <w:ind w:left="992"/>
        <w:rPr>
          <w:noProof/>
        </w:rPr>
      </w:pPr>
      <w:r>
        <w:t>a)</w:t>
      </w:r>
      <w:r>
        <w:tab/>
        <w:t>első ízben közösségi bizonyítványt adtak ki 2008. december 30. előtt;</w:t>
      </w:r>
    </w:p>
    <w:p w:rsidR="005624E3" w:rsidRPr="00274C66" w:rsidRDefault="005624E3" w:rsidP="005624E3">
      <w:pPr>
        <w:spacing w:before="60" w:line="240" w:lineRule="atLeast"/>
        <w:ind w:left="992"/>
        <w:rPr>
          <w:noProof/>
        </w:rPr>
      </w:pPr>
      <w:r>
        <w:t>b)</w:t>
      </w:r>
      <w:r>
        <w:tab/>
        <w:t>egy másik közlekedési engedélyt adtak ki 2008. december 30. előtt.</w:t>
      </w:r>
    </w:p>
    <w:p w:rsidR="005624E3" w:rsidRPr="00274C66" w:rsidRDefault="005624E3" w:rsidP="005624E3">
      <w:pPr>
        <w:spacing w:line="240" w:lineRule="atLeast"/>
        <w:ind w:left="567" w:hanging="567"/>
        <w:rPr>
          <w:noProof/>
        </w:rPr>
      </w:pPr>
    </w:p>
    <w:p w:rsidR="005624E3" w:rsidRPr="00274C66" w:rsidRDefault="005624E3" w:rsidP="005624E3">
      <w:pPr>
        <w:spacing w:line="240" w:lineRule="atLeast"/>
        <w:ind w:left="567" w:hanging="567"/>
        <w:rPr>
          <w:noProof/>
        </w:rPr>
      </w:pPr>
      <w:r>
        <w:t>2.</w:t>
      </w:r>
      <w:r>
        <w:tab/>
        <w:t xml:space="preserve">Bizonyítani kell, hogy a vízi járművek megfelelnek: a </w:t>
      </w:r>
      <w:r>
        <w:br/>
        <w:t>82/714/EGK irányelv II. mellékletének 1–12. fejezete azon a napon hatályos műszaki követelményeinek, amelyen közösségi bizonyítványukat vagy másik közlekedési engedélyüket kiadták.</w:t>
      </w:r>
    </w:p>
    <w:p w:rsidR="005624E3" w:rsidRPr="00274C66" w:rsidRDefault="005624E3" w:rsidP="005624E3">
      <w:pPr>
        <w:spacing w:line="240" w:lineRule="atLeast"/>
        <w:ind w:left="567" w:hanging="567"/>
        <w:rPr>
          <w:noProof/>
        </w:rPr>
      </w:pPr>
    </w:p>
    <w:p w:rsidR="005624E3" w:rsidRPr="00274C66" w:rsidRDefault="005624E3" w:rsidP="005624E3">
      <w:pPr>
        <w:spacing w:line="240" w:lineRule="atLeast"/>
        <w:ind w:left="567" w:hanging="567"/>
        <w:rPr>
          <w:noProof/>
        </w:rPr>
      </w:pPr>
      <w:r>
        <w:t>3.</w:t>
      </w:r>
      <w:r>
        <w:tab/>
        <w:t>A 2008. december 30. előtt kiadott közösségi bizonyítványok továbbra is érvényesek a bizonyítványon feltüntetett lejárati időpontig.</w:t>
      </w:r>
    </w:p>
    <w:p w:rsidR="005624E3" w:rsidRPr="00C903F8" w:rsidRDefault="005624E3" w:rsidP="005624E3"/>
    <w:p w:rsidR="005624E3" w:rsidRPr="00C903F8" w:rsidRDefault="005624E3" w:rsidP="005624E3"/>
    <w:p w:rsidR="005624E3" w:rsidRPr="00C903F8" w:rsidRDefault="005624E3" w:rsidP="005624E3">
      <w:pPr>
        <w:pStyle w:val="ES-Titre3"/>
        <w:rPr>
          <w:noProof/>
        </w:rPr>
      </w:pPr>
      <w:bookmarkStart w:id="586" w:name="_Toc491854286"/>
      <w:bookmarkStart w:id="587" w:name="_Toc535854067"/>
      <w:r>
        <w:t>33.02. cikk</w:t>
      </w:r>
      <w:bookmarkEnd w:id="586"/>
      <w:bookmarkEnd w:id="587"/>
    </w:p>
    <w:p w:rsidR="005624E3" w:rsidRPr="00934A8A" w:rsidRDefault="005624E3" w:rsidP="005624E3">
      <w:pPr>
        <w:pStyle w:val="ES-Titre3a"/>
        <w:rPr>
          <w:noProof/>
        </w:rPr>
      </w:pPr>
      <w:bookmarkStart w:id="588" w:name="_Toc421775897"/>
      <w:bookmarkStart w:id="589" w:name="_Toc491854287"/>
      <w:bookmarkStart w:id="590" w:name="_Toc535854068"/>
      <w:r>
        <w:t>Már üzemelő vízi járművekre vonatkozó átmeneti rendelkezések</w:t>
      </w:r>
      <w:bookmarkEnd w:id="588"/>
      <w:bookmarkEnd w:id="589"/>
      <w:bookmarkEnd w:id="590"/>
    </w:p>
    <w:p w:rsidR="005624E3" w:rsidRPr="00C903F8" w:rsidRDefault="005624E3" w:rsidP="005624E3"/>
    <w:p w:rsidR="005624E3" w:rsidRPr="00934A8A" w:rsidRDefault="005624E3" w:rsidP="005624E3">
      <w:pPr>
        <w:spacing w:line="240" w:lineRule="atLeast"/>
        <w:ind w:left="567" w:hanging="567"/>
        <w:rPr>
          <w:b/>
        </w:rPr>
      </w:pPr>
      <w:r>
        <w:t>1.</w:t>
      </w:r>
      <w:r>
        <w:tab/>
        <w:t>Az e szabvány követelményeinek meg nem felelő vízi járműveknek:</w:t>
      </w:r>
    </w:p>
    <w:p w:rsidR="005624E3" w:rsidRPr="00934A8A" w:rsidRDefault="005624E3" w:rsidP="005624E3">
      <w:pPr>
        <w:spacing w:before="60" w:line="240" w:lineRule="atLeast"/>
        <w:ind w:left="992"/>
      </w:pPr>
      <w:r>
        <w:t>a)</w:t>
      </w:r>
      <w:r>
        <w:tab/>
        <w:t>átalakításra kell kerülniük, hogy megfeleljenek az alábbi táblázatban felsorolt átmeneti rendelkezések szerinti rendelkezéseknek; és</w:t>
      </w:r>
    </w:p>
    <w:p w:rsidR="005624E3" w:rsidRPr="00934A8A" w:rsidRDefault="005624E3" w:rsidP="005624E3">
      <w:pPr>
        <w:spacing w:before="60" w:line="240" w:lineRule="atLeast"/>
        <w:ind w:left="992"/>
      </w:pPr>
      <w:r>
        <w:t>b)</w:t>
      </w:r>
      <w:r>
        <w:tab/>
        <w:t>átalakításukig meg kell felelniük a 82/714/EGK irányelv II. mellékletének 1–12. fejezetében foglalt követelményeknek.</w:t>
      </w:r>
    </w:p>
    <w:p w:rsidR="005624E3" w:rsidRDefault="005624E3" w:rsidP="005624E3">
      <w:pPr>
        <w:spacing w:line="240" w:lineRule="atLeast"/>
        <w:ind w:left="567" w:hanging="567"/>
        <w:rPr>
          <w:rFonts w:cs="Arial"/>
          <w:sz w:val="18"/>
          <w:szCs w:val="18"/>
        </w:rPr>
      </w:pPr>
    </w:p>
    <w:p w:rsidR="005624E3" w:rsidRPr="00274C66" w:rsidRDefault="005624E3" w:rsidP="005624E3">
      <w:pPr>
        <w:spacing w:line="240" w:lineRule="atLeast"/>
        <w:ind w:left="567"/>
        <w:rPr>
          <w:noProof/>
        </w:rPr>
      </w:pPr>
      <w:r>
        <w:t>Abban az esetben, ha a 33.01. cikk 1. bekezdésében meghatározott vízi jármű számára új belvízi hajóbizonyítványt állítanak ki, a közösségi bizonyítványt vagy a másik közlekedési engedélyt megerősítésként be kell nyújtani, a közösségi bizonyítványt vagy a másik közlekedési engedélyt vissza kell vonni, és az új belvízi hajóbizonyítvány 52. rovatába be kell jegyezni a közösségi bizonyítvány vagy a másik közlekedési engedély kiállításának dátumát az alábbiak szerint:</w:t>
      </w:r>
    </w:p>
    <w:p w:rsidR="005624E3" w:rsidRPr="00274C66" w:rsidRDefault="005624E3" w:rsidP="005624E3">
      <w:pPr>
        <w:spacing w:before="60" w:line="240" w:lineRule="atLeast"/>
        <w:ind w:left="567"/>
        <w:jc w:val="center"/>
        <w:rPr>
          <w:noProof/>
        </w:rPr>
      </w:pPr>
      <w:r>
        <w:t>„A 82/714/EGK irányelv szerinti közösségi bizonyítvány kibocsátásra került”</w:t>
      </w:r>
    </w:p>
    <w:p w:rsidR="005624E3" w:rsidRPr="00274C66" w:rsidRDefault="005624E3" w:rsidP="005624E3">
      <w:pPr>
        <w:spacing w:line="240" w:lineRule="atLeast"/>
        <w:ind w:left="567"/>
        <w:jc w:val="center"/>
        <w:rPr>
          <w:noProof/>
        </w:rPr>
      </w:pPr>
      <w:r>
        <w:t>/</w:t>
      </w:r>
    </w:p>
    <w:p w:rsidR="005624E3" w:rsidRPr="00274C66" w:rsidRDefault="005624E3" w:rsidP="005624E3">
      <w:pPr>
        <w:spacing w:line="240" w:lineRule="atLeast"/>
        <w:ind w:left="567"/>
        <w:jc w:val="center"/>
        <w:rPr>
          <w:noProof/>
        </w:rPr>
      </w:pPr>
      <w:r>
        <w:t>„A ............ szerinti közlekedési engedély kibocsátásra került: …-án/-én.”</w:t>
      </w:r>
    </w:p>
    <w:p w:rsidR="005624E3" w:rsidRDefault="005624E3" w:rsidP="005624E3">
      <w:pPr>
        <w:spacing w:line="240" w:lineRule="atLeast"/>
        <w:ind w:left="567" w:hanging="567"/>
        <w:rPr>
          <w:rFonts w:cs="Arial"/>
          <w:sz w:val="18"/>
          <w:szCs w:val="18"/>
        </w:rPr>
      </w:pPr>
    </w:p>
    <w:p w:rsidR="005624E3" w:rsidRDefault="005624E3" w:rsidP="005624E3">
      <w:pPr>
        <w:rPr>
          <w:rFonts w:cs="Arial"/>
          <w:sz w:val="18"/>
          <w:szCs w:val="18"/>
        </w:rPr>
      </w:pPr>
      <w:r>
        <w:br w:type="page"/>
      </w:r>
    </w:p>
    <w:p w:rsidR="005624E3" w:rsidRDefault="005624E3" w:rsidP="005624E3">
      <w:pPr>
        <w:spacing w:line="240" w:lineRule="atLeast"/>
        <w:ind w:left="567" w:hanging="567"/>
        <w:rPr>
          <w:rFonts w:cs="Arial"/>
          <w:sz w:val="18"/>
          <w:szCs w:val="18"/>
        </w:rPr>
      </w:pPr>
    </w:p>
    <w:p w:rsidR="005624E3" w:rsidRPr="00934A8A" w:rsidRDefault="005624E3" w:rsidP="005624E3">
      <w:pPr>
        <w:spacing w:line="240" w:lineRule="atLeast"/>
        <w:ind w:left="567" w:hanging="567"/>
      </w:pPr>
      <w:r>
        <w:t>2.</w:t>
      </w:r>
      <w:r>
        <w:tab/>
        <w:t>Az alábbi táblázat alkalmazásában:</w:t>
      </w:r>
    </w:p>
    <w:p w:rsidR="005624E3" w:rsidRPr="00934A8A" w:rsidRDefault="005624E3" w:rsidP="005624E3">
      <w:pPr>
        <w:spacing w:line="240" w:lineRule="atLeast"/>
        <w:ind w:left="567" w:hanging="567"/>
      </w:pPr>
    </w:p>
    <w:p w:rsidR="005624E3" w:rsidRPr="00934A8A" w:rsidRDefault="005624E3" w:rsidP="005624E3">
      <w:pPr>
        <w:spacing w:line="240" w:lineRule="atLeast"/>
        <w:ind w:left="567"/>
      </w:pPr>
      <w:r>
        <w:t>„N.R.C.”: arra utaló angol rövidítés, hogy a rendelkezés nem vonatkozik a már üzemelő vízi járművekre, kivéve, ha az érintett alkatrészeket kicserélik vagy átalakítják; azaz a rendelkezés csak újonnan épített (</w:t>
      </w:r>
      <w:r>
        <w:rPr>
          <w:u w:val="single"/>
        </w:rPr>
        <w:t>N</w:t>
      </w:r>
      <w:r>
        <w:t>ewly-built) vízi járművekre és az érintett alkatrészek vagy területek cseréjére (</w:t>
      </w:r>
      <w:r>
        <w:rPr>
          <w:u w:val="single"/>
        </w:rPr>
        <w:t>R</w:t>
      </w:r>
      <w:r>
        <w:t>eplacement) vagy átalakítására (</w:t>
      </w:r>
      <w:r>
        <w:rPr>
          <w:u w:val="single"/>
        </w:rPr>
        <w:t>C</w:t>
      </w:r>
      <w:r>
        <w:t xml:space="preserve">onversion) vonatkozik. Az átmeneti rendelkezések értelmében nem minősül cserének (R.), ha a meglevő alkatrészeket olyan cseredarabokkal váltották ki, amelyek ugyanolyan technológiájúak és ugyanolyan típusúak; </w:t>
      </w:r>
    </w:p>
    <w:p w:rsidR="005624E3" w:rsidRPr="00934A8A" w:rsidRDefault="005624E3" w:rsidP="005624E3">
      <w:pPr>
        <w:spacing w:line="240" w:lineRule="atLeast"/>
        <w:ind w:left="567"/>
      </w:pPr>
    </w:p>
    <w:p w:rsidR="005624E3" w:rsidRPr="00934A8A" w:rsidRDefault="005624E3" w:rsidP="005624E3">
      <w:pPr>
        <w:tabs>
          <w:tab w:val="left" w:pos="4678"/>
        </w:tabs>
        <w:spacing w:line="240" w:lineRule="atLeast"/>
        <w:ind w:left="567"/>
      </w:pPr>
      <w:r>
        <w:t>„a belvízi hajóbizonyítvány kiadása/megújítása”: arra utaló bejegyzés, hogy a rendelkezésnek a belvízi hajóbizonyítványnak a táblázatban megadott időpontot követő következő kiadásáig vagy megújításáig eleget kell tenni.</w:t>
      </w:r>
    </w:p>
    <w:p w:rsidR="005624E3" w:rsidRDefault="005624E3" w:rsidP="005624E3">
      <w:pPr>
        <w:spacing w:line="240" w:lineRule="atLeast"/>
        <w:ind w:left="567" w:hanging="567"/>
        <w:rPr>
          <w:rFonts w:cs="Arial"/>
          <w:sz w:val="18"/>
          <w:szCs w:val="18"/>
        </w:rPr>
      </w:pPr>
    </w:p>
    <w:p w:rsidR="005624E3" w:rsidRPr="00C903F8" w:rsidRDefault="005624E3" w:rsidP="005624E3">
      <w:pPr>
        <w:spacing w:line="240" w:lineRule="atLeast"/>
        <w:ind w:left="567" w:hanging="567"/>
        <w:rPr>
          <w:rFonts w:cs="Arial"/>
          <w:sz w:val="18"/>
          <w:szCs w:val="18"/>
        </w:rPr>
      </w:pPr>
    </w:p>
    <w:p w:rsidR="005624E3" w:rsidRPr="00C903F8" w:rsidRDefault="005624E3" w:rsidP="005624E3">
      <w:pPr>
        <w:spacing w:line="240" w:lineRule="atLeast"/>
        <w:ind w:left="567"/>
        <w:rPr>
          <w:b/>
        </w:rPr>
      </w:pPr>
    </w:p>
    <w:p w:rsidR="005624E3" w:rsidRPr="00C903F8" w:rsidRDefault="005624E3" w:rsidP="005624E3">
      <w:pPr>
        <w:spacing w:line="240" w:lineRule="atLeast"/>
        <w:ind w:left="567"/>
        <w:sectPr w:rsidR="005624E3" w:rsidRPr="00C903F8" w:rsidSect="001E2331">
          <w:headerReference w:type="default" r:id="rId34"/>
          <w:headerReference w:type="first" r:id="rId35"/>
          <w:footnotePr>
            <w:numRestart w:val="eachPage"/>
          </w:footnotePr>
          <w:pgSz w:w="16838" w:h="11906" w:orient="landscape" w:code="9"/>
          <w:pgMar w:top="1418" w:right="1418" w:bottom="1418" w:left="1418" w:header="709" w:footer="709" w:gutter="0"/>
          <w:cols w:space="709"/>
          <w:titlePg/>
          <w:docGrid w:linePitch="272"/>
        </w:sectPr>
      </w:pPr>
    </w:p>
    <w:p w:rsidR="005624E3" w:rsidRPr="00C903F8" w:rsidRDefault="005624E3" w:rsidP="005624E3"/>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5624E3" w:rsidRPr="00C903F8" w:rsidTr="005758C9">
        <w:trPr>
          <w:cantSplit/>
          <w:tblHeader/>
          <w:jc w:val="center"/>
        </w:trPr>
        <w:tc>
          <w:tcPr>
            <w:tcW w:w="2800" w:type="dxa"/>
            <w:gridSpan w:val="2"/>
            <w:shd w:val="clear" w:color="auto" w:fill="auto"/>
          </w:tcPr>
          <w:p w:rsidR="005624E3" w:rsidRPr="00C903F8" w:rsidRDefault="005624E3" w:rsidP="00101A80">
            <w:pPr>
              <w:spacing w:before="60" w:after="60" w:line="240" w:lineRule="atLeast"/>
              <w:jc w:val="center"/>
              <w:rPr>
                <w:rFonts w:cs="Arial"/>
                <w:sz w:val="18"/>
                <w:szCs w:val="18"/>
              </w:rPr>
            </w:pPr>
            <w:r>
              <w:rPr>
                <w:i/>
                <w:sz w:val="18"/>
              </w:rPr>
              <w:t>Cikk és bekezdés</w:t>
            </w:r>
          </w:p>
        </w:tc>
        <w:tc>
          <w:tcPr>
            <w:tcW w:w="3296" w:type="dxa"/>
            <w:shd w:val="clear" w:color="auto" w:fill="auto"/>
          </w:tcPr>
          <w:p w:rsidR="005624E3" w:rsidRPr="00C903F8" w:rsidRDefault="005624E3" w:rsidP="00101A80">
            <w:pPr>
              <w:spacing w:before="60" w:after="60" w:line="240" w:lineRule="atLeast"/>
              <w:jc w:val="center"/>
              <w:rPr>
                <w:rFonts w:cs="Arial"/>
                <w:sz w:val="18"/>
                <w:szCs w:val="18"/>
              </w:rPr>
            </w:pPr>
            <w:r>
              <w:rPr>
                <w:i/>
                <w:sz w:val="18"/>
              </w:rPr>
              <w:t>Tartalom</w:t>
            </w:r>
          </w:p>
        </w:tc>
        <w:tc>
          <w:tcPr>
            <w:tcW w:w="7797" w:type="dxa"/>
            <w:gridSpan w:val="2"/>
            <w:shd w:val="clear" w:color="auto" w:fill="auto"/>
          </w:tcPr>
          <w:p w:rsidR="005624E3" w:rsidRPr="00C903F8" w:rsidRDefault="005624E3" w:rsidP="00101A80">
            <w:pPr>
              <w:spacing w:before="60" w:after="60" w:line="240" w:lineRule="atLeast"/>
              <w:jc w:val="center"/>
              <w:rPr>
                <w:rFonts w:cs="Arial"/>
                <w:sz w:val="18"/>
                <w:szCs w:val="18"/>
              </w:rPr>
            </w:pPr>
            <w:r>
              <w:rPr>
                <w:i/>
                <w:sz w:val="18"/>
              </w:rPr>
              <w:t>Határidő és megjegyzések</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60" w:after="160" w:line="240" w:lineRule="atLeast"/>
              <w:jc w:val="center"/>
              <w:rPr>
                <w:rFonts w:cs="Arial"/>
                <w:b/>
                <w:sz w:val="18"/>
                <w:szCs w:val="18"/>
              </w:rPr>
            </w:pPr>
            <w:r>
              <w:rPr>
                <w:b/>
                <w:sz w:val="18"/>
              </w:rPr>
              <w:t>3. FEJEZET</w:t>
            </w:r>
          </w:p>
        </w:tc>
        <w:tc>
          <w:tcPr>
            <w:tcW w:w="6521" w:type="dxa"/>
            <w:shd w:val="clear" w:color="auto" w:fill="auto"/>
          </w:tcPr>
          <w:p w:rsidR="005624E3" w:rsidRPr="00C903F8" w:rsidRDefault="005624E3" w:rsidP="00101A80">
            <w:pPr>
              <w:spacing w:before="160" w:after="160" w:line="240" w:lineRule="atLeast"/>
              <w:rPr>
                <w:rFonts w:cs="Arial"/>
                <w:sz w:val="18"/>
                <w:szCs w:val="18"/>
              </w:rPr>
            </w:pPr>
          </w:p>
        </w:tc>
        <w:tc>
          <w:tcPr>
            <w:tcW w:w="1276" w:type="dxa"/>
            <w:shd w:val="clear" w:color="auto" w:fill="auto"/>
          </w:tcPr>
          <w:p w:rsidR="005624E3" w:rsidRPr="00C903F8" w:rsidRDefault="005624E3" w:rsidP="00101A80">
            <w:pPr>
              <w:spacing w:before="160" w:after="160" w:line="240" w:lineRule="atLeast"/>
              <w:rPr>
                <w:rFonts w:cs="Arial"/>
                <w:sz w:val="18"/>
                <w:szCs w:val="18"/>
              </w:rPr>
            </w:pPr>
          </w:p>
        </w:tc>
      </w:tr>
      <w:tr w:rsidR="005624E3" w:rsidRPr="00C903F8" w:rsidTr="005758C9">
        <w:trPr>
          <w:cantSplit/>
          <w:jc w:val="center"/>
        </w:trPr>
        <w:tc>
          <w:tcPr>
            <w:tcW w:w="1342" w:type="dxa"/>
            <w:vMerge w:val="restart"/>
            <w:shd w:val="clear" w:color="auto" w:fill="auto"/>
          </w:tcPr>
          <w:p w:rsidR="005624E3" w:rsidRPr="00C903F8" w:rsidRDefault="005624E3" w:rsidP="00101A80">
            <w:pPr>
              <w:spacing w:before="160" w:after="160" w:line="240" w:lineRule="atLeast"/>
              <w:rPr>
                <w:rFonts w:cs="Arial"/>
                <w:sz w:val="18"/>
                <w:szCs w:val="18"/>
              </w:rPr>
            </w:pPr>
            <w:r>
              <w:rPr>
                <w:sz w:val="18"/>
              </w:rPr>
              <w:t>3.03.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 bekezdés a) pont</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Az ütközési válaszfal helyzete</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2049.12.30.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 bekezdés b) pont</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A farválaszfal helyzete</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2049.12.30.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vMerge w:val="restart"/>
            <w:shd w:val="clear" w:color="auto" w:fill="auto"/>
          </w:tcPr>
          <w:p w:rsidR="005624E3" w:rsidRPr="00C903F8" w:rsidRDefault="005624E3" w:rsidP="00101A80">
            <w:pPr>
              <w:spacing w:before="160" w:after="16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Lakótér az ütközési válaszfal előtt</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2024.12.30.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vMerge/>
            <w:shd w:val="clear" w:color="auto" w:fill="auto"/>
          </w:tcPr>
          <w:p w:rsidR="005624E3" w:rsidRPr="00C903F8" w:rsidRDefault="005624E3" w:rsidP="00101A80">
            <w:pPr>
              <w:spacing w:before="160" w:after="160" w:line="240" w:lineRule="atLeast"/>
              <w:rPr>
                <w:rFonts w:cs="Arial"/>
                <w:sz w:val="18"/>
                <w:szCs w:val="18"/>
              </w:rPr>
            </w:pPr>
          </w:p>
        </w:tc>
        <w:tc>
          <w:tcPr>
            <w:tcW w:w="3296" w:type="dxa"/>
            <w:shd w:val="clear" w:color="auto" w:fill="auto"/>
          </w:tcPr>
          <w:p w:rsidR="005624E3" w:rsidRPr="00C903F8" w:rsidRDefault="005624E3" w:rsidP="00101A80">
            <w:pPr>
              <w:tabs>
                <w:tab w:val="left" w:pos="2790"/>
              </w:tabs>
              <w:spacing w:before="160" w:after="160" w:line="240" w:lineRule="atLeast"/>
              <w:rPr>
                <w:rFonts w:cs="Arial"/>
                <w:sz w:val="18"/>
                <w:szCs w:val="18"/>
              </w:rPr>
            </w:pPr>
            <w:r>
              <w:rPr>
                <w:sz w:val="18"/>
              </w:rPr>
              <w:t>Lakótér a farválaszfal mögött</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2059.12.30.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vMerge/>
            <w:shd w:val="clear" w:color="auto" w:fill="auto"/>
          </w:tcPr>
          <w:p w:rsidR="005624E3" w:rsidRPr="00C903F8" w:rsidRDefault="005624E3" w:rsidP="00101A80">
            <w:pPr>
              <w:spacing w:before="160" w:after="160" w:line="240" w:lineRule="atLeast"/>
              <w:rPr>
                <w:rFonts w:cs="Arial"/>
                <w:sz w:val="18"/>
                <w:szCs w:val="18"/>
              </w:rPr>
            </w:pP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Biztonsági berendezések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2029.12.30.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A lakóterek gázzáró módon való elválasztása a gépterektől, kazánterektől és rakományterektől</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2024.12.30.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5. bekezdés második albekezdés</w:t>
            </w:r>
          </w:p>
        </w:tc>
        <w:tc>
          <w:tcPr>
            <w:tcW w:w="3296" w:type="dxa"/>
            <w:shd w:val="clear" w:color="auto" w:fill="auto"/>
          </w:tcPr>
          <w:p w:rsidR="005624E3" w:rsidRPr="00C903F8" w:rsidRDefault="005624E3" w:rsidP="00101A80">
            <w:pPr>
              <w:tabs>
                <w:tab w:val="left" w:pos="1260"/>
              </w:tabs>
              <w:spacing w:before="160" w:after="160" w:line="240" w:lineRule="atLeast"/>
              <w:rPr>
                <w:rFonts w:cs="Arial"/>
                <w:sz w:val="18"/>
                <w:szCs w:val="18"/>
              </w:rPr>
            </w:pPr>
            <w:r>
              <w:rPr>
                <w:sz w:val="18"/>
              </w:rPr>
              <w:t>A farválaszfalon lévő ajtók ellenőrzése</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2024.12.30.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A hajók orr-részén nem túlnyúló horgonyok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2049.12.30.</w:t>
            </w:r>
          </w:p>
        </w:tc>
      </w:tr>
      <w:tr w:rsidR="005624E3" w:rsidRPr="00A0619C" w:rsidTr="005758C9">
        <w:trPr>
          <w:cantSplit/>
          <w:jc w:val="center"/>
        </w:trPr>
        <w:tc>
          <w:tcPr>
            <w:tcW w:w="1342" w:type="dxa"/>
            <w:vMerge w:val="restart"/>
            <w:shd w:val="clear" w:color="auto" w:fill="auto"/>
          </w:tcPr>
          <w:p w:rsidR="005624E3" w:rsidRPr="00C903F8" w:rsidRDefault="005624E3" w:rsidP="00101A80">
            <w:pPr>
              <w:spacing w:before="160" w:after="160" w:line="240" w:lineRule="atLeast"/>
              <w:rPr>
                <w:rFonts w:cs="Arial"/>
                <w:sz w:val="18"/>
                <w:szCs w:val="18"/>
              </w:rPr>
            </w:pPr>
            <w:r>
              <w:rPr>
                <w:sz w:val="18"/>
              </w:rPr>
              <w:t>3.04.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3. bekezdés második mondat</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Szigetelés a gépterekben</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160" w:after="160" w:line="240" w:lineRule="atLeast"/>
              <w:rPr>
                <w:rFonts w:cs="Arial"/>
                <w:sz w:val="18"/>
                <w:szCs w:val="18"/>
              </w:rPr>
            </w:pPr>
          </w:p>
        </w:tc>
      </w:tr>
      <w:tr w:rsidR="005624E3" w:rsidRPr="00A0619C" w:rsidTr="005758C9">
        <w:trPr>
          <w:cantSplit/>
          <w:jc w:val="center"/>
        </w:trPr>
        <w:tc>
          <w:tcPr>
            <w:tcW w:w="1342" w:type="dxa"/>
            <w:vMerge/>
            <w:shd w:val="clear" w:color="auto" w:fill="auto"/>
          </w:tcPr>
          <w:p w:rsidR="005624E3" w:rsidRPr="00C903F8" w:rsidRDefault="005624E3" w:rsidP="00101A80">
            <w:pPr>
              <w:spacing w:before="160" w:after="160" w:line="240" w:lineRule="atLeast"/>
              <w:jc w:val="center"/>
              <w:rPr>
                <w:rFonts w:cs="Arial"/>
                <w:b/>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3. bekezdés harmadik és negyedik mondat</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Nyitó- és zárószerkezetek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160" w:after="160" w:line="240" w:lineRule="atLeast"/>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40" w:after="140" w:line="240" w:lineRule="atLeast"/>
              <w:jc w:val="center"/>
              <w:rPr>
                <w:rFonts w:cs="Arial"/>
                <w:b/>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sz w:val="18"/>
              </w:rPr>
              <w:t>Gépterek kijáratai</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2049.12.30.</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40" w:after="140" w:line="240" w:lineRule="atLeast"/>
              <w:jc w:val="center"/>
              <w:rPr>
                <w:rFonts w:cs="Arial"/>
                <w:sz w:val="18"/>
                <w:szCs w:val="18"/>
              </w:rPr>
            </w:pPr>
            <w:r>
              <w:rPr>
                <w:b/>
                <w:sz w:val="18"/>
              </w:rPr>
              <w:t>4. FEJEZET</w:t>
            </w:r>
          </w:p>
        </w:tc>
        <w:tc>
          <w:tcPr>
            <w:tcW w:w="6521" w:type="dxa"/>
            <w:shd w:val="clear" w:color="auto" w:fill="auto"/>
          </w:tcPr>
          <w:p w:rsidR="005624E3" w:rsidRPr="00C903F8" w:rsidRDefault="005624E3" w:rsidP="00101A80">
            <w:pPr>
              <w:spacing w:before="140" w:after="140" w:line="240" w:lineRule="atLeast"/>
              <w:rPr>
                <w:rFonts w:cs="Arial"/>
                <w:sz w:val="18"/>
                <w:szCs w:val="18"/>
              </w:rPr>
            </w:pPr>
          </w:p>
        </w:tc>
        <w:tc>
          <w:tcPr>
            <w:tcW w:w="1276" w:type="dxa"/>
            <w:shd w:val="clear" w:color="auto" w:fill="auto"/>
          </w:tcPr>
          <w:p w:rsidR="005624E3" w:rsidRPr="00C903F8" w:rsidRDefault="005624E3" w:rsidP="00101A80">
            <w:pPr>
              <w:spacing w:before="140" w:after="140" w:line="240" w:lineRule="atLeast"/>
              <w:rPr>
                <w:rFonts w:cs="Arial"/>
                <w:sz w:val="18"/>
                <w:szCs w:val="18"/>
              </w:rPr>
            </w:pPr>
          </w:p>
        </w:tc>
      </w:tr>
      <w:tr w:rsidR="005624E3" w:rsidRPr="00C903F8" w:rsidTr="005758C9">
        <w:trPr>
          <w:cantSplit/>
          <w:jc w:val="center"/>
        </w:trPr>
        <w:tc>
          <w:tcPr>
            <w:tcW w:w="1342" w:type="dxa"/>
            <w:shd w:val="clear" w:color="auto" w:fill="auto"/>
          </w:tcPr>
          <w:p w:rsidR="005624E3" w:rsidRPr="00C903F8" w:rsidRDefault="005624E3" w:rsidP="00101A80">
            <w:pPr>
              <w:spacing w:before="140" w:after="140" w:line="240" w:lineRule="atLeast"/>
              <w:rPr>
                <w:rFonts w:cs="Arial"/>
                <w:sz w:val="18"/>
                <w:szCs w:val="18"/>
              </w:rPr>
            </w:pPr>
            <w:r>
              <w:rPr>
                <w:sz w:val="18"/>
              </w:rPr>
              <w:t>4.04.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Merülési vonalak</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2024.12.30.</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40" w:after="140" w:line="240" w:lineRule="atLeast"/>
              <w:jc w:val="center"/>
              <w:rPr>
                <w:rFonts w:cs="Arial"/>
                <w:sz w:val="18"/>
                <w:szCs w:val="18"/>
              </w:rPr>
            </w:pPr>
            <w:r>
              <w:rPr>
                <w:b/>
                <w:sz w:val="18"/>
              </w:rPr>
              <w:t>5. FEJEZET</w:t>
            </w:r>
          </w:p>
        </w:tc>
        <w:tc>
          <w:tcPr>
            <w:tcW w:w="6521" w:type="dxa"/>
            <w:shd w:val="clear" w:color="auto" w:fill="auto"/>
          </w:tcPr>
          <w:p w:rsidR="005624E3" w:rsidRPr="00C903F8" w:rsidRDefault="005624E3" w:rsidP="00101A80">
            <w:pPr>
              <w:spacing w:before="140" w:after="140" w:line="240" w:lineRule="atLeast"/>
              <w:rPr>
                <w:rFonts w:cs="Arial"/>
                <w:b/>
                <w:sz w:val="18"/>
                <w:szCs w:val="18"/>
              </w:rPr>
            </w:pPr>
          </w:p>
        </w:tc>
        <w:tc>
          <w:tcPr>
            <w:tcW w:w="1276" w:type="dxa"/>
            <w:shd w:val="clear" w:color="auto" w:fill="auto"/>
          </w:tcPr>
          <w:p w:rsidR="005624E3" w:rsidRPr="00C903F8" w:rsidRDefault="005624E3" w:rsidP="00101A80">
            <w:pPr>
              <w:spacing w:before="140" w:after="140" w:line="240" w:lineRule="atLeast"/>
              <w:rPr>
                <w:rFonts w:cs="Arial"/>
                <w:sz w:val="18"/>
                <w:szCs w:val="18"/>
              </w:rPr>
            </w:pPr>
          </w:p>
        </w:tc>
      </w:tr>
      <w:tr w:rsidR="005624E3" w:rsidRPr="00C903F8" w:rsidTr="005758C9">
        <w:trPr>
          <w:cantSplit/>
          <w:jc w:val="center"/>
        </w:trPr>
        <w:tc>
          <w:tcPr>
            <w:tcW w:w="1342" w:type="dxa"/>
            <w:shd w:val="clear" w:color="auto" w:fill="auto"/>
          </w:tcPr>
          <w:p w:rsidR="005624E3" w:rsidRPr="00C903F8" w:rsidRDefault="005624E3" w:rsidP="00101A80">
            <w:pPr>
              <w:spacing w:before="140" w:after="140" w:line="240" w:lineRule="atLeast"/>
              <w:rPr>
                <w:rFonts w:cs="Arial"/>
                <w:sz w:val="18"/>
                <w:szCs w:val="18"/>
              </w:rPr>
            </w:pPr>
            <w:r>
              <w:rPr>
                <w:sz w:val="18"/>
              </w:rPr>
              <w:t>5.06.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 bekezdés első mondat</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Minimális menetsebesség</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2049.12.30.</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40" w:after="140" w:line="240" w:lineRule="atLeast"/>
              <w:jc w:val="center"/>
              <w:rPr>
                <w:rFonts w:cs="Arial"/>
                <w:sz w:val="18"/>
                <w:szCs w:val="18"/>
              </w:rPr>
            </w:pPr>
            <w:r>
              <w:rPr>
                <w:b/>
                <w:sz w:val="18"/>
              </w:rPr>
              <w:t>6. FEJEZET</w:t>
            </w:r>
          </w:p>
        </w:tc>
        <w:tc>
          <w:tcPr>
            <w:tcW w:w="6521" w:type="dxa"/>
            <w:shd w:val="clear" w:color="auto" w:fill="auto"/>
          </w:tcPr>
          <w:p w:rsidR="005624E3" w:rsidRPr="00C903F8" w:rsidRDefault="005624E3" w:rsidP="00101A80">
            <w:pPr>
              <w:spacing w:before="140" w:after="140" w:line="240" w:lineRule="atLeast"/>
              <w:rPr>
                <w:rFonts w:cs="Arial"/>
                <w:sz w:val="18"/>
                <w:szCs w:val="18"/>
              </w:rPr>
            </w:pPr>
          </w:p>
        </w:tc>
        <w:tc>
          <w:tcPr>
            <w:tcW w:w="1276" w:type="dxa"/>
            <w:shd w:val="clear" w:color="auto" w:fill="auto"/>
          </w:tcPr>
          <w:p w:rsidR="005624E3" w:rsidRPr="00C903F8" w:rsidRDefault="005624E3" w:rsidP="00101A80">
            <w:pPr>
              <w:spacing w:before="140" w:after="140" w:line="240" w:lineRule="atLeast"/>
              <w:rPr>
                <w:rFonts w:cs="Arial"/>
                <w:sz w:val="18"/>
                <w:szCs w:val="18"/>
              </w:rPr>
            </w:pPr>
          </w:p>
        </w:tc>
      </w:tr>
      <w:tr w:rsidR="005624E3" w:rsidRPr="00C903F8" w:rsidTr="005758C9">
        <w:trPr>
          <w:cantSplit/>
          <w:jc w:val="center"/>
        </w:trPr>
        <w:tc>
          <w:tcPr>
            <w:tcW w:w="1342" w:type="dxa"/>
            <w:vMerge w:val="restart"/>
            <w:shd w:val="clear" w:color="auto" w:fill="auto"/>
          </w:tcPr>
          <w:p w:rsidR="005624E3" w:rsidRPr="00C903F8" w:rsidRDefault="005624E3" w:rsidP="00101A80">
            <w:pPr>
              <w:spacing w:before="140" w:after="140" w:line="240" w:lineRule="atLeast"/>
              <w:rPr>
                <w:rFonts w:cs="Arial"/>
                <w:sz w:val="18"/>
                <w:szCs w:val="18"/>
              </w:rPr>
            </w:pPr>
            <w:r>
              <w:rPr>
                <w:sz w:val="18"/>
              </w:rPr>
              <w:t>6.01.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sz w:val="18"/>
              </w:rPr>
              <w:t>Az 5. fejezetben előírt műveletképesség</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2049.12.30.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3. bekezdés</w:t>
            </w:r>
          </w:p>
        </w:tc>
        <w:tc>
          <w:tcPr>
            <w:tcW w:w="3296" w:type="dxa"/>
            <w:shd w:val="clear" w:color="auto" w:fill="auto"/>
          </w:tcPr>
          <w:p w:rsidR="005624E3" w:rsidRPr="00C903F8" w:rsidRDefault="00166EA9" w:rsidP="00101A80">
            <w:pPr>
              <w:spacing w:before="140" w:after="140" w:line="240" w:lineRule="atLeast"/>
              <w:rPr>
                <w:rFonts w:cs="Arial"/>
                <w:sz w:val="18"/>
                <w:szCs w:val="18"/>
              </w:rPr>
            </w:pPr>
            <w:r w:rsidRPr="00166EA9">
              <w:rPr>
                <w:sz w:val="18"/>
              </w:rPr>
              <w:t>Állandó dőlésszög és környezeti hőmérséklet</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2024.12.30.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sz w:val="18"/>
              </w:rPr>
              <w:t>A kormányszár szerkezete</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2029.12.30.</w:t>
            </w:r>
          </w:p>
        </w:tc>
      </w:tr>
      <w:tr w:rsidR="005624E3" w:rsidRPr="00C903F8" w:rsidTr="005758C9">
        <w:trPr>
          <w:cantSplit/>
          <w:jc w:val="center"/>
        </w:trPr>
        <w:tc>
          <w:tcPr>
            <w:tcW w:w="1342" w:type="dxa"/>
            <w:vMerge w:val="restart"/>
            <w:shd w:val="clear" w:color="auto" w:fill="auto"/>
          </w:tcPr>
          <w:p w:rsidR="005624E3" w:rsidRPr="00C903F8" w:rsidRDefault="005624E3" w:rsidP="00101A80">
            <w:pPr>
              <w:spacing w:before="140" w:after="140" w:line="240" w:lineRule="atLeast"/>
              <w:rPr>
                <w:rFonts w:cs="Arial"/>
                <w:sz w:val="18"/>
                <w:szCs w:val="18"/>
              </w:rPr>
            </w:pPr>
            <w:r>
              <w:rPr>
                <w:sz w:val="18"/>
              </w:rPr>
              <w:t>6.02. cikk</w:t>
            </w:r>
          </w:p>
        </w:tc>
        <w:tc>
          <w:tcPr>
            <w:tcW w:w="1458" w:type="dxa"/>
            <w:vMerge w:val="restart"/>
            <w:shd w:val="clear" w:color="auto" w:fill="auto"/>
          </w:tcPr>
          <w:p w:rsidR="005624E3" w:rsidRPr="00C903F8" w:rsidRDefault="005624E3" w:rsidP="00101A80">
            <w:pPr>
              <w:spacing w:before="140" w:after="14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Külön hidraulikatartályok megléte </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2026.01.01.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40" w:after="140" w:line="240" w:lineRule="atLeast"/>
              <w:rPr>
                <w:rFonts w:cs="Arial"/>
                <w:sz w:val="18"/>
                <w:szCs w:val="18"/>
              </w:rPr>
            </w:pPr>
          </w:p>
        </w:tc>
        <w:tc>
          <w:tcPr>
            <w:tcW w:w="1458" w:type="dxa"/>
            <w:vMerge/>
            <w:shd w:val="clear" w:color="auto" w:fill="auto"/>
          </w:tcPr>
          <w:p w:rsidR="005624E3" w:rsidRPr="00C903F8" w:rsidRDefault="005624E3" w:rsidP="00101A80">
            <w:pPr>
              <w:spacing w:before="140" w:after="140" w:line="240" w:lineRule="atLeast"/>
              <w:rPr>
                <w:rFonts w:cs="Arial"/>
                <w:sz w:val="18"/>
                <w:szCs w:val="18"/>
              </w:rPr>
            </w:pP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sz w:val="18"/>
              </w:rPr>
              <w:t>Két vezérlőszelep hidraulikus meghajtóegységek esetében</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2026.01.01.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40" w:after="140" w:line="240" w:lineRule="atLeast"/>
              <w:rPr>
                <w:rFonts w:cs="Arial"/>
                <w:sz w:val="18"/>
                <w:szCs w:val="18"/>
              </w:rPr>
            </w:pPr>
          </w:p>
        </w:tc>
        <w:tc>
          <w:tcPr>
            <w:tcW w:w="1458" w:type="dxa"/>
            <w:vMerge/>
            <w:shd w:val="clear" w:color="auto" w:fill="auto"/>
          </w:tcPr>
          <w:p w:rsidR="005624E3" w:rsidRPr="00C903F8" w:rsidRDefault="005624E3" w:rsidP="00101A80">
            <w:pPr>
              <w:spacing w:before="140" w:after="140" w:line="240" w:lineRule="atLeast"/>
              <w:rPr>
                <w:rFonts w:cs="Arial"/>
                <w:sz w:val="18"/>
                <w:szCs w:val="18"/>
              </w:rPr>
            </w:pPr>
          </w:p>
        </w:tc>
        <w:tc>
          <w:tcPr>
            <w:tcW w:w="3296" w:type="dxa"/>
            <w:shd w:val="clear" w:color="auto" w:fill="auto"/>
          </w:tcPr>
          <w:p w:rsidR="005624E3" w:rsidRPr="00C903F8" w:rsidRDefault="005624E3" w:rsidP="00101A80">
            <w:pPr>
              <w:tabs>
                <w:tab w:val="left" w:pos="1125"/>
              </w:tabs>
              <w:spacing w:before="140" w:after="140" w:line="240" w:lineRule="atLeast"/>
              <w:rPr>
                <w:rFonts w:cs="Arial"/>
                <w:sz w:val="18"/>
                <w:szCs w:val="18"/>
              </w:rPr>
            </w:pPr>
            <w:r>
              <w:rPr>
                <w:sz w:val="18"/>
              </w:rPr>
              <w:t>Külön csővezeték a második meghajtóegység számára hidraulikus meghajtóegységek esetében</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2026.01.01.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sz w:val="18"/>
              </w:rPr>
              <w:t>Külön csővezeték a második meghajtóegység számára hidraulikus meghajtóegységek esetében</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2026.01.01.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sz w:val="18"/>
              </w:rPr>
              <w:t>Az 5. fejezetben előírt műveletképesség biztosítása egy második meghajtóegységgel vagy kézi hajtással</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2049.12.30.</w:t>
            </w:r>
          </w:p>
        </w:tc>
      </w:tr>
      <w:tr w:rsidR="005624E3" w:rsidRPr="00C903F8" w:rsidTr="005758C9">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6.03.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sz w:val="18"/>
              </w:rPr>
              <w:t>Egyéb fogyasztók rákapcsolása a kormánygép hidraulikus meghajtóegységére</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2026.01.01.</w:t>
            </w:r>
          </w:p>
        </w:tc>
      </w:tr>
      <w:tr w:rsidR="005624E3" w:rsidRPr="00C903F8" w:rsidTr="005758C9">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6.05.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sz w:val="18"/>
              </w:rPr>
              <w:t>Gépi meghajtóegység nélküli, kézi kormánykerék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2024.12.30.</w:t>
            </w: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60" w:after="60" w:line="240" w:lineRule="atLeast"/>
              <w:rPr>
                <w:rFonts w:cs="Arial"/>
                <w:sz w:val="18"/>
                <w:szCs w:val="18"/>
              </w:rPr>
            </w:pPr>
            <w:r>
              <w:rPr>
                <w:sz w:val="18"/>
              </w:rPr>
              <w:t>6.06.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Két egymástól független kormányvezérlés</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2029.12.30.</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6.07.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 a) pont</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A hidraulikatartályok szintjére és a hidraulikus rendszer üzemi nyomására vonatkozó riasztás</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2026.01.01.</w:t>
            </w:r>
          </w:p>
        </w:tc>
      </w:tr>
      <w:tr w:rsidR="005624E3" w:rsidRPr="00A0619C" w:rsidTr="005758C9">
        <w:trPr>
          <w:cantSplit/>
          <w:jc w:val="center"/>
        </w:trPr>
        <w:tc>
          <w:tcPr>
            <w:tcW w:w="1342" w:type="dxa"/>
            <w:tcBorders>
              <w:top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 e) pont</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sz w:val="18"/>
              </w:rPr>
              <w:t>A pufferberendezések ellenőrzése</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6.08.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sz w:val="18"/>
              </w:rPr>
              <w:t>Az elektromos berendezésekre vonatkozó, 10.20. cikk szerinti követelmények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2029.12.30.</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7.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7.02.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2–6. bekezdés</w:t>
            </w:r>
          </w:p>
        </w:tc>
        <w:tc>
          <w:tcPr>
            <w:tcW w:w="3296" w:type="dxa"/>
            <w:shd w:val="clear" w:color="auto" w:fill="auto"/>
          </w:tcPr>
          <w:p w:rsidR="005624E3" w:rsidRPr="00C903F8" w:rsidRDefault="00C323D2" w:rsidP="00101A80">
            <w:pPr>
              <w:tabs>
                <w:tab w:val="right" w:pos="3856"/>
                <w:tab w:val="center" w:pos="4536"/>
                <w:tab w:val="left" w:pos="6521"/>
                <w:tab w:val="right" w:pos="9072"/>
              </w:tabs>
              <w:spacing w:before="60" w:after="60" w:line="240" w:lineRule="atLeast"/>
              <w:rPr>
                <w:rFonts w:cs="Arial"/>
                <w:sz w:val="18"/>
                <w:szCs w:val="18"/>
              </w:rPr>
            </w:pPr>
            <w:r>
              <w:rPr>
                <w:color w:val="000000"/>
                <w:sz w:val="18"/>
              </w:rPr>
              <w:t>Szabad</w:t>
            </w:r>
            <w:r w:rsidR="005624E3">
              <w:rPr>
                <w:color w:val="000000"/>
                <w:sz w:val="18"/>
              </w:rPr>
              <w:t xml:space="preserve"> kilátás a kormányállásból a következő szektorok kivételével:</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2049.01.01.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jc w:val="center"/>
              <w:rPr>
                <w:rFonts w:cs="Arial"/>
                <w:b/>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3. bekezdés második albekezdés</w:t>
            </w:r>
          </w:p>
        </w:tc>
        <w:tc>
          <w:tcPr>
            <w:tcW w:w="3296" w:type="dxa"/>
            <w:shd w:val="clear" w:color="auto" w:fill="auto"/>
          </w:tcPr>
          <w:p w:rsidR="005624E3" w:rsidRPr="00C903F8" w:rsidRDefault="005758C9" w:rsidP="00101A80">
            <w:pPr>
              <w:tabs>
                <w:tab w:val="right" w:pos="3856"/>
                <w:tab w:val="center" w:pos="4536"/>
                <w:tab w:val="left" w:pos="6521"/>
                <w:tab w:val="right" w:pos="9072"/>
              </w:tabs>
              <w:spacing w:before="100" w:after="100" w:line="240" w:lineRule="atLeast"/>
              <w:rPr>
                <w:rFonts w:cs="Arial"/>
                <w:sz w:val="18"/>
                <w:szCs w:val="18"/>
              </w:rPr>
            </w:pPr>
            <w:r w:rsidRPr="005758C9">
              <w:rPr>
                <w:color w:val="000000"/>
                <w:sz w:val="18"/>
              </w:rPr>
              <w:t>Szabad kilátás a kormányos szokásos látóterének tengelyében</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2029.12.30.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vMerge w:val="restart"/>
            <w:shd w:val="clear" w:color="auto" w:fill="auto"/>
          </w:tcPr>
          <w:p w:rsidR="005624E3" w:rsidRPr="00C903F8" w:rsidRDefault="005624E3" w:rsidP="00101A80">
            <w:pPr>
              <w:spacing w:before="100" w:after="100" w:line="240" w:lineRule="atLeast"/>
              <w:rPr>
                <w:rFonts w:cs="Arial"/>
                <w:sz w:val="18"/>
                <w:szCs w:val="18"/>
              </w:rPr>
            </w:pPr>
            <w:r>
              <w:rPr>
                <w:sz w:val="18"/>
              </w:rPr>
              <w:t>6. bekezdés</w:t>
            </w:r>
          </w:p>
        </w:tc>
        <w:tc>
          <w:tcPr>
            <w:tcW w:w="3296" w:type="dxa"/>
            <w:vMerge w:val="restart"/>
            <w:shd w:val="clear" w:color="auto" w:fill="auto"/>
          </w:tcPr>
          <w:p w:rsidR="005624E3" w:rsidRPr="00C903F8" w:rsidRDefault="005624E3" w:rsidP="00101A80">
            <w:pPr>
              <w:tabs>
                <w:tab w:val="right" w:pos="3856"/>
                <w:tab w:val="center" w:pos="4536"/>
                <w:tab w:val="left" w:pos="6521"/>
                <w:tab w:val="right" w:pos="9072"/>
              </w:tabs>
              <w:spacing w:before="100" w:after="100" w:line="240" w:lineRule="atLeast"/>
              <w:rPr>
                <w:rFonts w:cs="Arial"/>
                <w:color w:val="000000"/>
                <w:sz w:val="18"/>
                <w:szCs w:val="18"/>
              </w:rPr>
            </w:pPr>
            <w:r>
              <w:rPr>
                <w:color w:val="000000"/>
                <w:sz w:val="18"/>
              </w:rPr>
              <w:t>Az ablaküveg minimális fényátbocsátása</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2024.01.01.</w:t>
            </w: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vMerge/>
            <w:shd w:val="clear" w:color="auto" w:fill="auto"/>
          </w:tcPr>
          <w:p w:rsidR="005624E3" w:rsidRPr="00C903F8" w:rsidRDefault="005624E3" w:rsidP="00101A80">
            <w:pPr>
              <w:spacing w:before="120" w:after="120" w:line="240" w:lineRule="atLeast"/>
              <w:rPr>
                <w:rFonts w:cs="Arial"/>
                <w:sz w:val="18"/>
                <w:szCs w:val="18"/>
              </w:rPr>
            </w:pPr>
          </w:p>
        </w:tc>
        <w:tc>
          <w:tcPr>
            <w:tcW w:w="3296" w:type="dxa"/>
            <w:vMerge/>
            <w:shd w:val="clear" w:color="auto" w:fill="auto"/>
          </w:tcPr>
          <w:p w:rsidR="005624E3" w:rsidRPr="00C903F8" w:rsidRDefault="005624E3" w:rsidP="00101A80">
            <w:pPr>
              <w:spacing w:before="120" w:after="120" w:line="240" w:lineRule="atLeast"/>
              <w:rPr>
                <w:rFonts w:cs="Arial"/>
                <w:sz w:val="18"/>
                <w:szCs w:val="18"/>
              </w:rPr>
            </w:pPr>
          </w:p>
        </w:tc>
        <w:tc>
          <w:tcPr>
            <w:tcW w:w="6521" w:type="dxa"/>
            <w:shd w:val="clear" w:color="auto" w:fill="auto"/>
          </w:tcPr>
          <w:p w:rsidR="005624E3" w:rsidRPr="00C903F8" w:rsidRDefault="005624E3" w:rsidP="00101A80">
            <w:pPr>
              <w:tabs>
                <w:tab w:val="left" w:pos="57"/>
                <w:tab w:val="left" w:pos="907"/>
              </w:tabs>
              <w:overflowPunct w:val="0"/>
              <w:adjustRightInd w:val="0"/>
              <w:spacing w:before="120" w:after="120" w:line="240" w:lineRule="atLeast"/>
              <w:ind w:right="57"/>
              <w:textAlignment w:val="baseline"/>
              <w:rPr>
                <w:rFonts w:cs="Arial"/>
                <w:sz w:val="18"/>
                <w:szCs w:val="18"/>
              </w:rPr>
            </w:pPr>
            <w:r>
              <w:rPr>
                <w:sz w:val="18"/>
              </w:rPr>
              <w:t>N.R.C. színezett üvegezéssel rendelkező hajók esetében, ha teljesülnek az alábbi feltételek:</w:t>
            </w:r>
          </w:p>
          <w:p w:rsidR="005624E3" w:rsidRPr="00C903F8" w:rsidRDefault="005624E3" w:rsidP="00101A80">
            <w:pPr>
              <w:spacing w:before="120" w:after="120" w:line="240" w:lineRule="atLeast"/>
              <w:ind w:left="317" w:hanging="317"/>
              <w:rPr>
                <w:rFonts w:cs="Arial"/>
                <w:sz w:val="18"/>
                <w:szCs w:val="18"/>
              </w:rPr>
            </w:pPr>
            <w:r>
              <w:rPr>
                <w:sz w:val="18"/>
              </w:rPr>
              <w:t>-</w:t>
            </w:r>
            <w:r>
              <w:tab/>
            </w:r>
            <w:r>
              <w:rPr>
                <w:sz w:val="18"/>
              </w:rPr>
              <w:t>az ablakok színezése zöld, és fényátbocsátásuk legalább 60 %-os,</w:t>
            </w:r>
          </w:p>
          <w:p w:rsidR="005624E3" w:rsidRPr="00C903F8" w:rsidRDefault="005624E3" w:rsidP="00101A80">
            <w:pPr>
              <w:spacing w:before="120" w:after="120" w:line="240" w:lineRule="atLeast"/>
              <w:ind w:left="317" w:hanging="317"/>
              <w:rPr>
                <w:rFonts w:cs="Arial"/>
                <w:sz w:val="18"/>
                <w:szCs w:val="18"/>
              </w:rPr>
            </w:pPr>
            <w:r>
              <w:rPr>
                <w:sz w:val="18"/>
              </w:rPr>
              <w:t>-</w:t>
            </w:r>
            <w:r>
              <w:tab/>
            </w:r>
            <w:r>
              <w:rPr>
                <w:sz w:val="18"/>
              </w:rPr>
              <w:t>a kormányállás plafonját úgy alakították ki, hogy ne tükröződhessen az ablakokon,</w:t>
            </w:r>
          </w:p>
          <w:p w:rsidR="005624E3" w:rsidRPr="00C903F8" w:rsidRDefault="005624E3" w:rsidP="00101A80">
            <w:pPr>
              <w:spacing w:before="120" w:after="120" w:line="240" w:lineRule="atLeast"/>
              <w:ind w:left="317" w:hanging="317"/>
              <w:rPr>
                <w:rFonts w:cs="Arial"/>
                <w:sz w:val="18"/>
                <w:szCs w:val="18"/>
              </w:rPr>
            </w:pPr>
            <w:r>
              <w:rPr>
                <w:sz w:val="18"/>
              </w:rPr>
              <w:t>-</w:t>
            </w:r>
            <w:r>
              <w:tab/>
            </w:r>
            <w:r>
              <w:rPr>
                <w:sz w:val="18"/>
              </w:rPr>
              <w:t>A kormányállásban lévő fényforrások fokozatmentesen szabályozhatók vagy kikapcsolhatók.</w:t>
            </w:r>
          </w:p>
          <w:p w:rsidR="005624E3" w:rsidRPr="00C903F8" w:rsidRDefault="005624E3" w:rsidP="00101A80">
            <w:pPr>
              <w:spacing w:before="120" w:after="120" w:line="240" w:lineRule="atLeast"/>
              <w:ind w:left="317" w:hanging="317"/>
              <w:rPr>
                <w:rFonts w:cs="Arial"/>
                <w:sz w:val="18"/>
                <w:szCs w:val="18"/>
              </w:rPr>
            </w:pPr>
            <w:r>
              <w:rPr>
                <w:sz w:val="18"/>
              </w:rPr>
              <w:t>-</w:t>
            </w:r>
            <w:r>
              <w:tab/>
            </w:r>
            <w:r>
              <w:rPr>
                <w:sz w:val="18"/>
              </w:rPr>
              <w:t>minden észszerű intézkedést megtettek az egyéb tükröződések elkerülésére.</w:t>
            </w: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Biztonsági üvegből készült kivitel</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60" w:after="160" w:line="240" w:lineRule="atLeast"/>
              <w:rPr>
                <w:rFonts w:cs="Arial"/>
                <w:sz w:val="18"/>
                <w:szCs w:val="18"/>
              </w:rPr>
            </w:pPr>
          </w:p>
        </w:tc>
      </w:tr>
      <w:tr w:rsidR="005624E3" w:rsidRPr="00A0619C" w:rsidTr="005758C9">
        <w:trPr>
          <w:cantSplit/>
          <w:jc w:val="center"/>
        </w:trPr>
        <w:tc>
          <w:tcPr>
            <w:tcW w:w="1342" w:type="dxa"/>
            <w:vMerge w:val="restart"/>
            <w:shd w:val="clear" w:color="auto" w:fill="auto"/>
          </w:tcPr>
          <w:p w:rsidR="005624E3" w:rsidRPr="00C903F8" w:rsidRDefault="005624E3" w:rsidP="00101A80">
            <w:pPr>
              <w:spacing w:before="160" w:after="160" w:line="240" w:lineRule="atLeast"/>
              <w:rPr>
                <w:rFonts w:cs="Arial"/>
                <w:sz w:val="18"/>
                <w:szCs w:val="18"/>
              </w:rPr>
            </w:pPr>
            <w:r>
              <w:rPr>
                <w:sz w:val="18"/>
              </w:rPr>
              <w:t>7.03.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Riasztók leállítása</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8.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Automatikus átkapcsolás másik áramforrásra</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2024.12.30.</w:t>
            </w:r>
          </w:p>
        </w:tc>
      </w:tr>
      <w:tr w:rsidR="005624E3" w:rsidRPr="00A0619C" w:rsidTr="005758C9">
        <w:trPr>
          <w:cantSplit/>
          <w:jc w:val="center"/>
        </w:trPr>
        <w:tc>
          <w:tcPr>
            <w:tcW w:w="1342" w:type="dxa"/>
            <w:vMerge w:val="restart"/>
            <w:shd w:val="clear" w:color="auto" w:fill="auto"/>
          </w:tcPr>
          <w:p w:rsidR="005624E3" w:rsidRPr="00C903F8" w:rsidRDefault="005624E3" w:rsidP="00101A80">
            <w:pPr>
              <w:spacing w:before="80" w:after="80" w:line="240" w:lineRule="atLeast"/>
              <w:rPr>
                <w:rFonts w:cs="Arial"/>
                <w:sz w:val="18"/>
                <w:szCs w:val="18"/>
              </w:rPr>
            </w:pPr>
            <w:r>
              <w:rPr>
                <w:sz w:val="18"/>
              </w:rPr>
              <w:t>7.04. cikk</w:t>
            </w: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sz w:val="18"/>
              </w:rPr>
              <w:t>A főmotorok és a kormányberendezés vezérlése</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80" w:after="80" w:line="240" w:lineRule="atLeast"/>
              <w:rPr>
                <w:rFonts w:cs="Arial"/>
                <w:sz w:val="18"/>
                <w:szCs w:val="18"/>
              </w:rPr>
            </w:pPr>
          </w:p>
        </w:tc>
      </w:tr>
      <w:tr w:rsidR="005624E3" w:rsidRPr="00034331"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Az egyes főmotorok vezérlése</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noProof/>
                <w:sz w:val="18"/>
              </w:rPr>
              <w:t>Ha a kormányállást nem egyszemélyes radarhajózásra alakították ki: N.R.C., legkésőbb a belvízi hajóbizonyítvány megújításakor e dátumot követően:</w:t>
            </w:r>
          </w:p>
        </w:tc>
        <w:tc>
          <w:tcPr>
            <w:tcW w:w="1276" w:type="dxa"/>
            <w:shd w:val="clear" w:color="auto" w:fill="auto"/>
          </w:tcPr>
          <w:p w:rsidR="005624E3" w:rsidRPr="00034331" w:rsidRDefault="005624E3" w:rsidP="00101A80">
            <w:pPr>
              <w:spacing w:before="80" w:after="80" w:line="240" w:lineRule="atLeast"/>
              <w:rPr>
                <w:rFonts w:cs="Arial"/>
                <w:sz w:val="18"/>
                <w:szCs w:val="18"/>
              </w:rPr>
            </w:pPr>
            <w:r>
              <w:rPr>
                <w:sz w:val="18"/>
              </w:rPr>
              <w:t>2049.12.30.,</w:t>
            </w:r>
          </w:p>
          <w:p w:rsidR="005624E3" w:rsidRPr="00034331" w:rsidRDefault="005624E3" w:rsidP="00101A80">
            <w:pPr>
              <w:spacing w:before="80" w:after="80" w:line="240" w:lineRule="atLeast"/>
              <w:rPr>
                <w:rFonts w:cs="Arial"/>
                <w:sz w:val="18"/>
                <w:szCs w:val="18"/>
              </w:rPr>
            </w:pPr>
            <w:r>
              <w:rPr>
                <w:sz w:val="18"/>
              </w:rPr>
              <w:t>ha a mozgás iránya közvetlenül befolyásolható;</w:t>
            </w:r>
          </w:p>
          <w:p w:rsidR="005624E3" w:rsidRPr="00034331" w:rsidRDefault="005624E3" w:rsidP="00101A80">
            <w:pPr>
              <w:spacing w:before="80" w:after="80" w:line="240" w:lineRule="atLeast"/>
              <w:rPr>
                <w:rFonts w:cs="Arial"/>
                <w:sz w:val="18"/>
                <w:szCs w:val="18"/>
              </w:rPr>
            </w:pPr>
            <w:r>
              <w:rPr>
                <w:sz w:val="18"/>
              </w:rPr>
              <w:t xml:space="preserve">2024.12.30. </w:t>
            </w:r>
          </w:p>
          <w:p w:rsidR="005624E3" w:rsidRPr="00034331" w:rsidRDefault="005624E3" w:rsidP="00101A80">
            <w:pPr>
              <w:spacing w:before="80" w:after="80" w:line="240" w:lineRule="atLeast"/>
              <w:rPr>
                <w:rFonts w:cs="Arial"/>
                <w:sz w:val="18"/>
                <w:szCs w:val="18"/>
              </w:rPr>
            </w:pPr>
            <w:r>
              <w:rPr>
                <w:sz w:val="18"/>
              </w:rPr>
              <w:t>egyéb motoroknál.</w:t>
            </w:r>
          </w:p>
        </w:tc>
      </w:tr>
      <w:tr w:rsidR="005624E3" w:rsidRPr="00C903F8" w:rsidTr="005758C9">
        <w:trPr>
          <w:cantSplit/>
          <w:jc w:val="center"/>
        </w:trPr>
        <w:tc>
          <w:tcPr>
            <w:tcW w:w="1342" w:type="dxa"/>
            <w:vMerge/>
            <w:shd w:val="clear" w:color="auto" w:fill="auto"/>
          </w:tcPr>
          <w:p w:rsidR="005624E3" w:rsidRPr="00034331" w:rsidRDefault="005624E3" w:rsidP="00101A80">
            <w:pPr>
              <w:spacing w:before="120" w:after="120" w:line="240" w:lineRule="atLeast"/>
              <w:rPr>
                <w:rFonts w:cs="Arial"/>
                <w:sz w:val="18"/>
                <w:szCs w:val="18"/>
              </w:rPr>
            </w:pPr>
          </w:p>
        </w:tc>
        <w:tc>
          <w:tcPr>
            <w:tcW w:w="1458" w:type="dxa"/>
            <w:shd w:val="clear" w:color="auto" w:fill="auto"/>
          </w:tcPr>
          <w:p w:rsidR="005624E3" w:rsidRPr="00034331" w:rsidRDefault="005624E3" w:rsidP="00101A80">
            <w:pPr>
              <w:spacing w:before="120" w:after="120" w:line="240" w:lineRule="atLeast"/>
              <w:rPr>
                <w:rFonts w:cs="Arial"/>
                <w:sz w:val="18"/>
                <w:szCs w:val="18"/>
              </w:rPr>
            </w:pPr>
            <w:r>
              <w:rPr>
                <w:sz w:val="18"/>
              </w:rPr>
              <w:t>3. bekezdés</w:t>
            </w:r>
          </w:p>
        </w:tc>
        <w:tc>
          <w:tcPr>
            <w:tcW w:w="3296" w:type="dxa"/>
            <w:shd w:val="clear" w:color="auto" w:fill="auto"/>
          </w:tcPr>
          <w:p w:rsidR="005624E3" w:rsidRPr="00034331" w:rsidRDefault="005624E3" w:rsidP="00101A80">
            <w:pPr>
              <w:spacing w:before="120" w:after="120" w:line="240" w:lineRule="atLeast"/>
              <w:rPr>
                <w:rFonts w:cs="Arial"/>
                <w:sz w:val="18"/>
                <w:szCs w:val="18"/>
              </w:rPr>
            </w:pPr>
            <w:r>
              <w:rPr>
                <w:noProof/>
                <w:sz w:val="18"/>
              </w:rPr>
              <w:t>Kijelzés</w:t>
            </w:r>
          </w:p>
        </w:tc>
        <w:tc>
          <w:tcPr>
            <w:tcW w:w="6521" w:type="dxa"/>
            <w:shd w:val="clear" w:color="auto" w:fill="auto"/>
          </w:tcPr>
          <w:p w:rsidR="005624E3" w:rsidRPr="00C903F8" w:rsidRDefault="005624E3" w:rsidP="00101A80">
            <w:pPr>
              <w:spacing w:before="120" w:after="120" w:line="240" w:lineRule="atLeast"/>
              <w:rPr>
                <w:rFonts w:cs="Arial"/>
                <w:noProof/>
                <w:sz w:val="18"/>
                <w:szCs w:val="18"/>
              </w:rPr>
            </w:pPr>
            <w:r>
              <w:rPr>
                <w:noProof/>
                <w:sz w:val="18"/>
              </w:rPr>
              <w:t>Ha a kormányállást nem egyszemélyes radarhajózásra alakították ki: 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2024.12.30.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9. bekezdés harmadik mondat</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Karral történő szabályozás</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2024.12.30.</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9. bekezdés negyedik mondat</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A tolóerő irányának egyértelmű mutatása</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2024.12.30.</w:t>
            </w:r>
          </w:p>
        </w:tc>
      </w:tr>
      <w:tr w:rsidR="005624E3" w:rsidRPr="00A0619C" w:rsidTr="005758C9">
        <w:trPr>
          <w:cantSplit/>
          <w:jc w:val="center"/>
        </w:trPr>
        <w:tc>
          <w:tcPr>
            <w:tcW w:w="1342" w:type="dxa"/>
            <w:tcBorders>
              <w:bottom w:val="single" w:sz="4" w:space="0" w:color="auto"/>
            </w:tcBorders>
            <w:shd w:val="clear" w:color="auto" w:fill="auto"/>
          </w:tcPr>
          <w:p w:rsidR="005624E3" w:rsidRPr="00DE735E" w:rsidRDefault="005624E3" w:rsidP="00101A80">
            <w:pPr>
              <w:spacing w:before="60" w:after="60" w:line="240" w:lineRule="atLeast"/>
              <w:rPr>
                <w:rFonts w:cs="Arial"/>
                <w:sz w:val="18"/>
                <w:szCs w:val="18"/>
              </w:rPr>
            </w:pPr>
            <w:r>
              <w:rPr>
                <w:sz w:val="18"/>
              </w:rPr>
              <w:t>7.05. cikk</w:t>
            </w:r>
          </w:p>
        </w:tc>
        <w:tc>
          <w:tcPr>
            <w:tcW w:w="1458" w:type="dxa"/>
            <w:tcBorders>
              <w:bottom w:val="single" w:sz="4" w:space="0" w:color="auto"/>
            </w:tcBorders>
            <w:shd w:val="clear" w:color="auto" w:fill="auto"/>
          </w:tcPr>
          <w:p w:rsidR="005624E3" w:rsidRPr="00DE735E" w:rsidRDefault="005624E3" w:rsidP="00101A80">
            <w:pPr>
              <w:spacing w:before="60" w:after="60" w:line="240" w:lineRule="atLeast"/>
              <w:rPr>
                <w:rFonts w:cs="Arial"/>
                <w:sz w:val="18"/>
                <w:szCs w:val="18"/>
              </w:rPr>
            </w:pPr>
            <w:r>
              <w:rPr>
                <w:sz w:val="18"/>
              </w:rPr>
              <w:t>1. bekezdés</w:t>
            </w:r>
          </w:p>
        </w:tc>
        <w:tc>
          <w:tcPr>
            <w:tcW w:w="3296" w:type="dxa"/>
            <w:tcBorders>
              <w:bottom w:val="single" w:sz="4" w:space="0" w:color="auto"/>
            </w:tcBorders>
            <w:shd w:val="clear" w:color="auto" w:fill="auto"/>
          </w:tcPr>
          <w:p w:rsidR="005624E3" w:rsidRPr="00B90A00" w:rsidRDefault="005624E3" w:rsidP="00101A80">
            <w:pPr>
              <w:spacing w:before="60" w:after="60" w:line="240" w:lineRule="atLeast"/>
              <w:rPr>
                <w:rFonts w:cs="Arial"/>
                <w:sz w:val="18"/>
                <w:szCs w:val="18"/>
              </w:rPr>
            </w:pPr>
            <w:r>
              <w:rPr>
                <w:noProof/>
                <w:sz w:val="18"/>
              </w:rPr>
              <w:t>Navigációs fények, azok burkolata, tartozékai és fényforrásai</w:t>
            </w:r>
          </w:p>
        </w:tc>
        <w:tc>
          <w:tcPr>
            <w:tcW w:w="6521" w:type="dxa"/>
            <w:shd w:val="clear" w:color="auto" w:fill="auto"/>
          </w:tcPr>
          <w:p w:rsidR="005624E3" w:rsidRPr="00DE735E" w:rsidRDefault="005624E3" w:rsidP="00101A80">
            <w:pPr>
              <w:spacing w:before="60" w:after="60" w:line="240" w:lineRule="atLeast"/>
              <w:rPr>
                <w:rFonts w:cs="Arial"/>
                <w:sz w:val="18"/>
                <w:szCs w:val="18"/>
              </w:rPr>
            </w:pPr>
            <w:r>
              <w:rPr>
                <w:sz w:val="18"/>
              </w:rPr>
              <w:t xml:space="preserve">Azok a navigációs fények, azok burkolata, tartozékai és fényforrásai, amelyek megfelelnek: </w:t>
            </w:r>
          </w:p>
          <w:p w:rsidR="005624E3" w:rsidRPr="00DE735E" w:rsidRDefault="005624E3" w:rsidP="00101A80">
            <w:pPr>
              <w:spacing w:before="60" w:after="60" w:line="240" w:lineRule="atLeast"/>
              <w:ind w:left="317" w:hanging="317"/>
              <w:rPr>
                <w:rFonts w:cs="Arial"/>
                <w:sz w:val="18"/>
                <w:szCs w:val="18"/>
              </w:rPr>
            </w:pPr>
            <w:r>
              <w:rPr>
                <w:sz w:val="18"/>
              </w:rPr>
              <w:t>-</w:t>
            </w:r>
            <w:r>
              <w:tab/>
            </w:r>
            <w:r>
              <w:rPr>
                <w:sz w:val="18"/>
              </w:rPr>
              <w:t>a fedélzeti fények színére és erősségére, továbbá a navigációs fényeknek a rajnai hajózáshoz való elfogadására vonatkozó, 2009. november 30-től hatályos követelményeknek, továbbra is használhatók;</w:t>
            </w:r>
          </w:p>
          <w:p w:rsidR="005624E3" w:rsidRPr="000A7F57" w:rsidRDefault="005624E3" w:rsidP="00101A80">
            <w:pPr>
              <w:spacing w:before="60" w:after="60" w:line="240" w:lineRule="atLeast"/>
              <w:ind w:left="317" w:hanging="317"/>
              <w:rPr>
                <w:rFonts w:cs="Arial"/>
                <w:sz w:val="18"/>
                <w:szCs w:val="18"/>
              </w:rPr>
            </w:pPr>
            <w:r>
              <w:rPr>
                <w:sz w:val="18"/>
              </w:rPr>
              <w:t>-</w:t>
            </w:r>
            <w:r>
              <w:tab/>
            </w:r>
            <w:r>
              <w:rPr>
                <w:sz w:val="18"/>
              </w:rPr>
              <w:t>az egyik tagállam vonatkozó, 2009. november 30-től hatályos követelményeinek, továbbra is használhatók.</w:t>
            </w:r>
          </w:p>
        </w:tc>
        <w:tc>
          <w:tcPr>
            <w:tcW w:w="1276" w:type="dxa"/>
            <w:shd w:val="clear" w:color="auto" w:fill="auto"/>
          </w:tcPr>
          <w:p w:rsidR="005624E3" w:rsidRPr="00B90A00" w:rsidRDefault="005624E3" w:rsidP="00101A80">
            <w:pPr>
              <w:spacing w:before="60" w:after="6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7.06. cikk</w:t>
            </w:r>
          </w:p>
        </w:tc>
        <w:tc>
          <w:tcPr>
            <w:tcW w:w="1458" w:type="dxa"/>
            <w:vMerge w:val="restart"/>
            <w:shd w:val="clear" w:color="auto" w:fill="auto"/>
          </w:tcPr>
          <w:p w:rsidR="005624E3" w:rsidRPr="00DE735E" w:rsidRDefault="005624E3" w:rsidP="00101A80">
            <w:pPr>
              <w:spacing w:before="60" w:after="60" w:line="240" w:lineRule="atLeast"/>
              <w:rPr>
                <w:rFonts w:cs="Arial"/>
                <w:sz w:val="18"/>
                <w:szCs w:val="18"/>
              </w:rPr>
            </w:pPr>
            <w:r>
              <w:rPr>
                <w:sz w:val="18"/>
              </w:rPr>
              <w:t>1. bekezdés</w:t>
            </w:r>
          </w:p>
        </w:tc>
        <w:tc>
          <w:tcPr>
            <w:tcW w:w="3296" w:type="dxa"/>
            <w:vMerge w:val="restart"/>
            <w:shd w:val="clear" w:color="auto" w:fill="auto"/>
          </w:tcPr>
          <w:p w:rsidR="005624E3" w:rsidRPr="00B90A00" w:rsidRDefault="005624E3" w:rsidP="00101A80">
            <w:pPr>
              <w:adjustRightInd w:val="0"/>
              <w:spacing w:before="60" w:after="60" w:line="240" w:lineRule="atLeast"/>
              <w:rPr>
                <w:rFonts w:cs="Arial"/>
                <w:sz w:val="18"/>
                <w:szCs w:val="18"/>
              </w:rPr>
            </w:pPr>
            <w:r>
              <w:rPr>
                <w:noProof/>
                <w:sz w:val="18"/>
              </w:rPr>
              <w:t>A 2012. december 31. előtt jóváhagyott navigációs radarberendezések és fordulási szögsebességjelzők</w:t>
            </w:r>
          </w:p>
        </w:tc>
        <w:tc>
          <w:tcPr>
            <w:tcW w:w="6521" w:type="dxa"/>
            <w:shd w:val="clear" w:color="auto" w:fill="auto"/>
          </w:tcPr>
          <w:p w:rsidR="005624E3" w:rsidRPr="00B90A00" w:rsidRDefault="005624E3" w:rsidP="00101A80">
            <w:pPr>
              <w:adjustRightInd w:val="0"/>
              <w:spacing w:before="60" w:after="60" w:line="240" w:lineRule="atLeast"/>
              <w:rPr>
                <w:rFonts w:cs="Arial"/>
                <w:sz w:val="18"/>
                <w:szCs w:val="18"/>
              </w:rPr>
            </w:pPr>
            <w:r>
              <w:rPr>
                <w:noProof/>
                <w:sz w:val="18"/>
              </w:rPr>
              <w:t>Az egyik tagállam jogszabályai szerint 2012. december 31. előtt jóváhagyott és beszerelt navigációs radarberendezések és fordulási szögsebességjelzők folytatólagosan megtarthatók és használhatók a belvízi hajóbizonyítvány megújításáig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2018.12.31.</w:t>
            </w: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vMerge/>
            <w:shd w:val="clear" w:color="auto" w:fill="auto"/>
          </w:tcPr>
          <w:p w:rsidR="005624E3" w:rsidRPr="00C903F8" w:rsidRDefault="005624E3" w:rsidP="00101A80">
            <w:pPr>
              <w:spacing w:before="60" w:after="60" w:line="240" w:lineRule="atLeast"/>
              <w:rPr>
                <w:rFonts w:cs="Arial"/>
                <w:sz w:val="18"/>
                <w:szCs w:val="18"/>
              </w:rPr>
            </w:pPr>
          </w:p>
        </w:tc>
        <w:tc>
          <w:tcPr>
            <w:tcW w:w="3296" w:type="dxa"/>
            <w:vMerge/>
            <w:shd w:val="clear" w:color="auto" w:fill="auto"/>
          </w:tcPr>
          <w:p w:rsidR="005624E3" w:rsidRPr="00C903F8" w:rsidRDefault="005624E3" w:rsidP="00101A80">
            <w:pPr>
              <w:spacing w:before="60" w:after="60" w:line="240" w:lineRule="atLeast"/>
              <w:rPr>
                <w:rFonts w:cs="Arial"/>
                <w:sz w:val="18"/>
                <w:szCs w:val="18"/>
              </w:rPr>
            </w:pPr>
          </w:p>
        </w:tc>
        <w:tc>
          <w:tcPr>
            <w:tcW w:w="6521" w:type="dxa"/>
            <w:shd w:val="clear" w:color="auto" w:fill="auto"/>
          </w:tcPr>
          <w:p w:rsidR="005624E3" w:rsidRPr="00C903F8" w:rsidRDefault="005624E3" w:rsidP="00101A80">
            <w:pPr>
              <w:spacing w:before="60" w:after="60" w:line="240" w:lineRule="atLeast"/>
              <w:rPr>
                <w:rFonts w:cs="Arial"/>
                <w:sz w:val="18"/>
                <w:szCs w:val="18"/>
              </w:rPr>
            </w:pPr>
            <w:r>
              <w:rPr>
                <w:noProof/>
                <w:sz w:val="18"/>
              </w:rPr>
              <w:t>Ezeket a rendszereket be kell jegyezni a belvízi hajóbizonyítvány 52. rovatába.</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vMerge/>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Az 1990. január 1-je után jóváhagyott navigációs radarberendezések és fordulási szögsebességjelzők</w:t>
            </w:r>
          </w:p>
        </w:tc>
        <w:tc>
          <w:tcPr>
            <w:tcW w:w="6521" w:type="dxa"/>
            <w:shd w:val="clear" w:color="auto" w:fill="auto"/>
          </w:tcPr>
          <w:p w:rsidR="005624E3" w:rsidRPr="00C903F8" w:rsidRDefault="005624E3" w:rsidP="00101A80">
            <w:pPr>
              <w:spacing w:before="60" w:after="60" w:line="240" w:lineRule="atLeast"/>
              <w:rPr>
                <w:rFonts w:cs="Arial"/>
                <w:sz w:val="18"/>
                <w:szCs w:val="18"/>
              </w:rPr>
            </w:pPr>
            <w:r>
              <w:t>A rajnai belvízi hajózáshoz használt navigációs radarberendezésekre vonatkozó minimumkövetelményeknek és vizsgálati feltételeknek, valamint rajnai belvízi hajózáshoz használt fordulási szögsebességjelzőkre vonatkozó minimumkövetelményeknek és vizsgálati feltételeknek megfelelően 1990. január 1-jén vagy az után jóváhagyott navigációs radarberendezések és fordulási szögsebességjelzők továbbra is beszerelhetők és használhatók, amennyiben rendelkeznek az e szabvány, a 2006/87/EK irányelv vagy az 1989-II-35 CCNR-határozat szerinti érvényes beszerelési bizonyítvánnyal.</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vMerge/>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spacing w:before="60" w:after="60" w:line="240" w:lineRule="atLeast"/>
              <w:rPr>
                <w:rFonts w:cs="Arial"/>
                <w:noProof/>
                <w:sz w:val="18"/>
                <w:szCs w:val="18"/>
              </w:rPr>
            </w:pPr>
            <w:r>
              <w:rPr>
                <w:noProof/>
                <w:sz w:val="18"/>
              </w:rPr>
              <w:t>A 2006. december 31. után jóváhagyott navigációs radarberendezések és fordulási szögsebességjelzők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A 2006/87/EK irányelvben meghatározott minimumkövetelményeknek és vizsgálati feltételeknek megfelelően 2006. december 31-én vagy az után jóváhagyott navigációs radarberendezések és fordulási szögsebességjelzők továbbra is beszerelhetők és használhatók, amennyiben rendelkeznek az e szabvány vagy a 2006/87/EK irányelv szerinti érvényes beszerelési bizonyítvánnyal.</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vMerge/>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p>
        </w:tc>
        <w:tc>
          <w:tcPr>
            <w:tcW w:w="3296" w:type="dxa"/>
            <w:tcBorders>
              <w:bottom w:val="single" w:sz="4" w:space="0" w:color="auto"/>
            </w:tcBorders>
            <w:shd w:val="clear" w:color="auto" w:fill="auto"/>
          </w:tcPr>
          <w:p w:rsidR="005624E3" w:rsidRPr="00C903F8" w:rsidRDefault="005624E3" w:rsidP="00101A80">
            <w:pPr>
              <w:spacing w:before="80" w:after="80" w:line="240" w:lineRule="atLeast"/>
              <w:rPr>
                <w:rFonts w:cs="Arial"/>
                <w:noProof/>
                <w:sz w:val="18"/>
                <w:szCs w:val="18"/>
              </w:rPr>
            </w:pPr>
            <w:r>
              <w:rPr>
                <w:noProof/>
                <w:sz w:val="18"/>
              </w:rPr>
              <w:t>A 2009. december 1-je után jóváhagyott navigációs radarberendezések és fordulási szögsebességjelzők</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A 2008-II-11. CCNR-határozat minimumkövetelményeinek és vizsgálati feltételeinek megfelelően 2009. december 1-jén vagy az után jóváhagyott navigációs radarberendezések és fordulási szögsebességjelzők továbbra is beszerelhetők és használhatók, amennyiben rendelkeznek az e szabvány vagy a 2008-II-11. CCNR-határozat szerinti érvényes beszerelési bizonyítvánnyal.</w:t>
            </w:r>
          </w:p>
        </w:tc>
        <w:tc>
          <w:tcPr>
            <w:tcW w:w="1276" w:type="dxa"/>
            <w:shd w:val="clear" w:color="auto" w:fill="auto"/>
          </w:tcPr>
          <w:p w:rsidR="005624E3" w:rsidRPr="00C903F8" w:rsidRDefault="005624E3" w:rsidP="00101A80">
            <w:pPr>
              <w:spacing w:before="80" w:after="80" w:line="240" w:lineRule="atLeast"/>
              <w:rPr>
                <w:rFonts w:cs="Arial"/>
                <w:sz w:val="18"/>
                <w:szCs w:val="18"/>
              </w:rPr>
            </w:pP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tcBorders>
              <w:bottom w:val="nil"/>
            </w:tcBorders>
            <w:shd w:val="clear" w:color="auto" w:fill="auto"/>
          </w:tcPr>
          <w:p w:rsidR="005624E3" w:rsidRPr="00C903F8" w:rsidRDefault="005624E3" w:rsidP="00101A80">
            <w:pPr>
              <w:spacing w:before="80" w:after="80" w:line="240" w:lineRule="atLeast"/>
              <w:rPr>
                <w:rFonts w:cs="Arial"/>
                <w:sz w:val="18"/>
                <w:szCs w:val="18"/>
              </w:rPr>
            </w:pPr>
            <w:r>
              <w:rPr>
                <w:sz w:val="18"/>
              </w:rPr>
              <w:t>3. bekezdés</w:t>
            </w:r>
          </w:p>
        </w:tc>
        <w:tc>
          <w:tcPr>
            <w:tcW w:w="3296" w:type="dxa"/>
            <w:tcBorders>
              <w:bottom w:val="nil"/>
            </w:tcBorders>
            <w:shd w:val="clear" w:color="auto" w:fill="auto"/>
          </w:tcPr>
          <w:p w:rsidR="005624E3" w:rsidRPr="00C903F8" w:rsidRDefault="005624E3" w:rsidP="00101A80">
            <w:pPr>
              <w:spacing w:before="80" w:after="80" w:line="240" w:lineRule="atLeast"/>
              <w:rPr>
                <w:rFonts w:cs="Arial"/>
                <w:sz w:val="18"/>
                <w:szCs w:val="18"/>
              </w:rPr>
            </w:pPr>
            <w:r>
              <w:rPr>
                <w:sz w:val="18"/>
              </w:rPr>
              <w:t>Belvízi AIS-berendezés</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80" w:after="80" w:line="240" w:lineRule="atLeast"/>
              <w:rPr>
                <w:rFonts w:cs="Arial"/>
                <w:sz w:val="18"/>
                <w:szCs w:val="18"/>
              </w:rPr>
            </w:pPr>
          </w:p>
        </w:tc>
      </w:tr>
      <w:tr w:rsidR="005624E3" w:rsidRPr="003971A3" w:rsidTr="005758C9">
        <w:trPr>
          <w:cantSplit/>
          <w:jc w:val="center"/>
        </w:trPr>
        <w:tc>
          <w:tcPr>
            <w:tcW w:w="1342" w:type="dxa"/>
            <w:tcBorders>
              <w:top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tcBorders>
              <w:top w:val="nil"/>
            </w:tcBorders>
            <w:shd w:val="clear" w:color="auto" w:fill="auto"/>
          </w:tcPr>
          <w:p w:rsidR="005624E3" w:rsidRPr="00C903F8" w:rsidRDefault="005624E3" w:rsidP="00101A80">
            <w:pPr>
              <w:spacing w:before="80" w:after="80" w:line="240" w:lineRule="atLeast"/>
              <w:rPr>
                <w:rFonts w:cs="Arial"/>
                <w:sz w:val="18"/>
                <w:szCs w:val="18"/>
              </w:rPr>
            </w:pPr>
          </w:p>
        </w:tc>
        <w:tc>
          <w:tcPr>
            <w:tcW w:w="3296" w:type="dxa"/>
            <w:tcBorders>
              <w:top w:val="nil"/>
            </w:tcBorders>
            <w:shd w:val="clear" w:color="auto" w:fill="auto"/>
          </w:tcPr>
          <w:p w:rsidR="005624E3" w:rsidRPr="00C903F8" w:rsidRDefault="005624E3" w:rsidP="00101A80">
            <w:pPr>
              <w:spacing w:before="80" w:after="80" w:line="240" w:lineRule="atLeast"/>
              <w:rPr>
                <w:rFonts w:cs="Arial"/>
                <w:sz w:val="18"/>
                <w:szCs w:val="18"/>
              </w:rPr>
            </w:pPr>
          </w:p>
        </w:tc>
        <w:tc>
          <w:tcPr>
            <w:tcW w:w="6521" w:type="dxa"/>
            <w:shd w:val="clear" w:color="auto" w:fill="auto"/>
          </w:tcPr>
          <w:p w:rsidR="005624E3" w:rsidRPr="00DF5C3B" w:rsidRDefault="005624E3" w:rsidP="00101A80">
            <w:pPr>
              <w:spacing w:before="80" w:after="80" w:line="240" w:lineRule="atLeast"/>
              <w:rPr>
                <w:rFonts w:cs="Arial"/>
                <w:sz w:val="18"/>
                <w:szCs w:val="18"/>
              </w:rPr>
            </w:pPr>
            <w:r>
              <w:rPr>
                <w:sz w:val="18"/>
              </w:rPr>
              <w:t>A 2012-II-20 CCNR-határozattal elfogadott belvízi AIS vizsgálati szabvány 2.0 kiadásának követelményei szerinti jóváhagyást 2012. október 19-én vagy azt követően elnyerő belvízi AIS-berendezések továbbra is felszerelhetők és használhatók.</w:t>
            </w:r>
          </w:p>
        </w:tc>
        <w:tc>
          <w:tcPr>
            <w:tcW w:w="1276" w:type="dxa"/>
            <w:shd w:val="clear" w:color="auto" w:fill="auto"/>
          </w:tcPr>
          <w:p w:rsidR="005624E3" w:rsidRPr="00DF5C3B" w:rsidRDefault="005624E3" w:rsidP="00101A80">
            <w:pPr>
              <w:spacing w:before="80" w:after="80" w:line="240" w:lineRule="atLeast"/>
              <w:rPr>
                <w:rFonts w:cs="Arial"/>
                <w:sz w:val="18"/>
                <w:szCs w:val="18"/>
              </w:rPr>
            </w:pPr>
            <w:r>
              <w:rPr>
                <w:sz w:val="18"/>
              </w:rPr>
              <w:t>2018.10.07.</w:t>
            </w:r>
          </w:p>
        </w:tc>
      </w:tr>
      <w:tr w:rsidR="005624E3" w:rsidRPr="00C903F8" w:rsidTr="005758C9">
        <w:trPr>
          <w:cantSplit/>
          <w:trHeight w:val="884"/>
          <w:jc w:val="center"/>
        </w:trPr>
        <w:tc>
          <w:tcPr>
            <w:tcW w:w="1342"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r>
              <w:rPr>
                <w:sz w:val="18"/>
              </w:rPr>
              <w:t>7.09. cikk</w:t>
            </w:r>
          </w:p>
        </w:tc>
        <w:tc>
          <w:tcPr>
            <w:tcW w:w="1458"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p>
        </w:tc>
        <w:tc>
          <w:tcPr>
            <w:tcW w:w="3296"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r>
              <w:rPr>
                <w:noProof/>
                <w:sz w:val="18"/>
              </w:rPr>
              <w:t>Riasztórendszer</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2024.12.30.</w:t>
            </w:r>
          </w:p>
        </w:tc>
      </w:tr>
      <w:tr w:rsidR="005624E3" w:rsidRPr="00A0619C" w:rsidTr="005758C9">
        <w:trPr>
          <w:cantSplit/>
          <w:jc w:val="center"/>
        </w:trPr>
        <w:tc>
          <w:tcPr>
            <w:tcW w:w="1342" w:type="dxa"/>
            <w:vMerge w:val="restart"/>
            <w:shd w:val="clear" w:color="auto" w:fill="auto"/>
          </w:tcPr>
          <w:p w:rsidR="005624E3" w:rsidRPr="00600BEE" w:rsidRDefault="005624E3" w:rsidP="00101A80">
            <w:pPr>
              <w:spacing w:before="80" w:after="80" w:line="240" w:lineRule="atLeast"/>
              <w:rPr>
                <w:rFonts w:cs="Arial"/>
                <w:sz w:val="18"/>
                <w:szCs w:val="18"/>
              </w:rPr>
            </w:pPr>
            <w:r>
              <w:rPr>
                <w:sz w:val="18"/>
              </w:rPr>
              <w:t>7.12. cikk</w:t>
            </w:r>
          </w:p>
        </w:tc>
        <w:tc>
          <w:tcPr>
            <w:tcW w:w="1458"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 xml:space="preserve">4. bekezdés </w:t>
            </w:r>
            <w:r>
              <w:rPr>
                <w:rFonts w:cs="Arial"/>
                <w:sz w:val="18"/>
                <w:szCs w:val="18"/>
              </w:rPr>
              <w:br/>
            </w:r>
            <w:r>
              <w:rPr>
                <w:sz w:val="18"/>
              </w:rPr>
              <w:t>második mondat</w:t>
            </w:r>
          </w:p>
        </w:tc>
        <w:tc>
          <w:tcPr>
            <w:tcW w:w="3296"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Kijelző</w:t>
            </w:r>
          </w:p>
        </w:tc>
        <w:tc>
          <w:tcPr>
            <w:tcW w:w="6521"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600BEE" w:rsidRDefault="005624E3" w:rsidP="00101A80">
            <w:pPr>
              <w:widowControl w:val="0"/>
              <w:spacing w:before="80" w:after="80" w:line="240" w:lineRule="atLeast"/>
              <w:rPr>
                <w:rFonts w:cs="Arial"/>
                <w:sz w:val="18"/>
                <w:szCs w:val="18"/>
              </w:rPr>
            </w:pPr>
          </w:p>
        </w:tc>
      </w:tr>
      <w:tr w:rsidR="005624E3" w:rsidRPr="000E732C" w:rsidTr="005758C9">
        <w:trPr>
          <w:cantSplit/>
          <w:jc w:val="center"/>
        </w:trPr>
        <w:tc>
          <w:tcPr>
            <w:tcW w:w="1342" w:type="dxa"/>
            <w:vMerge/>
            <w:shd w:val="clear" w:color="auto" w:fill="auto"/>
          </w:tcPr>
          <w:p w:rsidR="005624E3" w:rsidRPr="00600BEE" w:rsidRDefault="005624E3" w:rsidP="00101A80">
            <w:pPr>
              <w:spacing w:before="80" w:after="80" w:line="240" w:lineRule="atLeast"/>
              <w:rPr>
                <w:rFonts w:cs="Arial"/>
                <w:sz w:val="18"/>
                <w:szCs w:val="18"/>
              </w:rPr>
            </w:pPr>
          </w:p>
        </w:tc>
        <w:tc>
          <w:tcPr>
            <w:tcW w:w="1458"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5. bekezdés</w:t>
            </w:r>
          </w:p>
        </w:tc>
        <w:tc>
          <w:tcPr>
            <w:tcW w:w="3296"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Megállás és rögzítés</w:t>
            </w:r>
          </w:p>
        </w:tc>
        <w:tc>
          <w:tcPr>
            <w:tcW w:w="6521"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2025.01.01.</w:t>
            </w:r>
          </w:p>
        </w:tc>
      </w:tr>
      <w:tr w:rsidR="005624E3" w:rsidRPr="000E732C" w:rsidTr="005758C9">
        <w:trPr>
          <w:cantSplit/>
          <w:jc w:val="center"/>
        </w:trPr>
        <w:tc>
          <w:tcPr>
            <w:tcW w:w="1342" w:type="dxa"/>
            <w:vMerge/>
            <w:shd w:val="clear" w:color="auto" w:fill="auto"/>
          </w:tcPr>
          <w:p w:rsidR="005624E3" w:rsidRPr="00600BEE" w:rsidRDefault="005624E3" w:rsidP="00101A80">
            <w:pPr>
              <w:spacing w:before="80" w:after="80" w:line="240" w:lineRule="atLeast"/>
              <w:rPr>
                <w:rFonts w:cs="Arial"/>
                <w:sz w:val="18"/>
                <w:szCs w:val="18"/>
              </w:rPr>
            </w:pPr>
          </w:p>
        </w:tc>
        <w:tc>
          <w:tcPr>
            <w:tcW w:w="1458"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6. bekezdés</w:t>
            </w:r>
          </w:p>
        </w:tc>
        <w:tc>
          <w:tcPr>
            <w:tcW w:w="3296"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Automatikus kikapcsolás</w:t>
            </w:r>
          </w:p>
        </w:tc>
        <w:tc>
          <w:tcPr>
            <w:tcW w:w="6521"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2025.01.01.</w:t>
            </w:r>
          </w:p>
        </w:tc>
      </w:tr>
      <w:tr w:rsidR="005624E3" w:rsidRPr="000E732C" w:rsidTr="005758C9">
        <w:trPr>
          <w:cantSplit/>
          <w:jc w:val="center"/>
        </w:trPr>
        <w:tc>
          <w:tcPr>
            <w:tcW w:w="1342" w:type="dxa"/>
            <w:vMerge/>
            <w:shd w:val="clear" w:color="auto" w:fill="auto"/>
          </w:tcPr>
          <w:p w:rsidR="005624E3" w:rsidRPr="00600BEE" w:rsidRDefault="005624E3" w:rsidP="00101A80">
            <w:pPr>
              <w:spacing w:before="80" w:after="80" w:line="240" w:lineRule="atLeast"/>
              <w:rPr>
                <w:rFonts w:cs="Arial"/>
                <w:sz w:val="18"/>
                <w:szCs w:val="18"/>
              </w:rPr>
            </w:pPr>
          </w:p>
        </w:tc>
        <w:tc>
          <w:tcPr>
            <w:tcW w:w="1458"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 xml:space="preserve">7. bekezdés </w:t>
            </w:r>
            <w:r>
              <w:rPr>
                <w:rFonts w:cs="Arial"/>
                <w:sz w:val="18"/>
                <w:szCs w:val="18"/>
              </w:rPr>
              <w:br/>
            </w:r>
            <w:r>
              <w:rPr>
                <w:sz w:val="18"/>
              </w:rPr>
              <w:t>első és második mondat</w:t>
            </w:r>
          </w:p>
        </w:tc>
        <w:tc>
          <w:tcPr>
            <w:tcW w:w="3296"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Szabályok és óvintézkedések</w:t>
            </w:r>
          </w:p>
        </w:tc>
        <w:tc>
          <w:tcPr>
            <w:tcW w:w="6521"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2025.01.01.</w:t>
            </w:r>
          </w:p>
        </w:tc>
      </w:tr>
      <w:tr w:rsidR="005624E3" w:rsidRPr="00A0619C" w:rsidTr="005758C9">
        <w:trPr>
          <w:cantSplit/>
          <w:jc w:val="center"/>
        </w:trPr>
        <w:tc>
          <w:tcPr>
            <w:tcW w:w="1342" w:type="dxa"/>
            <w:vMerge/>
            <w:shd w:val="clear" w:color="auto" w:fill="auto"/>
          </w:tcPr>
          <w:p w:rsidR="005624E3" w:rsidRPr="00600BEE" w:rsidRDefault="005624E3" w:rsidP="00101A80">
            <w:pPr>
              <w:spacing w:before="80" w:after="80" w:line="240" w:lineRule="atLeast"/>
              <w:rPr>
                <w:rFonts w:cs="Arial"/>
                <w:sz w:val="18"/>
                <w:szCs w:val="18"/>
              </w:rPr>
            </w:pPr>
          </w:p>
        </w:tc>
        <w:tc>
          <w:tcPr>
            <w:tcW w:w="1458"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 xml:space="preserve">7. bekezdés </w:t>
            </w:r>
            <w:r>
              <w:rPr>
                <w:rFonts w:cs="Arial"/>
                <w:sz w:val="18"/>
                <w:szCs w:val="18"/>
              </w:rPr>
              <w:br/>
            </w:r>
            <w:r>
              <w:rPr>
                <w:sz w:val="18"/>
              </w:rPr>
              <w:t>harmadik mondat</w:t>
            </w:r>
          </w:p>
        </w:tc>
        <w:tc>
          <w:tcPr>
            <w:tcW w:w="3296"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Optikai jelzés</w:t>
            </w:r>
          </w:p>
        </w:tc>
        <w:tc>
          <w:tcPr>
            <w:tcW w:w="6521"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600BEE" w:rsidRDefault="005624E3" w:rsidP="00101A80">
            <w:pPr>
              <w:widowControl w:val="0"/>
              <w:spacing w:before="80" w:after="80" w:line="240" w:lineRule="atLeast"/>
              <w:rPr>
                <w:rFonts w:cs="Arial"/>
                <w:sz w:val="18"/>
                <w:szCs w:val="18"/>
              </w:rPr>
            </w:pPr>
          </w:p>
        </w:tc>
      </w:tr>
      <w:tr w:rsidR="005624E3" w:rsidRPr="000E732C" w:rsidTr="005758C9">
        <w:trPr>
          <w:cantSplit/>
          <w:jc w:val="center"/>
        </w:trPr>
        <w:tc>
          <w:tcPr>
            <w:tcW w:w="1342" w:type="dxa"/>
            <w:vMerge/>
            <w:shd w:val="clear" w:color="auto" w:fill="auto"/>
          </w:tcPr>
          <w:p w:rsidR="005624E3" w:rsidRPr="00600BEE" w:rsidRDefault="005624E3" w:rsidP="00101A80">
            <w:pPr>
              <w:spacing w:before="80" w:after="80" w:line="240" w:lineRule="atLeast"/>
              <w:rPr>
                <w:rFonts w:cs="Arial"/>
                <w:sz w:val="18"/>
                <w:szCs w:val="18"/>
              </w:rPr>
            </w:pPr>
          </w:p>
        </w:tc>
        <w:tc>
          <w:tcPr>
            <w:tcW w:w="1458"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8. bekezdés</w:t>
            </w:r>
          </w:p>
        </w:tc>
        <w:tc>
          <w:tcPr>
            <w:tcW w:w="3296" w:type="dxa"/>
            <w:shd w:val="clear" w:color="auto" w:fill="auto"/>
          </w:tcPr>
          <w:p w:rsidR="005624E3" w:rsidRPr="00600BEE" w:rsidRDefault="005624E3" w:rsidP="00101A80">
            <w:pPr>
              <w:widowControl w:val="0"/>
              <w:tabs>
                <w:tab w:val="left" w:pos="1260"/>
              </w:tabs>
              <w:adjustRightInd w:val="0"/>
              <w:spacing w:before="80" w:after="80" w:line="240" w:lineRule="atLeast"/>
              <w:rPr>
                <w:rFonts w:cs="Arial"/>
                <w:sz w:val="18"/>
                <w:szCs w:val="18"/>
              </w:rPr>
            </w:pPr>
            <w:r>
              <w:rPr>
                <w:sz w:val="18"/>
              </w:rPr>
              <w:t>Vészhelyzeti leeresztő funkció</w:t>
            </w:r>
          </w:p>
        </w:tc>
        <w:tc>
          <w:tcPr>
            <w:tcW w:w="6521"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 xml:space="preserve">Ha a hidraulikus leeresztés nem lehetséges: N.R.C., legkésőbb a belvízi hajóbizonyítvány megújításakor e dátumot követően: </w:t>
            </w:r>
          </w:p>
        </w:tc>
        <w:tc>
          <w:tcPr>
            <w:tcW w:w="1276"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2040.01.01.</w:t>
            </w:r>
          </w:p>
        </w:tc>
      </w:tr>
      <w:tr w:rsidR="005624E3" w:rsidRPr="00A0619C" w:rsidTr="005758C9">
        <w:trPr>
          <w:cantSplit/>
          <w:trHeight w:val="184"/>
          <w:jc w:val="center"/>
        </w:trPr>
        <w:tc>
          <w:tcPr>
            <w:tcW w:w="1342" w:type="dxa"/>
            <w:vMerge/>
            <w:shd w:val="clear" w:color="auto" w:fill="auto"/>
          </w:tcPr>
          <w:p w:rsidR="005624E3" w:rsidRPr="00600BEE" w:rsidRDefault="005624E3" w:rsidP="00101A80">
            <w:pPr>
              <w:spacing w:before="80" w:after="80" w:line="240" w:lineRule="atLeast"/>
              <w:rPr>
                <w:rFonts w:cs="Arial"/>
                <w:sz w:val="18"/>
                <w:szCs w:val="18"/>
              </w:rPr>
            </w:pPr>
          </w:p>
        </w:tc>
        <w:tc>
          <w:tcPr>
            <w:tcW w:w="1458" w:type="dxa"/>
            <w:vMerge w:val="restart"/>
            <w:shd w:val="clear" w:color="auto" w:fill="auto"/>
          </w:tcPr>
          <w:p w:rsidR="005624E3" w:rsidRPr="00600BEE" w:rsidDel="00F12D85" w:rsidRDefault="005624E3" w:rsidP="00101A80">
            <w:pPr>
              <w:widowControl w:val="0"/>
              <w:spacing w:before="80" w:after="80" w:line="240" w:lineRule="atLeast"/>
              <w:rPr>
                <w:rFonts w:cs="Arial"/>
                <w:sz w:val="18"/>
                <w:szCs w:val="18"/>
              </w:rPr>
            </w:pPr>
            <w:r>
              <w:rPr>
                <w:sz w:val="18"/>
              </w:rPr>
              <w:t>12. bekezdés c) pont</w:t>
            </w:r>
          </w:p>
        </w:tc>
        <w:tc>
          <w:tcPr>
            <w:tcW w:w="3296" w:type="dxa"/>
            <w:vMerge w:val="restart"/>
            <w:shd w:val="clear" w:color="auto" w:fill="auto"/>
          </w:tcPr>
          <w:p w:rsidR="005624E3" w:rsidRPr="00600BEE" w:rsidRDefault="005624E3" w:rsidP="00101A80">
            <w:pPr>
              <w:widowControl w:val="0"/>
              <w:tabs>
                <w:tab w:val="left" w:pos="1260"/>
              </w:tabs>
              <w:adjustRightInd w:val="0"/>
              <w:spacing w:before="80" w:after="80" w:line="240" w:lineRule="atLeast"/>
              <w:rPr>
                <w:rFonts w:cs="Arial"/>
                <w:sz w:val="18"/>
                <w:szCs w:val="18"/>
              </w:rPr>
            </w:pPr>
            <w:r>
              <w:rPr>
                <w:sz w:val="18"/>
              </w:rPr>
              <w:t>Vizsgálatok</w:t>
            </w:r>
          </w:p>
        </w:tc>
        <w:tc>
          <w:tcPr>
            <w:tcW w:w="6521"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N.R.C., legkésőbb a belvízi hajóbizonyítvány megújításakor.</w:t>
            </w:r>
          </w:p>
        </w:tc>
        <w:tc>
          <w:tcPr>
            <w:tcW w:w="1276" w:type="dxa"/>
            <w:vMerge w:val="restart"/>
            <w:shd w:val="clear" w:color="auto" w:fill="auto"/>
          </w:tcPr>
          <w:p w:rsidR="005624E3" w:rsidRPr="006125DB" w:rsidRDefault="005624E3" w:rsidP="00101A80">
            <w:pPr>
              <w:widowControl w:val="0"/>
              <w:spacing w:before="80" w:after="80" w:line="240" w:lineRule="atLeast"/>
              <w:rPr>
                <w:rFonts w:cs="Arial"/>
                <w:sz w:val="18"/>
                <w:szCs w:val="18"/>
                <w:highlight w:val="lightGray"/>
              </w:rPr>
            </w:pPr>
          </w:p>
        </w:tc>
      </w:tr>
      <w:tr w:rsidR="005624E3" w:rsidRPr="00A0619C" w:rsidTr="005758C9">
        <w:trPr>
          <w:cantSplit/>
          <w:trHeight w:val="183"/>
          <w:jc w:val="center"/>
        </w:trPr>
        <w:tc>
          <w:tcPr>
            <w:tcW w:w="1342" w:type="dxa"/>
            <w:vMerge/>
            <w:shd w:val="clear" w:color="auto" w:fill="auto"/>
          </w:tcPr>
          <w:p w:rsidR="005624E3" w:rsidRPr="00600BEE" w:rsidRDefault="005624E3" w:rsidP="00101A80">
            <w:pPr>
              <w:spacing w:before="80" w:after="80" w:line="240" w:lineRule="atLeast"/>
              <w:rPr>
                <w:rFonts w:cs="Arial"/>
                <w:sz w:val="18"/>
                <w:szCs w:val="18"/>
              </w:rPr>
            </w:pPr>
          </w:p>
        </w:tc>
        <w:tc>
          <w:tcPr>
            <w:tcW w:w="1458" w:type="dxa"/>
            <w:vMerge/>
            <w:shd w:val="clear" w:color="auto" w:fill="auto"/>
          </w:tcPr>
          <w:p w:rsidR="005624E3" w:rsidRPr="00600BEE" w:rsidRDefault="005624E3" w:rsidP="00101A80">
            <w:pPr>
              <w:widowControl w:val="0"/>
              <w:spacing w:before="80" w:after="80" w:line="240" w:lineRule="atLeast"/>
              <w:rPr>
                <w:rFonts w:cs="Arial"/>
                <w:sz w:val="18"/>
                <w:szCs w:val="18"/>
              </w:rPr>
            </w:pPr>
          </w:p>
        </w:tc>
        <w:tc>
          <w:tcPr>
            <w:tcW w:w="3296" w:type="dxa"/>
            <w:vMerge/>
            <w:shd w:val="clear" w:color="auto" w:fill="auto"/>
          </w:tcPr>
          <w:p w:rsidR="005624E3" w:rsidRPr="00600BEE" w:rsidRDefault="005624E3" w:rsidP="00101A80">
            <w:pPr>
              <w:widowControl w:val="0"/>
              <w:tabs>
                <w:tab w:val="left" w:pos="1260"/>
              </w:tabs>
              <w:adjustRightInd w:val="0"/>
              <w:spacing w:before="80" w:after="80" w:line="240" w:lineRule="atLeast"/>
              <w:rPr>
                <w:rFonts w:cs="Arial"/>
                <w:sz w:val="18"/>
                <w:szCs w:val="18"/>
              </w:rPr>
            </w:pPr>
          </w:p>
        </w:tc>
        <w:tc>
          <w:tcPr>
            <w:tcW w:w="6521" w:type="dxa"/>
            <w:shd w:val="clear" w:color="auto" w:fill="auto"/>
          </w:tcPr>
          <w:p w:rsidR="005624E3" w:rsidRPr="00600BEE" w:rsidRDefault="005624E3" w:rsidP="00101A80">
            <w:pPr>
              <w:widowControl w:val="0"/>
              <w:spacing w:before="80" w:after="80" w:line="240" w:lineRule="atLeast"/>
              <w:rPr>
                <w:rFonts w:cs="Arial"/>
                <w:sz w:val="18"/>
                <w:szCs w:val="18"/>
              </w:rPr>
            </w:pPr>
            <w:r>
              <w:rPr>
                <w:sz w:val="18"/>
              </w:rPr>
              <w:t>Ha nem szolgáltatható matematikai bizonyíték, az ellenőrző szerv más megfelelő bizonyítékot is elismerhet.</w:t>
            </w:r>
          </w:p>
        </w:tc>
        <w:tc>
          <w:tcPr>
            <w:tcW w:w="1276" w:type="dxa"/>
            <w:vMerge/>
            <w:shd w:val="clear" w:color="auto" w:fill="auto"/>
          </w:tcPr>
          <w:p w:rsidR="005624E3" w:rsidRPr="00C903F8" w:rsidRDefault="005624E3" w:rsidP="00101A80">
            <w:pPr>
              <w:spacing w:before="80" w:after="8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40" w:after="140" w:line="240" w:lineRule="atLeast"/>
              <w:jc w:val="center"/>
              <w:rPr>
                <w:rFonts w:cs="Arial"/>
                <w:sz w:val="18"/>
                <w:szCs w:val="18"/>
              </w:rPr>
            </w:pPr>
            <w:r>
              <w:rPr>
                <w:b/>
                <w:sz w:val="18"/>
              </w:rPr>
              <w:t>8. FEJEZET</w:t>
            </w:r>
          </w:p>
        </w:tc>
        <w:tc>
          <w:tcPr>
            <w:tcW w:w="6521" w:type="dxa"/>
            <w:shd w:val="clear" w:color="auto" w:fill="auto"/>
          </w:tcPr>
          <w:p w:rsidR="005624E3" w:rsidRPr="00C903F8" w:rsidRDefault="005624E3" w:rsidP="00101A80">
            <w:pPr>
              <w:spacing w:before="140" w:after="140" w:line="240" w:lineRule="atLeast"/>
              <w:rPr>
                <w:rFonts w:cs="Arial"/>
                <w:sz w:val="18"/>
                <w:szCs w:val="18"/>
              </w:rPr>
            </w:pPr>
          </w:p>
        </w:tc>
        <w:tc>
          <w:tcPr>
            <w:tcW w:w="1276" w:type="dxa"/>
            <w:shd w:val="clear" w:color="auto" w:fill="auto"/>
          </w:tcPr>
          <w:p w:rsidR="005624E3" w:rsidRPr="00C903F8" w:rsidRDefault="005624E3" w:rsidP="00101A80">
            <w:pPr>
              <w:spacing w:before="140" w:after="140" w:line="240" w:lineRule="atLeast"/>
              <w:rPr>
                <w:rFonts w:cs="Arial"/>
                <w:sz w:val="18"/>
                <w:szCs w:val="18"/>
              </w:rPr>
            </w:pP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140" w:after="140" w:line="240" w:lineRule="atLeast"/>
              <w:rPr>
                <w:rFonts w:cs="Arial"/>
                <w:sz w:val="18"/>
                <w:szCs w:val="18"/>
              </w:rPr>
            </w:pPr>
            <w:r>
              <w:rPr>
                <w:sz w:val="18"/>
              </w:rPr>
              <w:t>8.01.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Csak 55 °C-nál magasabb lobbanáspontú tüzelőanyaggal üzemelő belsőégésű motorok</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2029.12.30.</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40" w:after="140" w:line="240" w:lineRule="atLeast"/>
              <w:rPr>
                <w:rFonts w:cs="Arial"/>
                <w:sz w:val="18"/>
                <w:szCs w:val="18"/>
              </w:rPr>
            </w:pPr>
            <w:r>
              <w:rPr>
                <w:sz w:val="18"/>
              </w:rPr>
              <w:t>8.02.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Motorok biztosítása véletlen indítás ellen</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Csövek védelme</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spacing w:before="140" w:after="140" w:line="240" w:lineRule="atLeast"/>
              <w:rPr>
                <w:rFonts w:cs="Arial"/>
                <w:noProof/>
                <w:sz w:val="18"/>
                <w:szCs w:val="18"/>
              </w:rPr>
            </w:pPr>
            <w:r>
              <w:rPr>
                <w:noProof/>
                <w:sz w:val="18"/>
              </w:rPr>
              <w:t>Borítással ellátott csőrendszer</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2024.12.30.</w:t>
            </w:r>
          </w:p>
        </w:tc>
      </w:tr>
      <w:tr w:rsidR="005624E3" w:rsidRPr="00A0619C"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40" w:after="140" w:line="240" w:lineRule="atLeast"/>
              <w:rPr>
                <w:rFonts w:cs="Arial"/>
                <w:strike/>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sz w:val="18"/>
              </w:rPr>
              <w:t>A motoralkatrészek szigetelése</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140" w:after="14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40" w:after="140" w:line="240" w:lineRule="atLeast"/>
              <w:rPr>
                <w:rFonts w:cs="Arial"/>
                <w:sz w:val="18"/>
                <w:szCs w:val="18"/>
              </w:rPr>
            </w:pPr>
            <w:r>
              <w:rPr>
                <w:sz w:val="18"/>
              </w:rPr>
              <w:t>8.03.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Ellenőrző berendezések</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Túl nagy fordulatszám elleni automatikus védelem kijelzése és kikapcsolása</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A tengelykilépések kialakítása</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2029.12.30.</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40" w:after="140" w:line="240" w:lineRule="atLeast"/>
              <w:rPr>
                <w:rFonts w:cs="Arial"/>
                <w:sz w:val="18"/>
                <w:szCs w:val="18"/>
              </w:rPr>
            </w:pPr>
            <w:r>
              <w:rPr>
                <w:sz w:val="18"/>
              </w:rPr>
              <w:t>8.05. cikk</w:t>
            </w: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Acéltartályok folyékony tüzelőanyagokhoz</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2029.12.30.</w:t>
            </w: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tcBorders>
              <w:bottom w:val="single" w:sz="4" w:space="0" w:color="auto"/>
            </w:tcBorders>
            <w:shd w:val="clear" w:color="auto" w:fill="auto"/>
          </w:tcPr>
          <w:p w:rsidR="005624E3" w:rsidRPr="00C903F8" w:rsidRDefault="005624E3" w:rsidP="00101A80">
            <w:pPr>
              <w:spacing w:before="140" w:after="14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noProof/>
                <w:sz w:val="18"/>
              </w:rPr>
              <w:t>A tartályszelepek automatikus zárása</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140" w:after="140" w:line="240" w:lineRule="atLeast"/>
              <w:rPr>
                <w:rFonts w:cs="Arial"/>
                <w:sz w:val="18"/>
                <w:szCs w:val="18"/>
              </w:rPr>
            </w:pP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tcBorders>
              <w:bottom w:val="nil"/>
            </w:tcBorders>
            <w:shd w:val="clear" w:color="auto" w:fill="auto"/>
          </w:tcPr>
          <w:p w:rsidR="005624E3" w:rsidRPr="00C903F8" w:rsidRDefault="005624E3" w:rsidP="00101A80">
            <w:pPr>
              <w:spacing w:before="140" w:after="14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tabs>
                <w:tab w:val="left" w:pos="1170"/>
              </w:tabs>
              <w:spacing w:before="140" w:after="140" w:line="240" w:lineRule="atLeast"/>
              <w:rPr>
                <w:rFonts w:cs="Arial"/>
                <w:sz w:val="18"/>
                <w:szCs w:val="18"/>
              </w:rPr>
            </w:pPr>
            <w:r>
              <w:rPr>
                <w:noProof/>
                <w:sz w:val="18"/>
              </w:rPr>
              <w:t>Tüzelőanyag-tartályok ütközési válaszfal előtti elhelyezésének tilalma</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tcBorders>
              <w:top w:val="nil"/>
              <w:bottom w:val="single" w:sz="4" w:space="0" w:color="auto"/>
            </w:tcBorders>
            <w:shd w:val="clear" w:color="auto" w:fill="auto"/>
          </w:tcPr>
          <w:p w:rsidR="005624E3" w:rsidRPr="00C903F8" w:rsidRDefault="005624E3" w:rsidP="00101A80">
            <w:pPr>
              <w:spacing w:before="140" w:after="140" w:line="240" w:lineRule="atLeast"/>
              <w:rPr>
                <w:rFonts w:cs="Arial"/>
                <w:sz w:val="18"/>
                <w:szCs w:val="18"/>
              </w:rPr>
            </w:pPr>
          </w:p>
        </w:tc>
        <w:tc>
          <w:tcPr>
            <w:tcW w:w="3296" w:type="dxa"/>
            <w:shd w:val="clear" w:color="auto" w:fill="auto"/>
          </w:tcPr>
          <w:p w:rsidR="005624E3" w:rsidRPr="00C903F8" w:rsidRDefault="005624E3" w:rsidP="00101A80">
            <w:pPr>
              <w:spacing w:before="140" w:after="140" w:line="240" w:lineRule="atLeast"/>
              <w:rPr>
                <w:rFonts w:cs="Arial"/>
                <w:sz w:val="18"/>
                <w:szCs w:val="18"/>
              </w:rPr>
            </w:pPr>
            <w:r>
              <w:rPr>
                <w:sz w:val="18"/>
              </w:rPr>
              <w:t>Tüzelőanyag-tartályok farválaszfal mögötti elhelyezésének tilalma</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2049.12.30.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vMerge w:val="restart"/>
            <w:shd w:val="clear" w:color="auto" w:fill="auto"/>
          </w:tcPr>
          <w:p w:rsidR="005624E3" w:rsidRPr="00C903F8" w:rsidRDefault="005624E3" w:rsidP="00101A80">
            <w:pPr>
              <w:spacing w:before="160" w:after="160" w:line="240" w:lineRule="atLeast"/>
              <w:rPr>
                <w:rFonts w:cs="Arial"/>
                <w:sz w:val="18"/>
                <w:szCs w:val="18"/>
              </w:rPr>
            </w:pPr>
            <w:r>
              <w:rPr>
                <w:sz w:val="18"/>
              </w:rPr>
              <w:t>4. bekezdés</w:t>
            </w:r>
          </w:p>
        </w:tc>
        <w:tc>
          <w:tcPr>
            <w:tcW w:w="3296" w:type="dxa"/>
            <w:vMerge w:val="restart"/>
            <w:shd w:val="clear" w:color="auto" w:fill="auto"/>
          </w:tcPr>
          <w:p w:rsidR="005624E3" w:rsidRPr="00C903F8" w:rsidRDefault="005624E3" w:rsidP="00101A80">
            <w:pPr>
              <w:spacing w:before="160" w:after="160" w:line="240" w:lineRule="atLeast"/>
              <w:rPr>
                <w:rFonts w:cs="Arial"/>
                <w:sz w:val="18"/>
                <w:szCs w:val="18"/>
              </w:rPr>
            </w:pPr>
            <w:r>
              <w:rPr>
                <w:noProof/>
                <w:sz w:val="18"/>
              </w:rPr>
              <w:t>Tüzelőanyag-tartályok és szerelvényeik motorok és kipufogócsövek feletti elhelyezésének tilalma</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2024.12.30.</w:t>
            </w: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vMerge/>
            <w:shd w:val="clear" w:color="auto" w:fill="auto"/>
          </w:tcPr>
          <w:p w:rsidR="005624E3" w:rsidRPr="00C903F8" w:rsidRDefault="005624E3" w:rsidP="00101A80">
            <w:pPr>
              <w:spacing w:before="160" w:after="160" w:line="240" w:lineRule="atLeast"/>
              <w:rPr>
                <w:rFonts w:cs="Arial"/>
                <w:sz w:val="18"/>
                <w:szCs w:val="18"/>
              </w:rPr>
            </w:pPr>
          </w:p>
        </w:tc>
        <w:tc>
          <w:tcPr>
            <w:tcW w:w="3296" w:type="dxa"/>
            <w:vMerge/>
            <w:shd w:val="clear" w:color="auto" w:fill="auto"/>
          </w:tcPr>
          <w:p w:rsidR="005624E3" w:rsidRPr="00C903F8" w:rsidRDefault="005624E3" w:rsidP="00101A80">
            <w:pPr>
              <w:spacing w:before="160" w:after="160" w:line="240" w:lineRule="atLeast"/>
              <w:rPr>
                <w:rFonts w:cs="Arial"/>
                <w:sz w:val="18"/>
                <w:szCs w:val="18"/>
              </w:rPr>
            </w:pP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noProof/>
                <w:sz w:val="18"/>
              </w:rPr>
              <w:t>Addig megfelelő eszközzel biztosítani kell a tüzelőanyagok biztonságos elvezetését.</w:t>
            </w:r>
          </w:p>
        </w:tc>
        <w:tc>
          <w:tcPr>
            <w:tcW w:w="1276" w:type="dxa"/>
            <w:shd w:val="clear" w:color="auto" w:fill="auto"/>
          </w:tcPr>
          <w:p w:rsidR="005624E3" w:rsidRPr="00C903F8" w:rsidRDefault="005624E3" w:rsidP="00101A80">
            <w:pPr>
              <w:spacing w:before="160" w:after="160" w:line="240" w:lineRule="atLeast"/>
              <w:rPr>
                <w:rFonts w:cs="Arial"/>
                <w:sz w:val="18"/>
                <w:szCs w:val="18"/>
              </w:rPr>
            </w:pP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6. bekezdés harmadik, negyedik, ötödik mondat</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Légzőcsövek és csatlakozócsövek felszerelése és méretezése</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7. bekezdés első mondat</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sz w:val="18"/>
              </w:rPr>
              <w:t>Még az érintett helyiségek lezárásakor is a fedélzetről működtethető gyorszáró szelep a tartályon</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2029.01.01.</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9. bekezdés második mondat</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A kapacitásmérő műszerek olvashatósága a maximális feltöltés szintje</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2029.12.30.</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13.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A tüzelőanyag-tartály töltöttségi szintjét jelző eszköz nemcsak a főmotorok, hanem a hajó biztonságos üzeméhez szükséges egyéb motorok tekintetében is</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2029.12.30.</w:t>
            </w:r>
          </w:p>
        </w:tc>
      </w:tr>
      <w:tr w:rsidR="005624E3" w:rsidRPr="00C903F8" w:rsidTr="005758C9">
        <w:trPr>
          <w:cantSplit/>
          <w:jc w:val="center"/>
        </w:trPr>
        <w:tc>
          <w:tcPr>
            <w:tcW w:w="1342" w:type="dxa"/>
            <w:shd w:val="clear" w:color="auto" w:fill="auto"/>
          </w:tcPr>
          <w:p w:rsidR="005624E3" w:rsidRPr="00C903F8" w:rsidRDefault="005624E3" w:rsidP="00101A80">
            <w:pPr>
              <w:spacing w:before="160" w:after="160" w:line="240" w:lineRule="atLeast"/>
              <w:rPr>
                <w:rFonts w:cs="Arial"/>
                <w:sz w:val="18"/>
                <w:szCs w:val="18"/>
              </w:rPr>
            </w:pPr>
            <w:r>
              <w:rPr>
                <w:sz w:val="18"/>
              </w:rPr>
              <w:t>8.06.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Kenőolaj tárolására szolgáló tartályok; csövek és tartozékok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2049.12.30.</w:t>
            </w: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160" w:after="160" w:line="240" w:lineRule="atLeast"/>
              <w:rPr>
                <w:rFonts w:cs="Arial"/>
                <w:sz w:val="18"/>
                <w:szCs w:val="18"/>
              </w:rPr>
            </w:pPr>
            <w:r>
              <w:rPr>
                <w:sz w:val="18"/>
              </w:rPr>
              <w:t>8.07.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Az erőátviteli rendszerben, a vezérlő- és indítórendszerben, valamint a fűtőrendszerben olaj tárolására szolgáló tartályok; csövek és tartozékok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2049.12.30.</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60" w:after="160" w:line="240" w:lineRule="atLeast"/>
              <w:rPr>
                <w:rFonts w:cs="Arial"/>
                <w:sz w:val="18"/>
                <w:szCs w:val="18"/>
              </w:rPr>
            </w:pPr>
            <w:r>
              <w:rPr>
                <w:sz w:val="18"/>
              </w:rPr>
              <w:t>8.08. cikk</w:t>
            </w: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8. bekezdés</w:t>
            </w:r>
          </w:p>
        </w:tc>
        <w:tc>
          <w:tcPr>
            <w:tcW w:w="3296" w:type="dxa"/>
            <w:shd w:val="clear" w:color="auto" w:fill="auto"/>
          </w:tcPr>
          <w:p w:rsidR="005624E3" w:rsidRPr="00C903F8" w:rsidRDefault="005624E3" w:rsidP="00101A80">
            <w:pPr>
              <w:spacing w:before="160" w:after="160" w:line="240" w:lineRule="atLeast"/>
              <w:rPr>
                <w:rFonts w:cs="Arial"/>
                <w:sz w:val="18"/>
                <w:szCs w:val="18"/>
              </w:rPr>
            </w:pPr>
            <w:r>
              <w:rPr>
                <w:noProof/>
                <w:sz w:val="18"/>
              </w:rPr>
              <w:t>A ballaszt felvételére alkalmas rakományterek esetében nem elegendő egyszerű elzárószerkezet alkalmazni a ballasztterek leürítő csövekhez való csatlakoztatásához</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60" w:after="16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9.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Mérőműszerek a rakományterek fenekén</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2024.12.30.</w:t>
            </w:r>
          </w:p>
        </w:tc>
      </w:tr>
      <w:tr w:rsidR="005624E3" w:rsidRPr="00C903F8" w:rsidTr="005758C9">
        <w:trPr>
          <w:cantSplit/>
          <w:jc w:val="center"/>
        </w:trPr>
        <w:tc>
          <w:tcPr>
            <w:tcW w:w="1342" w:type="dxa"/>
            <w:shd w:val="clear" w:color="auto" w:fill="auto"/>
          </w:tcPr>
          <w:p w:rsidR="005624E3" w:rsidRPr="00C903F8" w:rsidRDefault="005624E3" w:rsidP="00101A80">
            <w:pPr>
              <w:spacing w:before="80" w:after="80" w:line="240" w:lineRule="atLeast"/>
              <w:rPr>
                <w:rFonts w:cs="Arial"/>
                <w:sz w:val="18"/>
                <w:szCs w:val="18"/>
              </w:rPr>
            </w:pPr>
            <w:r>
              <w:rPr>
                <w:sz w:val="18"/>
              </w:rPr>
              <w:t>8.09. cikk</w:t>
            </w: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Az olajos víz gyűjtésére és a fáradtolaj tárolására szolgáló berendezések</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2024.12.30.</w:t>
            </w: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r>
              <w:rPr>
                <w:sz w:val="18"/>
              </w:rPr>
              <w:t>8.10. cikk</w:t>
            </w:r>
          </w:p>
        </w:tc>
        <w:tc>
          <w:tcPr>
            <w:tcW w:w="1458"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r>
              <w:rPr>
                <w:sz w:val="18"/>
              </w:rPr>
              <w:t>3. bekezdés</w:t>
            </w:r>
          </w:p>
        </w:tc>
        <w:tc>
          <w:tcPr>
            <w:tcW w:w="3296"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r>
              <w:rPr>
                <w:noProof/>
                <w:sz w:val="18"/>
              </w:rPr>
              <w:t>Kibocsátási határérték 65 dB(A) álló hajóknál</w:t>
            </w:r>
          </w:p>
        </w:tc>
        <w:tc>
          <w:tcPr>
            <w:tcW w:w="6521"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r>
              <w:rPr>
                <w:sz w:val="18"/>
              </w:rPr>
              <w:t>2029.12.30.</w:t>
            </w:r>
          </w:p>
        </w:tc>
      </w:tr>
      <w:tr w:rsidR="005624E3" w:rsidRPr="00A0619C" w:rsidTr="005758C9">
        <w:trPr>
          <w:cantSplit/>
          <w:jc w:val="center"/>
        </w:trPr>
        <w:tc>
          <w:tcPr>
            <w:tcW w:w="6096" w:type="dxa"/>
            <w:gridSpan w:val="3"/>
            <w:tcBorders>
              <w:top w:val="single" w:sz="4" w:space="0" w:color="auto"/>
            </w:tcBorders>
            <w:shd w:val="clear" w:color="auto" w:fill="auto"/>
          </w:tcPr>
          <w:p w:rsidR="005624E3" w:rsidRDefault="005624E3" w:rsidP="00101A80">
            <w:pPr>
              <w:spacing w:before="80" w:after="80" w:line="240" w:lineRule="atLeast"/>
              <w:jc w:val="center"/>
              <w:rPr>
                <w:rFonts w:cs="Arial"/>
                <w:b/>
                <w:sz w:val="18"/>
                <w:szCs w:val="18"/>
              </w:rPr>
            </w:pPr>
            <w:r>
              <w:rPr>
                <w:b/>
                <w:sz w:val="18"/>
              </w:rPr>
              <w:t>9. FEJEZET</w:t>
            </w:r>
          </w:p>
        </w:tc>
        <w:tc>
          <w:tcPr>
            <w:tcW w:w="6521" w:type="dxa"/>
            <w:tcBorders>
              <w:top w:val="single" w:sz="4" w:space="0" w:color="auto"/>
            </w:tcBorders>
            <w:shd w:val="clear" w:color="auto" w:fill="auto"/>
          </w:tcPr>
          <w:p w:rsidR="005624E3" w:rsidRPr="00C01A94" w:rsidRDefault="005624E3" w:rsidP="00101A80">
            <w:pPr>
              <w:spacing w:before="80" w:after="80" w:line="240" w:lineRule="atLeast"/>
              <w:rPr>
                <w:rFonts w:cs="Arial"/>
                <w:sz w:val="18"/>
                <w:szCs w:val="18"/>
              </w:rPr>
            </w:pPr>
            <w:r>
              <w:rPr>
                <w:sz w:val="18"/>
              </w:rPr>
              <w:t>A már beszerelt, típusjóváhagyással nem rendelkező motorok esetében csak a 9.02. cikk alkalmazandó.</w:t>
            </w:r>
          </w:p>
        </w:tc>
        <w:tc>
          <w:tcPr>
            <w:tcW w:w="1276" w:type="dxa"/>
            <w:tcBorders>
              <w:top w:val="single" w:sz="4" w:space="0" w:color="auto"/>
              <w:bottom w:val="nil"/>
            </w:tcBorders>
            <w:shd w:val="clear" w:color="auto" w:fill="auto"/>
          </w:tcPr>
          <w:p w:rsidR="005624E3" w:rsidRPr="00C01A94" w:rsidRDefault="005624E3" w:rsidP="00101A80">
            <w:pPr>
              <w:spacing w:before="80" w:after="80" w:line="240" w:lineRule="atLeast"/>
              <w:rPr>
                <w:rFonts w:cs="Arial"/>
                <w:sz w:val="18"/>
                <w:szCs w:val="18"/>
              </w:rPr>
            </w:pPr>
          </w:p>
        </w:tc>
      </w:tr>
      <w:tr w:rsidR="005624E3" w:rsidRPr="00A0619C" w:rsidTr="005758C9">
        <w:trPr>
          <w:cantSplit/>
          <w:jc w:val="center"/>
        </w:trPr>
        <w:tc>
          <w:tcPr>
            <w:tcW w:w="1342" w:type="dxa"/>
            <w:shd w:val="clear" w:color="auto" w:fill="auto"/>
          </w:tcPr>
          <w:p w:rsidR="005624E3" w:rsidRPr="004B606C" w:rsidRDefault="005624E3" w:rsidP="00101A80">
            <w:pPr>
              <w:spacing w:before="80" w:after="80" w:line="240" w:lineRule="atLeast"/>
              <w:rPr>
                <w:rFonts w:eastAsia="Calibri" w:cs="Arial"/>
                <w:sz w:val="18"/>
                <w:szCs w:val="18"/>
              </w:rPr>
            </w:pPr>
            <w:r>
              <w:rPr>
                <w:sz w:val="18"/>
              </w:rPr>
              <w:t>9.01. cikk</w:t>
            </w:r>
          </w:p>
        </w:tc>
        <w:tc>
          <w:tcPr>
            <w:tcW w:w="1458" w:type="dxa"/>
            <w:shd w:val="clear" w:color="auto" w:fill="auto"/>
          </w:tcPr>
          <w:p w:rsidR="005624E3" w:rsidRPr="004B606C" w:rsidRDefault="005624E3" w:rsidP="00101A80">
            <w:pPr>
              <w:spacing w:before="80" w:after="80" w:line="240" w:lineRule="atLeast"/>
              <w:rPr>
                <w:sz w:val="18"/>
                <w:szCs w:val="18"/>
              </w:rPr>
            </w:pPr>
            <w:r>
              <w:rPr>
                <w:sz w:val="18"/>
              </w:rPr>
              <w:t>1–4. bekezdés</w:t>
            </w:r>
          </w:p>
        </w:tc>
        <w:tc>
          <w:tcPr>
            <w:tcW w:w="3296" w:type="dxa"/>
            <w:shd w:val="clear" w:color="auto" w:fill="auto"/>
          </w:tcPr>
          <w:p w:rsidR="005624E3" w:rsidRPr="004B606C" w:rsidRDefault="005624E3" w:rsidP="00101A80">
            <w:pPr>
              <w:spacing w:before="80" w:after="80" w:line="240" w:lineRule="atLeast"/>
              <w:rPr>
                <w:rFonts w:eastAsia="Calibri" w:cs="Arial"/>
                <w:sz w:val="18"/>
                <w:szCs w:val="18"/>
              </w:rPr>
            </w:pPr>
            <w:r>
              <w:rPr>
                <w:sz w:val="18"/>
              </w:rPr>
              <w:t>Általános rendelkezések</w:t>
            </w:r>
          </w:p>
        </w:tc>
        <w:tc>
          <w:tcPr>
            <w:tcW w:w="6521" w:type="dxa"/>
            <w:vMerge w:val="restart"/>
            <w:shd w:val="clear" w:color="auto" w:fill="auto"/>
            <w:vAlign w:val="center"/>
          </w:tcPr>
          <w:p w:rsidR="005624E3" w:rsidRPr="00C903F8" w:rsidRDefault="005624E3" w:rsidP="00101A80">
            <w:pPr>
              <w:spacing w:before="80" w:after="80" w:line="240" w:lineRule="atLeast"/>
              <w:rPr>
                <w:rFonts w:cs="Arial"/>
                <w:sz w:val="18"/>
                <w:szCs w:val="18"/>
              </w:rPr>
            </w:pPr>
            <w:r>
              <w:rPr>
                <w:sz w:val="18"/>
              </w:rPr>
              <w:t>A típusjóváhagyásra és a beépítésre vonatkozó, a beépítéskor hatályos rendelkezéseknek megfelelő motorok esetében: N.R.</w:t>
            </w:r>
          </w:p>
        </w:tc>
        <w:tc>
          <w:tcPr>
            <w:tcW w:w="1276" w:type="dxa"/>
            <w:tcBorders>
              <w:top w:val="nil"/>
              <w:bottom w:val="nil"/>
            </w:tcBorders>
            <w:shd w:val="clear" w:color="auto" w:fill="auto"/>
          </w:tcPr>
          <w:p w:rsidR="005624E3" w:rsidRPr="00C01A94" w:rsidRDefault="005624E3" w:rsidP="00101A80">
            <w:pPr>
              <w:spacing w:before="80" w:after="80" w:line="240" w:lineRule="atLeast"/>
              <w:rPr>
                <w:rFonts w:cs="Arial"/>
                <w:sz w:val="18"/>
                <w:szCs w:val="18"/>
              </w:rPr>
            </w:pPr>
          </w:p>
        </w:tc>
      </w:tr>
      <w:tr w:rsidR="005624E3" w:rsidRPr="00C903F8" w:rsidTr="005758C9">
        <w:trPr>
          <w:cantSplit/>
          <w:jc w:val="center"/>
        </w:trPr>
        <w:tc>
          <w:tcPr>
            <w:tcW w:w="1342" w:type="dxa"/>
            <w:shd w:val="clear" w:color="auto" w:fill="auto"/>
          </w:tcPr>
          <w:p w:rsidR="005624E3" w:rsidRPr="004B606C" w:rsidRDefault="005624E3" w:rsidP="00101A80">
            <w:pPr>
              <w:spacing w:before="80" w:after="80" w:line="240" w:lineRule="atLeast"/>
              <w:rPr>
                <w:sz w:val="18"/>
                <w:szCs w:val="18"/>
              </w:rPr>
            </w:pPr>
            <w:r>
              <w:rPr>
                <w:sz w:val="18"/>
              </w:rPr>
              <w:t>9.06. cikk</w:t>
            </w:r>
          </w:p>
        </w:tc>
        <w:tc>
          <w:tcPr>
            <w:tcW w:w="1458" w:type="dxa"/>
            <w:shd w:val="clear" w:color="auto" w:fill="auto"/>
          </w:tcPr>
          <w:p w:rsidR="005624E3" w:rsidRPr="004B606C" w:rsidRDefault="005624E3" w:rsidP="00101A80">
            <w:pPr>
              <w:spacing w:before="80" w:after="80" w:line="240" w:lineRule="atLeast"/>
              <w:rPr>
                <w:sz w:val="18"/>
                <w:szCs w:val="18"/>
              </w:rPr>
            </w:pPr>
          </w:p>
        </w:tc>
        <w:tc>
          <w:tcPr>
            <w:tcW w:w="3296" w:type="dxa"/>
            <w:shd w:val="clear" w:color="auto" w:fill="auto"/>
          </w:tcPr>
          <w:p w:rsidR="005624E3" w:rsidRPr="004B606C" w:rsidRDefault="005624E3" w:rsidP="00101A80">
            <w:pPr>
              <w:spacing w:before="80" w:after="80" w:line="240" w:lineRule="atLeast"/>
              <w:rPr>
                <w:sz w:val="18"/>
                <w:szCs w:val="18"/>
              </w:rPr>
            </w:pPr>
            <w:r>
              <w:rPr>
                <w:sz w:val="18"/>
              </w:rPr>
              <w:t>Átvételi vizsgálat</w:t>
            </w:r>
          </w:p>
        </w:tc>
        <w:tc>
          <w:tcPr>
            <w:tcW w:w="6521" w:type="dxa"/>
            <w:vMerge/>
            <w:shd w:val="clear" w:color="auto" w:fill="auto"/>
          </w:tcPr>
          <w:p w:rsidR="005624E3" w:rsidRPr="00C903F8" w:rsidRDefault="005624E3" w:rsidP="00101A80">
            <w:pPr>
              <w:spacing w:before="80" w:after="80" w:line="240" w:lineRule="atLeast"/>
              <w:rPr>
                <w:rFonts w:cs="Arial"/>
                <w:sz w:val="18"/>
                <w:szCs w:val="18"/>
              </w:rPr>
            </w:pPr>
          </w:p>
        </w:tc>
        <w:tc>
          <w:tcPr>
            <w:tcW w:w="1276" w:type="dxa"/>
            <w:tcBorders>
              <w:top w:val="nil"/>
            </w:tcBorders>
            <w:shd w:val="clear" w:color="auto" w:fill="auto"/>
          </w:tcPr>
          <w:p w:rsidR="005624E3" w:rsidRPr="00C903F8" w:rsidRDefault="005624E3" w:rsidP="00101A80">
            <w:pPr>
              <w:spacing w:before="80" w:after="80" w:line="240" w:lineRule="atLeast"/>
              <w:rPr>
                <w:rFonts w:cs="Arial"/>
                <w:sz w:val="18"/>
                <w:szCs w:val="18"/>
              </w:rPr>
            </w:pPr>
          </w:p>
        </w:tc>
      </w:tr>
      <w:tr w:rsidR="005624E3" w:rsidRPr="00C903F8" w:rsidTr="005758C9">
        <w:trPr>
          <w:cantSplit/>
          <w:jc w:val="center"/>
        </w:trPr>
        <w:tc>
          <w:tcPr>
            <w:tcW w:w="6096" w:type="dxa"/>
            <w:gridSpan w:val="3"/>
            <w:tcBorders>
              <w:top w:val="single" w:sz="4" w:space="0" w:color="auto"/>
            </w:tcBorders>
            <w:shd w:val="clear" w:color="auto" w:fill="auto"/>
          </w:tcPr>
          <w:p w:rsidR="005624E3" w:rsidRPr="00852DB3" w:rsidRDefault="005624E3" w:rsidP="00101A80">
            <w:pPr>
              <w:spacing w:before="80" w:after="80" w:line="240" w:lineRule="atLeast"/>
              <w:jc w:val="center"/>
              <w:rPr>
                <w:rFonts w:cs="Arial"/>
                <w:b/>
                <w:sz w:val="18"/>
                <w:szCs w:val="18"/>
              </w:rPr>
            </w:pPr>
            <w:r>
              <w:rPr>
                <w:b/>
                <w:sz w:val="18"/>
              </w:rPr>
              <w:t>10. FEJEZET</w:t>
            </w:r>
          </w:p>
        </w:tc>
        <w:tc>
          <w:tcPr>
            <w:tcW w:w="6521" w:type="dxa"/>
            <w:tcBorders>
              <w:top w:val="single" w:sz="4" w:space="0" w:color="auto"/>
            </w:tcBorders>
            <w:shd w:val="clear" w:color="auto" w:fill="auto"/>
          </w:tcPr>
          <w:p w:rsidR="005624E3" w:rsidRPr="00852DB3" w:rsidRDefault="005624E3" w:rsidP="00101A80">
            <w:pPr>
              <w:spacing w:before="80" w:after="80" w:line="240" w:lineRule="atLeast"/>
              <w:jc w:val="center"/>
              <w:rPr>
                <w:rFonts w:cs="Arial"/>
                <w:sz w:val="18"/>
                <w:szCs w:val="18"/>
              </w:rPr>
            </w:pPr>
          </w:p>
        </w:tc>
        <w:tc>
          <w:tcPr>
            <w:tcW w:w="1276" w:type="dxa"/>
            <w:tcBorders>
              <w:top w:val="single" w:sz="4" w:space="0" w:color="auto"/>
            </w:tcBorders>
            <w:shd w:val="clear" w:color="auto" w:fill="auto"/>
          </w:tcPr>
          <w:p w:rsidR="005624E3" w:rsidRPr="00C903F8" w:rsidRDefault="005624E3" w:rsidP="00101A80">
            <w:pPr>
              <w:spacing w:before="80" w:after="80" w:line="240" w:lineRule="atLeast"/>
              <w:rPr>
                <w:rFonts w:cs="Arial"/>
                <w:sz w:val="18"/>
                <w:szCs w:val="18"/>
              </w:rPr>
            </w:pPr>
          </w:p>
        </w:tc>
      </w:tr>
      <w:tr w:rsidR="005624E3" w:rsidRPr="00C903F8" w:rsidTr="005758C9">
        <w:trPr>
          <w:cantSplit/>
          <w:jc w:val="center"/>
        </w:trPr>
        <w:tc>
          <w:tcPr>
            <w:tcW w:w="1342" w:type="dxa"/>
            <w:vMerge w:val="restart"/>
            <w:shd w:val="clear" w:color="auto" w:fill="auto"/>
          </w:tcPr>
          <w:p w:rsidR="005624E3" w:rsidRPr="00C903F8" w:rsidRDefault="005624E3" w:rsidP="00101A80">
            <w:pPr>
              <w:spacing w:before="80" w:after="80" w:line="240" w:lineRule="atLeast"/>
              <w:rPr>
                <w:rFonts w:cs="Arial"/>
                <w:sz w:val="18"/>
                <w:szCs w:val="18"/>
              </w:rPr>
            </w:pPr>
            <w:r>
              <w:rPr>
                <w:sz w:val="18"/>
              </w:rPr>
              <w:t>10.01. cikk</w:t>
            </w: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1. bekezdés második mondat</w:t>
            </w:r>
          </w:p>
        </w:tc>
        <w:tc>
          <w:tcPr>
            <w:tcW w:w="3296" w:type="dxa"/>
            <w:shd w:val="clear" w:color="auto" w:fill="auto"/>
          </w:tcPr>
          <w:p w:rsidR="005624E3" w:rsidRPr="003F5E4D" w:rsidRDefault="005624E3" w:rsidP="00101A80">
            <w:pPr>
              <w:spacing w:before="80" w:after="80" w:line="240" w:lineRule="atLeast"/>
              <w:rPr>
                <w:rFonts w:cs="Arial"/>
                <w:noProof/>
                <w:sz w:val="18"/>
                <w:szCs w:val="18"/>
              </w:rPr>
            </w:pPr>
            <w:r>
              <w:rPr>
                <w:noProof/>
                <w:sz w:val="18"/>
              </w:rPr>
              <w:t>A kért okmányokat be kell nyújtani az ellenőrző szervnek.</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r>
              <w:rPr>
                <w:sz w:val="18"/>
              </w:rPr>
              <w:t>2035.01.01.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2. bekezdés b) pont</w:t>
            </w:r>
          </w:p>
        </w:tc>
        <w:tc>
          <w:tcPr>
            <w:tcW w:w="3296" w:type="dxa"/>
            <w:shd w:val="clear" w:color="auto" w:fill="auto"/>
          </w:tcPr>
          <w:p w:rsidR="005624E3" w:rsidRPr="003F5E4D" w:rsidRDefault="005624E3" w:rsidP="00101A80">
            <w:pPr>
              <w:spacing w:before="80" w:after="80" w:line="240" w:lineRule="atLeast"/>
              <w:rPr>
                <w:rFonts w:cs="Arial"/>
                <w:noProof/>
                <w:sz w:val="18"/>
                <w:szCs w:val="18"/>
              </w:rPr>
            </w:pPr>
            <w:r>
              <w:rPr>
                <w:noProof/>
                <w:sz w:val="18"/>
              </w:rPr>
              <w:t>A fő kapcsolótáblákra, a vészhelyzeti kapcsolótáblákra és az elosztó kapcsolótáblákra vonatkozó tervrajzok fedélzeten tartására vonatkozó kötelezettség</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r>
              <w:rPr>
                <w:sz w:val="18"/>
              </w:rPr>
              <w:t>2010.01.01.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2. bekezdés e) pont</w:t>
            </w:r>
          </w:p>
        </w:tc>
        <w:tc>
          <w:tcPr>
            <w:tcW w:w="3296" w:type="dxa"/>
            <w:shd w:val="clear" w:color="auto" w:fill="auto"/>
          </w:tcPr>
          <w:p w:rsidR="005624E3" w:rsidRPr="003F5E4D" w:rsidRDefault="005624E3" w:rsidP="00101A80">
            <w:pPr>
              <w:spacing w:before="80" w:after="80" w:line="240" w:lineRule="atLeast"/>
              <w:rPr>
                <w:rFonts w:cs="Arial"/>
                <w:noProof/>
                <w:sz w:val="18"/>
                <w:szCs w:val="18"/>
              </w:rPr>
            </w:pPr>
            <w:r>
              <w:rPr>
                <w:noProof/>
                <w:sz w:val="18"/>
              </w:rPr>
              <w:t>A kapcsolótáblák tervrajzai, valamint az elektromos propulziós motorok dokumentációja</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r>
      <w:tr w:rsidR="005624E3" w:rsidRPr="00C903F8" w:rsidTr="005758C9">
        <w:trPr>
          <w:cantSplit/>
          <w:jc w:val="center"/>
        </w:trPr>
        <w:tc>
          <w:tcPr>
            <w:tcW w:w="1342" w:type="dxa"/>
            <w:vMerge/>
            <w:tcBorders>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2. bekezdés f) pont</w:t>
            </w:r>
          </w:p>
        </w:tc>
        <w:tc>
          <w:tcPr>
            <w:tcW w:w="3296" w:type="dxa"/>
            <w:shd w:val="clear" w:color="auto" w:fill="auto"/>
          </w:tcPr>
          <w:p w:rsidR="005624E3" w:rsidRPr="00852DB3" w:rsidRDefault="005624E3" w:rsidP="00101A80">
            <w:pPr>
              <w:spacing w:before="80" w:after="80" w:line="240" w:lineRule="atLeast"/>
              <w:rPr>
                <w:rFonts w:cs="Arial"/>
                <w:noProof/>
                <w:sz w:val="18"/>
                <w:szCs w:val="18"/>
              </w:rPr>
            </w:pPr>
            <w:r>
              <w:rPr>
                <w:noProof/>
                <w:sz w:val="18"/>
              </w:rPr>
              <w:t>Az elektronikus rendszerek tervrajzai</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2. bekezdés g) pont</w:t>
            </w:r>
          </w:p>
        </w:tc>
        <w:tc>
          <w:tcPr>
            <w:tcW w:w="3296" w:type="dxa"/>
            <w:shd w:val="clear" w:color="auto" w:fill="auto"/>
          </w:tcPr>
          <w:p w:rsidR="005624E3" w:rsidRPr="00852DB3" w:rsidRDefault="005624E3" w:rsidP="00101A80">
            <w:pPr>
              <w:spacing w:before="80" w:after="80" w:line="240" w:lineRule="atLeast"/>
              <w:rPr>
                <w:rFonts w:cs="Arial"/>
                <w:noProof/>
                <w:sz w:val="18"/>
                <w:szCs w:val="18"/>
              </w:rPr>
            </w:pPr>
            <w:r>
              <w:rPr>
                <w:noProof/>
                <w:sz w:val="18"/>
              </w:rPr>
              <w:t>A vezérlőkörök tervrajzai</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852DB3" w:rsidRDefault="005624E3" w:rsidP="00101A80">
            <w:pPr>
              <w:spacing w:before="80" w:after="80" w:line="240" w:lineRule="atLeast"/>
              <w:rPr>
                <w:rFonts w:cs="Arial"/>
                <w:sz w:val="18"/>
                <w:szCs w:val="18"/>
              </w:rPr>
            </w:pPr>
            <w:r>
              <w:rPr>
                <w:sz w:val="18"/>
              </w:rPr>
              <w:t>3. bekezdés</w:t>
            </w:r>
          </w:p>
        </w:tc>
        <w:tc>
          <w:tcPr>
            <w:tcW w:w="3296" w:type="dxa"/>
            <w:shd w:val="clear" w:color="auto" w:fill="auto"/>
          </w:tcPr>
          <w:p w:rsidR="005624E3" w:rsidRPr="00852DB3" w:rsidRDefault="005624E3" w:rsidP="00101A80">
            <w:pPr>
              <w:spacing w:before="80" w:after="80" w:line="240" w:lineRule="atLeast"/>
              <w:rPr>
                <w:rFonts w:cs="Arial"/>
                <w:noProof/>
                <w:sz w:val="18"/>
                <w:szCs w:val="18"/>
              </w:rPr>
            </w:pPr>
            <w:r>
              <w:rPr>
                <w:noProof/>
                <w:sz w:val="18"/>
              </w:rPr>
              <w:t>Környezeti hőmérséklet a hajó belsejében és a fedélzeten</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4B4203" w:rsidRDefault="005624E3" w:rsidP="00101A80">
            <w:pPr>
              <w:spacing w:before="80" w:after="80" w:line="240" w:lineRule="atLeast"/>
              <w:rPr>
                <w:rFonts w:cs="Arial"/>
                <w:sz w:val="18"/>
                <w:szCs w:val="18"/>
              </w:rPr>
            </w:pPr>
            <w:r>
              <w:rPr>
                <w:sz w:val="18"/>
              </w:rPr>
              <w:t>10.02. cikk</w:t>
            </w:r>
          </w:p>
        </w:tc>
        <w:tc>
          <w:tcPr>
            <w:tcW w:w="1458" w:type="dxa"/>
            <w:shd w:val="clear" w:color="auto" w:fill="auto"/>
          </w:tcPr>
          <w:p w:rsidR="005624E3" w:rsidRPr="00852DB3" w:rsidRDefault="005624E3" w:rsidP="00101A80">
            <w:pPr>
              <w:spacing w:before="80" w:after="80" w:line="240" w:lineRule="atLeast"/>
              <w:rPr>
                <w:rFonts w:cs="Arial"/>
                <w:sz w:val="18"/>
                <w:szCs w:val="18"/>
              </w:rPr>
            </w:pPr>
          </w:p>
        </w:tc>
        <w:tc>
          <w:tcPr>
            <w:tcW w:w="3296" w:type="dxa"/>
            <w:shd w:val="clear" w:color="auto" w:fill="auto"/>
          </w:tcPr>
          <w:p w:rsidR="005624E3" w:rsidRPr="00852DB3" w:rsidRDefault="005624E3" w:rsidP="00101A80">
            <w:pPr>
              <w:spacing w:before="80" w:after="80" w:line="240" w:lineRule="atLeast"/>
              <w:rPr>
                <w:rFonts w:cs="Arial"/>
                <w:sz w:val="18"/>
                <w:szCs w:val="18"/>
              </w:rPr>
            </w:pPr>
            <w:r>
              <w:rPr>
                <w:sz w:val="18"/>
              </w:rPr>
              <w:t>Áramellátó rendszerek</w:t>
            </w:r>
          </w:p>
        </w:tc>
        <w:tc>
          <w:tcPr>
            <w:tcW w:w="6521" w:type="dxa"/>
            <w:shd w:val="clear" w:color="auto" w:fill="auto"/>
          </w:tcPr>
          <w:p w:rsidR="005624E3" w:rsidRPr="00852DB3" w:rsidRDefault="005624E3" w:rsidP="00101A80">
            <w:pPr>
              <w:spacing w:before="80" w:after="8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80" w:after="80" w:line="240" w:lineRule="atLeast"/>
              <w:jc w:val="center"/>
              <w:rPr>
                <w:rFonts w:cs="Arial"/>
                <w:sz w:val="18"/>
                <w:szCs w:val="18"/>
              </w:rPr>
            </w:pPr>
            <w:r>
              <w:rPr>
                <w:sz w:val="18"/>
              </w:rPr>
              <w:t>2010.01.01.</w:t>
            </w:r>
          </w:p>
        </w:tc>
      </w:tr>
      <w:tr w:rsidR="005624E3" w:rsidRPr="00C903F8" w:rsidTr="005758C9">
        <w:trPr>
          <w:cantSplit/>
          <w:jc w:val="center"/>
        </w:trPr>
        <w:tc>
          <w:tcPr>
            <w:tcW w:w="1342" w:type="dxa"/>
            <w:shd w:val="clear" w:color="auto" w:fill="auto"/>
          </w:tcPr>
          <w:p w:rsidR="005624E3" w:rsidRPr="004B4203" w:rsidRDefault="005624E3" w:rsidP="00101A80">
            <w:pPr>
              <w:spacing w:before="140" w:after="140" w:line="240" w:lineRule="atLeast"/>
              <w:rPr>
                <w:rFonts w:cs="Arial"/>
                <w:sz w:val="18"/>
                <w:szCs w:val="18"/>
              </w:rPr>
            </w:pPr>
            <w:r>
              <w:rPr>
                <w:sz w:val="18"/>
              </w:rPr>
              <w:t>10.03. cikk</w:t>
            </w:r>
          </w:p>
        </w:tc>
        <w:tc>
          <w:tcPr>
            <w:tcW w:w="1458" w:type="dxa"/>
            <w:shd w:val="clear" w:color="auto" w:fill="auto"/>
          </w:tcPr>
          <w:p w:rsidR="005624E3" w:rsidRPr="00852DB3" w:rsidRDefault="005624E3" w:rsidP="00101A80">
            <w:pPr>
              <w:spacing w:before="140" w:after="140" w:line="240" w:lineRule="atLeast"/>
              <w:rPr>
                <w:rFonts w:cs="Arial"/>
                <w:sz w:val="18"/>
                <w:szCs w:val="18"/>
              </w:rPr>
            </w:pPr>
          </w:p>
        </w:tc>
        <w:tc>
          <w:tcPr>
            <w:tcW w:w="3296" w:type="dxa"/>
            <w:shd w:val="clear" w:color="auto" w:fill="auto"/>
          </w:tcPr>
          <w:p w:rsidR="005624E3" w:rsidRPr="001717EA" w:rsidRDefault="005624E3" w:rsidP="00101A80">
            <w:pPr>
              <w:spacing w:before="140" w:after="140" w:line="240" w:lineRule="atLeast"/>
              <w:rPr>
                <w:rFonts w:cs="Arial"/>
                <w:sz w:val="18"/>
                <w:szCs w:val="18"/>
              </w:rPr>
            </w:pPr>
            <w:r>
              <w:rPr>
                <w:sz w:val="18"/>
              </w:rPr>
              <w:t>Védelem típusa a berendezések helyétől függően</w:t>
            </w:r>
          </w:p>
        </w:tc>
        <w:tc>
          <w:tcPr>
            <w:tcW w:w="6521" w:type="dxa"/>
            <w:shd w:val="clear" w:color="auto" w:fill="auto"/>
          </w:tcPr>
          <w:p w:rsidR="005624E3" w:rsidRPr="00852DB3" w:rsidRDefault="005624E3" w:rsidP="00101A80">
            <w:pPr>
              <w:spacing w:before="140" w:after="14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40" w:after="140" w:line="240" w:lineRule="atLeast"/>
              <w:jc w:val="center"/>
              <w:rPr>
                <w:rFonts w:cs="Arial"/>
                <w:sz w:val="18"/>
                <w:szCs w:val="18"/>
              </w:rPr>
            </w:pPr>
          </w:p>
        </w:tc>
      </w:tr>
      <w:tr w:rsidR="005624E3" w:rsidRPr="00C903F8" w:rsidTr="005758C9">
        <w:trPr>
          <w:cantSplit/>
          <w:jc w:val="center"/>
        </w:trPr>
        <w:tc>
          <w:tcPr>
            <w:tcW w:w="1342" w:type="dxa"/>
            <w:shd w:val="clear" w:color="auto" w:fill="auto"/>
          </w:tcPr>
          <w:p w:rsidR="005624E3" w:rsidRPr="004B4203" w:rsidRDefault="005624E3" w:rsidP="00101A80">
            <w:pPr>
              <w:spacing w:before="140" w:after="140" w:line="240" w:lineRule="atLeast"/>
              <w:rPr>
                <w:rFonts w:cs="Arial"/>
                <w:sz w:val="18"/>
                <w:szCs w:val="18"/>
              </w:rPr>
            </w:pPr>
            <w:r>
              <w:rPr>
                <w:sz w:val="18"/>
              </w:rPr>
              <w:t>10.04. cikk</w:t>
            </w:r>
          </w:p>
        </w:tc>
        <w:tc>
          <w:tcPr>
            <w:tcW w:w="1458" w:type="dxa"/>
            <w:shd w:val="clear" w:color="auto" w:fill="auto"/>
          </w:tcPr>
          <w:p w:rsidR="005624E3" w:rsidRPr="00852DB3" w:rsidRDefault="005624E3" w:rsidP="00101A80">
            <w:pPr>
              <w:spacing w:before="140" w:after="140" w:line="240" w:lineRule="atLeast"/>
              <w:rPr>
                <w:rFonts w:cs="Arial"/>
                <w:sz w:val="18"/>
                <w:szCs w:val="18"/>
              </w:rPr>
            </w:pPr>
          </w:p>
        </w:tc>
        <w:tc>
          <w:tcPr>
            <w:tcW w:w="3296" w:type="dxa"/>
            <w:shd w:val="clear" w:color="auto" w:fill="auto"/>
          </w:tcPr>
          <w:p w:rsidR="005624E3" w:rsidRPr="00852DB3" w:rsidRDefault="005624E3" w:rsidP="00101A80">
            <w:pPr>
              <w:spacing w:before="140" w:after="140" w:line="240" w:lineRule="atLeast"/>
              <w:rPr>
                <w:rFonts w:cs="Arial"/>
                <w:sz w:val="18"/>
                <w:szCs w:val="18"/>
              </w:rPr>
            </w:pPr>
            <w:r>
              <w:rPr>
                <w:sz w:val="18"/>
              </w:rPr>
              <w:t>Robbanásvédelem</w:t>
            </w:r>
          </w:p>
        </w:tc>
        <w:tc>
          <w:tcPr>
            <w:tcW w:w="6521" w:type="dxa"/>
            <w:shd w:val="clear" w:color="auto" w:fill="auto"/>
          </w:tcPr>
          <w:p w:rsidR="005624E3" w:rsidRPr="00852DB3" w:rsidRDefault="005624E3" w:rsidP="00101A80">
            <w:pPr>
              <w:spacing w:before="140" w:after="14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40" w:after="140" w:line="240" w:lineRule="atLeast"/>
              <w:jc w:val="center"/>
              <w:rPr>
                <w:rFonts w:cs="Arial"/>
                <w:sz w:val="18"/>
                <w:szCs w:val="18"/>
              </w:rPr>
            </w:pPr>
          </w:p>
        </w:tc>
      </w:tr>
      <w:tr w:rsidR="005624E3" w:rsidRPr="00C903F8" w:rsidTr="005758C9">
        <w:trPr>
          <w:cantSplit/>
          <w:jc w:val="center"/>
        </w:trPr>
        <w:tc>
          <w:tcPr>
            <w:tcW w:w="1342" w:type="dxa"/>
            <w:shd w:val="clear" w:color="auto" w:fill="auto"/>
          </w:tcPr>
          <w:p w:rsidR="005624E3" w:rsidRPr="004B4203" w:rsidRDefault="005624E3" w:rsidP="00101A80">
            <w:pPr>
              <w:spacing w:before="140" w:after="140" w:line="240" w:lineRule="atLeast"/>
              <w:rPr>
                <w:rFonts w:cs="Arial"/>
                <w:sz w:val="18"/>
                <w:szCs w:val="18"/>
              </w:rPr>
            </w:pPr>
            <w:r>
              <w:rPr>
                <w:sz w:val="18"/>
              </w:rPr>
              <w:t>10.05. cikk</w:t>
            </w:r>
          </w:p>
        </w:tc>
        <w:tc>
          <w:tcPr>
            <w:tcW w:w="1458" w:type="dxa"/>
            <w:shd w:val="clear" w:color="auto" w:fill="auto"/>
          </w:tcPr>
          <w:p w:rsidR="005624E3" w:rsidRPr="00852DB3" w:rsidRDefault="005624E3" w:rsidP="00101A80">
            <w:pPr>
              <w:spacing w:before="140" w:after="140" w:line="240" w:lineRule="atLeast"/>
              <w:rPr>
                <w:rFonts w:cs="Arial"/>
                <w:sz w:val="18"/>
                <w:szCs w:val="18"/>
              </w:rPr>
            </w:pPr>
            <w:r>
              <w:rPr>
                <w:sz w:val="18"/>
              </w:rPr>
              <w:t>4. bekezdés</w:t>
            </w:r>
          </w:p>
        </w:tc>
        <w:tc>
          <w:tcPr>
            <w:tcW w:w="3296" w:type="dxa"/>
            <w:shd w:val="clear" w:color="auto" w:fill="auto"/>
          </w:tcPr>
          <w:p w:rsidR="005624E3" w:rsidRPr="001717EA" w:rsidRDefault="005624E3" w:rsidP="00101A80">
            <w:pPr>
              <w:spacing w:before="140" w:after="140" w:line="240" w:lineRule="atLeast"/>
              <w:rPr>
                <w:rFonts w:cs="Arial"/>
                <w:sz w:val="18"/>
                <w:szCs w:val="18"/>
              </w:rPr>
            </w:pPr>
            <w:r>
              <w:rPr>
                <w:sz w:val="18"/>
              </w:rPr>
              <w:t>A földelőkábelek keresztmetszete</w:t>
            </w:r>
          </w:p>
        </w:tc>
        <w:tc>
          <w:tcPr>
            <w:tcW w:w="6521" w:type="dxa"/>
            <w:shd w:val="clear" w:color="auto" w:fill="auto"/>
          </w:tcPr>
          <w:p w:rsidR="005624E3" w:rsidRPr="00852DB3" w:rsidRDefault="005624E3" w:rsidP="00101A80">
            <w:pPr>
              <w:spacing w:before="140" w:after="14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40" w:after="140" w:line="240" w:lineRule="atLeast"/>
              <w:jc w:val="center"/>
              <w:rPr>
                <w:rFonts w:cs="Arial"/>
                <w:sz w:val="18"/>
                <w:szCs w:val="18"/>
              </w:rPr>
            </w:pPr>
            <w:r>
              <w:rPr>
                <w:sz w:val="18"/>
              </w:rPr>
              <w:t>2015.01.01.</w:t>
            </w:r>
          </w:p>
        </w:tc>
      </w:tr>
      <w:tr w:rsidR="005624E3" w:rsidRPr="00BF3595" w:rsidTr="005758C9">
        <w:trPr>
          <w:cantSplit/>
          <w:jc w:val="center"/>
        </w:trPr>
        <w:tc>
          <w:tcPr>
            <w:tcW w:w="1342" w:type="dxa"/>
            <w:tcBorders>
              <w:bottom w:val="single" w:sz="4" w:space="0" w:color="auto"/>
            </w:tcBorders>
            <w:shd w:val="clear" w:color="auto" w:fill="auto"/>
          </w:tcPr>
          <w:p w:rsidR="005624E3" w:rsidRPr="004B4203" w:rsidRDefault="005624E3" w:rsidP="00101A80">
            <w:pPr>
              <w:spacing w:before="140" w:after="140" w:line="240" w:lineRule="atLeast"/>
              <w:rPr>
                <w:rFonts w:cs="Arial"/>
                <w:sz w:val="18"/>
                <w:szCs w:val="18"/>
              </w:rPr>
            </w:pPr>
            <w:r>
              <w:rPr>
                <w:sz w:val="18"/>
              </w:rPr>
              <w:t xml:space="preserve">10.06. cikk </w:t>
            </w:r>
          </w:p>
        </w:tc>
        <w:tc>
          <w:tcPr>
            <w:tcW w:w="1458" w:type="dxa"/>
            <w:shd w:val="clear" w:color="auto" w:fill="auto"/>
          </w:tcPr>
          <w:p w:rsidR="005624E3" w:rsidRPr="00852DB3" w:rsidRDefault="005624E3" w:rsidP="00101A80">
            <w:pPr>
              <w:spacing w:before="140" w:after="140" w:line="240" w:lineRule="atLeast"/>
              <w:rPr>
                <w:rFonts w:cs="Arial"/>
                <w:sz w:val="18"/>
                <w:szCs w:val="18"/>
              </w:rPr>
            </w:pPr>
            <w:r>
              <w:rPr>
                <w:sz w:val="18"/>
              </w:rPr>
              <w:t>1. táblázat</w:t>
            </w:r>
          </w:p>
        </w:tc>
        <w:tc>
          <w:tcPr>
            <w:tcW w:w="3296" w:type="dxa"/>
            <w:shd w:val="clear" w:color="auto" w:fill="auto"/>
          </w:tcPr>
          <w:p w:rsidR="005624E3" w:rsidRPr="00852DB3" w:rsidRDefault="005624E3" w:rsidP="00101A80">
            <w:pPr>
              <w:spacing w:before="140" w:after="140" w:line="240" w:lineRule="atLeast"/>
              <w:rPr>
                <w:rFonts w:cs="Arial"/>
                <w:sz w:val="18"/>
                <w:szCs w:val="18"/>
              </w:rPr>
            </w:pPr>
            <w:r>
              <w:rPr>
                <w:sz w:val="18"/>
              </w:rPr>
              <w:t>Háromfázisú váltóáram</w:t>
            </w:r>
          </w:p>
        </w:tc>
        <w:tc>
          <w:tcPr>
            <w:tcW w:w="6521" w:type="dxa"/>
            <w:shd w:val="clear" w:color="auto" w:fill="auto"/>
          </w:tcPr>
          <w:p w:rsidR="005624E3" w:rsidRPr="00852DB3" w:rsidRDefault="005624E3" w:rsidP="00101A80">
            <w:pPr>
              <w:spacing w:before="140" w:after="14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40" w:after="140" w:line="240" w:lineRule="atLeast"/>
              <w:jc w:val="center"/>
              <w:rPr>
                <w:rFonts w:cs="Arial"/>
                <w:sz w:val="18"/>
                <w:szCs w:val="18"/>
              </w:rPr>
            </w:pPr>
          </w:p>
        </w:tc>
      </w:tr>
      <w:tr w:rsidR="005624E3" w:rsidRPr="00BF3595" w:rsidTr="005758C9">
        <w:trPr>
          <w:cantSplit/>
          <w:jc w:val="center"/>
        </w:trPr>
        <w:tc>
          <w:tcPr>
            <w:tcW w:w="1342" w:type="dxa"/>
            <w:tcBorders>
              <w:bottom w:val="single" w:sz="4" w:space="0" w:color="auto"/>
            </w:tcBorders>
            <w:shd w:val="clear" w:color="auto" w:fill="auto"/>
          </w:tcPr>
          <w:p w:rsidR="005624E3" w:rsidRPr="004B4203" w:rsidRDefault="005624E3" w:rsidP="00101A80">
            <w:pPr>
              <w:spacing w:before="140" w:after="140" w:line="240" w:lineRule="atLeast"/>
              <w:rPr>
                <w:rFonts w:cs="Arial"/>
                <w:sz w:val="18"/>
                <w:szCs w:val="18"/>
              </w:rPr>
            </w:pPr>
            <w:r>
              <w:rPr>
                <w:sz w:val="18"/>
              </w:rPr>
              <w:t>10.08. cikk</w:t>
            </w:r>
          </w:p>
        </w:tc>
        <w:tc>
          <w:tcPr>
            <w:tcW w:w="1458" w:type="dxa"/>
            <w:shd w:val="clear" w:color="auto" w:fill="auto"/>
          </w:tcPr>
          <w:p w:rsidR="005624E3" w:rsidRPr="00852DB3" w:rsidRDefault="005624E3" w:rsidP="00101A80">
            <w:pPr>
              <w:spacing w:before="140" w:after="140" w:line="240" w:lineRule="atLeast"/>
              <w:rPr>
                <w:rFonts w:cs="Arial"/>
                <w:sz w:val="18"/>
                <w:szCs w:val="18"/>
              </w:rPr>
            </w:pPr>
            <w:r>
              <w:rPr>
                <w:sz w:val="18"/>
              </w:rPr>
              <w:t>1. bekezdés</w:t>
            </w:r>
          </w:p>
        </w:tc>
        <w:tc>
          <w:tcPr>
            <w:tcW w:w="3296" w:type="dxa"/>
            <w:shd w:val="clear" w:color="auto" w:fill="auto"/>
          </w:tcPr>
          <w:p w:rsidR="005624E3" w:rsidRPr="00DB7D1E" w:rsidRDefault="005624E3" w:rsidP="00101A80">
            <w:pPr>
              <w:spacing w:before="140" w:after="140" w:line="240" w:lineRule="atLeast"/>
              <w:rPr>
                <w:rFonts w:cs="Arial"/>
                <w:sz w:val="18"/>
                <w:szCs w:val="18"/>
                <w:lang w:val="es-ES"/>
              </w:rPr>
            </w:pPr>
            <w:r w:rsidRPr="00DB7D1E">
              <w:rPr>
                <w:sz w:val="18"/>
                <w:lang w:val="es-ES"/>
              </w:rPr>
              <w:t>Megfelelés az EN 15869-1, az EN 15869</w:t>
            </w:r>
            <w:r w:rsidRPr="00DB7D1E">
              <w:rPr>
                <w:lang w:val="es-ES"/>
              </w:rPr>
              <w:softHyphen/>
            </w:r>
            <w:r w:rsidRPr="00DB7D1E">
              <w:rPr>
                <w:sz w:val="18"/>
                <w:lang w:val="es-ES"/>
              </w:rPr>
              <w:t>3 és az EN 16840 európai szabványnak</w:t>
            </w:r>
          </w:p>
        </w:tc>
        <w:tc>
          <w:tcPr>
            <w:tcW w:w="6521" w:type="dxa"/>
            <w:shd w:val="clear" w:color="auto" w:fill="auto"/>
          </w:tcPr>
          <w:p w:rsidR="005624E3" w:rsidRPr="00852DB3" w:rsidRDefault="005624E3" w:rsidP="00101A80">
            <w:pPr>
              <w:spacing w:before="140" w:after="14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40" w:after="140" w:line="240" w:lineRule="atLeast"/>
              <w:jc w:val="center"/>
              <w:rPr>
                <w:rFonts w:cs="Arial"/>
                <w:sz w:val="18"/>
                <w:szCs w:val="18"/>
              </w:rPr>
            </w:pPr>
          </w:p>
        </w:tc>
      </w:tr>
      <w:tr w:rsidR="005624E3" w:rsidRPr="00BF3595" w:rsidTr="005758C9">
        <w:trPr>
          <w:cantSplit/>
          <w:jc w:val="center"/>
        </w:trPr>
        <w:tc>
          <w:tcPr>
            <w:tcW w:w="1342" w:type="dxa"/>
            <w:vMerge w:val="restart"/>
            <w:shd w:val="clear" w:color="auto" w:fill="auto"/>
          </w:tcPr>
          <w:p w:rsidR="005624E3" w:rsidRPr="004B4203" w:rsidRDefault="005624E3" w:rsidP="00101A80">
            <w:pPr>
              <w:spacing w:before="140" w:after="140" w:line="240" w:lineRule="atLeast"/>
              <w:rPr>
                <w:rFonts w:cs="Arial"/>
                <w:sz w:val="18"/>
                <w:szCs w:val="18"/>
              </w:rPr>
            </w:pPr>
            <w:r>
              <w:rPr>
                <w:sz w:val="18"/>
              </w:rPr>
              <w:t xml:space="preserve">10.10. cikk </w:t>
            </w:r>
          </w:p>
        </w:tc>
        <w:tc>
          <w:tcPr>
            <w:tcW w:w="1458" w:type="dxa"/>
            <w:shd w:val="clear" w:color="auto" w:fill="auto"/>
          </w:tcPr>
          <w:p w:rsidR="005624E3" w:rsidRPr="00852DB3" w:rsidRDefault="005624E3" w:rsidP="00101A80">
            <w:pPr>
              <w:spacing w:before="140" w:after="140" w:line="240" w:lineRule="atLeast"/>
              <w:rPr>
                <w:rFonts w:cs="Arial"/>
                <w:sz w:val="18"/>
                <w:szCs w:val="18"/>
              </w:rPr>
            </w:pPr>
            <w:r>
              <w:rPr>
                <w:sz w:val="18"/>
              </w:rPr>
              <w:t>2. bekezdés</w:t>
            </w:r>
          </w:p>
        </w:tc>
        <w:tc>
          <w:tcPr>
            <w:tcW w:w="3296" w:type="dxa"/>
            <w:shd w:val="clear" w:color="auto" w:fill="auto"/>
          </w:tcPr>
          <w:p w:rsidR="005624E3" w:rsidRPr="00A54EF9" w:rsidRDefault="005624E3" w:rsidP="00101A80">
            <w:pPr>
              <w:spacing w:before="140" w:after="140" w:line="240" w:lineRule="atLeast"/>
              <w:rPr>
                <w:rFonts w:cs="Arial"/>
                <w:sz w:val="18"/>
                <w:szCs w:val="18"/>
              </w:rPr>
            </w:pPr>
            <w:r>
              <w:rPr>
                <w:sz w:val="18"/>
              </w:rPr>
              <w:t>Transzformátorok beépítése</w:t>
            </w:r>
          </w:p>
        </w:tc>
        <w:tc>
          <w:tcPr>
            <w:tcW w:w="6521" w:type="dxa"/>
            <w:shd w:val="clear" w:color="auto" w:fill="auto"/>
          </w:tcPr>
          <w:p w:rsidR="005624E3" w:rsidRPr="00852DB3" w:rsidRDefault="005624E3" w:rsidP="00101A80">
            <w:pPr>
              <w:spacing w:before="140" w:after="14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40" w:after="140" w:line="240" w:lineRule="atLeast"/>
              <w:jc w:val="center"/>
              <w:rPr>
                <w:rFonts w:cs="Arial"/>
                <w:sz w:val="18"/>
                <w:szCs w:val="18"/>
              </w:rPr>
            </w:pPr>
          </w:p>
        </w:tc>
      </w:tr>
      <w:tr w:rsidR="005624E3" w:rsidRPr="00BF3595" w:rsidTr="005758C9">
        <w:trPr>
          <w:cantSplit/>
          <w:jc w:val="center"/>
        </w:trPr>
        <w:tc>
          <w:tcPr>
            <w:tcW w:w="1342" w:type="dxa"/>
            <w:vMerge/>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3. bekezdés</w:t>
            </w:r>
          </w:p>
        </w:tc>
        <w:tc>
          <w:tcPr>
            <w:tcW w:w="3296" w:type="dxa"/>
            <w:shd w:val="clear" w:color="auto" w:fill="auto"/>
          </w:tcPr>
          <w:p w:rsidR="005624E3" w:rsidRPr="00A54EF9" w:rsidRDefault="005624E3" w:rsidP="00101A80">
            <w:pPr>
              <w:spacing w:before="140" w:after="140" w:line="240" w:lineRule="atLeast"/>
              <w:rPr>
                <w:rFonts w:cs="Arial"/>
                <w:sz w:val="18"/>
                <w:szCs w:val="18"/>
              </w:rPr>
            </w:pPr>
            <w:r>
              <w:rPr>
                <w:sz w:val="18"/>
              </w:rPr>
              <w:t>A transzformátorok elkülönített elsődleges és másodlagos tekercselése</w:t>
            </w:r>
          </w:p>
        </w:tc>
        <w:tc>
          <w:tcPr>
            <w:tcW w:w="6521" w:type="dxa"/>
            <w:shd w:val="clear" w:color="auto" w:fill="auto"/>
          </w:tcPr>
          <w:p w:rsidR="005624E3" w:rsidRDefault="005624E3" w:rsidP="00101A80">
            <w:pPr>
              <w:spacing w:before="140" w:after="14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40" w:after="140" w:line="240" w:lineRule="atLeast"/>
              <w:jc w:val="center"/>
              <w:rPr>
                <w:rFonts w:cs="Arial"/>
                <w:sz w:val="18"/>
                <w:szCs w:val="18"/>
              </w:rPr>
            </w:pPr>
          </w:p>
        </w:tc>
      </w:tr>
      <w:tr w:rsidR="005624E3" w:rsidRPr="00BF3595" w:rsidTr="005758C9">
        <w:trPr>
          <w:cantSplit/>
          <w:jc w:val="center"/>
        </w:trPr>
        <w:tc>
          <w:tcPr>
            <w:tcW w:w="1342" w:type="dxa"/>
            <w:vMerge/>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4. bekezdés</w:t>
            </w:r>
          </w:p>
        </w:tc>
        <w:tc>
          <w:tcPr>
            <w:tcW w:w="3296" w:type="dxa"/>
            <w:shd w:val="clear" w:color="auto" w:fill="auto"/>
          </w:tcPr>
          <w:p w:rsidR="005624E3" w:rsidRPr="00A54EF9" w:rsidRDefault="005624E3" w:rsidP="00101A80">
            <w:pPr>
              <w:spacing w:before="140" w:after="140" w:line="240" w:lineRule="atLeast"/>
              <w:rPr>
                <w:rFonts w:cs="Arial"/>
                <w:sz w:val="18"/>
                <w:szCs w:val="18"/>
              </w:rPr>
            </w:pPr>
            <w:r>
              <w:rPr>
                <w:sz w:val="18"/>
              </w:rPr>
              <w:t>Transzformátorok másodlagos tekercsének megcsapolásai</w:t>
            </w:r>
          </w:p>
        </w:tc>
        <w:tc>
          <w:tcPr>
            <w:tcW w:w="6521" w:type="dxa"/>
            <w:shd w:val="clear" w:color="auto" w:fill="auto"/>
          </w:tcPr>
          <w:p w:rsidR="005624E3" w:rsidRDefault="005624E3" w:rsidP="00101A80">
            <w:pPr>
              <w:spacing w:before="140" w:after="14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40" w:after="140" w:line="240" w:lineRule="atLeast"/>
              <w:jc w:val="center"/>
              <w:rPr>
                <w:rFonts w:cs="Arial"/>
                <w:sz w:val="18"/>
                <w:szCs w:val="18"/>
              </w:rPr>
            </w:pPr>
          </w:p>
        </w:tc>
      </w:tr>
      <w:tr w:rsidR="005624E3" w:rsidRPr="00BF3595" w:rsidTr="005758C9">
        <w:trPr>
          <w:cantSplit/>
          <w:jc w:val="center"/>
        </w:trPr>
        <w:tc>
          <w:tcPr>
            <w:tcW w:w="1342" w:type="dxa"/>
            <w:vMerge/>
            <w:tcBorders>
              <w:bottom w:val="single" w:sz="4" w:space="0" w:color="auto"/>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shd w:val="clear" w:color="auto" w:fill="auto"/>
          </w:tcPr>
          <w:p w:rsidR="005624E3" w:rsidRPr="00C903F8" w:rsidRDefault="005624E3" w:rsidP="00101A80">
            <w:pPr>
              <w:spacing w:before="140" w:after="140" w:line="240" w:lineRule="atLeast"/>
              <w:rPr>
                <w:rFonts w:cs="Arial"/>
                <w:sz w:val="18"/>
                <w:szCs w:val="18"/>
              </w:rPr>
            </w:pPr>
            <w:r>
              <w:rPr>
                <w:sz w:val="18"/>
              </w:rPr>
              <w:t>5. bekezdés</w:t>
            </w:r>
          </w:p>
        </w:tc>
        <w:tc>
          <w:tcPr>
            <w:tcW w:w="3296" w:type="dxa"/>
            <w:shd w:val="clear" w:color="auto" w:fill="auto"/>
          </w:tcPr>
          <w:p w:rsidR="005624E3" w:rsidRPr="00A54EF9" w:rsidRDefault="005624E3" w:rsidP="00101A80">
            <w:pPr>
              <w:spacing w:before="140" w:after="140" w:line="240" w:lineRule="atLeast"/>
              <w:rPr>
                <w:rFonts w:cs="Arial"/>
                <w:sz w:val="18"/>
                <w:szCs w:val="18"/>
              </w:rPr>
            </w:pPr>
            <w:r>
              <w:rPr>
                <w:sz w:val="18"/>
              </w:rPr>
              <w:t xml:space="preserve"> A gyártót, a motorteljesítményt, a generátorokat és a transzformátorokat ismertető tábla</w:t>
            </w:r>
          </w:p>
        </w:tc>
        <w:tc>
          <w:tcPr>
            <w:tcW w:w="6521" w:type="dxa"/>
            <w:shd w:val="clear" w:color="auto" w:fill="auto"/>
          </w:tcPr>
          <w:p w:rsidR="005624E3" w:rsidRDefault="005624E3" w:rsidP="00101A80">
            <w:pPr>
              <w:spacing w:before="140" w:after="14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40" w:after="140" w:line="240" w:lineRule="atLeast"/>
              <w:jc w:val="center"/>
              <w:rPr>
                <w:rFonts w:cs="Arial"/>
                <w:sz w:val="18"/>
                <w:szCs w:val="18"/>
              </w:rPr>
            </w:pPr>
          </w:p>
        </w:tc>
      </w:tr>
      <w:tr w:rsidR="005624E3" w:rsidRPr="00BF3595" w:rsidTr="005758C9">
        <w:trPr>
          <w:cantSplit/>
          <w:jc w:val="center"/>
        </w:trPr>
        <w:tc>
          <w:tcPr>
            <w:tcW w:w="1342" w:type="dxa"/>
            <w:vMerge w:val="restart"/>
            <w:shd w:val="clear" w:color="auto" w:fill="auto"/>
          </w:tcPr>
          <w:p w:rsidR="005624E3" w:rsidRPr="004B4203" w:rsidRDefault="005624E3" w:rsidP="00101A80">
            <w:pPr>
              <w:spacing w:before="60" w:after="60" w:line="240" w:lineRule="atLeast"/>
              <w:rPr>
                <w:rFonts w:cs="Arial"/>
                <w:sz w:val="18"/>
                <w:szCs w:val="18"/>
              </w:rPr>
            </w:pPr>
            <w:r>
              <w:rPr>
                <w:sz w:val="18"/>
              </w:rPr>
              <w:t xml:space="preserve">10,11 </w:t>
            </w:r>
          </w:p>
        </w:tc>
        <w:tc>
          <w:tcPr>
            <w:tcW w:w="1458" w:type="dxa"/>
            <w:shd w:val="clear" w:color="auto" w:fill="auto"/>
          </w:tcPr>
          <w:p w:rsidR="005624E3" w:rsidRPr="00852DB3"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1717EA" w:rsidRDefault="005624E3" w:rsidP="00101A80">
            <w:pPr>
              <w:spacing w:before="60" w:after="60" w:line="240" w:lineRule="atLeast"/>
              <w:rPr>
                <w:rFonts w:cs="Arial"/>
                <w:sz w:val="18"/>
                <w:szCs w:val="18"/>
              </w:rPr>
            </w:pPr>
            <w:r>
              <w:rPr>
                <w:sz w:val="18"/>
              </w:rPr>
              <w:t>A kiszolgáló helyiség vagy a szekrény szellőzése a nyitott fedélzet felé</w:t>
            </w:r>
          </w:p>
        </w:tc>
        <w:tc>
          <w:tcPr>
            <w:tcW w:w="6521" w:type="dxa"/>
            <w:shd w:val="clear" w:color="auto" w:fill="auto"/>
          </w:tcPr>
          <w:p w:rsidR="005624E3" w:rsidRPr="00852DB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60" w:after="60" w:line="240" w:lineRule="atLeast"/>
              <w:jc w:val="center"/>
              <w:rPr>
                <w:rFonts w:cs="Arial"/>
                <w:sz w:val="18"/>
                <w:szCs w:val="18"/>
              </w:rPr>
            </w:pPr>
          </w:p>
        </w:tc>
      </w:tr>
      <w:tr w:rsidR="005624E3" w:rsidRPr="00A0619C"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7. bekezdés</w:t>
            </w:r>
          </w:p>
        </w:tc>
        <w:tc>
          <w:tcPr>
            <w:tcW w:w="3296" w:type="dxa"/>
            <w:shd w:val="clear" w:color="auto" w:fill="auto"/>
          </w:tcPr>
          <w:p w:rsidR="005624E3" w:rsidRPr="00A54EF9" w:rsidRDefault="005624E3" w:rsidP="00101A80">
            <w:pPr>
              <w:spacing w:before="60" w:after="60" w:line="240" w:lineRule="atLeast"/>
              <w:rPr>
                <w:rFonts w:cs="Arial"/>
                <w:sz w:val="18"/>
                <w:szCs w:val="18"/>
              </w:rPr>
            </w:pPr>
            <w:r>
              <w:rPr>
                <w:sz w:val="18"/>
              </w:rPr>
              <w:t>Az akkumulátoroknak helyet adó zárt tér, szekrény vagy láda szellőzése</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60" w:after="60" w:line="240" w:lineRule="atLeast"/>
              <w:jc w:val="center"/>
              <w:rPr>
                <w:rFonts w:cs="Arial"/>
                <w:sz w:val="18"/>
                <w:szCs w:val="18"/>
              </w:rPr>
            </w:pPr>
          </w:p>
        </w:tc>
      </w:tr>
      <w:tr w:rsidR="005624E3" w:rsidRPr="00BF3595" w:rsidTr="005758C9">
        <w:trPr>
          <w:cantSplit/>
          <w:jc w:val="center"/>
        </w:trPr>
        <w:tc>
          <w:tcPr>
            <w:tcW w:w="1342" w:type="dxa"/>
            <w:vMerge/>
            <w:shd w:val="clear" w:color="auto" w:fill="auto"/>
          </w:tcPr>
          <w:p w:rsidR="005624E3" w:rsidRPr="00A54EF9"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12. bekezdés</w:t>
            </w:r>
          </w:p>
        </w:tc>
        <w:tc>
          <w:tcPr>
            <w:tcW w:w="3296" w:type="dxa"/>
            <w:shd w:val="clear" w:color="auto" w:fill="auto"/>
          </w:tcPr>
          <w:p w:rsidR="005624E3" w:rsidRPr="00A54EF9" w:rsidRDefault="005624E3" w:rsidP="00101A80">
            <w:pPr>
              <w:spacing w:before="60" w:after="60" w:line="240" w:lineRule="atLeast"/>
              <w:rPr>
                <w:rFonts w:cs="Arial"/>
                <w:sz w:val="18"/>
                <w:szCs w:val="18"/>
              </w:rPr>
            </w:pPr>
            <w:r>
              <w:rPr>
                <w:sz w:val="18"/>
              </w:rPr>
              <w:t>A töltőberendezések bemérése</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jc w:val="center"/>
              <w:rPr>
                <w:rFonts w:cs="Arial"/>
                <w:sz w:val="18"/>
                <w:szCs w:val="18"/>
              </w:rPr>
            </w:pPr>
          </w:p>
        </w:tc>
      </w:tr>
      <w:tr w:rsidR="005624E3" w:rsidRPr="00BF3595"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13. bekezdés</w:t>
            </w:r>
          </w:p>
        </w:tc>
        <w:tc>
          <w:tcPr>
            <w:tcW w:w="3296" w:type="dxa"/>
            <w:shd w:val="clear" w:color="auto" w:fill="auto"/>
          </w:tcPr>
          <w:p w:rsidR="005624E3" w:rsidRPr="00A54EF9" w:rsidRDefault="005624E3" w:rsidP="00101A80">
            <w:pPr>
              <w:spacing w:before="60" w:after="60" w:line="240" w:lineRule="atLeast"/>
              <w:rPr>
                <w:rFonts w:cs="Arial"/>
                <w:sz w:val="18"/>
                <w:szCs w:val="18"/>
              </w:rPr>
            </w:pPr>
            <w:r>
              <w:rPr>
                <w:sz w:val="18"/>
              </w:rPr>
              <w:t>Automatikus töltőberendezések</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jc w:val="center"/>
              <w:rPr>
                <w:rFonts w:cs="Arial"/>
                <w:sz w:val="18"/>
                <w:szCs w:val="18"/>
              </w:rPr>
            </w:pPr>
          </w:p>
        </w:tc>
      </w:tr>
      <w:tr w:rsidR="005624E3" w:rsidRPr="00BF3595"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14. bekezdés</w:t>
            </w:r>
          </w:p>
        </w:tc>
        <w:tc>
          <w:tcPr>
            <w:tcW w:w="3296" w:type="dxa"/>
            <w:shd w:val="clear" w:color="auto" w:fill="auto"/>
          </w:tcPr>
          <w:p w:rsidR="005624E3" w:rsidRPr="00A54EF9" w:rsidRDefault="005624E3" w:rsidP="00101A80">
            <w:pPr>
              <w:spacing w:before="60" w:after="60" w:line="240" w:lineRule="atLeast"/>
              <w:rPr>
                <w:rFonts w:cs="Arial"/>
                <w:sz w:val="18"/>
                <w:szCs w:val="18"/>
              </w:rPr>
            </w:pPr>
            <w:r>
              <w:rPr>
                <w:sz w:val="18"/>
              </w:rPr>
              <w:t>Legnagyobb töltési feszültség</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jc w:val="center"/>
              <w:rPr>
                <w:rFonts w:cs="Arial"/>
                <w:sz w:val="18"/>
                <w:szCs w:val="18"/>
              </w:rPr>
            </w:pPr>
          </w:p>
        </w:tc>
      </w:tr>
      <w:tr w:rsidR="005624E3" w:rsidRPr="00BF3595" w:rsidTr="005758C9">
        <w:trPr>
          <w:cantSplit/>
          <w:jc w:val="center"/>
        </w:trPr>
        <w:tc>
          <w:tcPr>
            <w:tcW w:w="1342" w:type="dxa"/>
            <w:vMerge/>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15. bekezdés</w:t>
            </w:r>
          </w:p>
        </w:tc>
        <w:tc>
          <w:tcPr>
            <w:tcW w:w="3296" w:type="dxa"/>
            <w:shd w:val="clear" w:color="auto" w:fill="auto"/>
          </w:tcPr>
          <w:p w:rsidR="005624E3" w:rsidRPr="00A54EF9" w:rsidRDefault="005624E3" w:rsidP="00101A80">
            <w:pPr>
              <w:spacing w:before="60" w:after="60" w:line="240" w:lineRule="atLeast"/>
              <w:rPr>
                <w:rFonts w:cs="Arial"/>
                <w:sz w:val="18"/>
                <w:szCs w:val="18"/>
              </w:rPr>
            </w:pPr>
            <w:r>
              <w:rPr>
                <w:sz w:val="18"/>
              </w:rPr>
              <w:t>A lítium-ion akkumulátorokra vonatkozó EN 62619 és EN 62620 szabvány</w:t>
            </w:r>
          </w:p>
        </w:tc>
        <w:tc>
          <w:tcPr>
            <w:tcW w:w="6521" w:type="dxa"/>
            <w:shd w:val="clear" w:color="auto" w:fill="auto"/>
          </w:tcPr>
          <w:p w:rsidR="005624E3"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jc w:val="center"/>
              <w:rPr>
                <w:rFonts w:cs="Arial"/>
                <w:sz w:val="18"/>
                <w:szCs w:val="18"/>
              </w:rPr>
            </w:pPr>
          </w:p>
        </w:tc>
      </w:tr>
      <w:tr w:rsidR="005624E3" w:rsidRPr="00BF3595" w:rsidTr="005758C9">
        <w:trPr>
          <w:cantSplit/>
          <w:jc w:val="center"/>
        </w:trPr>
        <w:tc>
          <w:tcPr>
            <w:tcW w:w="1342" w:type="dxa"/>
            <w:vMerge/>
            <w:tcBorders>
              <w:bottom w:val="single" w:sz="4" w:space="0" w:color="auto"/>
            </w:tcBorders>
            <w:shd w:val="clear" w:color="auto" w:fill="auto"/>
            <w:vAlign w:val="center"/>
          </w:tcPr>
          <w:p w:rsidR="005624E3" w:rsidRPr="00C903F8" w:rsidRDefault="005624E3" w:rsidP="00101A80">
            <w:pPr>
              <w:spacing w:before="160" w:after="160" w:line="240" w:lineRule="atLeast"/>
              <w:rPr>
                <w:rFonts w:cs="Arial"/>
                <w:sz w:val="18"/>
                <w:szCs w:val="18"/>
              </w:rPr>
            </w:pPr>
          </w:p>
        </w:tc>
        <w:tc>
          <w:tcPr>
            <w:tcW w:w="1458" w:type="dxa"/>
            <w:shd w:val="clear" w:color="auto" w:fill="auto"/>
            <w:vAlign w:val="center"/>
          </w:tcPr>
          <w:p w:rsidR="005624E3" w:rsidRPr="00C903F8" w:rsidRDefault="005624E3" w:rsidP="00101A80">
            <w:pPr>
              <w:spacing w:before="160" w:after="160" w:line="240" w:lineRule="atLeast"/>
              <w:rPr>
                <w:rFonts w:cs="Arial"/>
                <w:sz w:val="18"/>
                <w:szCs w:val="18"/>
              </w:rPr>
            </w:pPr>
            <w:r>
              <w:rPr>
                <w:sz w:val="18"/>
              </w:rPr>
              <w:t>16. bekezdés</w:t>
            </w:r>
          </w:p>
        </w:tc>
        <w:tc>
          <w:tcPr>
            <w:tcW w:w="3296" w:type="dxa"/>
            <w:shd w:val="clear" w:color="auto" w:fill="auto"/>
          </w:tcPr>
          <w:p w:rsidR="005624E3" w:rsidRPr="00A54EF9" w:rsidRDefault="005624E3" w:rsidP="00101A80">
            <w:pPr>
              <w:spacing w:before="160" w:after="160" w:line="240" w:lineRule="atLeast"/>
              <w:rPr>
                <w:rFonts w:cs="Arial"/>
                <w:sz w:val="18"/>
                <w:szCs w:val="18"/>
              </w:rPr>
            </w:pPr>
            <w:r>
              <w:rPr>
                <w:sz w:val="18"/>
              </w:rPr>
              <w:t>Akkumulátorkezelési rendszer</w:t>
            </w:r>
          </w:p>
        </w:tc>
        <w:tc>
          <w:tcPr>
            <w:tcW w:w="6521" w:type="dxa"/>
            <w:shd w:val="clear" w:color="auto" w:fill="auto"/>
          </w:tcPr>
          <w:p w:rsidR="005624E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val="restart"/>
            <w:shd w:val="clear" w:color="auto" w:fill="auto"/>
          </w:tcPr>
          <w:p w:rsidR="005624E3" w:rsidRPr="00C903F8" w:rsidRDefault="005624E3" w:rsidP="00101A80">
            <w:pPr>
              <w:spacing w:before="160" w:after="160" w:line="240" w:lineRule="atLeast"/>
              <w:rPr>
                <w:rFonts w:cs="Arial"/>
                <w:sz w:val="18"/>
                <w:szCs w:val="18"/>
              </w:rPr>
            </w:pPr>
            <w:r>
              <w:rPr>
                <w:sz w:val="18"/>
              </w:rPr>
              <w:t>10.12. cikk</w:t>
            </w:r>
          </w:p>
        </w:tc>
        <w:tc>
          <w:tcPr>
            <w:tcW w:w="1458" w:type="dxa"/>
            <w:shd w:val="clear" w:color="auto" w:fill="auto"/>
          </w:tcPr>
          <w:p w:rsidR="005624E3" w:rsidRPr="00852DB3" w:rsidRDefault="005624E3" w:rsidP="00101A80">
            <w:pPr>
              <w:spacing w:before="160" w:after="160" w:line="240" w:lineRule="atLeast"/>
              <w:rPr>
                <w:rFonts w:cs="Arial"/>
                <w:sz w:val="18"/>
                <w:szCs w:val="18"/>
              </w:rPr>
            </w:pPr>
            <w:r>
              <w:rPr>
                <w:sz w:val="18"/>
              </w:rPr>
              <w:t>2. bekezdés d) pont</w:t>
            </w:r>
          </w:p>
        </w:tc>
        <w:tc>
          <w:tcPr>
            <w:tcW w:w="3296" w:type="dxa"/>
            <w:shd w:val="clear" w:color="auto" w:fill="auto"/>
          </w:tcPr>
          <w:p w:rsidR="005624E3" w:rsidRPr="001717EA" w:rsidRDefault="005624E3" w:rsidP="00101A80">
            <w:pPr>
              <w:spacing w:before="160" w:after="160" w:line="240" w:lineRule="atLeast"/>
              <w:rPr>
                <w:rFonts w:cs="Arial"/>
                <w:sz w:val="18"/>
                <w:szCs w:val="18"/>
              </w:rPr>
            </w:pPr>
            <w:r>
              <w:rPr>
                <w:sz w:val="18"/>
              </w:rPr>
              <w:t>A hajó meghajtásához és kormányzásához szükséges áramfogyasztó berendezések közvetlen áramellátása</w:t>
            </w:r>
          </w:p>
        </w:tc>
        <w:tc>
          <w:tcPr>
            <w:tcW w:w="6521" w:type="dxa"/>
            <w:shd w:val="clear" w:color="auto" w:fill="auto"/>
          </w:tcPr>
          <w:p w:rsidR="005624E3" w:rsidRPr="00852DB3"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60" w:after="160" w:line="240" w:lineRule="atLeast"/>
              <w:jc w:val="center"/>
              <w:rPr>
                <w:rFonts w:cs="Arial"/>
                <w:sz w:val="18"/>
                <w:szCs w:val="18"/>
              </w:rPr>
            </w:pPr>
            <w:r>
              <w:rPr>
                <w:sz w:val="18"/>
              </w:rPr>
              <w:t>2015.01.01.</w:t>
            </w: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852DB3" w:rsidRDefault="005624E3" w:rsidP="00101A80">
            <w:pPr>
              <w:spacing w:before="160" w:after="160" w:line="240" w:lineRule="atLeast"/>
              <w:rPr>
                <w:rFonts w:cs="Arial"/>
                <w:sz w:val="18"/>
                <w:szCs w:val="18"/>
              </w:rPr>
            </w:pPr>
            <w:r>
              <w:rPr>
                <w:sz w:val="18"/>
              </w:rPr>
              <w:t>3. bekezdés b) pont</w:t>
            </w:r>
          </w:p>
        </w:tc>
        <w:tc>
          <w:tcPr>
            <w:tcW w:w="3296" w:type="dxa"/>
            <w:shd w:val="clear" w:color="auto" w:fill="auto"/>
          </w:tcPr>
          <w:p w:rsidR="005624E3" w:rsidRPr="00A54EF9" w:rsidRDefault="005624E3" w:rsidP="00101A80">
            <w:pPr>
              <w:spacing w:before="160" w:after="160" w:line="240" w:lineRule="atLeast"/>
              <w:rPr>
                <w:rFonts w:cs="Arial"/>
                <w:sz w:val="18"/>
                <w:szCs w:val="18"/>
              </w:rPr>
            </w:pPr>
            <w:r>
              <w:rPr>
                <w:sz w:val="18"/>
              </w:rPr>
              <w:t>Szigetelés-ellenőrző eszköz</w:t>
            </w:r>
          </w:p>
        </w:tc>
        <w:tc>
          <w:tcPr>
            <w:tcW w:w="6521" w:type="dxa"/>
            <w:shd w:val="clear" w:color="auto" w:fill="auto"/>
          </w:tcPr>
          <w:p w:rsidR="005624E3" w:rsidRPr="00852DB3"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60" w:after="160" w:line="240" w:lineRule="atLeast"/>
              <w:jc w:val="center"/>
              <w:rPr>
                <w:rFonts w:cs="Arial"/>
                <w:sz w:val="18"/>
                <w:szCs w:val="18"/>
              </w:rPr>
            </w:pPr>
            <w:r>
              <w:rPr>
                <w:sz w:val="18"/>
              </w:rPr>
              <w:t>2010.01.01.</w:t>
            </w:r>
          </w:p>
        </w:tc>
      </w:tr>
      <w:tr w:rsidR="005624E3" w:rsidRPr="00C903F8" w:rsidTr="005758C9">
        <w:trPr>
          <w:cantSplit/>
          <w:jc w:val="center"/>
        </w:trPr>
        <w:tc>
          <w:tcPr>
            <w:tcW w:w="1342" w:type="dxa"/>
            <w:tcBorders>
              <w:bottom w:val="single" w:sz="4" w:space="0" w:color="auto"/>
            </w:tcBorders>
            <w:shd w:val="clear" w:color="auto" w:fill="auto"/>
          </w:tcPr>
          <w:p w:rsidR="005624E3" w:rsidRPr="004B4203" w:rsidRDefault="005624E3" w:rsidP="00101A80">
            <w:pPr>
              <w:spacing w:before="160" w:after="160" w:line="240" w:lineRule="atLeast"/>
              <w:rPr>
                <w:rFonts w:cs="Arial"/>
                <w:sz w:val="18"/>
                <w:szCs w:val="18"/>
              </w:rPr>
            </w:pPr>
            <w:r>
              <w:rPr>
                <w:sz w:val="18"/>
              </w:rPr>
              <w:t>10.13. cikk</w:t>
            </w:r>
          </w:p>
        </w:tc>
        <w:tc>
          <w:tcPr>
            <w:tcW w:w="1458" w:type="dxa"/>
            <w:shd w:val="clear" w:color="auto" w:fill="auto"/>
          </w:tcPr>
          <w:p w:rsidR="005624E3" w:rsidRPr="00852DB3" w:rsidRDefault="005624E3" w:rsidP="00101A80">
            <w:pPr>
              <w:spacing w:before="160" w:after="160" w:line="240" w:lineRule="atLeast"/>
              <w:rPr>
                <w:rFonts w:cs="Arial"/>
                <w:sz w:val="18"/>
                <w:szCs w:val="18"/>
              </w:rPr>
            </w:pPr>
          </w:p>
        </w:tc>
        <w:tc>
          <w:tcPr>
            <w:tcW w:w="3296" w:type="dxa"/>
            <w:shd w:val="clear" w:color="auto" w:fill="auto"/>
          </w:tcPr>
          <w:p w:rsidR="005624E3" w:rsidRPr="00852DB3" w:rsidRDefault="005624E3" w:rsidP="00101A80">
            <w:pPr>
              <w:spacing w:before="160" w:after="160" w:line="240" w:lineRule="atLeast"/>
              <w:rPr>
                <w:rFonts w:cs="Arial"/>
                <w:sz w:val="18"/>
                <w:szCs w:val="18"/>
              </w:rPr>
            </w:pPr>
            <w:r>
              <w:rPr>
                <w:sz w:val="18"/>
              </w:rPr>
              <w:t>Vészhelyzeti áramkör-megszakító berendezések</w:t>
            </w:r>
          </w:p>
        </w:tc>
        <w:tc>
          <w:tcPr>
            <w:tcW w:w="6521" w:type="dxa"/>
            <w:shd w:val="clear" w:color="auto" w:fill="auto"/>
          </w:tcPr>
          <w:p w:rsidR="005624E3" w:rsidRPr="00852DB3"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60" w:after="160" w:line="240" w:lineRule="atLeast"/>
              <w:jc w:val="center"/>
              <w:rPr>
                <w:rFonts w:cs="Arial"/>
                <w:sz w:val="18"/>
                <w:szCs w:val="18"/>
              </w:rPr>
            </w:pPr>
            <w:r>
              <w:rPr>
                <w:sz w:val="18"/>
              </w:rPr>
              <w:t>2010.01.01.</w:t>
            </w:r>
          </w:p>
        </w:tc>
      </w:tr>
      <w:tr w:rsidR="005624E3" w:rsidRPr="00C903F8" w:rsidTr="005758C9">
        <w:trPr>
          <w:cantSplit/>
          <w:jc w:val="center"/>
        </w:trPr>
        <w:tc>
          <w:tcPr>
            <w:tcW w:w="1342" w:type="dxa"/>
            <w:tcBorders>
              <w:bottom w:val="nil"/>
            </w:tcBorders>
            <w:shd w:val="clear" w:color="auto" w:fill="auto"/>
          </w:tcPr>
          <w:p w:rsidR="005624E3" w:rsidRPr="004B4203" w:rsidRDefault="005624E3" w:rsidP="00101A80">
            <w:pPr>
              <w:spacing w:before="160" w:after="160" w:line="240" w:lineRule="atLeast"/>
              <w:rPr>
                <w:rFonts w:cs="Arial"/>
                <w:sz w:val="18"/>
                <w:szCs w:val="18"/>
              </w:rPr>
            </w:pPr>
            <w:r>
              <w:rPr>
                <w:sz w:val="18"/>
              </w:rPr>
              <w:t xml:space="preserve">10.14. cikk </w:t>
            </w:r>
          </w:p>
        </w:tc>
        <w:tc>
          <w:tcPr>
            <w:tcW w:w="1458" w:type="dxa"/>
            <w:shd w:val="clear" w:color="auto" w:fill="auto"/>
          </w:tcPr>
          <w:p w:rsidR="005624E3" w:rsidRPr="00852DB3" w:rsidRDefault="005624E3" w:rsidP="00101A80">
            <w:pPr>
              <w:spacing w:before="160" w:after="160" w:line="240" w:lineRule="atLeast"/>
              <w:rPr>
                <w:rFonts w:cs="Arial"/>
                <w:sz w:val="18"/>
                <w:szCs w:val="18"/>
              </w:rPr>
            </w:pPr>
            <w:r>
              <w:rPr>
                <w:sz w:val="18"/>
              </w:rPr>
              <w:t>3. bekezdés második mondat</w:t>
            </w:r>
          </w:p>
        </w:tc>
        <w:tc>
          <w:tcPr>
            <w:tcW w:w="3296" w:type="dxa"/>
            <w:shd w:val="clear" w:color="auto" w:fill="auto"/>
          </w:tcPr>
          <w:p w:rsidR="005624E3" w:rsidRPr="001717EA" w:rsidRDefault="005624E3" w:rsidP="00101A80">
            <w:pPr>
              <w:spacing w:before="160" w:after="160" w:line="240" w:lineRule="atLeast"/>
              <w:rPr>
                <w:rFonts w:cs="Arial"/>
                <w:sz w:val="18"/>
                <w:szCs w:val="18"/>
              </w:rPr>
            </w:pPr>
            <w:r>
              <w:rPr>
                <w:sz w:val="18"/>
              </w:rPr>
              <w:t>Egypólusú kapcsolók tilalma mosdókban, fürdőszobákban és egyéb vizes terekben</w:t>
            </w:r>
          </w:p>
        </w:tc>
        <w:tc>
          <w:tcPr>
            <w:tcW w:w="6521" w:type="dxa"/>
            <w:shd w:val="clear" w:color="auto" w:fill="auto"/>
          </w:tcPr>
          <w:p w:rsidR="005624E3" w:rsidRPr="00852DB3" w:rsidRDefault="005624E3" w:rsidP="00101A80">
            <w:pPr>
              <w:spacing w:before="160" w:after="16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60" w:after="160" w:line="240" w:lineRule="atLeast"/>
              <w:jc w:val="center"/>
              <w:rPr>
                <w:rFonts w:cs="Arial"/>
                <w:sz w:val="18"/>
                <w:szCs w:val="18"/>
              </w:rPr>
            </w:pPr>
            <w:r>
              <w:rPr>
                <w:sz w:val="18"/>
              </w:rPr>
              <w:t>2010.01.01.</w:t>
            </w:r>
          </w:p>
        </w:tc>
      </w:tr>
      <w:tr w:rsidR="005624E3" w:rsidRPr="00A0619C" w:rsidTr="005758C9">
        <w:trPr>
          <w:cantSplit/>
          <w:jc w:val="center"/>
        </w:trPr>
        <w:tc>
          <w:tcPr>
            <w:tcW w:w="1342" w:type="dxa"/>
            <w:vMerge w:val="restart"/>
            <w:shd w:val="clear" w:color="auto" w:fill="auto"/>
          </w:tcPr>
          <w:p w:rsidR="005624E3" w:rsidRPr="004B4203" w:rsidRDefault="005624E3" w:rsidP="00101A80">
            <w:pPr>
              <w:spacing w:before="160" w:after="160" w:line="240" w:lineRule="atLeast"/>
              <w:rPr>
                <w:rFonts w:cs="Arial"/>
                <w:sz w:val="18"/>
                <w:szCs w:val="18"/>
              </w:rPr>
            </w:pPr>
            <w:r>
              <w:rPr>
                <w:sz w:val="18"/>
              </w:rPr>
              <w:t xml:space="preserve">10,15 </w:t>
            </w:r>
          </w:p>
        </w:tc>
        <w:tc>
          <w:tcPr>
            <w:tcW w:w="1458" w:type="dxa"/>
            <w:shd w:val="clear" w:color="auto" w:fill="auto"/>
          </w:tcPr>
          <w:p w:rsidR="005624E3" w:rsidRPr="00852DB3" w:rsidRDefault="005624E3" w:rsidP="00101A80">
            <w:pPr>
              <w:spacing w:before="160" w:after="160" w:line="240" w:lineRule="atLeast"/>
              <w:rPr>
                <w:rFonts w:cs="Arial"/>
                <w:sz w:val="18"/>
                <w:szCs w:val="18"/>
              </w:rPr>
            </w:pPr>
            <w:r>
              <w:rPr>
                <w:sz w:val="18"/>
              </w:rPr>
              <w:t>2. bekezdés</w:t>
            </w:r>
          </w:p>
        </w:tc>
        <w:tc>
          <w:tcPr>
            <w:tcW w:w="3296" w:type="dxa"/>
            <w:shd w:val="clear" w:color="auto" w:fill="auto"/>
          </w:tcPr>
          <w:p w:rsidR="005624E3" w:rsidRPr="001717EA" w:rsidRDefault="005624E3" w:rsidP="00101A80">
            <w:pPr>
              <w:spacing w:before="160" w:after="160" w:line="240" w:lineRule="atLeast"/>
              <w:rPr>
                <w:rFonts w:cs="Arial"/>
                <w:sz w:val="18"/>
                <w:szCs w:val="18"/>
              </w:rPr>
            </w:pPr>
            <w:r>
              <w:rPr>
                <w:sz w:val="18"/>
              </w:rPr>
              <w:t>1,5 mm</w:t>
            </w:r>
            <w:r>
              <w:rPr>
                <w:sz w:val="18"/>
                <w:vertAlign w:val="superscript"/>
              </w:rPr>
              <w:t>2</w:t>
            </w:r>
            <w:r>
              <w:rPr>
                <w:sz w:val="18"/>
              </w:rPr>
              <w:t>-es keresztmetszet áramvezető huzalonként</w:t>
            </w:r>
          </w:p>
        </w:tc>
        <w:tc>
          <w:tcPr>
            <w:tcW w:w="6521" w:type="dxa"/>
            <w:shd w:val="clear" w:color="auto" w:fill="auto"/>
          </w:tcPr>
          <w:p w:rsidR="005624E3" w:rsidRPr="00852DB3" w:rsidRDefault="005624E3" w:rsidP="00101A80">
            <w:pPr>
              <w:spacing w:before="160" w:after="1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AD76BF" w:rsidRDefault="005624E3" w:rsidP="00101A80">
            <w:pPr>
              <w:spacing w:before="160" w:after="160" w:line="240" w:lineRule="atLeast"/>
              <w:jc w:val="center"/>
              <w:rPr>
                <w:rFonts w:cs="Arial"/>
                <w:sz w:val="18"/>
                <w:szCs w:val="18"/>
              </w:rPr>
            </w:pPr>
          </w:p>
        </w:tc>
      </w:tr>
      <w:tr w:rsidR="005624E3" w:rsidRPr="00A0619C" w:rsidTr="005758C9">
        <w:trPr>
          <w:cantSplit/>
          <w:jc w:val="center"/>
        </w:trPr>
        <w:tc>
          <w:tcPr>
            <w:tcW w:w="1342" w:type="dxa"/>
            <w:vMerge/>
            <w:shd w:val="clear" w:color="auto" w:fill="auto"/>
          </w:tcPr>
          <w:p w:rsidR="005624E3" w:rsidRPr="00AD76BF"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10. bekezdés</w:t>
            </w:r>
          </w:p>
        </w:tc>
        <w:tc>
          <w:tcPr>
            <w:tcW w:w="3296" w:type="dxa"/>
            <w:shd w:val="clear" w:color="auto" w:fill="auto"/>
          </w:tcPr>
          <w:p w:rsidR="005624E3" w:rsidRPr="00A54EF9" w:rsidRDefault="005624E3" w:rsidP="00101A80">
            <w:pPr>
              <w:spacing w:before="160" w:after="160" w:line="240" w:lineRule="atLeast"/>
              <w:rPr>
                <w:rFonts w:cs="Arial"/>
                <w:sz w:val="18"/>
                <w:szCs w:val="18"/>
              </w:rPr>
            </w:pPr>
            <w:r>
              <w:rPr>
                <w:sz w:val="18"/>
              </w:rPr>
              <w:t>Az állítható magasságú kormányálláshoz csatlakozó kábelek</w:t>
            </w:r>
          </w:p>
        </w:tc>
        <w:tc>
          <w:tcPr>
            <w:tcW w:w="6521" w:type="dxa"/>
            <w:shd w:val="clear" w:color="auto" w:fill="auto"/>
          </w:tcPr>
          <w:p w:rsidR="005624E3" w:rsidRPr="00C903F8" w:rsidRDefault="005624E3" w:rsidP="00101A80">
            <w:pPr>
              <w:spacing w:before="160" w:after="160" w:line="240" w:lineRule="atLeast"/>
              <w:rPr>
                <w:rFonts w:cs="Arial"/>
                <w:sz w:val="18"/>
                <w:szCs w:val="18"/>
              </w:rPr>
            </w:pPr>
            <w:r>
              <w:rPr>
                <w:sz w:val="18"/>
              </w:rPr>
              <w:t xml:space="preserve">N.R.C., legkésőbb a belvízi hajóbizonyítvány megújításakor. </w:t>
            </w:r>
          </w:p>
        </w:tc>
        <w:tc>
          <w:tcPr>
            <w:tcW w:w="1276" w:type="dxa"/>
            <w:shd w:val="clear" w:color="auto" w:fill="auto"/>
          </w:tcPr>
          <w:p w:rsidR="005624E3" w:rsidRPr="0012395A"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12395A" w:rsidRDefault="005624E3" w:rsidP="00101A80">
            <w:pPr>
              <w:spacing w:before="160" w:after="160" w:line="240" w:lineRule="atLeast"/>
              <w:rPr>
                <w:rFonts w:cs="Arial"/>
                <w:sz w:val="18"/>
                <w:szCs w:val="18"/>
              </w:rPr>
            </w:pPr>
          </w:p>
        </w:tc>
        <w:tc>
          <w:tcPr>
            <w:tcW w:w="1458" w:type="dxa"/>
            <w:shd w:val="clear" w:color="auto" w:fill="auto"/>
          </w:tcPr>
          <w:p w:rsidR="005624E3" w:rsidRPr="0012395A" w:rsidRDefault="005624E3" w:rsidP="00101A80">
            <w:pPr>
              <w:spacing w:before="160" w:after="160" w:line="240" w:lineRule="atLeast"/>
              <w:rPr>
                <w:rFonts w:cs="Arial"/>
                <w:sz w:val="18"/>
                <w:szCs w:val="18"/>
              </w:rPr>
            </w:pPr>
            <w:r>
              <w:rPr>
                <w:sz w:val="18"/>
              </w:rPr>
              <w:t>11. bekezdés</w:t>
            </w:r>
          </w:p>
        </w:tc>
        <w:tc>
          <w:tcPr>
            <w:tcW w:w="3296" w:type="dxa"/>
            <w:shd w:val="clear" w:color="auto" w:fill="auto"/>
          </w:tcPr>
          <w:p w:rsidR="005624E3" w:rsidRPr="00A54EF9" w:rsidRDefault="005624E3" w:rsidP="00101A80">
            <w:pPr>
              <w:spacing w:before="160" w:after="160" w:line="240" w:lineRule="atLeast"/>
              <w:rPr>
                <w:rFonts w:cs="Arial"/>
                <w:sz w:val="18"/>
                <w:szCs w:val="18"/>
              </w:rPr>
            </w:pPr>
            <w:r>
              <w:rPr>
                <w:sz w:val="18"/>
              </w:rPr>
              <w:t>A kábelkötegek átvezetései</w:t>
            </w:r>
          </w:p>
        </w:tc>
        <w:tc>
          <w:tcPr>
            <w:tcW w:w="6521" w:type="dxa"/>
            <w:shd w:val="clear" w:color="auto" w:fill="auto"/>
          </w:tcPr>
          <w:p w:rsidR="005624E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12. bekezdés</w:t>
            </w:r>
          </w:p>
        </w:tc>
        <w:tc>
          <w:tcPr>
            <w:tcW w:w="3296" w:type="dxa"/>
            <w:shd w:val="clear" w:color="auto" w:fill="auto"/>
          </w:tcPr>
          <w:p w:rsidR="005624E3" w:rsidRPr="00A54EF9" w:rsidRDefault="005624E3" w:rsidP="00101A80">
            <w:pPr>
              <w:spacing w:before="160" w:after="160" w:line="240" w:lineRule="atLeast"/>
              <w:rPr>
                <w:rFonts w:cs="Arial"/>
                <w:sz w:val="18"/>
                <w:szCs w:val="18"/>
              </w:rPr>
            </w:pPr>
            <w:r>
              <w:rPr>
                <w:sz w:val="18"/>
              </w:rPr>
              <w:t>A vészhelyzeti elektromos áramforrástól az áramfogyasztó berendezéshez vezető kábelek</w:t>
            </w:r>
          </w:p>
        </w:tc>
        <w:tc>
          <w:tcPr>
            <w:tcW w:w="6521" w:type="dxa"/>
            <w:shd w:val="clear" w:color="auto" w:fill="auto"/>
          </w:tcPr>
          <w:p w:rsidR="005624E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13. bekezdés</w:t>
            </w:r>
          </w:p>
        </w:tc>
        <w:tc>
          <w:tcPr>
            <w:tcW w:w="3296" w:type="dxa"/>
            <w:shd w:val="clear" w:color="auto" w:fill="auto"/>
          </w:tcPr>
          <w:p w:rsidR="005624E3" w:rsidRPr="00A54EF9" w:rsidRDefault="005624E3" w:rsidP="00101A80">
            <w:pPr>
              <w:spacing w:before="160" w:after="160" w:line="240" w:lineRule="atLeast"/>
              <w:rPr>
                <w:rFonts w:cs="Arial"/>
                <w:sz w:val="18"/>
                <w:szCs w:val="18"/>
              </w:rPr>
            </w:pPr>
            <w:r>
              <w:rPr>
                <w:sz w:val="18"/>
              </w:rPr>
              <w:t>Magas környezeti hőmérsékletű területeken áthaladó kábelek</w:t>
            </w:r>
          </w:p>
        </w:tc>
        <w:tc>
          <w:tcPr>
            <w:tcW w:w="6521" w:type="dxa"/>
            <w:shd w:val="clear" w:color="auto" w:fill="auto"/>
          </w:tcPr>
          <w:p w:rsidR="005624E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60" w:after="160" w:line="240" w:lineRule="atLeast"/>
              <w:rPr>
                <w:rFonts w:cs="Arial"/>
                <w:sz w:val="18"/>
                <w:szCs w:val="18"/>
              </w:rPr>
            </w:pPr>
          </w:p>
        </w:tc>
        <w:tc>
          <w:tcPr>
            <w:tcW w:w="1458" w:type="dxa"/>
            <w:shd w:val="clear" w:color="auto" w:fill="auto"/>
          </w:tcPr>
          <w:p w:rsidR="005624E3" w:rsidRPr="00C903F8" w:rsidRDefault="005624E3" w:rsidP="00101A80">
            <w:pPr>
              <w:spacing w:before="160" w:after="160" w:line="240" w:lineRule="atLeast"/>
              <w:rPr>
                <w:rFonts w:cs="Arial"/>
                <w:sz w:val="18"/>
                <w:szCs w:val="18"/>
              </w:rPr>
            </w:pPr>
            <w:r>
              <w:rPr>
                <w:sz w:val="18"/>
              </w:rPr>
              <w:t>14. bekezdés</w:t>
            </w:r>
          </w:p>
        </w:tc>
        <w:tc>
          <w:tcPr>
            <w:tcW w:w="3296" w:type="dxa"/>
            <w:shd w:val="clear" w:color="auto" w:fill="auto"/>
          </w:tcPr>
          <w:p w:rsidR="005624E3" w:rsidRPr="00A54EF9" w:rsidRDefault="005624E3" w:rsidP="00101A80">
            <w:pPr>
              <w:spacing w:before="160" w:after="160" w:line="240" w:lineRule="atLeast"/>
              <w:rPr>
                <w:rFonts w:cs="Arial"/>
                <w:sz w:val="18"/>
                <w:szCs w:val="18"/>
              </w:rPr>
            </w:pPr>
            <w:r>
              <w:rPr>
                <w:sz w:val="18"/>
              </w:rPr>
              <w:t>A fő és a vészhelyzeti tápkábelek elhelyezése</w:t>
            </w:r>
          </w:p>
        </w:tc>
        <w:tc>
          <w:tcPr>
            <w:tcW w:w="6521" w:type="dxa"/>
            <w:shd w:val="clear" w:color="auto" w:fill="auto"/>
          </w:tcPr>
          <w:p w:rsidR="005624E3" w:rsidRDefault="005624E3" w:rsidP="00101A80">
            <w:pPr>
              <w:spacing w:before="160" w:after="1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60" w:after="160" w:line="240" w:lineRule="atLeast"/>
              <w:jc w:val="center"/>
              <w:rPr>
                <w:rFonts w:cs="Arial"/>
                <w:sz w:val="18"/>
                <w:szCs w:val="18"/>
              </w:rPr>
            </w:pPr>
          </w:p>
        </w:tc>
      </w:tr>
      <w:tr w:rsidR="005624E3" w:rsidRPr="00C903F8" w:rsidTr="005758C9">
        <w:trPr>
          <w:cantSplit/>
          <w:jc w:val="center"/>
        </w:trPr>
        <w:tc>
          <w:tcPr>
            <w:tcW w:w="1342" w:type="dxa"/>
            <w:shd w:val="clear" w:color="auto" w:fill="auto"/>
          </w:tcPr>
          <w:p w:rsidR="005624E3" w:rsidRPr="004B4203" w:rsidRDefault="005624E3" w:rsidP="00101A80">
            <w:pPr>
              <w:spacing w:before="100" w:after="80" w:line="240" w:lineRule="atLeast"/>
              <w:rPr>
                <w:rFonts w:cs="Arial"/>
                <w:sz w:val="18"/>
                <w:szCs w:val="18"/>
              </w:rPr>
            </w:pPr>
            <w:r>
              <w:rPr>
                <w:sz w:val="18"/>
              </w:rPr>
              <w:t xml:space="preserve">10.16. cikk </w:t>
            </w:r>
          </w:p>
        </w:tc>
        <w:tc>
          <w:tcPr>
            <w:tcW w:w="1458" w:type="dxa"/>
            <w:shd w:val="clear" w:color="auto" w:fill="auto"/>
          </w:tcPr>
          <w:p w:rsidR="005624E3" w:rsidRPr="00852DB3" w:rsidRDefault="005624E3" w:rsidP="00101A80">
            <w:pPr>
              <w:spacing w:before="100" w:after="80" w:line="240" w:lineRule="atLeast"/>
              <w:rPr>
                <w:rFonts w:cs="Arial"/>
                <w:sz w:val="18"/>
                <w:szCs w:val="18"/>
              </w:rPr>
            </w:pPr>
            <w:r>
              <w:rPr>
                <w:sz w:val="18"/>
              </w:rPr>
              <w:t>3. bekezdés második mondat</w:t>
            </w:r>
          </w:p>
        </w:tc>
        <w:tc>
          <w:tcPr>
            <w:tcW w:w="3296" w:type="dxa"/>
            <w:shd w:val="clear" w:color="auto" w:fill="auto"/>
          </w:tcPr>
          <w:p w:rsidR="005624E3" w:rsidRPr="00852DB3" w:rsidRDefault="005624E3" w:rsidP="00101A80">
            <w:pPr>
              <w:spacing w:before="100" w:after="80" w:line="240" w:lineRule="atLeast"/>
              <w:rPr>
                <w:rFonts w:cs="Arial"/>
                <w:sz w:val="18"/>
                <w:szCs w:val="18"/>
              </w:rPr>
            </w:pPr>
            <w:r>
              <w:rPr>
                <w:sz w:val="18"/>
              </w:rPr>
              <w:t>Második áramkör</w:t>
            </w:r>
          </w:p>
        </w:tc>
        <w:tc>
          <w:tcPr>
            <w:tcW w:w="6521" w:type="dxa"/>
            <w:shd w:val="clear" w:color="auto" w:fill="auto"/>
          </w:tcPr>
          <w:p w:rsidR="005624E3" w:rsidRPr="00852DB3" w:rsidRDefault="005624E3" w:rsidP="00101A80">
            <w:pPr>
              <w:spacing w:before="100" w:after="8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00" w:after="80" w:line="240" w:lineRule="atLeast"/>
              <w:jc w:val="center"/>
              <w:rPr>
                <w:rFonts w:cs="Arial"/>
                <w:sz w:val="18"/>
                <w:szCs w:val="18"/>
              </w:rPr>
            </w:pPr>
            <w:r>
              <w:rPr>
                <w:sz w:val="18"/>
              </w:rPr>
              <w:t>2015.01.01.</w:t>
            </w:r>
          </w:p>
        </w:tc>
      </w:tr>
      <w:tr w:rsidR="005624E3" w:rsidRPr="00C903F8" w:rsidTr="005758C9">
        <w:trPr>
          <w:cantSplit/>
          <w:jc w:val="center"/>
        </w:trPr>
        <w:tc>
          <w:tcPr>
            <w:tcW w:w="1342" w:type="dxa"/>
            <w:vMerge w:val="restart"/>
            <w:shd w:val="clear" w:color="auto" w:fill="auto"/>
          </w:tcPr>
          <w:p w:rsidR="005624E3" w:rsidRPr="004B4203" w:rsidRDefault="005624E3" w:rsidP="00101A80">
            <w:pPr>
              <w:spacing w:before="100" w:after="80" w:line="240" w:lineRule="atLeast"/>
              <w:rPr>
                <w:rFonts w:cs="Arial"/>
                <w:sz w:val="18"/>
                <w:szCs w:val="18"/>
              </w:rPr>
            </w:pPr>
            <w:r>
              <w:rPr>
                <w:sz w:val="18"/>
              </w:rPr>
              <w:t xml:space="preserve">10.18. cikk </w:t>
            </w:r>
          </w:p>
        </w:tc>
        <w:tc>
          <w:tcPr>
            <w:tcW w:w="1458" w:type="dxa"/>
            <w:shd w:val="clear" w:color="auto" w:fill="auto"/>
          </w:tcPr>
          <w:p w:rsidR="005624E3" w:rsidRPr="00852DB3" w:rsidRDefault="005624E3" w:rsidP="00101A80">
            <w:pPr>
              <w:spacing w:before="100" w:after="80" w:line="240" w:lineRule="atLeast"/>
              <w:rPr>
                <w:rFonts w:cs="Arial"/>
                <w:sz w:val="18"/>
                <w:szCs w:val="18"/>
              </w:rPr>
            </w:pPr>
            <w:r>
              <w:rPr>
                <w:sz w:val="18"/>
              </w:rPr>
              <w:t>1. bekezdés</w:t>
            </w:r>
          </w:p>
        </w:tc>
        <w:tc>
          <w:tcPr>
            <w:tcW w:w="3296" w:type="dxa"/>
            <w:shd w:val="clear" w:color="auto" w:fill="auto"/>
          </w:tcPr>
          <w:p w:rsidR="005624E3" w:rsidRPr="001717EA" w:rsidRDefault="005624E3" w:rsidP="00101A80">
            <w:pPr>
              <w:spacing w:before="100" w:after="80" w:line="240" w:lineRule="atLeast"/>
              <w:rPr>
                <w:rFonts w:cs="Arial"/>
                <w:sz w:val="18"/>
                <w:szCs w:val="18"/>
              </w:rPr>
            </w:pPr>
            <w:r>
              <w:rPr>
                <w:sz w:val="18"/>
              </w:rPr>
              <w:t>A hálózatról való lekapcsolásra szolgáló eszköz</w:t>
            </w:r>
          </w:p>
        </w:tc>
        <w:tc>
          <w:tcPr>
            <w:tcW w:w="6521" w:type="dxa"/>
            <w:shd w:val="clear" w:color="auto" w:fill="auto"/>
          </w:tcPr>
          <w:p w:rsidR="005624E3" w:rsidRPr="00852DB3" w:rsidRDefault="005624E3" w:rsidP="00101A80">
            <w:pPr>
              <w:spacing w:before="100" w:after="80" w:line="240" w:lineRule="atLeast"/>
              <w:rPr>
                <w:rFonts w:cs="Arial"/>
                <w:sz w:val="18"/>
                <w:szCs w:val="18"/>
              </w:rPr>
            </w:pPr>
            <w:r>
              <w:rPr>
                <w:sz w:val="18"/>
              </w:rPr>
              <w:t>N.R.C.</w:t>
            </w:r>
          </w:p>
        </w:tc>
        <w:tc>
          <w:tcPr>
            <w:tcW w:w="1276" w:type="dxa"/>
            <w:shd w:val="clear" w:color="auto" w:fill="auto"/>
          </w:tcPr>
          <w:p w:rsidR="005624E3" w:rsidRPr="00852DB3" w:rsidRDefault="005624E3" w:rsidP="00101A80">
            <w:pPr>
              <w:spacing w:before="10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00" w:after="80" w:line="240" w:lineRule="atLeast"/>
              <w:rPr>
                <w:rFonts w:cs="Arial"/>
                <w:sz w:val="18"/>
                <w:szCs w:val="18"/>
              </w:rPr>
            </w:pPr>
          </w:p>
        </w:tc>
        <w:tc>
          <w:tcPr>
            <w:tcW w:w="1458" w:type="dxa"/>
            <w:shd w:val="clear" w:color="auto" w:fill="auto"/>
          </w:tcPr>
          <w:p w:rsidR="005624E3" w:rsidRPr="00C903F8" w:rsidRDefault="005624E3" w:rsidP="00101A80">
            <w:pPr>
              <w:spacing w:before="100" w:after="80" w:line="240" w:lineRule="atLeast"/>
              <w:rPr>
                <w:rFonts w:cs="Arial"/>
                <w:sz w:val="18"/>
                <w:szCs w:val="18"/>
              </w:rPr>
            </w:pPr>
            <w:r>
              <w:rPr>
                <w:sz w:val="18"/>
              </w:rPr>
              <w:t>2. bekezdés</w:t>
            </w:r>
          </w:p>
        </w:tc>
        <w:tc>
          <w:tcPr>
            <w:tcW w:w="3296" w:type="dxa"/>
            <w:shd w:val="clear" w:color="auto" w:fill="auto"/>
          </w:tcPr>
          <w:p w:rsidR="005624E3" w:rsidRPr="00A54EF9" w:rsidRDefault="005624E3" w:rsidP="00101A80">
            <w:pPr>
              <w:spacing w:before="100" w:after="80" w:line="240" w:lineRule="atLeast"/>
              <w:rPr>
                <w:rFonts w:cs="Arial"/>
                <w:sz w:val="18"/>
                <w:szCs w:val="18"/>
              </w:rPr>
            </w:pPr>
            <w:r>
              <w:rPr>
                <w:sz w:val="18"/>
              </w:rPr>
              <w:t>Hozzáférhetőség</w:t>
            </w:r>
          </w:p>
        </w:tc>
        <w:tc>
          <w:tcPr>
            <w:tcW w:w="6521" w:type="dxa"/>
            <w:shd w:val="clear" w:color="auto" w:fill="auto"/>
          </w:tcPr>
          <w:p w:rsidR="005624E3" w:rsidRDefault="005624E3" w:rsidP="00101A80">
            <w:pPr>
              <w:spacing w:before="100" w:after="8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00" w:after="80" w:line="240" w:lineRule="atLeast"/>
              <w:rPr>
                <w:rFonts w:cs="Arial"/>
                <w:sz w:val="18"/>
                <w:szCs w:val="18"/>
              </w:rPr>
            </w:pPr>
          </w:p>
        </w:tc>
        <w:tc>
          <w:tcPr>
            <w:tcW w:w="1458" w:type="dxa"/>
            <w:shd w:val="clear" w:color="auto" w:fill="auto"/>
          </w:tcPr>
          <w:p w:rsidR="005624E3" w:rsidRPr="00C903F8" w:rsidRDefault="005624E3" w:rsidP="00101A80">
            <w:pPr>
              <w:spacing w:before="100" w:after="80" w:line="240" w:lineRule="atLeast"/>
              <w:rPr>
                <w:rFonts w:cs="Arial"/>
                <w:sz w:val="18"/>
                <w:szCs w:val="18"/>
              </w:rPr>
            </w:pPr>
            <w:r>
              <w:rPr>
                <w:sz w:val="18"/>
              </w:rPr>
              <w:t>3. bekezdés</w:t>
            </w:r>
          </w:p>
        </w:tc>
        <w:tc>
          <w:tcPr>
            <w:tcW w:w="3296" w:type="dxa"/>
            <w:shd w:val="clear" w:color="auto" w:fill="auto"/>
          </w:tcPr>
          <w:p w:rsidR="005624E3" w:rsidRPr="00A54EF9" w:rsidRDefault="005624E3" w:rsidP="00101A80">
            <w:pPr>
              <w:spacing w:before="100" w:after="80" w:line="240" w:lineRule="atLeast"/>
              <w:rPr>
                <w:rFonts w:cs="Arial"/>
                <w:sz w:val="18"/>
                <w:szCs w:val="18"/>
              </w:rPr>
            </w:pPr>
            <w:r>
              <w:rPr>
                <w:sz w:val="18"/>
              </w:rPr>
              <w:t>A vezérlő- és teljesítményelektronikai áramkörök galvanikus elválasztása</w:t>
            </w:r>
          </w:p>
        </w:tc>
        <w:tc>
          <w:tcPr>
            <w:tcW w:w="6521" w:type="dxa"/>
            <w:shd w:val="clear" w:color="auto" w:fill="auto"/>
          </w:tcPr>
          <w:p w:rsidR="005624E3" w:rsidRDefault="005624E3" w:rsidP="00101A80">
            <w:pPr>
              <w:spacing w:before="100" w:after="8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00" w:after="80" w:line="240" w:lineRule="atLeast"/>
              <w:rPr>
                <w:rFonts w:cs="Arial"/>
                <w:sz w:val="18"/>
                <w:szCs w:val="18"/>
              </w:rPr>
            </w:pPr>
          </w:p>
        </w:tc>
        <w:tc>
          <w:tcPr>
            <w:tcW w:w="1458" w:type="dxa"/>
            <w:shd w:val="clear" w:color="auto" w:fill="auto"/>
          </w:tcPr>
          <w:p w:rsidR="005624E3" w:rsidRPr="00C903F8" w:rsidRDefault="005624E3" w:rsidP="00101A80">
            <w:pPr>
              <w:spacing w:before="100" w:after="80" w:line="240" w:lineRule="atLeast"/>
              <w:rPr>
                <w:rFonts w:cs="Arial"/>
                <w:sz w:val="18"/>
                <w:szCs w:val="18"/>
              </w:rPr>
            </w:pPr>
            <w:r>
              <w:rPr>
                <w:sz w:val="18"/>
              </w:rPr>
              <w:t>4. bekezdés</w:t>
            </w:r>
          </w:p>
        </w:tc>
        <w:tc>
          <w:tcPr>
            <w:tcW w:w="3296" w:type="dxa"/>
            <w:shd w:val="clear" w:color="auto" w:fill="auto"/>
          </w:tcPr>
          <w:p w:rsidR="005624E3" w:rsidRPr="00A54EF9" w:rsidRDefault="005624E3" w:rsidP="00101A80">
            <w:pPr>
              <w:spacing w:before="100" w:after="80" w:line="240" w:lineRule="atLeast"/>
              <w:rPr>
                <w:rFonts w:cs="Arial"/>
                <w:sz w:val="18"/>
                <w:szCs w:val="18"/>
              </w:rPr>
            </w:pPr>
            <w:r>
              <w:rPr>
                <w:sz w:val="18"/>
              </w:rPr>
              <w:t>Működés feszültség- és frekvenciaingadozások mellett</w:t>
            </w:r>
          </w:p>
        </w:tc>
        <w:tc>
          <w:tcPr>
            <w:tcW w:w="6521" w:type="dxa"/>
            <w:shd w:val="clear" w:color="auto" w:fill="auto"/>
          </w:tcPr>
          <w:p w:rsidR="005624E3" w:rsidRDefault="005624E3" w:rsidP="00101A80">
            <w:pPr>
              <w:spacing w:before="100" w:after="8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80" w:line="240" w:lineRule="atLeast"/>
              <w:jc w:val="center"/>
              <w:rPr>
                <w:rFonts w:cs="Arial"/>
                <w:sz w:val="18"/>
                <w:szCs w:val="18"/>
              </w:rPr>
            </w:pPr>
          </w:p>
        </w:tc>
      </w:tr>
      <w:tr w:rsidR="005624E3" w:rsidRPr="003971A3" w:rsidTr="005758C9">
        <w:trPr>
          <w:cantSplit/>
          <w:jc w:val="center"/>
        </w:trPr>
        <w:tc>
          <w:tcPr>
            <w:tcW w:w="1342" w:type="dxa"/>
            <w:vMerge/>
            <w:shd w:val="clear" w:color="auto" w:fill="auto"/>
          </w:tcPr>
          <w:p w:rsidR="005624E3" w:rsidRPr="00C903F8" w:rsidRDefault="005624E3" w:rsidP="00101A80">
            <w:pPr>
              <w:spacing w:before="100" w:after="80" w:line="240" w:lineRule="atLeast"/>
              <w:rPr>
                <w:rFonts w:cs="Arial"/>
                <w:sz w:val="18"/>
                <w:szCs w:val="18"/>
              </w:rPr>
            </w:pPr>
          </w:p>
        </w:tc>
        <w:tc>
          <w:tcPr>
            <w:tcW w:w="1458" w:type="dxa"/>
            <w:shd w:val="clear" w:color="auto" w:fill="auto"/>
          </w:tcPr>
          <w:p w:rsidR="005624E3" w:rsidRPr="00C903F8" w:rsidRDefault="005624E3" w:rsidP="00101A80">
            <w:pPr>
              <w:spacing w:before="100" w:after="80" w:line="240" w:lineRule="atLeast"/>
              <w:rPr>
                <w:rFonts w:cs="Arial"/>
                <w:sz w:val="18"/>
                <w:szCs w:val="18"/>
              </w:rPr>
            </w:pPr>
            <w:r>
              <w:rPr>
                <w:sz w:val="18"/>
              </w:rPr>
              <w:t>5. bekezdés</w:t>
            </w:r>
          </w:p>
        </w:tc>
        <w:tc>
          <w:tcPr>
            <w:tcW w:w="3296" w:type="dxa"/>
            <w:shd w:val="clear" w:color="auto" w:fill="auto"/>
          </w:tcPr>
          <w:p w:rsidR="005624E3" w:rsidRPr="00A54EF9" w:rsidRDefault="005624E3" w:rsidP="00101A80">
            <w:pPr>
              <w:spacing w:before="100" w:after="80" w:line="240" w:lineRule="atLeast"/>
              <w:rPr>
                <w:rFonts w:cs="Arial"/>
                <w:sz w:val="18"/>
                <w:szCs w:val="18"/>
              </w:rPr>
            </w:pPr>
            <w:r>
              <w:rPr>
                <w:sz w:val="18"/>
              </w:rPr>
              <w:t>Lemerülési idő a hálózatról való lekapcsolódás után</w:t>
            </w:r>
          </w:p>
        </w:tc>
        <w:tc>
          <w:tcPr>
            <w:tcW w:w="6521" w:type="dxa"/>
            <w:shd w:val="clear" w:color="auto" w:fill="auto"/>
          </w:tcPr>
          <w:p w:rsidR="005624E3" w:rsidRDefault="005624E3" w:rsidP="00101A80">
            <w:pPr>
              <w:spacing w:before="100" w:after="80" w:line="240" w:lineRule="atLeast"/>
              <w:rPr>
                <w:rFonts w:cs="Arial"/>
                <w:sz w:val="18"/>
                <w:szCs w:val="18"/>
              </w:rPr>
            </w:pPr>
            <w:r>
              <w:rPr>
                <w:sz w:val="18"/>
              </w:rPr>
              <w:t>N.R.C.</w:t>
            </w:r>
          </w:p>
        </w:tc>
        <w:tc>
          <w:tcPr>
            <w:tcW w:w="1276" w:type="dxa"/>
            <w:shd w:val="clear" w:color="auto" w:fill="auto"/>
          </w:tcPr>
          <w:p w:rsidR="005624E3" w:rsidRPr="00A54EF9" w:rsidRDefault="005624E3" w:rsidP="00101A80">
            <w:pPr>
              <w:spacing w:before="10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A54EF9" w:rsidRDefault="005624E3" w:rsidP="00101A80">
            <w:pPr>
              <w:spacing w:before="100" w:after="80" w:line="240" w:lineRule="atLeast"/>
              <w:rPr>
                <w:rFonts w:cs="Arial"/>
                <w:sz w:val="18"/>
                <w:szCs w:val="18"/>
              </w:rPr>
            </w:pPr>
          </w:p>
        </w:tc>
        <w:tc>
          <w:tcPr>
            <w:tcW w:w="1458" w:type="dxa"/>
            <w:shd w:val="clear" w:color="auto" w:fill="auto"/>
          </w:tcPr>
          <w:p w:rsidR="005624E3" w:rsidRPr="00C903F8" w:rsidRDefault="005624E3" w:rsidP="00101A80">
            <w:pPr>
              <w:spacing w:before="100" w:after="80" w:line="240" w:lineRule="atLeast"/>
              <w:rPr>
                <w:rFonts w:cs="Arial"/>
                <w:sz w:val="18"/>
                <w:szCs w:val="18"/>
              </w:rPr>
            </w:pPr>
            <w:r>
              <w:rPr>
                <w:sz w:val="18"/>
              </w:rPr>
              <w:t>6. bekezdés</w:t>
            </w:r>
          </w:p>
        </w:tc>
        <w:tc>
          <w:tcPr>
            <w:tcW w:w="3296" w:type="dxa"/>
            <w:shd w:val="clear" w:color="auto" w:fill="auto"/>
          </w:tcPr>
          <w:p w:rsidR="005624E3" w:rsidRPr="00A54EF9" w:rsidRDefault="005624E3" w:rsidP="00101A80">
            <w:pPr>
              <w:spacing w:before="100" w:after="80" w:line="240" w:lineRule="atLeast"/>
              <w:rPr>
                <w:rFonts w:cs="Arial"/>
                <w:sz w:val="18"/>
                <w:szCs w:val="18"/>
              </w:rPr>
            </w:pPr>
            <w:r>
              <w:rPr>
                <w:sz w:val="18"/>
              </w:rPr>
              <w:t>A külső vezérlőjelek meghibásodására adott válaszlépés</w:t>
            </w:r>
          </w:p>
        </w:tc>
        <w:tc>
          <w:tcPr>
            <w:tcW w:w="6521" w:type="dxa"/>
            <w:shd w:val="clear" w:color="auto" w:fill="auto"/>
          </w:tcPr>
          <w:p w:rsidR="005624E3" w:rsidRDefault="005624E3" w:rsidP="00101A80">
            <w:pPr>
              <w:spacing w:before="100" w:after="8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00" w:after="80" w:line="240" w:lineRule="atLeast"/>
              <w:rPr>
                <w:rFonts w:cs="Arial"/>
                <w:sz w:val="18"/>
                <w:szCs w:val="18"/>
              </w:rPr>
            </w:pPr>
          </w:p>
        </w:tc>
        <w:tc>
          <w:tcPr>
            <w:tcW w:w="1458" w:type="dxa"/>
            <w:shd w:val="clear" w:color="auto" w:fill="auto"/>
          </w:tcPr>
          <w:p w:rsidR="005624E3" w:rsidRPr="00C903F8" w:rsidRDefault="005624E3" w:rsidP="00101A80">
            <w:pPr>
              <w:spacing w:before="100" w:after="80" w:line="240" w:lineRule="atLeast"/>
              <w:rPr>
                <w:rFonts w:cs="Arial"/>
                <w:sz w:val="18"/>
                <w:szCs w:val="18"/>
              </w:rPr>
            </w:pPr>
            <w:r>
              <w:rPr>
                <w:sz w:val="18"/>
              </w:rPr>
              <w:t>7. bekezdés</w:t>
            </w:r>
          </w:p>
        </w:tc>
        <w:tc>
          <w:tcPr>
            <w:tcW w:w="3296" w:type="dxa"/>
            <w:shd w:val="clear" w:color="auto" w:fill="auto"/>
          </w:tcPr>
          <w:p w:rsidR="005624E3" w:rsidRPr="00A54EF9" w:rsidRDefault="005624E3" w:rsidP="00101A80">
            <w:pPr>
              <w:spacing w:before="100" w:after="80" w:line="240" w:lineRule="atLeast"/>
              <w:rPr>
                <w:rFonts w:cs="Arial"/>
                <w:sz w:val="18"/>
                <w:szCs w:val="18"/>
              </w:rPr>
            </w:pPr>
            <w:r>
              <w:rPr>
                <w:sz w:val="18"/>
              </w:rPr>
              <w:t>A vezérlőfeszültség meghibásodására adott válaszlépés</w:t>
            </w:r>
          </w:p>
        </w:tc>
        <w:tc>
          <w:tcPr>
            <w:tcW w:w="6521" w:type="dxa"/>
            <w:shd w:val="clear" w:color="auto" w:fill="auto"/>
          </w:tcPr>
          <w:p w:rsidR="005624E3" w:rsidRDefault="005624E3" w:rsidP="00101A80">
            <w:pPr>
              <w:spacing w:before="100" w:after="8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00" w:after="80" w:line="240" w:lineRule="atLeast"/>
              <w:rPr>
                <w:rFonts w:cs="Arial"/>
                <w:sz w:val="18"/>
                <w:szCs w:val="18"/>
              </w:rPr>
            </w:pPr>
          </w:p>
        </w:tc>
        <w:tc>
          <w:tcPr>
            <w:tcW w:w="1458" w:type="dxa"/>
            <w:shd w:val="clear" w:color="auto" w:fill="auto"/>
          </w:tcPr>
          <w:p w:rsidR="005624E3" w:rsidRPr="00C903F8" w:rsidRDefault="005624E3" w:rsidP="00101A80">
            <w:pPr>
              <w:spacing w:before="100" w:after="80" w:line="240" w:lineRule="atLeast"/>
              <w:rPr>
                <w:rFonts w:cs="Arial"/>
                <w:sz w:val="18"/>
                <w:szCs w:val="18"/>
              </w:rPr>
            </w:pPr>
            <w:r>
              <w:rPr>
                <w:sz w:val="18"/>
              </w:rPr>
              <w:t>8. bekezdés</w:t>
            </w:r>
          </w:p>
        </w:tc>
        <w:tc>
          <w:tcPr>
            <w:tcW w:w="3296" w:type="dxa"/>
            <w:shd w:val="clear" w:color="auto" w:fill="auto"/>
          </w:tcPr>
          <w:p w:rsidR="005624E3" w:rsidRPr="00A54EF9" w:rsidRDefault="005624E3" w:rsidP="00101A80">
            <w:pPr>
              <w:spacing w:before="100" w:after="80" w:line="240" w:lineRule="atLeast"/>
              <w:rPr>
                <w:rFonts w:cs="Arial"/>
                <w:sz w:val="18"/>
                <w:szCs w:val="18"/>
              </w:rPr>
            </w:pPr>
            <w:r>
              <w:rPr>
                <w:sz w:val="18"/>
              </w:rPr>
              <w:t>A hibák feltárása és a feltáratlan hibák megelőzése</w:t>
            </w:r>
          </w:p>
        </w:tc>
        <w:tc>
          <w:tcPr>
            <w:tcW w:w="6521" w:type="dxa"/>
            <w:shd w:val="clear" w:color="auto" w:fill="auto"/>
          </w:tcPr>
          <w:p w:rsidR="005624E3" w:rsidRDefault="005624E3" w:rsidP="00101A80">
            <w:pPr>
              <w:spacing w:before="100" w:after="8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00" w:after="80" w:line="240" w:lineRule="atLeast"/>
              <w:rPr>
                <w:rFonts w:cs="Arial"/>
                <w:sz w:val="18"/>
                <w:szCs w:val="18"/>
              </w:rPr>
            </w:pPr>
          </w:p>
        </w:tc>
        <w:tc>
          <w:tcPr>
            <w:tcW w:w="1458" w:type="dxa"/>
            <w:shd w:val="clear" w:color="auto" w:fill="auto"/>
          </w:tcPr>
          <w:p w:rsidR="005624E3" w:rsidRPr="00C903F8" w:rsidRDefault="005624E3" w:rsidP="00101A80">
            <w:pPr>
              <w:spacing w:before="100" w:after="80" w:line="240" w:lineRule="atLeast"/>
              <w:rPr>
                <w:rFonts w:cs="Arial"/>
                <w:sz w:val="18"/>
                <w:szCs w:val="18"/>
              </w:rPr>
            </w:pPr>
            <w:r>
              <w:rPr>
                <w:sz w:val="18"/>
              </w:rPr>
              <w:t>9. bekezdés</w:t>
            </w:r>
          </w:p>
        </w:tc>
        <w:tc>
          <w:tcPr>
            <w:tcW w:w="3296" w:type="dxa"/>
            <w:shd w:val="clear" w:color="auto" w:fill="auto"/>
          </w:tcPr>
          <w:p w:rsidR="005624E3" w:rsidRPr="00A54EF9" w:rsidRDefault="005624E3" w:rsidP="00101A80">
            <w:pPr>
              <w:spacing w:before="100" w:after="80" w:line="240" w:lineRule="atLeast"/>
              <w:rPr>
                <w:rFonts w:cs="Arial"/>
                <w:sz w:val="18"/>
                <w:szCs w:val="18"/>
              </w:rPr>
            </w:pPr>
            <w:r>
              <w:rPr>
                <w:sz w:val="18"/>
              </w:rPr>
              <w:t>Ellenőrzés</w:t>
            </w:r>
          </w:p>
        </w:tc>
        <w:tc>
          <w:tcPr>
            <w:tcW w:w="6521" w:type="dxa"/>
            <w:shd w:val="clear" w:color="auto" w:fill="auto"/>
          </w:tcPr>
          <w:p w:rsidR="005624E3" w:rsidRDefault="005624E3" w:rsidP="00101A80">
            <w:pPr>
              <w:spacing w:before="100" w:after="8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80" w:line="240" w:lineRule="atLeast"/>
              <w:jc w:val="center"/>
              <w:rPr>
                <w:rFonts w:cs="Arial"/>
                <w:sz w:val="18"/>
                <w:szCs w:val="18"/>
              </w:rPr>
            </w:pPr>
          </w:p>
        </w:tc>
      </w:tr>
      <w:tr w:rsidR="005624E3" w:rsidRPr="00C903F8" w:rsidTr="005758C9">
        <w:trPr>
          <w:cantSplit/>
          <w:jc w:val="center"/>
        </w:trPr>
        <w:tc>
          <w:tcPr>
            <w:tcW w:w="1342" w:type="dxa"/>
            <w:vMerge/>
            <w:shd w:val="clear" w:color="auto" w:fill="auto"/>
          </w:tcPr>
          <w:p w:rsidR="005624E3" w:rsidRPr="00C903F8" w:rsidRDefault="005624E3" w:rsidP="00101A80">
            <w:pPr>
              <w:spacing w:before="140" w:after="120" w:line="240" w:lineRule="atLeast"/>
              <w:rPr>
                <w:rFonts w:cs="Arial"/>
                <w:sz w:val="18"/>
                <w:szCs w:val="18"/>
              </w:rPr>
            </w:pPr>
          </w:p>
        </w:tc>
        <w:tc>
          <w:tcPr>
            <w:tcW w:w="1458" w:type="dxa"/>
            <w:shd w:val="clear" w:color="auto" w:fill="auto"/>
          </w:tcPr>
          <w:p w:rsidR="005624E3" w:rsidRPr="00C903F8" w:rsidRDefault="005624E3" w:rsidP="00101A80">
            <w:pPr>
              <w:spacing w:before="140" w:after="120" w:line="240" w:lineRule="atLeast"/>
              <w:rPr>
                <w:rFonts w:cs="Arial"/>
                <w:sz w:val="18"/>
                <w:szCs w:val="18"/>
              </w:rPr>
            </w:pPr>
            <w:r>
              <w:rPr>
                <w:sz w:val="18"/>
              </w:rPr>
              <w:t>10. bekezdés</w:t>
            </w:r>
          </w:p>
        </w:tc>
        <w:tc>
          <w:tcPr>
            <w:tcW w:w="3296" w:type="dxa"/>
            <w:shd w:val="clear" w:color="auto" w:fill="auto"/>
          </w:tcPr>
          <w:p w:rsidR="005624E3" w:rsidRPr="00A54EF9" w:rsidRDefault="005624E3" w:rsidP="00101A80">
            <w:pPr>
              <w:spacing w:before="140" w:after="120" w:line="240" w:lineRule="atLeast"/>
              <w:rPr>
                <w:rFonts w:cs="Arial"/>
                <w:sz w:val="18"/>
                <w:szCs w:val="18"/>
              </w:rPr>
            </w:pPr>
            <w:r>
              <w:rPr>
                <w:sz w:val="18"/>
              </w:rPr>
              <w:t>Típusvizsgálat</w:t>
            </w:r>
          </w:p>
        </w:tc>
        <w:tc>
          <w:tcPr>
            <w:tcW w:w="6521" w:type="dxa"/>
            <w:shd w:val="clear" w:color="auto" w:fill="auto"/>
          </w:tcPr>
          <w:p w:rsidR="005624E3" w:rsidRDefault="005624E3" w:rsidP="00101A80">
            <w:pPr>
              <w:spacing w:before="140" w:after="12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40" w:after="120" w:line="240" w:lineRule="atLeast"/>
              <w:jc w:val="center"/>
              <w:rPr>
                <w:rFonts w:cs="Arial"/>
                <w:sz w:val="18"/>
                <w:szCs w:val="18"/>
              </w:rPr>
            </w:pPr>
          </w:p>
        </w:tc>
      </w:tr>
      <w:tr w:rsidR="005624E3" w:rsidRPr="00C903F8" w:rsidTr="005758C9">
        <w:trPr>
          <w:cantSplit/>
          <w:jc w:val="center"/>
        </w:trPr>
        <w:tc>
          <w:tcPr>
            <w:tcW w:w="1342" w:type="dxa"/>
            <w:shd w:val="clear" w:color="auto" w:fill="auto"/>
          </w:tcPr>
          <w:p w:rsidR="005624E3" w:rsidRPr="004B4203" w:rsidRDefault="005624E3" w:rsidP="00101A80">
            <w:pPr>
              <w:spacing w:before="100" w:after="100" w:line="240" w:lineRule="atLeast"/>
              <w:rPr>
                <w:rFonts w:cs="Arial"/>
                <w:sz w:val="18"/>
                <w:szCs w:val="18"/>
              </w:rPr>
            </w:pPr>
            <w:r>
              <w:rPr>
                <w:sz w:val="18"/>
              </w:rPr>
              <w:t>10.19. cikk</w:t>
            </w:r>
          </w:p>
        </w:tc>
        <w:tc>
          <w:tcPr>
            <w:tcW w:w="1458" w:type="dxa"/>
            <w:shd w:val="clear" w:color="auto" w:fill="auto"/>
          </w:tcPr>
          <w:p w:rsidR="005624E3" w:rsidRPr="00852DB3" w:rsidRDefault="005624E3" w:rsidP="00101A80">
            <w:pPr>
              <w:spacing w:before="100" w:after="100" w:line="240" w:lineRule="atLeast"/>
              <w:rPr>
                <w:rFonts w:cs="Arial"/>
                <w:sz w:val="18"/>
                <w:szCs w:val="18"/>
              </w:rPr>
            </w:pPr>
          </w:p>
        </w:tc>
        <w:tc>
          <w:tcPr>
            <w:tcW w:w="3296" w:type="dxa"/>
            <w:shd w:val="clear" w:color="auto" w:fill="auto"/>
          </w:tcPr>
          <w:p w:rsidR="005624E3" w:rsidRPr="001717EA" w:rsidRDefault="005624E3" w:rsidP="00101A80">
            <w:pPr>
              <w:spacing w:before="100" w:after="100" w:line="240" w:lineRule="atLeast"/>
              <w:rPr>
                <w:rFonts w:cs="Arial"/>
                <w:sz w:val="18"/>
                <w:szCs w:val="18"/>
              </w:rPr>
            </w:pPr>
            <w:r>
              <w:rPr>
                <w:sz w:val="18"/>
              </w:rPr>
              <w:t xml:space="preserve">Mechanikus berendezések riasztó- és biztonsági rendszerei </w:t>
            </w:r>
          </w:p>
        </w:tc>
        <w:tc>
          <w:tcPr>
            <w:tcW w:w="6521" w:type="dxa"/>
            <w:shd w:val="clear" w:color="auto" w:fill="auto"/>
          </w:tcPr>
          <w:p w:rsidR="005624E3" w:rsidRPr="00852DB3" w:rsidRDefault="005624E3" w:rsidP="00101A80">
            <w:pPr>
              <w:spacing w:before="10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00" w:after="100" w:line="240" w:lineRule="atLeast"/>
              <w:jc w:val="center"/>
              <w:rPr>
                <w:rFonts w:cs="Arial"/>
                <w:sz w:val="18"/>
                <w:szCs w:val="18"/>
              </w:rPr>
            </w:pPr>
            <w:r>
              <w:rPr>
                <w:sz w:val="18"/>
              </w:rPr>
              <w:t>2015.01.01.</w:t>
            </w:r>
          </w:p>
        </w:tc>
      </w:tr>
      <w:tr w:rsidR="005624E3" w:rsidRPr="00C903F8" w:rsidTr="005758C9">
        <w:trPr>
          <w:cantSplit/>
          <w:jc w:val="center"/>
        </w:trPr>
        <w:tc>
          <w:tcPr>
            <w:tcW w:w="1342" w:type="dxa"/>
            <w:shd w:val="clear" w:color="auto" w:fill="auto"/>
          </w:tcPr>
          <w:p w:rsidR="005624E3" w:rsidRPr="004B4203" w:rsidRDefault="005624E3" w:rsidP="00101A80">
            <w:pPr>
              <w:spacing w:before="100" w:after="100" w:line="240" w:lineRule="atLeast"/>
              <w:rPr>
                <w:rFonts w:cs="Arial"/>
                <w:sz w:val="18"/>
                <w:szCs w:val="18"/>
              </w:rPr>
            </w:pPr>
            <w:r>
              <w:rPr>
                <w:sz w:val="18"/>
              </w:rPr>
              <w:t>10.20. cikk</w:t>
            </w:r>
          </w:p>
        </w:tc>
        <w:tc>
          <w:tcPr>
            <w:tcW w:w="1458" w:type="dxa"/>
            <w:shd w:val="clear" w:color="auto" w:fill="auto"/>
          </w:tcPr>
          <w:p w:rsidR="005624E3" w:rsidRPr="00852DB3" w:rsidRDefault="005624E3" w:rsidP="00101A80">
            <w:pPr>
              <w:spacing w:before="100" w:after="100" w:line="240" w:lineRule="atLeast"/>
              <w:rPr>
                <w:rFonts w:cs="Arial"/>
                <w:sz w:val="18"/>
                <w:szCs w:val="18"/>
              </w:rPr>
            </w:pPr>
          </w:p>
        </w:tc>
        <w:tc>
          <w:tcPr>
            <w:tcW w:w="3296" w:type="dxa"/>
            <w:shd w:val="clear" w:color="auto" w:fill="auto"/>
          </w:tcPr>
          <w:p w:rsidR="005624E3" w:rsidRPr="001717EA" w:rsidRDefault="005624E3" w:rsidP="00101A80">
            <w:pPr>
              <w:spacing w:before="100" w:after="100" w:line="240" w:lineRule="atLeast"/>
              <w:rPr>
                <w:rFonts w:cs="Arial"/>
                <w:sz w:val="18"/>
                <w:szCs w:val="18"/>
              </w:rPr>
            </w:pPr>
            <w:r>
              <w:rPr>
                <w:sz w:val="18"/>
              </w:rPr>
              <w:t>Elektronikus rendszerek vizsgálati feltételei</w:t>
            </w:r>
          </w:p>
        </w:tc>
        <w:tc>
          <w:tcPr>
            <w:tcW w:w="6521" w:type="dxa"/>
            <w:shd w:val="clear" w:color="auto" w:fill="auto"/>
          </w:tcPr>
          <w:p w:rsidR="005624E3" w:rsidRPr="00852DB3" w:rsidRDefault="005624E3" w:rsidP="00101A80">
            <w:pPr>
              <w:spacing w:before="100" w:after="100" w:line="240" w:lineRule="atLeast"/>
              <w:rPr>
                <w:rFonts w:cs="Arial"/>
                <w:sz w:val="18"/>
                <w:szCs w:val="18"/>
              </w:rPr>
            </w:pPr>
            <w:r>
              <w:rPr>
                <w:sz w:val="18"/>
              </w:rPr>
              <w:t xml:space="preserve">N.R.C., legkésőbb a belvízi hajóbizonyítvány megújításakor e dátumot követően: </w:t>
            </w:r>
          </w:p>
        </w:tc>
        <w:tc>
          <w:tcPr>
            <w:tcW w:w="1276" w:type="dxa"/>
            <w:shd w:val="clear" w:color="auto" w:fill="auto"/>
          </w:tcPr>
          <w:p w:rsidR="005624E3" w:rsidRPr="00852DB3" w:rsidRDefault="005624E3" w:rsidP="00101A80">
            <w:pPr>
              <w:spacing w:before="100" w:after="100" w:line="240" w:lineRule="atLeast"/>
              <w:jc w:val="center"/>
              <w:rPr>
                <w:rFonts w:cs="Arial"/>
                <w:sz w:val="18"/>
                <w:szCs w:val="18"/>
              </w:rPr>
            </w:pPr>
            <w:r>
              <w:rPr>
                <w:sz w:val="18"/>
              </w:rPr>
              <w:t>2035.01.01.</w:t>
            </w:r>
          </w:p>
        </w:tc>
      </w:tr>
      <w:tr w:rsidR="005624E3" w:rsidRPr="00C903F8" w:rsidTr="005758C9">
        <w:trPr>
          <w:cantSplit/>
          <w:jc w:val="center"/>
        </w:trPr>
        <w:tc>
          <w:tcPr>
            <w:tcW w:w="1342" w:type="dxa"/>
            <w:shd w:val="clear" w:color="auto" w:fill="auto"/>
          </w:tcPr>
          <w:p w:rsidR="005624E3" w:rsidRPr="004B4203" w:rsidRDefault="005624E3" w:rsidP="00101A80">
            <w:pPr>
              <w:spacing w:before="100" w:after="100" w:line="240" w:lineRule="atLeast"/>
              <w:rPr>
                <w:rFonts w:cs="Arial"/>
                <w:sz w:val="18"/>
                <w:szCs w:val="18"/>
              </w:rPr>
            </w:pPr>
            <w:r>
              <w:rPr>
                <w:sz w:val="18"/>
              </w:rPr>
              <w:t>10.21. cikk</w:t>
            </w:r>
          </w:p>
        </w:tc>
        <w:tc>
          <w:tcPr>
            <w:tcW w:w="1458" w:type="dxa"/>
            <w:shd w:val="clear" w:color="auto" w:fill="auto"/>
          </w:tcPr>
          <w:p w:rsidR="005624E3" w:rsidRPr="00852DB3" w:rsidRDefault="005624E3" w:rsidP="00101A80">
            <w:pPr>
              <w:spacing w:before="100" w:after="100" w:line="240" w:lineRule="atLeast"/>
              <w:rPr>
                <w:rFonts w:cs="Arial"/>
                <w:sz w:val="18"/>
                <w:szCs w:val="18"/>
              </w:rPr>
            </w:pPr>
          </w:p>
        </w:tc>
        <w:tc>
          <w:tcPr>
            <w:tcW w:w="3296" w:type="dxa"/>
            <w:shd w:val="clear" w:color="auto" w:fill="auto"/>
          </w:tcPr>
          <w:p w:rsidR="005624E3" w:rsidRPr="00A54EF9" w:rsidRDefault="005624E3" w:rsidP="00101A80">
            <w:pPr>
              <w:spacing w:before="100" w:after="100" w:line="240" w:lineRule="atLeast"/>
              <w:rPr>
                <w:rFonts w:cs="Arial"/>
                <w:sz w:val="18"/>
                <w:szCs w:val="18"/>
              </w:rPr>
            </w:pPr>
            <w:r>
              <w:rPr>
                <w:sz w:val="18"/>
              </w:rPr>
              <w:t>Elektromágneses kompatibilitás</w:t>
            </w:r>
          </w:p>
        </w:tc>
        <w:tc>
          <w:tcPr>
            <w:tcW w:w="6521" w:type="dxa"/>
            <w:shd w:val="clear" w:color="auto" w:fill="auto"/>
          </w:tcPr>
          <w:p w:rsidR="005624E3" w:rsidRPr="00852DB3"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852DB3" w:rsidRDefault="005624E3" w:rsidP="00101A80">
            <w:pPr>
              <w:spacing w:before="100" w:after="100" w:line="240" w:lineRule="atLeast"/>
              <w:jc w:val="center"/>
              <w:rPr>
                <w:rFonts w:cs="Arial"/>
                <w:sz w:val="18"/>
                <w:szCs w:val="18"/>
              </w:rPr>
            </w:pPr>
            <w:r>
              <w:rPr>
                <w:sz w:val="18"/>
              </w:rPr>
              <w:t>2035.01.01.</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13.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r>
              <w:rPr>
                <w:sz w:val="18"/>
              </w:rPr>
              <w:t>13.01. cikk</w:t>
            </w:r>
          </w:p>
        </w:tc>
        <w:tc>
          <w:tcPr>
            <w:tcW w:w="1458" w:type="dxa"/>
            <w:tcBorders>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p>
        </w:tc>
        <w:tc>
          <w:tcPr>
            <w:tcW w:w="3296" w:type="dxa"/>
            <w:tcBorders>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r>
              <w:rPr>
                <w:noProof/>
                <w:sz w:val="18"/>
              </w:rPr>
              <w:t>Horgonyberendezés</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2024.12.30.</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00" w:after="100" w:line="240" w:lineRule="atLeast"/>
              <w:rPr>
                <w:rFonts w:cs="Arial"/>
                <w:sz w:val="18"/>
                <w:szCs w:val="18"/>
              </w:rPr>
            </w:pPr>
            <w:r>
              <w:rPr>
                <w:sz w:val="18"/>
              </w:rPr>
              <w:t>13.02. cikk</w:t>
            </w:r>
          </w:p>
        </w:tc>
        <w:tc>
          <w:tcPr>
            <w:tcW w:w="1458" w:type="dxa"/>
            <w:vMerge w:val="restart"/>
            <w:shd w:val="clear" w:color="auto" w:fill="auto"/>
          </w:tcPr>
          <w:p w:rsidR="005624E3" w:rsidRPr="00C903F8" w:rsidRDefault="005624E3" w:rsidP="00101A80">
            <w:pPr>
              <w:spacing w:before="100" w:after="100" w:line="240" w:lineRule="atLeast"/>
              <w:rPr>
                <w:rFonts w:cs="Arial"/>
                <w:sz w:val="18"/>
                <w:szCs w:val="18"/>
              </w:rPr>
            </w:pPr>
            <w:r>
              <w:rPr>
                <w:sz w:val="18"/>
              </w:rPr>
              <w:t>3. bekezdés a) pont</w:t>
            </w:r>
          </w:p>
        </w:tc>
        <w:tc>
          <w:tcPr>
            <w:tcW w:w="3296" w:type="dxa"/>
            <w:vMerge w:val="restart"/>
            <w:shd w:val="clear" w:color="auto" w:fill="auto"/>
          </w:tcPr>
          <w:p w:rsidR="005624E3" w:rsidRPr="00C903F8" w:rsidRDefault="005624E3" w:rsidP="00101A80">
            <w:pPr>
              <w:spacing w:before="100" w:after="100" w:line="240" w:lineRule="atLeast"/>
              <w:rPr>
                <w:rFonts w:cs="Arial"/>
                <w:sz w:val="18"/>
                <w:szCs w:val="18"/>
              </w:rPr>
            </w:pPr>
            <w:r>
              <w:rPr>
                <w:noProof/>
                <w:sz w:val="18"/>
              </w:rPr>
              <w:t>Kikötő- és egyéb kötelek bizonyítványa</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noProof/>
                <w:sz w:val="18"/>
              </w:rPr>
              <w:t>Az első kötél cseréje: N.R.C. legkésőbb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vMerge/>
            <w:shd w:val="clear" w:color="auto" w:fill="auto"/>
          </w:tcPr>
          <w:p w:rsidR="005624E3" w:rsidRPr="00C903F8" w:rsidRDefault="005624E3" w:rsidP="00101A80">
            <w:pPr>
              <w:spacing w:before="100" w:after="100" w:line="240" w:lineRule="atLeast"/>
              <w:rPr>
                <w:rFonts w:cs="Arial"/>
                <w:sz w:val="18"/>
                <w:szCs w:val="18"/>
              </w:rPr>
            </w:pPr>
          </w:p>
        </w:tc>
        <w:tc>
          <w:tcPr>
            <w:tcW w:w="3296" w:type="dxa"/>
            <w:vMerge/>
            <w:shd w:val="clear" w:color="auto" w:fill="auto"/>
          </w:tcPr>
          <w:p w:rsidR="005624E3" w:rsidRPr="00C903F8" w:rsidRDefault="005624E3" w:rsidP="00101A80">
            <w:pPr>
              <w:spacing w:before="100" w:after="100" w:line="240" w:lineRule="atLeast"/>
              <w:rPr>
                <w:rFonts w:cs="Arial"/>
                <w:sz w:val="18"/>
                <w:szCs w:val="18"/>
              </w:rPr>
            </w:pP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noProof/>
                <w:sz w:val="18"/>
              </w:rPr>
              <w:t>A második és harmadik kötél cseréje: N.R.C. legkésőbb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2029.12.30.</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00" w:after="100" w:line="240" w:lineRule="atLeast"/>
              <w:rPr>
                <w:rFonts w:cs="Arial"/>
                <w:sz w:val="18"/>
                <w:szCs w:val="18"/>
              </w:rPr>
            </w:pPr>
            <w:r>
              <w:rPr>
                <w:sz w:val="18"/>
              </w:rPr>
              <w:t>13.03.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Európai szabvány</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B és C osztályú tüzek oltására való alkalmasság</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CO</w:t>
            </w:r>
            <w:r>
              <w:rPr>
                <w:noProof/>
                <w:sz w:val="18"/>
                <w:vertAlign w:val="subscript"/>
              </w:rPr>
              <w:t>2</w:t>
            </w:r>
            <w:r>
              <w:rPr>
                <w:noProof/>
                <w:sz w:val="18"/>
              </w:rPr>
              <w:t>-tartalom és a helyiség méretének viszonya</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2024.12.30.</w:t>
            </w:r>
          </w:p>
        </w:tc>
      </w:tr>
      <w:tr w:rsidR="005624E3" w:rsidRPr="00C903F8" w:rsidTr="005758C9">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13,04</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lakóterek, kormányállások és utasterek védelmét szolgáló tartósan rögzített tűzvédelmi rendszerek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2049.12.30.</w:t>
            </w:r>
          </w:p>
        </w:tc>
      </w:tr>
      <w:tr w:rsidR="005624E3" w:rsidRPr="00C903F8" w:rsidTr="005758C9">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13,05</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gépterek, kazánterek és szivattyúházak védelmét szolgáló tartósan rögzített tűzvédelmi rendszerek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noProof/>
                <w:sz w:val="18"/>
              </w:rPr>
              <w:t>Az 1985. október 1-je előtt tartósan felszerelt, CO</w:t>
            </w:r>
            <w:r>
              <w:rPr>
                <w:noProof/>
                <w:sz w:val="18"/>
                <w:vertAlign w:val="subscript"/>
              </w:rPr>
              <w:t>2</w:t>
            </w:r>
            <w:r>
              <w:rPr>
                <w:noProof/>
                <w:sz w:val="18"/>
              </w:rPr>
              <w:t>-t használó tűzvédelmi rendszerek, feltéve, hogy megfelelnek e szabvány 16.03. cikkének, továbbra is használhatók a belvízi hajóbizonyítvány megújításáig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2049.12.30.</w:t>
            </w: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r>
              <w:rPr>
                <w:sz w:val="18"/>
              </w:rPr>
              <w:t>13.07. cikk</w:t>
            </w:r>
          </w:p>
        </w:tc>
        <w:tc>
          <w:tcPr>
            <w:tcW w:w="1458" w:type="dxa"/>
            <w:tcBorders>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p>
        </w:tc>
        <w:tc>
          <w:tcPr>
            <w:tcW w:w="3296" w:type="dxa"/>
            <w:tcBorders>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r>
              <w:rPr>
                <w:noProof/>
                <w:sz w:val="18"/>
              </w:rPr>
              <w:t>Az európai szabvány alkalmazása a szolgálati csónakra</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2029.12.30.</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40" w:after="140" w:line="240" w:lineRule="atLeast"/>
              <w:rPr>
                <w:rFonts w:cs="Arial"/>
                <w:sz w:val="18"/>
                <w:szCs w:val="18"/>
              </w:rPr>
            </w:pPr>
            <w:r>
              <w:rPr>
                <w:sz w:val="18"/>
              </w:rPr>
              <w:t>13.08. cikk</w:t>
            </w:r>
          </w:p>
        </w:tc>
        <w:tc>
          <w:tcPr>
            <w:tcW w:w="1458" w:type="dxa"/>
            <w:vMerge w:val="restart"/>
            <w:shd w:val="clear" w:color="auto" w:fill="auto"/>
          </w:tcPr>
          <w:p w:rsidR="005624E3" w:rsidRPr="00C903F8" w:rsidRDefault="005624E3" w:rsidP="00101A80">
            <w:pPr>
              <w:spacing w:before="140" w:after="140" w:line="240" w:lineRule="atLeast"/>
              <w:rPr>
                <w:rFonts w:cs="Arial"/>
                <w:sz w:val="18"/>
                <w:szCs w:val="18"/>
              </w:rPr>
            </w:pPr>
            <w:r>
              <w:rPr>
                <w:sz w:val="18"/>
              </w:rPr>
              <w:t>2. bekezdés</w:t>
            </w:r>
          </w:p>
        </w:tc>
        <w:tc>
          <w:tcPr>
            <w:tcW w:w="3296" w:type="dxa"/>
            <w:vMerge w:val="restart"/>
            <w:shd w:val="clear" w:color="auto" w:fill="auto"/>
          </w:tcPr>
          <w:p w:rsidR="005624E3" w:rsidRPr="00C903F8" w:rsidRDefault="005624E3" w:rsidP="00101A80">
            <w:pPr>
              <w:spacing w:before="140" w:after="140" w:line="240" w:lineRule="atLeast"/>
              <w:rPr>
                <w:rFonts w:cs="Arial"/>
                <w:sz w:val="18"/>
                <w:szCs w:val="18"/>
              </w:rPr>
            </w:pPr>
            <w:r>
              <w:rPr>
                <w:noProof/>
                <w:sz w:val="18"/>
              </w:rPr>
              <w:t>Felfújható mentőmellények</w:t>
            </w: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2024.12.30.</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140" w:after="140" w:line="240" w:lineRule="atLeast"/>
              <w:rPr>
                <w:rFonts w:cs="Arial"/>
                <w:sz w:val="18"/>
                <w:szCs w:val="18"/>
              </w:rPr>
            </w:pPr>
          </w:p>
        </w:tc>
        <w:tc>
          <w:tcPr>
            <w:tcW w:w="1458" w:type="dxa"/>
            <w:vMerge/>
            <w:shd w:val="clear" w:color="auto" w:fill="auto"/>
          </w:tcPr>
          <w:p w:rsidR="005624E3" w:rsidRPr="00C903F8" w:rsidRDefault="005624E3" w:rsidP="00101A80">
            <w:pPr>
              <w:spacing w:before="140" w:after="140" w:line="240" w:lineRule="atLeast"/>
              <w:rPr>
                <w:rFonts w:cs="Arial"/>
                <w:sz w:val="18"/>
                <w:szCs w:val="18"/>
              </w:rPr>
            </w:pPr>
          </w:p>
        </w:tc>
        <w:tc>
          <w:tcPr>
            <w:tcW w:w="3296" w:type="dxa"/>
            <w:vMerge/>
            <w:shd w:val="clear" w:color="auto" w:fill="auto"/>
          </w:tcPr>
          <w:p w:rsidR="005624E3" w:rsidRPr="00C903F8" w:rsidRDefault="005624E3" w:rsidP="00101A80">
            <w:pPr>
              <w:spacing w:before="140" w:after="140" w:line="240" w:lineRule="atLeast"/>
              <w:rPr>
                <w:rFonts w:cs="Arial"/>
                <w:sz w:val="18"/>
                <w:szCs w:val="18"/>
              </w:rPr>
            </w:pPr>
          </w:p>
        </w:tc>
        <w:tc>
          <w:tcPr>
            <w:tcW w:w="6521" w:type="dxa"/>
            <w:shd w:val="clear" w:color="auto" w:fill="auto"/>
          </w:tcPr>
          <w:p w:rsidR="005624E3" w:rsidRPr="00C903F8" w:rsidRDefault="005624E3" w:rsidP="00101A80">
            <w:pPr>
              <w:spacing w:before="140" w:after="140" w:line="240" w:lineRule="atLeast"/>
              <w:rPr>
                <w:rFonts w:cs="Arial"/>
                <w:sz w:val="18"/>
                <w:szCs w:val="18"/>
              </w:rPr>
            </w:pPr>
            <w:r>
              <w:rPr>
                <w:sz w:val="18"/>
              </w:rPr>
              <w:t>A 2008. december 29-én a fedélzeten rendelkezésre álló mentőmellények felhasználhatók a belvízi hajóbizonyítvány megújításáig</w:t>
            </w:r>
          </w:p>
        </w:tc>
        <w:tc>
          <w:tcPr>
            <w:tcW w:w="1276" w:type="dxa"/>
            <w:shd w:val="clear" w:color="auto" w:fill="auto"/>
          </w:tcPr>
          <w:p w:rsidR="005624E3" w:rsidRPr="00C903F8" w:rsidRDefault="005624E3" w:rsidP="00101A80">
            <w:pPr>
              <w:spacing w:before="140" w:after="140" w:line="240" w:lineRule="atLeast"/>
              <w:rPr>
                <w:rFonts w:cs="Arial"/>
                <w:sz w:val="18"/>
                <w:szCs w:val="18"/>
              </w:rPr>
            </w:pPr>
            <w:r>
              <w:rPr>
                <w:sz w:val="18"/>
              </w:rPr>
              <w:t>2024.12.30.</w:t>
            </w: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40" w:after="140" w:line="240" w:lineRule="atLeast"/>
              <w:jc w:val="center"/>
              <w:rPr>
                <w:rFonts w:cs="Arial"/>
                <w:sz w:val="18"/>
                <w:szCs w:val="18"/>
              </w:rPr>
            </w:pPr>
            <w:r>
              <w:rPr>
                <w:b/>
                <w:sz w:val="18"/>
              </w:rPr>
              <w:t>14. FEJEZET</w:t>
            </w:r>
          </w:p>
        </w:tc>
        <w:tc>
          <w:tcPr>
            <w:tcW w:w="6521" w:type="dxa"/>
            <w:shd w:val="clear" w:color="auto" w:fill="auto"/>
          </w:tcPr>
          <w:p w:rsidR="005624E3" w:rsidRPr="00C903F8" w:rsidRDefault="005624E3" w:rsidP="00101A80">
            <w:pPr>
              <w:spacing w:before="140" w:after="140" w:line="240" w:lineRule="atLeast"/>
              <w:rPr>
                <w:rFonts w:cs="Arial"/>
                <w:sz w:val="18"/>
                <w:szCs w:val="18"/>
              </w:rPr>
            </w:pPr>
          </w:p>
        </w:tc>
        <w:tc>
          <w:tcPr>
            <w:tcW w:w="1276" w:type="dxa"/>
            <w:shd w:val="clear" w:color="auto" w:fill="auto"/>
          </w:tcPr>
          <w:p w:rsidR="005624E3" w:rsidRPr="00C903F8" w:rsidRDefault="005624E3" w:rsidP="00101A80">
            <w:pPr>
              <w:spacing w:before="140" w:after="14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80" w:after="80" w:line="240" w:lineRule="atLeast"/>
              <w:rPr>
                <w:rFonts w:cs="Arial"/>
                <w:sz w:val="18"/>
                <w:szCs w:val="18"/>
              </w:rPr>
            </w:pPr>
            <w:r>
              <w:rPr>
                <w:sz w:val="18"/>
              </w:rPr>
              <w:t>14.02. cikk</w:t>
            </w: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A fedélzetek, oldalfedélzetek és egyéb munkaállomások külső peremének felszerelése</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w:t>
            </w:r>
            <w:r>
              <w:rPr>
                <w:rStyle w:val="FootnoteReference"/>
                <w:sz w:val="18"/>
              </w:rPr>
              <w:t xml:space="preserve"> </w:t>
            </w:r>
            <w:r>
              <w:rPr>
                <w:rStyle w:val="FootnoteReference"/>
                <w:sz w:val="18"/>
              </w:rPr>
              <w:footnoteReference w:id="46"/>
            </w:r>
          </w:p>
        </w:tc>
        <w:tc>
          <w:tcPr>
            <w:tcW w:w="1276" w:type="dxa"/>
            <w:shd w:val="clear" w:color="auto" w:fill="auto"/>
          </w:tcPr>
          <w:p w:rsidR="005624E3" w:rsidRPr="00C903F8" w:rsidRDefault="005624E3" w:rsidP="00101A80">
            <w:pPr>
              <w:spacing w:before="80" w:after="8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80" w:after="80" w:line="240" w:lineRule="atLeast"/>
              <w:rPr>
                <w:rFonts w:cs="Arial"/>
                <w:sz w:val="18"/>
                <w:szCs w:val="18"/>
              </w:rPr>
            </w:pPr>
            <w:r>
              <w:rPr>
                <w:sz w:val="18"/>
              </w:rPr>
              <w:t>14.04. cikk</w:t>
            </w: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Az oldalfedélzetek szabad szélessége</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 xml:space="preserve">Olyan hajók esetében, ahol </w:t>
            </w:r>
            <m:oMath>
              <m:r>
                <w:rPr>
                  <w:rFonts w:ascii="Cambria Math" w:hAnsi="Cambria Math" w:cs="Arial"/>
                  <w:sz w:val="18"/>
                  <w:szCs w:val="18"/>
                </w:rPr>
                <m:t>B &gt; 7,30 m</m:t>
              </m:r>
            </m:oMath>
            <w:r>
              <w:rPr>
                <w:sz w:val="18"/>
              </w:rPr>
              <w:t>: 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2035.01.01.</w:t>
            </w:r>
            <w:r>
              <w:rPr>
                <w:sz w:val="18"/>
                <w:vertAlign w:val="superscript"/>
              </w:rPr>
              <w:footnoteReference w:id="47"/>
            </w:r>
          </w:p>
        </w:tc>
      </w:tr>
      <w:tr w:rsidR="005624E3" w:rsidRPr="00C903F8" w:rsidTr="005758C9">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Oldalfedélzeti védőkorlátok</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80" w:after="80" w:line="240" w:lineRule="atLeast"/>
              <w:rPr>
                <w:rFonts w:cs="Arial"/>
                <w:sz w:val="18"/>
                <w:szCs w:val="18"/>
              </w:rPr>
            </w:pP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80" w:after="80" w:line="240" w:lineRule="atLeast"/>
              <w:rPr>
                <w:rFonts w:cs="Arial"/>
                <w:sz w:val="18"/>
                <w:szCs w:val="18"/>
              </w:rPr>
            </w:pPr>
            <w:r>
              <w:rPr>
                <w:sz w:val="18"/>
              </w:rPr>
              <w:t>14.05. cikk</w:t>
            </w: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A munkaállomások megközelítése</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2049.12.30.</w:t>
            </w:r>
          </w:p>
        </w:tc>
      </w:tr>
      <w:tr w:rsidR="005624E3" w:rsidRPr="00A0619C" w:rsidTr="005758C9">
        <w:trPr>
          <w:cantSplit/>
          <w:jc w:val="center"/>
        </w:trPr>
        <w:tc>
          <w:tcPr>
            <w:tcW w:w="1342" w:type="dxa"/>
            <w:tcBorders>
              <w:top w:val="nil"/>
              <w:bottom w:val="nil"/>
            </w:tcBorders>
            <w:shd w:val="clear" w:color="auto" w:fill="auto"/>
          </w:tcPr>
          <w:p w:rsidR="005624E3" w:rsidRPr="00C903F8" w:rsidRDefault="005624E3" w:rsidP="00101A80">
            <w:pPr>
              <w:spacing w:before="80" w:after="80" w:line="240" w:lineRule="atLeast"/>
              <w:rPr>
                <w:rFonts w:cs="Arial"/>
                <w:sz w:val="18"/>
                <w:szCs w:val="18"/>
              </w:rPr>
            </w:pP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2. és 3.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Ajtók és hozzáférési pontok, kijáratok és átjárók szintjében 0,50 m-nél nagyobb különbség mutatkozik</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80" w:after="80" w:line="240" w:lineRule="atLeast"/>
              <w:rPr>
                <w:rFonts w:cs="Arial"/>
                <w:sz w:val="18"/>
                <w:szCs w:val="18"/>
              </w:rPr>
            </w:pPr>
          </w:p>
        </w:tc>
      </w:tr>
      <w:tr w:rsidR="005624E3" w:rsidRPr="00A90F88" w:rsidTr="005758C9">
        <w:trPr>
          <w:cantSplit/>
          <w:jc w:val="center"/>
        </w:trPr>
        <w:tc>
          <w:tcPr>
            <w:tcW w:w="1342" w:type="dxa"/>
            <w:tcBorders>
              <w:top w:val="nil"/>
            </w:tcBorders>
            <w:shd w:val="clear" w:color="auto" w:fill="auto"/>
          </w:tcPr>
          <w:p w:rsidR="005624E3" w:rsidRPr="00A90F88" w:rsidRDefault="005624E3" w:rsidP="00101A80">
            <w:pPr>
              <w:spacing w:before="80" w:after="80" w:line="240" w:lineRule="atLeast"/>
              <w:rPr>
                <w:rFonts w:cs="Arial"/>
                <w:sz w:val="18"/>
                <w:szCs w:val="18"/>
              </w:rPr>
            </w:pPr>
          </w:p>
        </w:tc>
        <w:tc>
          <w:tcPr>
            <w:tcW w:w="1458" w:type="dxa"/>
            <w:shd w:val="clear" w:color="auto" w:fill="auto"/>
          </w:tcPr>
          <w:p w:rsidR="005624E3" w:rsidRPr="00A90F88" w:rsidRDefault="005624E3" w:rsidP="00101A80">
            <w:pPr>
              <w:spacing w:before="80" w:after="80" w:line="240" w:lineRule="atLeast"/>
              <w:rPr>
                <w:rFonts w:cs="Arial"/>
                <w:sz w:val="18"/>
                <w:szCs w:val="18"/>
              </w:rPr>
            </w:pPr>
            <w:r>
              <w:rPr>
                <w:sz w:val="18"/>
              </w:rPr>
              <w:t>4. bekezdés</w:t>
            </w:r>
          </w:p>
        </w:tc>
        <w:tc>
          <w:tcPr>
            <w:tcW w:w="3296" w:type="dxa"/>
            <w:shd w:val="clear" w:color="auto" w:fill="auto"/>
          </w:tcPr>
          <w:p w:rsidR="005624E3" w:rsidRPr="00A90F88" w:rsidRDefault="005624E3" w:rsidP="00101A80">
            <w:pPr>
              <w:spacing w:before="80" w:after="80" w:line="240" w:lineRule="atLeast"/>
              <w:rPr>
                <w:rFonts w:cs="Arial"/>
                <w:sz w:val="18"/>
                <w:szCs w:val="18"/>
              </w:rPr>
            </w:pPr>
            <w:r>
              <w:rPr>
                <w:noProof/>
                <w:sz w:val="18"/>
              </w:rPr>
              <w:t>Olyan munkaállomások lépcsői, amelyeken állandóan tartózkodik személyzet</w:t>
            </w:r>
          </w:p>
        </w:tc>
        <w:tc>
          <w:tcPr>
            <w:tcW w:w="6521" w:type="dxa"/>
            <w:shd w:val="clear" w:color="auto" w:fill="auto"/>
          </w:tcPr>
          <w:p w:rsidR="005624E3" w:rsidRPr="00A90F8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A90F88" w:rsidRDefault="005624E3" w:rsidP="00101A80">
            <w:pPr>
              <w:spacing w:before="80" w:after="80" w:line="240" w:lineRule="atLeast"/>
              <w:rPr>
                <w:rFonts w:cs="Arial"/>
                <w:sz w:val="18"/>
                <w:szCs w:val="18"/>
              </w:rPr>
            </w:pPr>
            <w:r>
              <w:rPr>
                <w:sz w:val="18"/>
              </w:rPr>
              <w:t>2049.12.30.</w:t>
            </w: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80" w:after="80" w:line="240" w:lineRule="atLeast"/>
              <w:rPr>
                <w:rFonts w:cs="Arial"/>
                <w:sz w:val="18"/>
                <w:szCs w:val="18"/>
              </w:rPr>
            </w:pPr>
            <w:r>
              <w:rPr>
                <w:sz w:val="18"/>
              </w:rPr>
              <w:t>14.06. cikk</w:t>
            </w:r>
          </w:p>
        </w:tc>
        <w:tc>
          <w:tcPr>
            <w:tcW w:w="1458" w:type="dxa"/>
            <w:shd w:val="clear" w:color="auto" w:fill="auto"/>
          </w:tcPr>
          <w:p w:rsidR="005624E3" w:rsidRPr="00C903F8" w:rsidRDefault="005624E3" w:rsidP="00101A80">
            <w:pPr>
              <w:spacing w:before="80" w:after="8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80" w:after="80" w:line="240" w:lineRule="atLeast"/>
              <w:rPr>
                <w:rFonts w:cs="Arial"/>
                <w:sz w:val="18"/>
                <w:szCs w:val="18"/>
              </w:rPr>
            </w:pPr>
            <w:r>
              <w:rPr>
                <w:noProof/>
                <w:sz w:val="18"/>
              </w:rPr>
              <w:t>Kijáratok és vészkijáratok</w:t>
            </w:r>
          </w:p>
        </w:tc>
        <w:tc>
          <w:tcPr>
            <w:tcW w:w="6521" w:type="dxa"/>
            <w:shd w:val="clear" w:color="auto" w:fill="auto"/>
          </w:tcPr>
          <w:p w:rsidR="005624E3" w:rsidRPr="00C903F8" w:rsidRDefault="005624E3" w:rsidP="00101A80">
            <w:pPr>
              <w:spacing w:before="80" w:after="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80" w:after="80" w:line="240" w:lineRule="atLeast"/>
              <w:rPr>
                <w:rFonts w:cs="Arial"/>
                <w:sz w:val="18"/>
                <w:szCs w:val="18"/>
              </w:rPr>
            </w:pPr>
            <w:r>
              <w:rPr>
                <w:sz w:val="18"/>
              </w:rPr>
              <w:t>2049.12.30.</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14.07.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 második mondat</w:t>
            </w:r>
          </w:p>
        </w:tc>
        <w:tc>
          <w:tcPr>
            <w:tcW w:w="3296" w:type="dxa"/>
            <w:vMerge w:val="restart"/>
            <w:shd w:val="clear" w:color="auto" w:fill="auto"/>
          </w:tcPr>
          <w:p w:rsidR="005624E3" w:rsidRPr="00C903F8" w:rsidRDefault="005624E3" w:rsidP="00101A80">
            <w:pPr>
              <w:spacing w:before="120" w:after="120" w:line="240" w:lineRule="atLeast"/>
              <w:rPr>
                <w:rFonts w:cs="Arial"/>
                <w:sz w:val="18"/>
                <w:szCs w:val="18"/>
              </w:rPr>
            </w:pPr>
            <w:r>
              <w:rPr>
                <w:noProof/>
                <w:sz w:val="18"/>
              </w:rPr>
              <w:t>Létrák, lépcsők és hasonló eszközök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2049.12.30.</w:t>
            </w:r>
          </w:p>
        </w:tc>
      </w:tr>
      <w:tr w:rsidR="005624E3" w:rsidRPr="00A0619C" w:rsidTr="005758C9">
        <w:trPr>
          <w:cantSplit/>
          <w:jc w:val="center"/>
        </w:trPr>
        <w:tc>
          <w:tcPr>
            <w:tcW w:w="1342" w:type="dxa"/>
            <w:tcBorders>
              <w:top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2. és 3. bekezdés</w:t>
            </w:r>
          </w:p>
        </w:tc>
        <w:tc>
          <w:tcPr>
            <w:tcW w:w="3296" w:type="dxa"/>
            <w:vMerge/>
            <w:shd w:val="clear" w:color="auto" w:fill="auto"/>
          </w:tcPr>
          <w:p w:rsidR="005624E3" w:rsidRPr="00C903F8" w:rsidRDefault="005624E3" w:rsidP="00101A80">
            <w:pPr>
              <w:spacing w:before="120" w:after="120" w:line="240" w:lineRule="atLeast"/>
              <w:rPr>
                <w:rFonts w:cs="Arial"/>
                <w:sz w:val="18"/>
                <w:szCs w:val="18"/>
              </w:rPr>
            </w:pP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5758C9">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14.10.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Nyílásfedelek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2024.12.30.</w:t>
            </w:r>
          </w:p>
        </w:tc>
      </w:tr>
      <w:tr w:rsidR="005624E3" w:rsidRPr="00C903F8" w:rsidTr="005758C9">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14.11.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Csörlők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2024.12.30.</w:t>
            </w:r>
          </w:p>
        </w:tc>
      </w:tr>
      <w:tr w:rsidR="005624E3" w:rsidRPr="00C903F8" w:rsidTr="005758C9">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14.12.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2–6. és 8–10. bekezdés</w:t>
            </w:r>
          </w:p>
        </w:tc>
        <w:tc>
          <w:tcPr>
            <w:tcW w:w="3296" w:type="dxa"/>
            <w:shd w:val="clear" w:color="auto" w:fill="auto"/>
          </w:tcPr>
          <w:p w:rsidR="005624E3" w:rsidRPr="00C903F8" w:rsidRDefault="005624E3" w:rsidP="00F75A1F">
            <w:pPr>
              <w:spacing w:before="120" w:after="120" w:line="240" w:lineRule="atLeast"/>
              <w:rPr>
                <w:rFonts w:cs="Arial"/>
                <w:sz w:val="18"/>
                <w:szCs w:val="18"/>
              </w:rPr>
            </w:pPr>
            <w:r>
              <w:rPr>
                <w:sz w:val="18"/>
              </w:rPr>
              <w:t>Daruk: gyár</w:t>
            </w:r>
            <w:r w:rsidR="00F75A1F">
              <w:rPr>
                <w:sz w:val="18"/>
              </w:rPr>
              <w:t>i adat</w:t>
            </w:r>
            <w:r>
              <w:rPr>
                <w:sz w:val="18"/>
              </w:rPr>
              <w:t>tábla, legnagyobb megengedett terhelés, védőszerkezetek, számításos igazolás, szakértői ellenőrzés, fedélzeten tartandó dokumentumok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2029.12.30.</w:t>
            </w:r>
          </w:p>
        </w:tc>
      </w:tr>
      <w:tr w:rsidR="005624E3" w:rsidRPr="00A0619C" w:rsidTr="005758C9">
        <w:trPr>
          <w:cantSplit/>
          <w:jc w:val="center"/>
        </w:trPr>
        <w:tc>
          <w:tcPr>
            <w:tcW w:w="1342" w:type="dxa"/>
            <w:shd w:val="clear" w:color="auto" w:fill="auto"/>
          </w:tcPr>
          <w:p w:rsidR="005624E3" w:rsidRPr="00C903F8" w:rsidRDefault="005624E3" w:rsidP="00101A80">
            <w:pPr>
              <w:spacing w:before="120" w:after="120" w:line="240" w:lineRule="atLeast"/>
              <w:rPr>
                <w:rFonts w:cs="Arial"/>
                <w:sz w:val="18"/>
                <w:szCs w:val="18"/>
              </w:rPr>
            </w:pPr>
            <w:r>
              <w:rPr>
                <w:sz w:val="18"/>
              </w:rPr>
              <w:t>14.13.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Gyúlékony folyadékok tárolása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C903F8" w:rsidRDefault="005624E3" w:rsidP="00101A80">
            <w:pPr>
              <w:spacing w:before="120" w:after="120" w:line="240" w:lineRule="atLeast"/>
              <w:jc w:val="center"/>
              <w:rPr>
                <w:rFonts w:cs="Arial"/>
                <w:sz w:val="18"/>
                <w:szCs w:val="18"/>
              </w:rPr>
            </w:pPr>
            <w:r>
              <w:rPr>
                <w:b/>
                <w:sz w:val="18"/>
              </w:rPr>
              <w:t>15. FEJEZET</w:t>
            </w:r>
          </w:p>
        </w:tc>
        <w:tc>
          <w:tcPr>
            <w:tcW w:w="6521" w:type="dxa"/>
            <w:shd w:val="clear" w:color="auto" w:fill="auto"/>
          </w:tcPr>
          <w:p w:rsidR="005624E3" w:rsidRPr="00C903F8" w:rsidRDefault="005624E3" w:rsidP="00101A80">
            <w:pPr>
              <w:spacing w:before="120" w:after="120" w:line="240" w:lineRule="atLeast"/>
              <w:rPr>
                <w:rFonts w:cs="Arial"/>
                <w:sz w:val="18"/>
                <w:szCs w:val="18"/>
              </w:rPr>
            </w:pPr>
          </w:p>
        </w:tc>
        <w:tc>
          <w:tcPr>
            <w:tcW w:w="1276" w:type="dxa"/>
            <w:shd w:val="clear" w:color="auto" w:fill="auto"/>
          </w:tcPr>
          <w:p w:rsidR="005624E3" w:rsidRPr="00C903F8" w:rsidRDefault="005624E3" w:rsidP="00101A80">
            <w:pPr>
              <w:spacing w:before="120" w:after="120" w:line="240" w:lineRule="atLeast"/>
              <w:rPr>
                <w:rFonts w:cs="Arial"/>
                <w:sz w:val="18"/>
                <w:szCs w:val="18"/>
              </w:rPr>
            </w:pPr>
          </w:p>
        </w:tc>
      </w:tr>
      <w:tr w:rsidR="005624E3" w:rsidRPr="00C903F8" w:rsidTr="005758C9">
        <w:trPr>
          <w:cantSplit/>
          <w:jc w:val="center"/>
        </w:trPr>
        <w:tc>
          <w:tcPr>
            <w:tcW w:w="1342" w:type="dxa"/>
            <w:tcBorders>
              <w:bottom w:val="single" w:sz="4" w:space="0" w:color="auto"/>
            </w:tcBorders>
            <w:shd w:val="clear" w:color="auto" w:fill="auto"/>
          </w:tcPr>
          <w:p w:rsidR="005624E3" w:rsidRPr="00C903F8" w:rsidRDefault="005624E3" w:rsidP="00101A80">
            <w:pPr>
              <w:spacing w:before="120" w:after="120" w:line="240" w:lineRule="atLeast"/>
              <w:rPr>
                <w:rFonts w:cs="Arial"/>
                <w:sz w:val="18"/>
                <w:szCs w:val="18"/>
              </w:rPr>
            </w:pPr>
            <w:r>
              <w:rPr>
                <w:sz w:val="18"/>
              </w:rPr>
              <w:t>15.01.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Lakótér a fedélzeten szokásosan megszálló személyek számára</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2049.12.30.</w:t>
            </w:r>
          </w:p>
        </w:tc>
      </w:tr>
      <w:tr w:rsidR="005624E3" w:rsidRPr="00C903F8" w:rsidTr="005758C9">
        <w:trPr>
          <w:cantSplit/>
          <w:jc w:val="center"/>
        </w:trPr>
        <w:tc>
          <w:tcPr>
            <w:tcW w:w="1342" w:type="dxa"/>
            <w:tcBorders>
              <w:bottom w:val="nil"/>
            </w:tcBorders>
            <w:shd w:val="clear" w:color="auto" w:fill="auto"/>
          </w:tcPr>
          <w:p w:rsidR="005624E3" w:rsidRPr="00C903F8" w:rsidRDefault="005624E3" w:rsidP="00101A80">
            <w:pPr>
              <w:spacing w:before="120" w:after="120" w:line="240" w:lineRule="atLeast"/>
              <w:rPr>
                <w:rFonts w:cs="Arial"/>
                <w:sz w:val="18"/>
                <w:szCs w:val="18"/>
              </w:rPr>
            </w:pPr>
            <w:r>
              <w:rPr>
                <w:sz w:val="18"/>
              </w:rPr>
              <w:t>15.02. cikk</w:t>
            </w: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A padlók helyzete</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2049.12.30.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4.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sz w:val="18"/>
              </w:rPr>
              <w:t>Közösségi nappali helyiségek és hálókabinok</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2049.12.30.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120" w:after="120" w:line="240" w:lineRule="atLeast"/>
              <w:rPr>
                <w:rFonts w:cs="Arial"/>
                <w:sz w:val="18"/>
                <w:szCs w:val="18"/>
              </w:rPr>
            </w:pPr>
          </w:p>
        </w:tc>
        <w:tc>
          <w:tcPr>
            <w:tcW w:w="1458" w:type="dxa"/>
            <w:shd w:val="clear" w:color="auto" w:fill="auto"/>
          </w:tcPr>
          <w:p w:rsidR="005624E3" w:rsidRPr="00C903F8" w:rsidRDefault="005624E3" w:rsidP="00101A80">
            <w:pPr>
              <w:spacing w:before="120" w:after="12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spacing w:before="120" w:after="120" w:line="240" w:lineRule="atLeast"/>
              <w:rPr>
                <w:rFonts w:cs="Arial"/>
                <w:sz w:val="18"/>
                <w:szCs w:val="18"/>
              </w:rPr>
            </w:pPr>
            <w:r>
              <w:rPr>
                <w:noProof/>
                <w:sz w:val="18"/>
              </w:rPr>
              <w:t>Zaj és rezgés a lakóterekben</w:t>
            </w:r>
          </w:p>
        </w:tc>
        <w:tc>
          <w:tcPr>
            <w:tcW w:w="6521" w:type="dxa"/>
            <w:shd w:val="clear" w:color="auto" w:fill="auto"/>
          </w:tcPr>
          <w:p w:rsidR="005624E3" w:rsidRPr="00C903F8" w:rsidRDefault="005624E3" w:rsidP="00101A80">
            <w:pPr>
              <w:spacing w:before="120" w:after="1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20" w:after="120" w:line="240" w:lineRule="atLeast"/>
              <w:rPr>
                <w:rFonts w:cs="Arial"/>
                <w:sz w:val="18"/>
                <w:szCs w:val="18"/>
              </w:rPr>
            </w:pPr>
            <w:r>
              <w:rPr>
                <w:sz w:val="18"/>
              </w:rPr>
              <w:t>2029.12.30.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00" w:line="240" w:lineRule="atLeast"/>
              <w:rPr>
                <w:rFonts w:cs="Arial"/>
                <w:sz w:val="18"/>
                <w:szCs w:val="18"/>
              </w:rPr>
            </w:pPr>
          </w:p>
        </w:tc>
        <w:tc>
          <w:tcPr>
            <w:tcW w:w="1458" w:type="dxa"/>
            <w:shd w:val="clear" w:color="auto" w:fill="auto"/>
          </w:tcPr>
          <w:p w:rsidR="005624E3" w:rsidRPr="00C903F8" w:rsidRDefault="005624E3" w:rsidP="00101A80">
            <w:pPr>
              <w:spacing w:before="20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spacing w:before="200" w:line="240" w:lineRule="atLeast"/>
              <w:rPr>
                <w:rFonts w:cs="Arial"/>
                <w:sz w:val="18"/>
                <w:szCs w:val="18"/>
              </w:rPr>
            </w:pPr>
            <w:r>
              <w:rPr>
                <w:noProof/>
                <w:sz w:val="18"/>
              </w:rPr>
              <w:t>A lakóterek belmagassága</w:t>
            </w:r>
          </w:p>
        </w:tc>
        <w:tc>
          <w:tcPr>
            <w:tcW w:w="6521" w:type="dxa"/>
            <w:shd w:val="clear" w:color="auto" w:fill="auto"/>
          </w:tcPr>
          <w:p w:rsidR="005624E3" w:rsidRPr="00C903F8" w:rsidRDefault="005624E3" w:rsidP="00101A80">
            <w:pPr>
              <w:spacing w:before="2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00" w:line="240" w:lineRule="atLeast"/>
              <w:rPr>
                <w:rFonts w:cs="Arial"/>
                <w:sz w:val="18"/>
                <w:szCs w:val="18"/>
              </w:rPr>
            </w:pPr>
            <w:r>
              <w:rPr>
                <w:sz w:val="18"/>
              </w:rPr>
              <w:t>2049.12.30.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00" w:line="240" w:lineRule="atLeast"/>
              <w:rPr>
                <w:rFonts w:cs="Arial"/>
                <w:sz w:val="18"/>
                <w:szCs w:val="18"/>
              </w:rPr>
            </w:pPr>
          </w:p>
        </w:tc>
        <w:tc>
          <w:tcPr>
            <w:tcW w:w="1458" w:type="dxa"/>
            <w:shd w:val="clear" w:color="auto" w:fill="auto"/>
          </w:tcPr>
          <w:p w:rsidR="005624E3" w:rsidRPr="00C903F8" w:rsidRDefault="005624E3" w:rsidP="00101A80">
            <w:pPr>
              <w:spacing w:before="200" w:line="240" w:lineRule="atLeast"/>
              <w:rPr>
                <w:rFonts w:cs="Arial"/>
                <w:sz w:val="18"/>
                <w:szCs w:val="18"/>
              </w:rPr>
            </w:pPr>
            <w:r>
              <w:rPr>
                <w:sz w:val="18"/>
              </w:rPr>
              <w:t>8. bekezdés</w:t>
            </w:r>
          </w:p>
        </w:tc>
        <w:tc>
          <w:tcPr>
            <w:tcW w:w="3296" w:type="dxa"/>
            <w:shd w:val="clear" w:color="auto" w:fill="auto"/>
          </w:tcPr>
          <w:p w:rsidR="005624E3" w:rsidRPr="00C903F8" w:rsidRDefault="005624E3" w:rsidP="00101A80">
            <w:pPr>
              <w:spacing w:before="200" w:line="240" w:lineRule="atLeast"/>
              <w:rPr>
                <w:rFonts w:cs="Arial"/>
                <w:sz w:val="18"/>
                <w:szCs w:val="18"/>
              </w:rPr>
            </w:pPr>
            <w:r>
              <w:rPr>
                <w:noProof/>
                <w:sz w:val="18"/>
              </w:rPr>
              <w:t>A közösségi nappali helyiségek szabad padlófelülete</w:t>
            </w:r>
          </w:p>
        </w:tc>
        <w:tc>
          <w:tcPr>
            <w:tcW w:w="6521" w:type="dxa"/>
            <w:shd w:val="clear" w:color="auto" w:fill="auto"/>
          </w:tcPr>
          <w:p w:rsidR="005624E3" w:rsidRPr="00C903F8" w:rsidRDefault="005624E3" w:rsidP="00101A80">
            <w:pPr>
              <w:spacing w:before="2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00" w:line="240" w:lineRule="atLeast"/>
              <w:rPr>
                <w:rFonts w:cs="Arial"/>
                <w:sz w:val="18"/>
                <w:szCs w:val="18"/>
              </w:rPr>
            </w:pPr>
            <w:r>
              <w:rPr>
                <w:sz w:val="18"/>
              </w:rPr>
              <w:t>2049.12.30.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00" w:line="240" w:lineRule="atLeast"/>
              <w:rPr>
                <w:rFonts w:cs="Arial"/>
                <w:sz w:val="18"/>
                <w:szCs w:val="18"/>
              </w:rPr>
            </w:pPr>
          </w:p>
        </w:tc>
        <w:tc>
          <w:tcPr>
            <w:tcW w:w="1458" w:type="dxa"/>
            <w:shd w:val="clear" w:color="auto" w:fill="auto"/>
          </w:tcPr>
          <w:p w:rsidR="005624E3" w:rsidRPr="00C903F8" w:rsidRDefault="005624E3" w:rsidP="00101A80">
            <w:pPr>
              <w:spacing w:before="200" w:line="240" w:lineRule="atLeast"/>
              <w:rPr>
                <w:rFonts w:cs="Arial"/>
                <w:sz w:val="18"/>
                <w:szCs w:val="18"/>
              </w:rPr>
            </w:pPr>
            <w:r>
              <w:rPr>
                <w:sz w:val="18"/>
              </w:rPr>
              <w:t>9. bekezdés</w:t>
            </w:r>
          </w:p>
        </w:tc>
        <w:tc>
          <w:tcPr>
            <w:tcW w:w="3296" w:type="dxa"/>
            <w:shd w:val="clear" w:color="auto" w:fill="auto"/>
          </w:tcPr>
          <w:p w:rsidR="005624E3" w:rsidRPr="00C903F8" w:rsidRDefault="005624E3" w:rsidP="00101A80">
            <w:pPr>
              <w:spacing w:before="200" w:line="240" w:lineRule="atLeast"/>
              <w:rPr>
                <w:rFonts w:cs="Arial"/>
                <w:sz w:val="18"/>
                <w:szCs w:val="18"/>
              </w:rPr>
            </w:pPr>
            <w:r>
              <w:rPr>
                <w:noProof/>
                <w:sz w:val="18"/>
              </w:rPr>
              <w:t>A helyiségek térfogata</w:t>
            </w:r>
          </w:p>
        </w:tc>
        <w:tc>
          <w:tcPr>
            <w:tcW w:w="6521" w:type="dxa"/>
            <w:shd w:val="clear" w:color="auto" w:fill="auto"/>
          </w:tcPr>
          <w:p w:rsidR="005624E3" w:rsidRPr="00C903F8" w:rsidRDefault="005624E3" w:rsidP="00101A80">
            <w:pPr>
              <w:spacing w:before="2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00" w:line="240" w:lineRule="atLeast"/>
              <w:rPr>
                <w:rFonts w:cs="Arial"/>
                <w:sz w:val="18"/>
                <w:szCs w:val="18"/>
              </w:rPr>
            </w:pPr>
            <w:r>
              <w:rPr>
                <w:sz w:val="18"/>
              </w:rPr>
              <w:t>2049.12.30.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280" w:after="280" w:line="240" w:lineRule="atLeast"/>
              <w:rPr>
                <w:rFonts w:cs="Arial"/>
                <w:sz w:val="18"/>
                <w:szCs w:val="18"/>
              </w:rPr>
            </w:pPr>
          </w:p>
        </w:tc>
        <w:tc>
          <w:tcPr>
            <w:tcW w:w="1458" w:type="dxa"/>
            <w:shd w:val="clear" w:color="auto" w:fill="auto"/>
          </w:tcPr>
          <w:p w:rsidR="005624E3" w:rsidRPr="00C903F8" w:rsidRDefault="005624E3" w:rsidP="00101A80">
            <w:pPr>
              <w:spacing w:before="280" w:after="280" w:line="240" w:lineRule="atLeast"/>
              <w:rPr>
                <w:rFonts w:cs="Arial"/>
                <w:sz w:val="18"/>
                <w:szCs w:val="18"/>
              </w:rPr>
            </w:pPr>
            <w:r>
              <w:rPr>
                <w:sz w:val="18"/>
              </w:rPr>
              <w:t>10. bekezdés</w:t>
            </w:r>
          </w:p>
        </w:tc>
        <w:tc>
          <w:tcPr>
            <w:tcW w:w="3296" w:type="dxa"/>
            <w:shd w:val="clear" w:color="auto" w:fill="auto"/>
          </w:tcPr>
          <w:p w:rsidR="005624E3" w:rsidRPr="00C903F8" w:rsidRDefault="005624E3" w:rsidP="00101A80">
            <w:pPr>
              <w:spacing w:before="280" w:after="280" w:line="240" w:lineRule="atLeast"/>
              <w:rPr>
                <w:rFonts w:cs="Arial"/>
                <w:sz w:val="18"/>
                <w:szCs w:val="18"/>
              </w:rPr>
            </w:pPr>
            <w:r>
              <w:rPr>
                <w:noProof/>
                <w:sz w:val="18"/>
              </w:rPr>
              <w:t>Személyenkénti légtérfogat</w:t>
            </w:r>
          </w:p>
        </w:tc>
        <w:tc>
          <w:tcPr>
            <w:tcW w:w="6521" w:type="dxa"/>
            <w:shd w:val="clear" w:color="auto" w:fill="auto"/>
          </w:tcPr>
          <w:p w:rsidR="005624E3" w:rsidRPr="00C903F8" w:rsidRDefault="005624E3" w:rsidP="00101A80">
            <w:pPr>
              <w:spacing w:before="280" w:after="28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280" w:after="280" w:line="240" w:lineRule="atLeast"/>
              <w:rPr>
                <w:rFonts w:cs="Arial"/>
                <w:sz w:val="18"/>
                <w:szCs w:val="18"/>
              </w:rPr>
            </w:pPr>
            <w:r>
              <w:rPr>
                <w:sz w:val="18"/>
              </w:rPr>
              <w:t>2049.12.30.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320" w:after="320" w:line="240" w:lineRule="atLeast"/>
              <w:rPr>
                <w:rFonts w:cs="Arial"/>
                <w:sz w:val="18"/>
                <w:szCs w:val="18"/>
              </w:rPr>
            </w:pPr>
          </w:p>
        </w:tc>
        <w:tc>
          <w:tcPr>
            <w:tcW w:w="1458" w:type="dxa"/>
            <w:shd w:val="clear" w:color="auto" w:fill="auto"/>
          </w:tcPr>
          <w:p w:rsidR="005624E3" w:rsidRPr="00C903F8" w:rsidRDefault="005624E3" w:rsidP="00101A80">
            <w:pPr>
              <w:spacing w:before="320" w:after="320" w:line="240" w:lineRule="atLeast"/>
              <w:rPr>
                <w:rFonts w:cs="Arial"/>
                <w:sz w:val="18"/>
                <w:szCs w:val="18"/>
              </w:rPr>
            </w:pPr>
            <w:r>
              <w:rPr>
                <w:sz w:val="18"/>
              </w:rPr>
              <w:t>11. bekezdés</w:t>
            </w:r>
          </w:p>
        </w:tc>
        <w:tc>
          <w:tcPr>
            <w:tcW w:w="3296" w:type="dxa"/>
            <w:shd w:val="clear" w:color="auto" w:fill="auto"/>
          </w:tcPr>
          <w:p w:rsidR="005624E3" w:rsidRPr="00C903F8" w:rsidRDefault="005624E3" w:rsidP="00101A80">
            <w:pPr>
              <w:spacing w:before="320" w:after="320" w:line="240" w:lineRule="atLeast"/>
              <w:rPr>
                <w:rFonts w:cs="Arial"/>
                <w:noProof/>
                <w:sz w:val="18"/>
                <w:szCs w:val="18"/>
              </w:rPr>
            </w:pPr>
            <w:r>
              <w:rPr>
                <w:noProof/>
                <w:sz w:val="18"/>
              </w:rPr>
              <w:t>Az ajtók mérete</w:t>
            </w:r>
          </w:p>
        </w:tc>
        <w:tc>
          <w:tcPr>
            <w:tcW w:w="6521" w:type="dxa"/>
            <w:shd w:val="clear" w:color="auto" w:fill="auto"/>
          </w:tcPr>
          <w:p w:rsidR="005624E3" w:rsidRPr="00C903F8" w:rsidRDefault="005624E3" w:rsidP="00101A80">
            <w:pPr>
              <w:spacing w:before="320" w:after="3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320" w:after="320" w:line="240" w:lineRule="atLeast"/>
              <w:rPr>
                <w:rFonts w:cs="Arial"/>
                <w:sz w:val="18"/>
                <w:szCs w:val="18"/>
              </w:rPr>
            </w:pPr>
            <w:r>
              <w:rPr>
                <w:sz w:val="18"/>
              </w:rPr>
              <w:t>2049.12.30.</w:t>
            </w:r>
          </w:p>
        </w:tc>
      </w:tr>
      <w:tr w:rsidR="005624E3" w:rsidRPr="00C903F8" w:rsidTr="005758C9">
        <w:trPr>
          <w:cantSplit/>
          <w:jc w:val="center"/>
        </w:trPr>
        <w:tc>
          <w:tcPr>
            <w:tcW w:w="1342" w:type="dxa"/>
            <w:tcBorders>
              <w:top w:val="nil"/>
              <w:bottom w:val="nil"/>
            </w:tcBorders>
            <w:shd w:val="clear" w:color="auto" w:fill="auto"/>
          </w:tcPr>
          <w:p w:rsidR="005624E3" w:rsidRPr="00C903F8" w:rsidRDefault="005624E3" w:rsidP="00101A80">
            <w:pPr>
              <w:spacing w:before="320" w:after="320" w:line="240" w:lineRule="atLeast"/>
              <w:rPr>
                <w:rFonts w:cs="Arial"/>
                <w:sz w:val="18"/>
                <w:szCs w:val="18"/>
              </w:rPr>
            </w:pPr>
          </w:p>
        </w:tc>
        <w:tc>
          <w:tcPr>
            <w:tcW w:w="1458" w:type="dxa"/>
            <w:shd w:val="clear" w:color="auto" w:fill="auto"/>
          </w:tcPr>
          <w:p w:rsidR="005624E3" w:rsidRPr="00DB7D1E" w:rsidRDefault="005624E3" w:rsidP="00101A80">
            <w:pPr>
              <w:spacing w:before="320" w:after="320" w:line="240" w:lineRule="atLeast"/>
              <w:rPr>
                <w:rFonts w:cs="Arial"/>
                <w:sz w:val="18"/>
                <w:szCs w:val="18"/>
                <w:lang w:val="fr-FR"/>
              </w:rPr>
            </w:pPr>
            <w:r w:rsidRPr="00DB7D1E">
              <w:rPr>
                <w:sz w:val="18"/>
                <w:lang w:val="fr-FR"/>
              </w:rPr>
              <w:t>12. bekezdés a) és b) pont</w:t>
            </w:r>
          </w:p>
        </w:tc>
        <w:tc>
          <w:tcPr>
            <w:tcW w:w="3296" w:type="dxa"/>
            <w:shd w:val="clear" w:color="auto" w:fill="auto"/>
          </w:tcPr>
          <w:p w:rsidR="005624E3" w:rsidRPr="00C903F8" w:rsidRDefault="005624E3" w:rsidP="00101A80">
            <w:pPr>
              <w:tabs>
                <w:tab w:val="left" w:pos="1080"/>
              </w:tabs>
              <w:spacing w:before="320" w:after="320" w:line="240" w:lineRule="atLeast"/>
              <w:rPr>
                <w:rFonts w:cs="Arial"/>
                <w:sz w:val="18"/>
                <w:szCs w:val="18"/>
              </w:rPr>
            </w:pPr>
            <w:r>
              <w:rPr>
                <w:noProof/>
                <w:sz w:val="18"/>
              </w:rPr>
              <w:t>A lépcsők helyzete</w:t>
            </w:r>
          </w:p>
        </w:tc>
        <w:tc>
          <w:tcPr>
            <w:tcW w:w="6521" w:type="dxa"/>
            <w:shd w:val="clear" w:color="auto" w:fill="auto"/>
          </w:tcPr>
          <w:p w:rsidR="005624E3" w:rsidRPr="00C903F8" w:rsidRDefault="005624E3" w:rsidP="00101A80">
            <w:pPr>
              <w:spacing w:before="320" w:after="3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320" w:after="320" w:line="240" w:lineRule="atLeast"/>
              <w:rPr>
                <w:rFonts w:cs="Arial"/>
                <w:sz w:val="18"/>
                <w:szCs w:val="18"/>
              </w:rPr>
            </w:pPr>
            <w:r>
              <w:rPr>
                <w:sz w:val="18"/>
              </w:rPr>
              <w:t>2049.12.30.</w:t>
            </w:r>
          </w:p>
        </w:tc>
      </w:tr>
      <w:tr w:rsidR="005624E3" w:rsidRPr="00C903F8" w:rsidTr="005758C9">
        <w:trPr>
          <w:cantSplit/>
          <w:jc w:val="center"/>
        </w:trPr>
        <w:tc>
          <w:tcPr>
            <w:tcW w:w="1342" w:type="dxa"/>
            <w:tcBorders>
              <w:top w:val="nil"/>
            </w:tcBorders>
            <w:shd w:val="clear" w:color="auto" w:fill="auto"/>
          </w:tcPr>
          <w:p w:rsidR="005624E3" w:rsidRPr="00C903F8" w:rsidRDefault="005624E3" w:rsidP="00101A80">
            <w:pPr>
              <w:spacing w:before="320" w:after="320" w:line="240" w:lineRule="atLeast"/>
              <w:rPr>
                <w:rFonts w:cs="Arial"/>
                <w:sz w:val="18"/>
                <w:szCs w:val="18"/>
              </w:rPr>
            </w:pPr>
          </w:p>
        </w:tc>
        <w:tc>
          <w:tcPr>
            <w:tcW w:w="1458" w:type="dxa"/>
            <w:shd w:val="clear" w:color="auto" w:fill="auto"/>
          </w:tcPr>
          <w:p w:rsidR="005624E3" w:rsidRPr="00C903F8" w:rsidRDefault="005624E3" w:rsidP="00101A80">
            <w:pPr>
              <w:spacing w:before="320" w:after="320" w:line="240" w:lineRule="atLeast"/>
              <w:rPr>
                <w:rFonts w:cs="Arial"/>
                <w:sz w:val="18"/>
                <w:szCs w:val="18"/>
              </w:rPr>
            </w:pPr>
            <w:r>
              <w:rPr>
                <w:sz w:val="18"/>
              </w:rPr>
              <w:t>13. bekezdés</w:t>
            </w:r>
          </w:p>
        </w:tc>
        <w:tc>
          <w:tcPr>
            <w:tcW w:w="3296" w:type="dxa"/>
            <w:shd w:val="clear" w:color="auto" w:fill="auto"/>
          </w:tcPr>
          <w:p w:rsidR="005624E3" w:rsidRPr="00C903F8" w:rsidRDefault="005624E3" w:rsidP="00101A80">
            <w:pPr>
              <w:spacing w:before="320" w:after="320" w:line="240" w:lineRule="atLeast"/>
              <w:rPr>
                <w:rFonts w:cs="Arial"/>
                <w:noProof/>
                <w:sz w:val="18"/>
                <w:szCs w:val="18"/>
              </w:rPr>
            </w:pPr>
            <w:r>
              <w:rPr>
                <w:noProof/>
                <w:sz w:val="18"/>
              </w:rPr>
              <w:t>Veszélyes gázokat vagy folyadékokat szállító csövek</w:t>
            </w:r>
          </w:p>
        </w:tc>
        <w:tc>
          <w:tcPr>
            <w:tcW w:w="6521" w:type="dxa"/>
            <w:shd w:val="clear" w:color="auto" w:fill="auto"/>
          </w:tcPr>
          <w:p w:rsidR="005624E3" w:rsidRPr="00C903F8" w:rsidRDefault="005624E3" w:rsidP="00101A80">
            <w:pPr>
              <w:spacing w:before="320" w:after="3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320" w:after="320" w:line="240" w:lineRule="atLeast"/>
              <w:rPr>
                <w:rFonts w:cs="Arial"/>
                <w:sz w:val="18"/>
                <w:szCs w:val="18"/>
              </w:rPr>
            </w:pPr>
            <w:r>
              <w:rPr>
                <w:sz w:val="18"/>
              </w:rPr>
              <w:t>2049.12.30.</w:t>
            </w:r>
          </w:p>
        </w:tc>
      </w:tr>
      <w:tr w:rsidR="005624E3" w:rsidRPr="00C903F8" w:rsidTr="005758C9">
        <w:trPr>
          <w:cantSplit/>
          <w:jc w:val="center"/>
        </w:trPr>
        <w:tc>
          <w:tcPr>
            <w:tcW w:w="1342" w:type="dxa"/>
            <w:shd w:val="clear" w:color="auto" w:fill="auto"/>
          </w:tcPr>
          <w:p w:rsidR="005624E3" w:rsidRPr="00C903F8" w:rsidRDefault="005624E3" w:rsidP="00101A80">
            <w:pPr>
              <w:spacing w:before="320" w:after="320" w:line="240" w:lineRule="atLeast"/>
              <w:rPr>
                <w:rFonts w:cs="Arial"/>
                <w:sz w:val="18"/>
                <w:szCs w:val="18"/>
              </w:rPr>
            </w:pPr>
            <w:r>
              <w:rPr>
                <w:sz w:val="18"/>
              </w:rPr>
              <w:t>15.03. cikk</w:t>
            </w:r>
          </w:p>
        </w:tc>
        <w:tc>
          <w:tcPr>
            <w:tcW w:w="1458" w:type="dxa"/>
            <w:shd w:val="clear" w:color="auto" w:fill="auto"/>
          </w:tcPr>
          <w:p w:rsidR="005624E3" w:rsidRPr="00C903F8" w:rsidRDefault="005624E3" w:rsidP="00101A80">
            <w:pPr>
              <w:spacing w:before="320" w:after="320" w:line="240" w:lineRule="atLeast"/>
              <w:rPr>
                <w:rFonts w:cs="Arial"/>
                <w:sz w:val="18"/>
                <w:szCs w:val="18"/>
              </w:rPr>
            </w:pPr>
          </w:p>
        </w:tc>
        <w:tc>
          <w:tcPr>
            <w:tcW w:w="3296" w:type="dxa"/>
            <w:shd w:val="clear" w:color="auto" w:fill="auto"/>
          </w:tcPr>
          <w:p w:rsidR="005624E3" w:rsidRPr="00C903F8" w:rsidRDefault="005624E3" w:rsidP="00101A80">
            <w:pPr>
              <w:spacing w:before="320" w:after="320" w:line="240" w:lineRule="atLeast"/>
              <w:rPr>
                <w:rFonts w:cs="Arial"/>
                <w:noProof/>
                <w:sz w:val="18"/>
                <w:szCs w:val="18"/>
              </w:rPr>
            </w:pPr>
            <w:r>
              <w:rPr>
                <w:noProof/>
                <w:sz w:val="18"/>
              </w:rPr>
              <w:t>Szaniterberendezések</w:t>
            </w:r>
          </w:p>
        </w:tc>
        <w:tc>
          <w:tcPr>
            <w:tcW w:w="6521" w:type="dxa"/>
            <w:shd w:val="clear" w:color="auto" w:fill="auto"/>
          </w:tcPr>
          <w:p w:rsidR="005624E3" w:rsidRPr="00C903F8" w:rsidRDefault="005624E3" w:rsidP="00101A80">
            <w:pPr>
              <w:spacing w:before="320" w:after="3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320" w:after="320" w:line="240" w:lineRule="atLeast"/>
              <w:rPr>
                <w:rFonts w:cs="Arial"/>
                <w:sz w:val="18"/>
                <w:szCs w:val="18"/>
              </w:rPr>
            </w:pPr>
            <w:r>
              <w:rPr>
                <w:sz w:val="18"/>
              </w:rPr>
              <w:t>2049.12.30.</w:t>
            </w:r>
          </w:p>
        </w:tc>
      </w:tr>
      <w:tr w:rsidR="005624E3" w:rsidRPr="00C903F8" w:rsidTr="005758C9">
        <w:trPr>
          <w:cantSplit/>
          <w:jc w:val="center"/>
        </w:trPr>
        <w:tc>
          <w:tcPr>
            <w:tcW w:w="1342" w:type="dxa"/>
            <w:shd w:val="clear" w:color="auto" w:fill="auto"/>
          </w:tcPr>
          <w:p w:rsidR="005624E3" w:rsidRPr="00C903F8" w:rsidRDefault="005624E3" w:rsidP="00101A80">
            <w:pPr>
              <w:spacing w:before="320" w:after="320" w:line="240" w:lineRule="atLeast"/>
              <w:rPr>
                <w:rFonts w:cs="Arial"/>
                <w:sz w:val="18"/>
                <w:szCs w:val="18"/>
              </w:rPr>
            </w:pPr>
            <w:r>
              <w:rPr>
                <w:sz w:val="18"/>
              </w:rPr>
              <w:t>15.04. cikk</w:t>
            </w:r>
          </w:p>
        </w:tc>
        <w:tc>
          <w:tcPr>
            <w:tcW w:w="1458" w:type="dxa"/>
            <w:shd w:val="clear" w:color="auto" w:fill="auto"/>
          </w:tcPr>
          <w:p w:rsidR="005624E3" w:rsidRPr="00C903F8" w:rsidRDefault="005624E3" w:rsidP="00101A80">
            <w:pPr>
              <w:spacing w:before="320" w:after="320" w:line="240" w:lineRule="atLeast"/>
              <w:rPr>
                <w:rFonts w:cs="Arial"/>
                <w:sz w:val="18"/>
                <w:szCs w:val="18"/>
              </w:rPr>
            </w:pPr>
          </w:p>
        </w:tc>
        <w:tc>
          <w:tcPr>
            <w:tcW w:w="3296" w:type="dxa"/>
            <w:shd w:val="clear" w:color="auto" w:fill="auto"/>
          </w:tcPr>
          <w:p w:rsidR="005624E3" w:rsidRPr="00C903F8" w:rsidRDefault="005624E3" w:rsidP="00101A80">
            <w:pPr>
              <w:spacing w:before="320" w:after="320" w:line="240" w:lineRule="atLeast"/>
              <w:rPr>
                <w:rFonts w:cs="Arial"/>
                <w:noProof/>
                <w:sz w:val="18"/>
                <w:szCs w:val="18"/>
              </w:rPr>
            </w:pPr>
            <w:r>
              <w:rPr>
                <w:noProof/>
                <w:sz w:val="18"/>
              </w:rPr>
              <w:t>Konyhák</w:t>
            </w:r>
          </w:p>
        </w:tc>
        <w:tc>
          <w:tcPr>
            <w:tcW w:w="6521" w:type="dxa"/>
            <w:shd w:val="clear" w:color="auto" w:fill="auto"/>
          </w:tcPr>
          <w:p w:rsidR="005624E3" w:rsidRPr="00C903F8" w:rsidRDefault="005624E3" w:rsidP="00101A80">
            <w:pPr>
              <w:spacing w:before="320" w:after="32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320" w:after="320" w:line="240" w:lineRule="atLeast"/>
              <w:rPr>
                <w:rFonts w:cs="Arial"/>
                <w:sz w:val="18"/>
                <w:szCs w:val="18"/>
              </w:rPr>
            </w:pPr>
            <w:r>
              <w:rPr>
                <w:sz w:val="18"/>
              </w:rPr>
              <w:t>2049.12.30.</w:t>
            </w:r>
          </w:p>
        </w:tc>
      </w:tr>
      <w:tr w:rsidR="005624E3" w:rsidRPr="00A0619C" w:rsidTr="005758C9">
        <w:trPr>
          <w:cantSplit/>
          <w:jc w:val="center"/>
        </w:trPr>
        <w:tc>
          <w:tcPr>
            <w:tcW w:w="1342" w:type="dxa"/>
            <w:shd w:val="clear" w:color="auto" w:fill="auto"/>
          </w:tcPr>
          <w:p w:rsidR="005624E3" w:rsidRPr="00C903F8" w:rsidRDefault="005624E3" w:rsidP="00101A80">
            <w:pPr>
              <w:spacing w:before="320" w:after="320" w:line="240" w:lineRule="atLeast"/>
              <w:rPr>
                <w:rFonts w:cs="Arial"/>
                <w:sz w:val="18"/>
                <w:szCs w:val="18"/>
              </w:rPr>
            </w:pPr>
            <w:r>
              <w:rPr>
                <w:sz w:val="18"/>
              </w:rPr>
              <w:t>15.05. cikk</w:t>
            </w:r>
          </w:p>
        </w:tc>
        <w:tc>
          <w:tcPr>
            <w:tcW w:w="1458" w:type="dxa"/>
            <w:shd w:val="clear" w:color="auto" w:fill="auto"/>
          </w:tcPr>
          <w:p w:rsidR="005624E3" w:rsidRPr="00C903F8" w:rsidRDefault="005624E3" w:rsidP="00101A80">
            <w:pPr>
              <w:spacing w:before="320" w:after="320" w:line="240" w:lineRule="atLeast"/>
              <w:rPr>
                <w:rFonts w:cs="Arial"/>
                <w:sz w:val="18"/>
                <w:szCs w:val="18"/>
              </w:rPr>
            </w:pPr>
          </w:p>
        </w:tc>
        <w:tc>
          <w:tcPr>
            <w:tcW w:w="3296" w:type="dxa"/>
            <w:shd w:val="clear" w:color="auto" w:fill="auto"/>
          </w:tcPr>
          <w:p w:rsidR="005624E3" w:rsidRPr="00C903F8" w:rsidRDefault="005624E3" w:rsidP="00101A80">
            <w:pPr>
              <w:spacing w:before="320" w:after="320" w:line="240" w:lineRule="atLeast"/>
              <w:rPr>
                <w:rFonts w:cs="Arial"/>
                <w:color w:val="000000"/>
                <w:sz w:val="18"/>
                <w:szCs w:val="18"/>
              </w:rPr>
            </w:pPr>
            <w:r>
              <w:rPr>
                <w:color w:val="000000"/>
                <w:sz w:val="18"/>
              </w:rPr>
              <w:t>Ivóvízellátásra szolgáló berendezések</w:t>
            </w:r>
          </w:p>
        </w:tc>
        <w:tc>
          <w:tcPr>
            <w:tcW w:w="6521" w:type="dxa"/>
            <w:shd w:val="clear" w:color="auto" w:fill="auto"/>
          </w:tcPr>
          <w:p w:rsidR="005624E3" w:rsidRPr="00C903F8" w:rsidRDefault="005624E3" w:rsidP="00101A80">
            <w:pPr>
              <w:spacing w:before="320" w:after="32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320" w:after="320" w:line="240" w:lineRule="atLeast"/>
              <w:rPr>
                <w:rFonts w:cs="Arial"/>
                <w:sz w:val="18"/>
                <w:szCs w:val="18"/>
              </w:rPr>
            </w:pPr>
          </w:p>
        </w:tc>
      </w:tr>
      <w:tr w:rsidR="005624E3" w:rsidRPr="00C903F8" w:rsidTr="005758C9">
        <w:trPr>
          <w:cantSplit/>
          <w:jc w:val="center"/>
        </w:trPr>
        <w:tc>
          <w:tcPr>
            <w:tcW w:w="1342" w:type="dxa"/>
            <w:shd w:val="clear" w:color="auto" w:fill="auto"/>
          </w:tcPr>
          <w:p w:rsidR="005624E3" w:rsidRPr="00C903F8" w:rsidRDefault="005624E3" w:rsidP="00101A80">
            <w:pPr>
              <w:spacing w:before="300" w:after="300" w:line="240" w:lineRule="atLeast"/>
              <w:rPr>
                <w:rFonts w:cs="Arial"/>
                <w:sz w:val="18"/>
                <w:szCs w:val="18"/>
              </w:rPr>
            </w:pPr>
            <w:r>
              <w:rPr>
                <w:sz w:val="18"/>
              </w:rPr>
              <w:t>15.06. cikk</w:t>
            </w:r>
          </w:p>
        </w:tc>
        <w:tc>
          <w:tcPr>
            <w:tcW w:w="1458" w:type="dxa"/>
            <w:shd w:val="clear" w:color="auto" w:fill="auto"/>
          </w:tcPr>
          <w:p w:rsidR="005624E3" w:rsidRPr="00C903F8" w:rsidRDefault="005624E3" w:rsidP="00101A80">
            <w:pPr>
              <w:spacing w:before="300" w:after="300" w:line="240" w:lineRule="atLeast"/>
              <w:rPr>
                <w:rFonts w:cs="Arial"/>
                <w:sz w:val="18"/>
                <w:szCs w:val="18"/>
              </w:rPr>
            </w:pPr>
          </w:p>
        </w:tc>
        <w:tc>
          <w:tcPr>
            <w:tcW w:w="3296" w:type="dxa"/>
            <w:shd w:val="clear" w:color="auto" w:fill="auto"/>
          </w:tcPr>
          <w:p w:rsidR="005624E3" w:rsidRPr="00C903F8" w:rsidRDefault="005624E3" w:rsidP="00101A80">
            <w:pPr>
              <w:spacing w:before="300" w:after="300" w:line="240" w:lineRule="atLeast"/>
              <w:rPr>
                <w:rFonts w:cs="Arial"/>
                <w:color w:val="000000"/>
                <w:sz w:val="18"/>
                <w:szCs w:val="18"/>
              </w:rPr>
            </w:pPr>
            <w:r>
              <w:rPr>
                <w:noProof/>
                <w:sz w:val="18"/>
              </w:rPr>
              <w:t>Fűtés és szellőzés</w:t>
            </w:r>
          </w:p>
        </w:tc>
        <w:tc>
          <w:tcPr>
            <w:tcW w:w="6521" w:type="dxa"/>
            <w:shd w:val="clear" w:color="auto" w:fill="auto"/>
          </w:tcPr>
          <w:p w:rsidR="005624E3" w:rsidRPr="00C903F8" w:rsidRDefault="005624E3" w:rsidP="00101A80">
            <w:pPr>
              <w:spacing w:before="300" w:after="3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300" w:after="300" w:line="240" w:lineRule="atLeast"/>
              <w:rPr>
                <w:rFonts w:cs="Arial"/>
                <w:sz w:val="18"/>
                <w:szCs w:val="18"/>
              </w:rPr>
            </w:pPr>
            <w:r>
              <w:rPr>
                <w:sz w:val="18"/>
              </w:rPr>
              <w:t>2049.12.30.</w:t>
            </w:r>
          </w:p>
        </w:tc>
      </w:tr>
      <w:tr w:rsidR="005624E3" w:rsidRPr="00C903F8" w:rsidTr="005758C9">
        <w:trPr>
          <w:cantSplit/>
          <w:jc w:val="center"/>
        </w:trPr>
        <w:tc>
          <w:tcPr>
            <w:tcW w:w="1342" w:type="dxa"/>
            <w:shd w:val="clear" w:color="auto" w:fill="auto"/>
          </w:tcPr>
          <w:p w:rsidR="005624E3" w:rsidRPr="00C903F8" w:rsidRDefault="005624E3" w:rsidP="00101A80">
            <w:pPr>
              <w:spacing w:before="300" w:after="300" w:line="240" w:lineRule="atLeast"/>
              <w:rPr>
                <w:rFonts w:cs="Arial"/>
                <w:sz w:val="18"/>
                <w:szCs w:val="18"/>
              </w:rPr>
            </w:pPr>
            <w:r>
              <w:rPr>
                <w:sz w:val="18"/>
              </w:rPr>
              <w:t>15.07. cikk</w:t>
            </w:r>
          </w:p>
        </w:tc>
        <w:tc>
          <w:tcPr>
            <w:tcW w:w="1458" w:type="dxa"/>
            <w:shd w:val="clear" w:color="auto" w:fill="auto"/>
          </w:tcPr>
          <w:p w:rsidR="005624E3" w:rsidRPr="00C903F8" w:rsidRDefault="005624E3" w:rsidP="00101A80">
            <w:pPr>
              <w:spacing w:before="300" w:after="300" w:line="240" w:lineRule="atLeast"/>
              <w:rPr>
                <w:rFonts w:cs="Arial"/>
                <w:sz w:val="18"/>
                <w:szCs w:val="18"/>
              </w:rPr>
            </w:pPr>
            <w:r>
              <w:rPr>
                <w:sz w:val="18"/>
              </w:rPr>
              <w:t>1. bekezdés második mondat</w:t>
            </w:r>
          </w:p>
        </w:tc>
        <w:tc>
          <w:tcPr>
            <w:tcW w:w="3296" w:type="dxa"/>
            <w:shd w:val="clear" w:color="auto" w:fill="auto"/>
          </w:tcPr>
          <w:p w:rsidR="005624E3" w:rsidRPr="00C903F8" w:rsidRDefault="005624E3" w:rsidP="00101A80">
            <w:pPr>
              <w:spacing w:before="300" w:after="300" w:line="240" w:lineRule="atLeast"/>
              <w:rPr>
                <w:rFonts w:cs="Arial"/>
                <w:color w:val="000000"/>
                <w:sz w:val="18"/>
                <w:szCs w:val="18"/>
              </w:rPr>
            </w:pPr>
            <w:r>
              <w:rPr>
                <w:noProof/>
                <w:sz w:val="18"/>
              </w:rPr>
              <w:t>Egyéb lakótéri berendezések</w:t>
            </w:r>
          </w:p>
        </w:tc>
        <w:tc>
          <w:tcPr>
            <w:tcW w:w="6521" w:type="dxa"/>
            <w:shd w:val="clear" w:color="auto" w:fill="auto"/>
          </w:tcPr>
          <w:p w:rsidR="005624E3" w:rsidRPr="00C903F8" w:rsidRDefault="005624E3" w:rsidP="00101A80">
            <w:pPr>
              <w:spacing w:before="300" w:after="3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300" w:after="300" w:line="240" w:lineRule="atLeast"/>
              <w:rPr>
                <w:rFonts w:cs="Arial"/>
                <w:sz w:val="18"/>
                <w:szCs w:val="18"/>
              </w:rPr>
            </w:pPr>
            <w:r>
              <w:rPr>
                <w:sz w:val="18"/>
              </w:rPr>
              <w:t>2049.12.30.</w:t>
            </w:r>
          </w:p>
        </w:tc>
      </w:tr>
      <w:tr w:rsidR="005624E3" w:rsidRPr="00C903F8" w:rsidTr="005758C9">
        <w:trPr>
          <w:cantSplit/>
          <w:trHeight w:val="70"/>
          <w:jc w:val="center"/>
        </w:trPr>
        <w:tc>
          <w:tcPr>
            <w:tcW w:w="6096" w:type="dxa"/>
            <w:gridSpan w:val="3"/>
            <w:shd w:val="clear" w:color="auto" w:fill="auto"/>
          </w:tcPr>
          <w:p w:rsidR="005624E3" w:rsidRPr="00C903F8" w:rsidRDefault="005624E3" w:rsidP="00101A80">
            <w:pPr>
              <w:spacing w:before="60" w:after="60" w:line="240" w:lineRule="atLeast"/>
              <w:jc w:val="center"/>
              <w:rPr>
                <w:rFonts w:cs="Arial"/>
                <w:b/>
                <w:sz w:val="18"/>
                <w:szCs w:val="18"/>
              </w:rPr>
            </w:pPr>
            <w:r>
              <w:rPr>
                <w:b/>
                <w:sz w:val="18"/>
              </w:rPr>
              <w:t>18.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vMerge w:val="restart"/>
            <w:shd w:val="clear" w:color="auto" w:fill="auto"/>
          </w:tcPr>
          <w:p w:rsidR="005624E3" w:rsidRPr="002E100D" w:rsidRDefault="005624E3" w:rsidP="00101A80">
            <w:pPr>
              <w:spacing w:before="60" w:after="60" w:line="240" w:lineRule="atLeast"/>
              <w:rPr>
                <w:rFonts w:cs="Arial"/>
                <w:sz w:val="18"/>
                <w:szCs w:val="18"/>
              </w:rPr>
            </w:pPr>
            <w:r>
              <w:rPr>
                <w:sz w:val="18"/>
              </w:rPr>
              <w:t>18.01. cikk</w:t>
            </w:r>
          </w:p>
        </w:tc>
        <w:tc>
          <w:tcPr>
            <w:tcW w:w="1458" w:type="dxa"/>
            <w:vMerge w:val="restart"/>
            <w:shd w:val="clear" w:color="auto" w:fill="auto"/>
          </w:tcPr>
          <w:p w:rsidR="005624E3" w:rsidRPr="002E100D" w:rsidRDefault="005624E3" w:rsidP="00101A80">
            <w:pPr>
              <w:adjustRightInd w:val="0"/>
              <w:spacing w:before="60" w:after="60" w:line="240" w:lineRule="atLeast"/>
              <w:ind w:right="-108"/>
              <w:rPr>
                <w:rFonts w:cs="Arial"/>
                <w:sz w:val="18"/>
                <w:szCs w:val="18"/>
              </w:rPr>
            </w:pPr>
            <w:r>
              <w:rPr>
                <w:sz w:val="18"/>
              </w:rPr>
              <w:t>2. bekezdés 1. és 2. táblázat, 5. bekezdés</w:t>
            </w:r>
          </w:p>
        </w:tc>
        <w:tc>
          <w:tcPr>
            <w:tcW w:w="3296" w:type="dxa"/>
            <w:tcBorders>
              <w:bottom w:val="nil"/>
            </w:tcBorders>
            <w:shd w:val="clear" w:color="auto" w:fill="auto"/>
          </w:tcPr>
          <w:p w:rsidR="005624E3" w:rsidRPr="002E100D" w:rsidRDefault="005624E3" w:rsidP="00101A80">
            <w:pPr>
              <w:adjustRightInd w:val="0"/>
              <w:spacing w:before="60" w:after="60" w:line="240" w:lineRule="atLeast"/>
              <w:rPr>
                <w:rFonts w:cs="Arial"/>
                <w:sz w:val="18"/>
                <w:szCs w:val="18"/>
              </w:rPr>
            </w:pPr>
            <w:r>
              <w:rPr>
                <w:noProof/>
                <w:sz w:val="18"/>
              </w:rPr>
              <w:t>Határértékek/ellenőrzési értékek és típusjóváhagyások</w:t>
            </w:r>
          </w:p>
        </w:tc>
        <w:tc>
          <w:tcPr>
            <w:tcW w:w="6521" w:type="dxa"/>
            <w:shd w:val="clear" w:color="auto" w:fill="auto"/>
          </w:tcPr>
          <w:p w:rsidR="005624E3" w:rsidRPr="002E100D" w:rsidRDefault="005624E3" w:rsidP="00101A80">
            <w:pPr>
              <w:spacing w:before="60" w:after="60" w:line="240" w:lineRule="atLeast"/>
              <w:rPr>
                <w:rFonts w:cs="Arial"/>
                <w:sz w:val="18"/>
                <w:szCs w:val="18"/>
              </w:rPr>
            </w:pPr>
            <w:r>
              <w:rPr>
                <w:sz w:val="18"/>
              </w:rPr>
              <w:t>N.R.C., amíg:</w:t>
            </w:r>
          </w:p>
          <w:p w:rsidR="005624E3" w:rsidRPr="002E100D" w:rsidRDefault="005624E3" w:rsidP="00101A80">
            <w:pPr>
              <w:spacing w:before="60" w:after="60" w:line="240" w:lineRule="atLeast"/>
              <w:ind w:left="317" w:hanging="317"/>
              <w:rPr>
                <w:rFonts w:cs="Arial"/>
                <w:sz w:val="18"/>
                <w:szCs w:val="18"/>
              </w:rPr>
            </w:pPr>
            <w:r>
              <w:rPr>
                <w:sz w:val="18"/>
              </w:rPr>
              <w:t>a)</w:t>
            </w:r>
            <w:r>
              <w:tab/>
            </w:r>
            <w:r>
              <w:rPr>
                <w:sz w:val="18"/>
              </w:rPr>
              <w:t>a határ- és ellenőrzési értékek nem nagyobbak a II. lépés szerinti értékek kétszeresénél;</w:t>
            </w:r>
          </w:p>
          <w:p w:rsidR="005624E3" w:rsidRPr="002E100D" w:rsidRDefault="005624E3" w:rsidP="00101A80">
            <w:pPr>
              <w:spacing w:before="60" w:after="60" w:line="240" w:lineRule="atLeast"/>
              <w:ind w:left="317" w:hanging="317"/>
              <w:rPr>
                <w:rFonts w:cs="Arial"/>
                <w:sz w:val="18"/>
                <w:szCs w:val="18"/>
              </w:rPr>
            </w:pPr>
            <w:r>
              <w:rPr>
                <w:sz w:val="18"/>
              </w:rPr>
              <w:t>b)</w:t>
            </w:r>
            <w:r>
              <w:tab/>
            </w:r>
            <w:r>
              <w:rPr>
                <w:sz w:val="18"/>
              </w:rPr>
              <w:t>a fedélzeti szennyvízkezelő műhöz a gyártó vagy egy szakértő olyan igazolást mellékel, amely tanúsítja, hogy a fedélzeti szennyvízkezelő mű a vízi járművön előálló tipikus terhelési viszonyok között képes ellátni feladatát;</w:t>
            </w:r>
          </w:p>
          <w:p w:rsidR="005624E3" w:rsidRPr="002E100D" w:rsidRDefault="005624E3" w:rsidP="00101A80">
            <w:pPr>
              <w:tabs>
                <w:tab w:val="left" w:pos="317"/>
              </w:tabs>
              <w:adjustRightInd w:val="0"/>
              <w:spacing w:before="60" w:after="60" w:line="240" w:lineRule="atLeast"/>
              <w:ind w:left="317" w:hanging="317"/>
              <w:rPr>
                <w:rFonts w:cs="Arial"/>
                <w:sz w:val="18"/>
                <w:szCs w:val="18"/>
              </w:rPr>
            </w:pPr>
            <w:r>
              <w:rPr>
                <w:sz w:val="18"/>
              </w:rPr>
              <w:t>c)</w:t>
            </w:r>
            <w:r>
              <w:tab/>
            </w:r>
            <w:r>
              <w:rPr>
                <w:noProof/>
                <w:sz w:val="18"/>
              </w:rPr>
              <w:t>olyan szennyvíziszap-kezelési rendszer van érvényben, amely a személyhajó fedélzetén működő szennyvízkezelő mű üzemi feltételeit figyelembe véve alkalmasnak tekinthető.</w:t>
            </w:r>
          </w:p>
        </w:tc>
        <w:tc>
          <w:tcPr>
            <w:tcW w:w="1276" w:type="dxa"/>
            <w:shd w:val="clear" w:color="auto" w:fill="auto"/>
          </w:tcPr>
          <w:p w:rsidR="005624E3" w:rsidRPr="002E100D"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vMerge/>
            <w:shd w:val="clear" w:color="auto" w:fill="auto"/>
          </w:tcPr>
          <w:p w:rsidR="005624E3" w:rsidRPr="002E100D" w:rsidRDefault="005624E3" w:rsidP="00101A80">
            <w:pPr>
              <w:spacing w:before="60" w:after="60" w:line="240" w:lineRule="atLeast"/>
              <w:rPr>
                <w:rFonts w:cs="Arial"/>
                <w:sz w:val="18"/>
                <w:szCs w:val="18"/>
              </w:rPr>
            </w:pPr>
          </w:p>
        </w:tc>
        <w:tc>
          <w:tcPr>
            <w:tcW w:w="1458" w:type="dxa"/>
            <w:vMerge/>
            <w:shd w:val="clear" w:color="auto" w:fill="auto"/>
          </w:tcPr>
          <w:p w:rsidR="005624E3" w:rsidRPr="002E100D" w:rsidRDefault="005624E3" w:rsidP="00101A80">
            <w:pPr>
              <w:spacing w:before="60" w:after="60" w:line="240" w:lineRule="atLeast"/>
              <w:rPr>
                <w:rFonts w:cs="Arial"/>
                <w:sz w:val="18"/>
                <w:szCs w:val="18"/>
              </w:rPr>
            </w:pPr>
          </w:p>
        </w:tc>
        <w:tc>
          <w:tcPr>
            <w:tcW w:w="3296" w:type="dxa"/>
            <w:tcBorders>
              <w:top w:val="nil"/>
              <w:bottom w:val="nil"/>
            </w:tcBorders>
            <w:shd w:val="clear" w:color="auto" w:fill="auto"/>
          </w:tcPr>
          <w:p w:rsidR="005624E3" w:rsidRPr="002E100D" w:rsidRDefault="005624E3" w:rsidP="00101A80">
            <w:pPr>
              <w:tabs>
                <w:tab w:val="left" w:pos="1080"/>
              </w:tabs>
              <w:spacing w:before="60" w:after="60" w:line="240" w:lineRule="atLeast"/>
              <w:rPr>
                <w:rFonts w:cs="Arial"/>
                <w:noProof/>
                <w:sz w:val="18"/>
                <w:szCs w:val="18"/>
              </w:rPr>
            </w:pPr>
          </w:p>
        </w:tc>
        <w:tc>
          <w:tcPr>
            <w:tcW w:w="6521" w:type="dxa"/>
            <w:shd w:val="clear" w:color="auto" w:fill="auto"/>
          </w:tcPr>
          <w:p w:rsidR="005624E3" w:rsidRPr="002E100D" w:rsidRDefault="005624E3" w:rsidP="00101A80">
            <w:pPr>
              <w:spacing w:before="60" w:after="60" w:line="240" w:lineRule="atLeast"/>
              <w:rPr>
                <w:rFonts w:cs="Arial"/>
                <w:sz w:val="18"/>
                <w:szCs w:val="18"/>
              </w:rPr>
            </w:pPr>
            <w:r>
              <w:rPr>
                <w:sz w:val="18"/>
              </w:rPr>
              <w:t>A 2010-II-27 CCNR-határozat (II. lépés) követelményeinek megfelelően 2011. december 1-jén vagy az után jóváhagyott fedélzeti szennyvízkezelő művek továbbra is beszerelhetők és használhatók.</w:t>
            </w:r>
          </w:p>
        </w:tc>
        <w:tc>
          <w:tcPr>
            <w:tcW w:w="1276" w:type="dxa"/>
            <w:shd w:val="clear" w:color="auto" w:fill="auto"/>
          </w:tcPr>
          <w:p w:rsidR="005624E3" w:rsidRPr="002E100D"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vMerge/>
            <w:shd w:val="clear" w:color="auto" w:fill="auto"/>
          </w:tcPr>
          <w:p w:rsidR="005624E3" w:rsidRPr="002E100D" w:rsidRDefault="005624E3" w:rsidP="00101A80">
            <w:pPr>
              <w:spacing w:before="60" w:after="60" w:line="240" w:lineRule="atLeast"/>
              <w:rPr>
                <w:rFonts w:cs="Arial"/>
                <w:sz w:val="18"/>
                <w:szCs w:val="18"/>
              </w:rPr>
            </w:pPr>
          </w:p>
        </w:tc>
        <w:tc>
          <w:tcPr>
            <w:tcW w:w="1458" w:type="dxa"/>
            <w:vMerge/>
            <w:shd w:val="clear" w:color="auto" w:fill="auto"/>
          </w:tcPr>
          <w:p w:rsidR="005624E3" w:rsidRPr="002E100D" w:rsidRDefault="005624E3" w:rsidP="00101A80">
            <w:pPr>
              <w:spacing w:before="60" w:after="60" w:line="240" w:lineRule="atLeast"/>
              <w:rPr>
                <w:rFonts w:cs="Arial"/>
                <w:sz w:val="18"/>
                <w:szCs w:val="18"/>
              </w:rPr>
            </w:pPr>
          </w:p>
        </w:tc>
        <w:tc>
          <w:tcPr>
            <w:tcW w:w="3296" w:type="dxa"/>
            <w:tcBorders>
              <w:top w:val="nil"/>
            </w:tcBorders>
            <w:shd w:val="clear" w:color="auto" w:fill="auto"/>
          </w:tcPr>
          <w:p w:rsidR="005624E3" w:rsidRPr="002E100D" w:rsidRDefault="005624E3" w:rsidP="00101A80">
            <w:pPr>
              <w:tabs>
                <w:tab w:val="left" w:pos="1080"/>
              </w:tabs>
              <w:spacing w:before="60" w:after="60" w:line="240" w:lineRule="atLeast"/>
              <w:rPr>
                <w:rFonts w:cs="Arial"/>
                <w:noProof/>
                <w:sz w:val="18"/>
                <w:szCs w:val="18"/>
              </w:rPr>
            </w:pPr>
          </w:p>
        </w:tc>
        <w:tc>
          <w:tcPr>
            <w:tcW w:w="6521" w:type="dxa"/>
            <w:shd w:val="clear" w:color="auto" w:fill="auto"/>
          </w:tcPr>
          <w:p w:rsidR="005624E3" w:rsidRPr="002E100D" w:rsidRDefault="005624E3" w:rsidP="00101A80">
            <w:pPr>
              <w:spacing w:before="60" w:after="60" w:line="240" w:lineRule="atLeast"/>
              <w:rPr>
                <w:rFonts w:cs="Arial"/>
                <w:sz w:val="18"/>
                <w:szCs w:val="18"/>
              </w:rPr>
            </w:pPr>
            <w:r>
              <w:rPr>
                <w:sz w:val="18"/>
              </w:rPr>
              <w:t>A 2012/49/EU irányelv (II. lépés) követelményeinek megfelelően 2013. január 10-én vagy az után jóváhagyott fedélzeti szennyvízkezelő művek továbbra is beszerelhetők és használhatók.</w:t>
            </w:r>
          </w:p>
        </w:tc>
        <w:tc>
          <w:tcPr>
            <w:tcW w:w="1276" w:type="dxa"/>
            <w:shd w:val="clear" w:color="auto" w:fill="auto"/>
          </w:tcPr>
          <w:p w:rsidR="005624E3" w:rsidRPr="002E100D" w:rsidRDefault="005624E3" w:rsidP="00101A80">
            <w:pPr>
              <w:spacing w:before="60" w:after="6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19.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A0619C" w:rsidTr="005758C9">
        <w:trPr>
          <w:cantSplit/>
          <w:trHeight w:val="1133"/>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Személyhajók</w:t>
            </w:r>
          </w:p>
        </w:tc>
        <w:tc>
          <w:tcPr>
            <w:tcW w:w="6521" w:type="dxa"/>
            <w:shd w:val="clear" w:color="auto" w:fill="auto"/>
          </w:tcPr>
          <w:p w:rsidR="005624E3" w:rsidRPr="00C903F8" w:rsidRDefault="005624E3" w:rsidP="00101A80">
            <w:pPr>
              <w:adjustRightInd w:val="0"/>
              <w:spacing w:before="60" w:after="60" w:line="240" w:lineRule="atLeast"/>
              <w:rPr>
                <w:rFonts w:cs="Arial"/>
                <w:sz w:val="18"/>
                <w:szCs w:val="18"/>
              </w:rPr>
            </w:pPr>
            <w:r>
              <w:rPr>
                <w:sz w:val="18"/>
              </w:rPr>
              <w:t xml:space="preserve">Lásd a 82/714/EGK irányelv hatálya alá nem tartozó hajókra vonatkozó szabályok szerinti rendelkezéseket: „Nincs </w:t>
            </w:r>
            <w:r>
              <w:rPr>
                <w:color w:val="000000"/>
                <w:sz w:val="18"/>
              </w:rPr>
              <w:t>nyilvánvaló</w:t>
            </w:r>
            <w:r>
              <w:rPr>
                <w:sz w:val="18"/>
              </w:rPr>
              <w:t xml:space="preserve"> veszély.”A 19. fejezet valamennyi rendelkezésére alkalmazandó az alábbiakban említettek kivételével.</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19.01.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5. és 6. bekezdés</w:t>
            </w:r>
          </w:p>
        </w:tc>
        <w:tc>
          <w:tcPr>
            <w:tcW w:w="3296" w:type="dxa"/>
            <w:shd w:val="clear" w:color="auto" w:fill="auto"/>
          </w:tcPr>
          <w:p w:rsidR="005624E3" w:rsidRPr="00C903F8" w:rsidRDefault="005624E3" w:rsidP="005D5D40">
            <w:pPr>
              <w:tabs>
                <w:tab w:val="right" w:pos="3856"/>
                <w:tab w:val="center" w:pos="4536"/>
                <w:tab w:val="left" w:pos="6521"/>
                <w:tab w:val="right" w:pos="9072"/>
              </w:tabs>
              <w:spacing w:before="60" w:after="60" w:line="240" w:lineRule="atLeast"/>
              <w:rPr>
                <w:rFonts w:cs="Arial"/>
                <w:sz w:val="18"/>
                <w:szCs w:val="18"/>
              </w:rPr>
            </w:pPr>
            <w:r>
              <w:rPr>
                <w:color w:val="000000"/>
                <w:sz w:val="18"/>
              </w:rPr>
              <w:t>A</w:t>
            </w:r>
            <w:r w:rsidR="005758C9">
              <w:rPr>
                <w:color w:val="000000"/>
                <w:sz w:val="18"/>
              </w:rPr>
              <w:t xml:space="preserve"> </w:t>
            </w:r>
            <w:r w:rsidR="005D5D40">
              <w:rPr>
                <w:color w:val="000000"/>
                <w:sz w:val="18"/>
              </w:rPr>
              <w:t>korlátozott látótér</w:t>
            </w:r>
            <w:r>
              <w:rPr>
                <w:color w:val="000000"/>
                <w:sz w:val="18"/>
              </w:rPr>
              <w:t xml:space="preserve"> a hajó előtt két hajóhossz, ha az 250 méternél kevesebb </w:t>
            </w:r>
            <w:r>
              <w:rPr>
                <w:rFonts w:cs="Arial"/>
                <w:color w:val="000000"/>
                <w:sz w:val="18"/>
                <w:szCs w:val="18"/>
              </w:rPr>
              <w:br/>
            </w:r>
            <w:r>
              <w:rPr>
                <w:sz w:val="18"/>
              </w:rPr>
              <w:t>Megfelelő kilátás hátrafelé</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2049.01.01.</w:t>
            </w:r>
          </w:p>
        </w:tc>
      </w:tr>
      <w:tr w:rsidR="005624E3" w:rsidRPr="00A0619C" w:rsidTr="005758C9">
        <w:trPr>
          <w:cantSplit/>
          <w:trHeight w:val="1061"/>
          <w:jc w:val="center"/>
        </w:trPr>
        <w:tc>
          <w:tcPr>
            <w:tcW w:w="1342" w:type="dxa"/>
            <w:shd w:val="clear" w:color="auto" w:fill="auto"/>
          </w:tcPr>
          <w:p w:rsidR="005624E3" w:rsidRPr="00E56A84" w:rsidRDefault="005624E3" w:rsidP="00101A80">
            <w:pPr>
              <w:spacing w:before="60" w:after="60" w:line="240" w:lineRule="atLeast"/>
              <w:rPr>
                <w:rFonts w:cs="Arial"/>
                <w:sz w:val="18"/>
                <w:szCs w:val="18"/>
              </w:rPr>
            </w:pPr>
            <w:r>
              <w:rPr>
                <w:sz w:val="18"/>
              </w:rPr>
              <w:t>19.11. cikk</w:t>
            </w:r>
          </w:p>
        </w:tc>
        <w:tc>
          <w:tcPr>
            <w:tcW w:w="1458" w:type="dxa"/>
            <w:shd w:val="clear" w:color="auto" w:fill="auto"/>
          </w:tcPr>
          <w:p w:rsidR="005624E3" w:rsidRPr="00E56A84" w:rsidRDefault="005624E3" w:rsidP="00101A80">
            <w:pPr>
              <w:spacing w:before="60" w:after="60" w:line="240" w:lineRule="atLeast"/>
              <w:rPr>
                <w:rFonts w:cs="Arial"/>
                <w:sz w:val="18"/>
                <w:szCs w:val="18"/>
              </w:rPr>
            </w:pPr>
            <w:r>
              <w:rPr>
                <w:sz w:val="18"/>
              </w:rPr>
              <w:t>1. bekezdés</w:t>
            </w:r>
          </w:p>
        </w:tc>
        <w:tc>
          <w:tcPr>
            <w:tcW w:w="3296" w:type="dxa"/>
            <w:shd w:val="clear" w:color="auto" w:fill="auto"/>
          </w:tcPr>
          <w:p w:rsidR="005624E3" w:rsidRPr="00E56A84" w:rsidRDefault="005624E3" w:rsidP="00101A80">
            <w:pPr>
              <w:tabs>
                <w:tab w:val="left" w:pos="1080"/>
              </w:tabs>
              <w:spacing w:before="60" w:after="60" w:line="240" w:lineRule="atLeast"/>
              <w:ind w:left="15" w:hanging="15"/>
              <w:rPr>
                <w:rFonts w:cs="Arial"/>
                <w:noProof/>
                <w:sz w:val="18"/>
                <w:szCs w:val="18"/>
              </w:rPr>
            </w:pPr>
            <w:r>
              <w:rPr>
                <w:noProof/>
                <w:sz w:val="18"/>
              </w:rPr>
              <w:t>Az anyagok és szerkezeti elemek tűzvédelmi megfelelősége</w:t>
            </w:r>
          </w:p>
        </w:tc>
        <w:tc>
          <w:tcPr>
            <w:tcW w:w="6521" w:type="dxa"/>
            <w:shd w:val="clear" w:color="auto" w:fill="auto"/>
          </w:tcPr>
          <w:p w:rsidR="005624E3" w:rsidRPr="00E56A84" w:rsidRDefault="005624E3" w:rsidP="00101A80">
            <w:pPr>
              <w:spacing w:before="60" w:after="60" w:line="240" w:lineRule="atLeast"/>
              <w:ind w:left="15" w:hanging="15"/>
              <w:rPr>
                <w:rFonts w:cs="Arial"/>
                <w:sz w:val="18"/>
                <w:szCs w:val="18"/>
              </w:rPr>
            </w:pPr>
            <w:r>
              <w:rPr>
                <w:sz w:val="18"/>
              </w:rPr>
              <w:t>A tűzállósági vizsgálati eljárások alkalmazására vonatkozó – az MSC.61(67) határozattal</w:t>
            </w:r>
            <w:r>
              <w:rPr>
                <w:rStyle w:val="FootnoteReference"/>
                <w:sz w:val="18"/>
              </w:rPr>
              <w:footnoteReference w:id="48"/>
            </w:r>
            <w:r>
              <w:rPr>
                <w:sz w:val="18"/>
              </w:rPr>
              <w:t xml:space="preserve"> elfogadott – nemzetközi szabályzatnak (FTP-szabályzat) megfelelően jóváhagyott anyagok és szerkezeti elemek: N.R.C.</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20. FEJEZET</w:t>
            </w:r>
          </w:p>
        </w:tc>
        <w:tc>
          <w:tcPr>
            <w:tcW w:w="6521" w:type="dxa"/>
            <w:shd w:val="clear" w:color="auto" w:fill="auto"/>
          </w:tcPr>
          <w:p w:rsidR="005624E3" w:rsidRPr="00C903F8" w:rsidRDefault="005624E3" w:rsidP="00101A80">
            <w:pPr>
              <w:adjustRightInd w:val="0"/>
              <w:spacing w:before="60" w:after="60" w:line="240" w:lineRule="atLeast"/>
              <w:jc w:val="center"/>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A0619C" w:rsidTr="005758C9">
        <w:trPr>
          <w:cantSplit/>
          <w:trHeight w:val="896"/>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Vitorlás személyhajók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Lásd a 82/714/EGK irányelv hatálya alá nem tartozó hajókra vonatkozó szabályok szerinti rendelkezéseket: „Nincs nyilvánvaló veszély.”</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21.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trHeight w:val="1262"/>
          <w:jc w:val="center"/>
        </w:trPr>
        <w:tc>
          <w:tcPr>
            <w:tcW w:w="1342" w:type="dxa"/>
            <w:tcBorders>
              <w:bottom w:val="nil"/>
            </w:tcBorders>
            <w:shd w:val="clear" w:color="auto" w:fill="auto"/>
          </w:tcPr>
          <w:p w:rsidR="005624E3" w:rsidRPr="00C903F8" w:rsidRDefault="005624E3" w:rsidP="00101A80">
            <w:pPr>
              <w:spacing w:before="60" w:after="60" w:line="240" w:lineRule="atLeast"/>
              <w:rPr>
                <w:rFonts w:cs="Arial"/>
                <w:sz w:val="18"/>
                <w:szCs w:val="18"/>
              </w:rPr>
            </w:pPr>
            <w:r>
              <w:rPr>
                <w:sz w:val="18"/>
              </w:rPr>
              <w:t>21.01.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Tolás céljára szolgáló speciális csörlők vagy azzal egyenértékű csatolóeszközök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2049.12.30.</w:t>
            </w:r>
          </w:p>
        </w:tc>
      </w:tr>
      <w:tr w:rsidR="005624E3" w:rsidRPr="00C903F8" w:rsidTr="005758C9">
        <w:trPr>
          <w:cantSplit/>
          <w:trHeight w:val="854"/>
          <w:jc w:val="center"/>
        </w:trPr>
        <w:tc>
          <w:tcPr>
            <w:tcW w:w="1342" w:type="dxa"/>
            <w:tcBorders>
              <w:top w:val="nil"/>
            </w:tcBorders>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 utolsó mondat</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noProof/>
                <w:sz w:val="18"/>
              </w:rPr>
              <w:t>A meghajtóegységekre vonatkozó követelmények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2049.12.30.</w:t>
            </w: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22.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Úszó munkagép</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Lásd a 82/714/EGK irányelv hatálya alá nem tartozó hajókra vonatkozó szabályok szerinti rendelkezéseket: „Nincs nyilvánvaló veszély.”</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26.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A0619C" w:rsidTr="005758C9">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p>
        </w:tc>
        <w:tc>
          <w:tcPr>
            <w:tcW w:w="1458" w:type="dxa"/>
            <w:shd w:val="clear" w:color="auto" w:fill="auto"/>
          </w:tcPr>
          <w:p w:rsidR="005624E3" w:rsidRPr="00C903F8" w:rsidRDefault="005624E3" w:rsidP="00101A80">
            <w:pPr>
              <w:spacing w:before="60" w:after="60" w:line="240" w:lineRule="atLeast"/>
              <w:rPr>
                <w:rFonts w:cs="Arial"/>
                <w:sz w:val="18"/>
                <w:szCs w:val="18"/>
              </w:rPr>
            </w:pP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Kedvtelési célú vízi jármű</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Lásd a 82/714/EGK irányelv hatálya alá nem tartozó hajókra vonatkozó szabályok szerinti rendelkezéseket: „Nincs nyilvánvaló veszély.”</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6096" w:type="dxa"/>
            <w:gridSpan w:val="3"/>
            <w:shd w:val="clear" w:color="auto" w:fill="auto"/>
          </w:tcPr>
          <w:p w:rsidR="005624E3" w:rsidRPr="00C903F8" w:rsidRDefault="005624E3" w:rsidP="00101A80">
            <w:pPr>
              <w:tabs>
                <w:tab w:val="left" w:pos="1080"/>
              </w:tabs>
              <w:spacing w:before="60" w:after="60" w:line="240" w:lineRule="atLeast"/>
              <w:jc w:val="center"/>
              <w:rPr>
                <w:rFonts w:cs="Arial"/>
                <w:sz w:val="18"/>
                <w:szCs w:val="18"/>
              </w:rPr>
            </w:pPr>
            <w:r>
              <w:rPr>
                <w:b/>
                <w:sz w:val="18"/>
              </w:rPr>
              <w:t>29. FEJEZET</w:t>
            </w:r>
          </w:p>
        </w:tc>
        <w:tc>
          <w:tcPr>
            <w:tcW w:w="6521" w:type="dxa"/>
            <w:shd w:val="clear" w:color="auto" w:fill="auto"/>
          </w:tcPr>
          <w:p w:rsidR="005624E3" w:rsidRPr="00C903F8" w:rsidRDefault="005624E3" w:rsidP="00101A80">
            <w:pPr>
              <w:adjustRightInd w:val="0"/>
              <w:spacing w:before="60" w:after="60" w:line="240" w:lineRule="atLeast"/>
              <w:jc w:val="center"/>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5758C9">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 xml:space="preserve">29.02. cikk </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tabs>
                <w:tab w:val="left" w:pos="1080"/>
              </w:tabs>
              <w:spacing w:before="60" w:after="60" w:line="240" w:lineRule="atLeast"/>
              <w:rPr>
                <w:rFonts w:cs="Arial"/>
                <w:sz w:val="18"/>
                <w:szCs w:val="18"/>
              </w:rPr>
            </w:pPr>
            <w:r>
              <w:rPr>
                <w:sz w:val="18"/>
              </w:rPr>
              <w:t>Második, független kormánygép-meghajtóegység vagy kézzel működtetett meghajtóegység működésbe lépése</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60" w:after="60" w:line="240" w:lineRule="atLeast"/>
              <w:rPr>
                <w:rFonts w:cs="Arial"/>
                <w:sz w:val="18"/>
                <w:szCs w:val="18"/>
              </w:rPr>
            </w:pPr>
            <w:r>
              <w:rPr>
                <w:sz w:val="18"/>
              </w:rPr>
              <w:t>2029.12.30.</w:t>
            </w:r>
          </w:p>
        </w:tc>
      </w:tr>
    </w:tbl>
    <w:p w:rsidR="005624E3" w:rsidRPr="00C903F8" w:rsidRDefault="005624E3" w:rsidP="005624E3">
      <w:pPr>
        <w:spacing w:line="240" w:lineRule="atLeast"/>
        <w:ind w:left="567" w:hanging="567"/>
      </w:pPr>
    </w:p>
    <w:p w:rsidR="005624E3" w:rsidRPr="00C903F8" w:rsidRDefault="005624E3" w:rsidP="005624E3">
      <w:pPr>
        <w:spacing w:line="240" w:lineRule="atLeast"/>
        <w:ind w:left="567" w:hanging="567"/>
      </w:pPr>
    </w:p>
    <w:p w:rsidR="005624E3" w:rsidRDefault="005624E3" w:rsidP="005624E3">
      <w:pPr>
        <w:rPr>
          <w:rFonts w:eastAsia="Calibri"/>
          <w:b/>
        </w:rPr>
      </w:pPr>
      <w:r>
        <w:br w:type="page"/>
      </w:r>
    </w:p>
    <w:p w:rsidR="005624E3" w:rsidRPr="00C903F8" w:rsidRDefault="005624E3" w:rsidP="005624E3">
      <w:pPr>
        <w:pStyle w:val="ES-Titre3"/>
      </w:pPr>
      <w:bookmarkStart w:id="591" w:name="_Toc491854288"/>
      <w:bookmarkStart w:id="592" w:name="_Toc535854069"/>
      <w:r>
        <w:t>33.03. cikk</w:t>
      </w:r>
      <w:bookmarkEnd w:id="591"/>
      <w:bookmarkEnd w:id="592"/>
    </w:p>
    <w:p w:rsidR="005624E3" w:rsidRPr="00934A8A" w:rsidRDefault="005624E3" w:rsidP="005624E3">
      <w:pPr>
        <w:pStyle w:val="ES-Titre3a"/>
      </w:pPr>
      <w:bookmarkStart w:id="593" w:name="_Toc421775899"/>
      <w:bookmarkStart w:id="594" w:name="_Toc491854289"/>
      <w:bookmarkStart w:id="595" w:name="_Toc535854070"/>
      <w:r>
        <w:t>Azon vízi járművekre vonatkozó további átmeneti rendelkezések, amelyek gerincfektetése 1985. január 1-je előtt történt</w:t>
      </w:r>
      <w:bookmarkEnd w:id="593"/>
      <w:bookmarkEnd w:id="594"/>
      <w:bookmarkEnd w:id="595"/>
    </w:p>
    <w:p w:rsidR="005624E3" w:rsidRPr="00C903F8" w:rsidRDefault="005624E3" w:rsidP="005624E3">
      <w:pPr>
        <w:spacing w:line="240" w:lineRule="atLeast"/>
        <w:ind w:left="567" w:hanging="567"/>
      </w:pPr>
    </w:p>
    <w:p w:rsidR="005624E3" w:rsidRPr="008F2BC7" w:rsidRDefault="005624E3" w:rsidP="005624E3">
      <w:pPr>
        <w:spacing w:line="240" w:lineRule="atLeast"/>
        <w:ind w:left="567" w:hanging="567"/>
      </w:pPr>
      <w:r>
        <w:t xml:space="preserve">1. </w:t>
      </w:r>
      <w:r>
        <w:tab/>
        <w:t>A 33.02. cikk bekezdésének átmeneti rendelkezésein túlmenően azon vízi járművekre, amelyek gerincfektetése 1985. január 1-je előtt történt, a következő rendelkezések is alkalmazhatók, feltéve, hogy megfelelő garanciák vannak a hajó és a legénység biztonságára.</w:t>
      </w:r>
    </w:p>
    <w:p w:rsidR="005624E3" w:rsidRPr="00934A8A" w:rsidRDefault="005624E3" w:rsidP="005624E3">
      <w:pPr>
        <w:spacing w:line="240" w:lineRule="atLeast"/>
        <w:ind w:left="567" w:hanging="567"/>
        <w:rPr>
          <w:highlight w:val="yellow"/>
        </w:rPr>
      </w:pPr>
    </w:p>
    <w:p w:rsidR="005624E3" w:rsidRPr="00934A8A" w:rsidRDefault="005624E3" w:rsidP="005624E3">
      <w:pPr>
        <w:spacing w:line="240" w:lineRule="atLeast"/>
        <w:ind w:left="567" w:hanging="567"/>
      </w:pPr>
      <w:r>
        <w:t>2.</w:t>
      </w:r>
      <w:r>
        <w:tab/>
        <w:t>Az alábbi táblázat alkalmazásában:</w:t>
      </w:r>
    </w:p>
    <w:p w:rsidR="005624E3" w:rsidRPr="00934A8A" w:rsidRDefault="005624E3" w:rsidP="005624E3">
      <w:pPr>
        <w:spacing w:line="240" w:lineRule="atLeast"/>
        <w:ind w:left="567" w:hanging="567"/>
      </w:pPr>
    </w:p>
    <w:p w:rsidR="005624E3" w:rsidRDefault="005624E3" w:rsidP="005624E3">
      <w:pPr>
        <w:spacing w:line="240" w:lineRule="atLeast"/>
        <w:ind w:left="567"/>
      </w:pPr>
      <w:r>
        <w:t>„N.R.C.”: arra utaló angol rövidítés, hogy a rendelkezés nem vonatkozik a már üzemelő vízi járművekre, kivéve, ha az érintett alkatrészeket kicserélik vagy átalakítják; azaz a rendelkezés csak újonnan épített (</w:t>
      </w:r>
      <w:r>
        <w:rPr>
          <w:u w:val="single"/>
        </w:rPr>
        <w:t>N</w:t>
      </w:r>
      <w:r>
        <w:t>ewly-built) vízi járművekre és az érintett alkatrészek vagy területek cseréjére (</w:t>
      </w:r>
      <w:r>
        <w:rPr>
          <w:u w:val="single"/>
        </w:rPr>
        <w:t>R</w:t>
      </w:r>
      <w:r>
        <w:t>eplacement) vagy átalakítására (</w:t>
      </w:r>
      <w:r>
        <w:rPr>
          <w:u w:val="single"/>
        </w:rPr>
        <w:t>C</w:t>
      </w:r>
      <w:r>
        <w:t xml:space="preserve">onversion) vonatkozik. Az átmeneti rendelkezések értelmében nem minősül cserének (R.), ha a meglevő alkatrészeket olyan cseredarabokkal váltották ki, amelyek ugyanolyan technológiájúak és ugyanolyan típusúak </w:t>
      </w:r>
    </w:p>
    <w:p w:rsidR="005624E3" w:rsidRDefault="005624E3" w:rsidP="005624E3">
      <w:pPr>
        <w:spacing w:line="240" w:lineRule="atLeast"/>
        <w:ind w:left="567"/>
      </w:pPr>
    </w:p>
    <w:p w:rsidR="005624E3" w:rsidRDefault="005624E3" w:rsidP="005624E3">
      <w:pPr>
        <w:tabs>
          <w:tab w:val="left" w:pos="4678"/>
        </w:tabs>
        <w:spacing w:line="240" w:lineRule="atLeast"/>
        <w:ind w:left="567"/>
      </w:pPr>
      <w:r>
        <w:t>„a belvízi hajóbizonyítvány kiadása/megújítása”: arra utaló bejegyzés, hogy a rendelkezésnek a belvízi hajóbizonyítványnak a táblázatban megadott időpontot követő következő kiadásáig vagy megújításáig eleget kell tenni.</w:t>
      </w:r>
    </w:p>
    <w:p w:rsidR="005624E3" w:rsidRPr="00934A8A" w:rsidRDefault="005624E3" w:rsidP="005624E3">
      <w:pPr>
        <w:spacing w:line="240" w:lineRule="atLeast"/>
        <w:ind w:left="567"/>
      </w:pPr>
    </w:p>
    <w:p w:rsidR="005624E3" w:rsidRPr="00C903F8" w:rsidRDefault="005624E3" w:rsidP="005624E3"/>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5624E3" w:rsidRPr="00C903F8" w:rsidTr="00101A80">
        <w:trPr>
          <w:cantSplit/>
          <w:tblHeader/>
          <w:jc w:val="center"/>
        </w:trPr>
        <w:tc>
          <w:tcPr>
            <w:tcW w:w="2800" w:type="dxa"/>
            <w:gridSpan w:val="2"/>
            <w:tcBorders>
              <w:bottom w:val="nil"/>
            </w:tcBorders>
            <w:shd w:val="clear" w:color="auto" w:fill="auto"/>
          </w:tcPr>
          <w:p w:rsidR="005624E3" w:rsidRPr="00C903F8" w:rsidRDefault="005624E3" w:rsidP="00101A80">
            <w:pPr>
              <w:spacing w:before="60" w:after="60" w:line="240" w:lineRule="atLeast"/>
              <w:jc w:val="center"/>
              <w:rPr>
                <w:rFonts w:cs="Arial"/>
                <w:sz w:val="18"/>
                <w:szCs w:val="18"/>
              </w:rPr>
            </w:pPr>
            <w:r>
              <w:rPr>
                <w:i/>
                <w:sz w:val="18"/>
              </w:rPr>
              <w:t>Cikk és bekezdés</w:t>
            </w:r>
          </w:p>
        </w:tc>
        <w:tc>
          <w:tcPr>
            <w:tcW w:w="3296" w:type="dxa"/>
            <w:shd w:val="clear" w:color="auto" w:fill="auto"/>
          </w:tcPr>
          <w:p w:rsidR="005624E3" w:rsidRPr="00C903F8" w:rsidRDefault="005624E3" w:rsidP="00101A80">
            <w:pPr>
              <w:spacing w:before="60" w:after="60" w:line="240" w:lineRule="atLeast"/>
              <w:jc w:val="center"/>
              <w:rPr>
                <w:rFonts w:cs="Arial"/>
                <w:noProof/>
                <w:sz w:val="18"/>
                <w:szCs w:val="18"/>
              </w:rPr>
            </w:pPr>
            <w:r>
              <w:rPr>
                <w:i/>
                <w:sz w:val="18"/>
              </w:rPr>
              <w:t>Tartalom</w:t>
            </w:r>
          </w:p>
        </w:tc>
        <w:tc>
          <w:tcPr>
            <w:tcW w:w="7797" w:type="dxa"/>
            <w:gridSpan w:val="2"/>
            <w:shd w:val="clear" w:color="auto" w:fill="auto"/>
          </w:tcPr>
          <w:p w:rsidR="005624E3" w:rsidRPr="00C903F8" w:rsidRDefault="005624E3" w:rsidP="00101A80">
            <w:pPr>
              <w:spacing w:before="60" w:after="60" w:line="240" w:lineRule="atLeast"/>
              <w:jc w:val="center"/>
              <w:rPr>
                <w:rFonts w:cs="Arial"/>
                <w:sz w:val="18"/>
                <w:szCs w:val="18"/>
              </w:rPr>
            </w:pPr>
            <w:r>
              <w:rPr>
                <w:i/>
                <w:sz w:val="18"/>
              </w:rPr>
              <w:t>Határidő és megjegyzések</w:t>
            </w: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b/>
                <w:sz w:val="18"/>
                <w:szCs w:val="18"/>
              </w:rPr>
            </w:pPr>
            <w:r>
              <w:rPr>
                <w:b/>
                <w:sz w:val="18"/>
              </w:rPr>
              <w:t>3.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100" w:after="100" w:line="240" w:lineRule="atLeast"/>
              <w:rPr>
                <w:rFonts w:cs="Arial"/>
                <w:sz w:val="18"/>
                <w:szCs w:val="18"/>
              </w:rPr>
            </w:pPr>
            <w:r>
              <w:rPr>
                <w:sz w:val="18"/>
              </w:rPr>
              <w:t>3.03.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 xml:space="preserve">1. bekezdés </w:t>
            </w:r>
          </w:p>
        </w:tc>
        <w:tc>
          <w:tcPr>
            <w:tcW w:w="3296" w:type="dxa"/>
            <w:shd w:val="clear" w:color="auto" w:fill="auto"/>
          </w:tcPr>
          <w:p w:rsidR="005624E3" w:rsidRPr="00C903F8" w:rsidRDefault="005624E3" w:rsidP="00101A80">
            <w:pPr>
              <w:spacing w:before="100" w:after="100" w:line="240" w:lineRule="atLeast"/>
              <w:rPr>
                <w:rFonts w:cs="Arial"/>
                <w:noProof/>
                <w:sz w:val="18"/>
                <w:szCs w:val="18"/>
              </w:rPr>
            </w:pPr>
            <w:r>
              <w:rPr>
                <w:noProof/>
                <w:sz w:val="18"/>
              </w:rPr>
              <w:t>Vízmentes ütközési válaszfalak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tcBorders>
              <w:top w:val="nil"/>
              <w:bottom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noProof/>
                <w:sz w:val="18"/>
                <w:szCs w:val="18"/>
              </w:rPr>
            </w:pPr>
            <w:r>
              <w:rPr>
                <w:noProof/>
                <w:sz w:val="18"/>
              </w:rPr>
              <w:t>Lakóterek, biztonsági berendezések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tcBorders>
              <w:top w:val="nil"/>
              <w:bottom w:val="single" w:sz="4" w:space="0" w:color="auto"/>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spacing w:before="100" w:after="100" w:line="240" w:lineRule="atLeast"/>
              <w:rPr>
                <w:rFonts w:cs="Arial"/>
                <w:noProof/>
                <w:sz w:val="18"/>
                <w:szCs w:val="18"/>
              </w:rPr>
            </w:pPr>
            <w:r>
              <w:rPr>
                <w:noProof/>
                <w:sz w:val="18"/>
              </w:rPr>
              <w:t>Nyílások a vízmentes válaszfalakon</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tcBorders>
              <w:bottom w:val="nil"/>
            </w:tcBorders>
            <w:shd w:val="clear" w:color="auto" w:fill="auto"/>
          </w:tcPr>
          <w:p w:rsidR="005624E3" w:rsidRPr="00C903F8" w:rsidRDefault="005624E3" w:rsidP="00101A80">
            <w:pPr>
              <w:spacing w:before="100" w:after="100" w:line="240" w:lineRule="atLeast"/>
              <w:rPr>
                <w:rFonts w:cs="Arial"/>
                <w:sz w:val="18"/>
                <w:szCs w:val="18"/>
              </w:rPr>
            </w:pPr>
            <w:r>
              <w:rPr>
                <w:sz w:val="18"/>
              </w:rPr>
              <w:t>3,04</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tartályok, lakóterek és utasterek közös felületei</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tcBorders>
              <w:top w:val="nil"/>
            </w:tcBorders>
            <w:shd w:val="clear" w:color="auto" w:fill="auto"/>
          </w:tcPr>
          <w:p w:rsidR="005624E3" w:rsidRPr="00C903F8" w:rsidRDefault="005624E3" w:rsidP="00101A80">
            <w:pPr>
              <w:spacing w:before="100" w:after="100" w:line="240" w:lineRule="atLeast"/>
              <w:rPr>
                <w:rFonts w:cs="Arial"/>
                <w:sz w:val="18"/>
                <w:szCs w:val="18"/>
              </w:rPr>
            </w:pP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Legnagyobb megengedett hangnyomásszint a géptérben</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4. FEJEZET</w:t>
            </w:r>
          </w:p>
        </w:tc>
        <w:tc>
          <w:tcPr>
            <w:tcW w:w="6521" w:type="dxa"/>
            <w:shd w:val="clear" w:color="auto" w:fill="auto"/>
          </w:tcPr>
          <w:p w:rsidR="005624E3" w:rsidRPr="00C903F8" w:rsidRDefault="005624E3" w:rsidP="00101A80">
            <w:pPr>
              <w:spacing w:before="100" w:after="100" w:line="240" w:lineRule="atLeast"/>
              <w:rPr>
                <w:rFonts w:cs="Arial"/>
                <w:b/>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4.01.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Biztonsági távolság</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 e dátumot követően:</w:t>
            </w:r>
          </w:p>
        </w:tc>
        <w:tc>
          <w:tcPr>
            <w:tcW w:w="1276" w:type="dxa"/>
            <w:shd w:val="clear" w:color="auto" w:fill="auto"/>
          </w:tcPr>
          <w:p w:rsidR="005624E3" w:rsidRPr="00C903F8" w:rsidRDefault="005624E3" w:rsidP="00101A80">
            <w:pPr>
              <w:spacing w:before="100" w:after="100" w:line="240" w:lineRule="atLeast"/>
              <w:rPr>
                <w:rFonts w:cs="Arial"/>
                <w:sz w:val="18"/>
                <w:szCs w:val="18"/>
              </w:rPr>
            </w:pPr>
            <w:r>
              <w:rPr>
                <w:sz w:val="18"/>
              </w:rPr>
              <w:t>2019.12.30.</w:t>
            </w: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4.02. cikk</w:t>
            </w:r>
          </w:p>
        </w:tc>
        <w:tc>
          <w:tcPr>
            <w:tcW w:w="1458" w:type="dxa"/>
            <w:shd w:val="clear" w:color="auto" w:fill="auto"/>
          </w:tcPr>
          <w:p w:rsidR="005624E3" w:rsidRPr="00C903F8" w:rsidRDefault="005624E3" w:rsidP="00101A80">
            <w:pPr>
              <w:spacing w:before="100" w:after="100" w:line="240" w:lineRule="atLeast"/>
              <w:jc w:val="center"/>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Szabadoldal</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6.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6.01.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kormányberendezésre vonatkozó követelmények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7.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7.01.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hajó által keltett hangnyomás</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A0619C"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7.05.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navigációs fények ellenőrző lámpái</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A belvízi hajóbizonyítvány megújítása.</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7.12.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Állítható magasságú kormányállások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8.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8.01.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Bizonyos folyékony tüzelőanyagok tilalma</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A0619C"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8.04.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A motor kipufogórendszere</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 legkésőbb a belvízi hajóbizonyítvány megújításakor.</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E56A84" w:rsidRDefault="005624E3" w:rsidP="00101A80">
            <w:pPr>
              <w:spacing w:before="100" w:after="100" w:line="240" w:lineRule="atLeast"/>
              <w:rPr>
                <w:rFonts w:cs="Arial"/>
                <w:sz w:val="18"/>
                <w:szCs w:val="18"/>
              </w:rPr>
            </w:pPr>
            <w:r>
              <w:rPr>
                <w:sz w:val="18"/>
              </w:rPr>
              <w:t>8.05. cikk</w:t>
            </w:r>
          </w:p>
        </w:tc>
        <w:tc>
          <w:tcPr>
            <w:tcW w:w="1458" w:type="dxa"/>
            <w:shd w:val="clear" w:color="auto" w:fill="auto"/>
          </w:tcPr>
          <w:p w:rsidR="005624E3" w:rsidRPr="00E56A84" w:rsidRDefault="005624E3" w:rsidP="00101A80">
            <w:pPr>
              <w:spacing w:before="100" w:after="100" w:line="240" w:lineRule="atLeast"/>
              <w:rPr>
                <w:rFonts w:cs="Arial"/>
                <w:sz w:val="18"/>
                <w:szCs w:val="18"/>
              </w:rPr>
            </w:pPr>
            <w:r>
              <w:rPr>
                <w:sz w:val="18"/>
              </w:rPr>
              <w:t>13. bekezdés</w:t>
            </w:r>
          </w:p>
        </w:tc>
        <w:tc>
          <w:tcPr>
            <w:tcW w:w="3296" w:type="dxa"/>
            <w:shd w:val="clear" w:color="auto" w:fill="auto"/>
          </w:tcPr>
          <w:p w:rsidR="005624E3" w:rsidRPr="00E56A84" w:rsidRDefault="005624E3" w:rsidP="00101A80">
            <w:pPr>
              <w:spacing w:before="100" w:after="100" w:line="240" w:lineRule="atLeast"/>
              <w:ind w:left="15" w:hanging="15"/>
              <w:rPr>
                <w:rFonts w:cs="Arial"/>
                <w:sz w:val="18"/>
                <w:szCs w:val="18"/>
              </w:rPr>
            </w:pPr>
            <w:r>
              <w:rPr>
                <w:noProof/>
                <w:sz w:val="18"/>
              </w:rPr>
              <w:t>A tüzelőanyag-tartály töltöttségi szintjét jelző eszköz nemcsak a főmotorok, hanem a hajó biztonságos üzeméhez szükséges egyéb motorok tekintetében is</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8.08.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Felszerelés fenékvízszivattyúkkal</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8.08.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3. és 4.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fenékvízszivattyúk átmérője és minimális szivattyúteljesítménye</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8.08.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5.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Önfelszívó fenékvízszivattyúk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8.08.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6.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Felszerelés szűrőkkel</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8.08.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7.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Önzáró csövek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8.10.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menetben lévő hajó által keltett zaj</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10.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10.01.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Az elektromos felszerelésekre vonatkozó dokumentáció</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10.01.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Az elektromos felszerelések kialakítása</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10.06.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Legnagyobb megengedett feszültség</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10.10.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Generátorok, motorok és transzformátorok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10.11.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Akkumulátorok telepítése</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 xml:space="preserve">10.12. cikk </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sz w:val="18"/>
              </w:rPr>
              <w:t>Kapcsolók, védelmi berendezések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 xml:space="preserve">10.14. cikk </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Egyidejű kapcsolás</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10.15.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Kábelek</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 xml:space="preserve">10.16. cikk </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Világítás a gépterekben</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10.17.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navigációs jelzőfények kapcsolótáblái</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10.17.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navigációs jelzőfények áramellátása</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100" w:after="100" w:line="240" w:lineRule="atLeast"/>
              <w:jc w:val="center"/>
              <w:rPr>
                <w:rFonts w:cs="Arial"/>
                <w:sz w:val="18"/>
                <w:szCs w:val="18"/>
              </w:rPr>
            </w:pPr>
            <w:r>
              <w:rPr>
                <w:b/>
                <w:sz w:val="18"/>
              </w:rPr>
              <w:t>13. FEJEZET</w:t>
            </w:r>
          </w:p>
        </w:tc>
        <w:tc>
          <w:tcPr>
            <w:tcW w:w="6521" w:type="dxa"/>
            <w:shd w:val="clear" w:color="auto" w:fill="auto"/>
          </w:tcPr>
          <w:p w:rsidR="005624E3" w:rsidRPr="00C903F8" w:rsidRDefault="005624E3" w:rsidP="00101A80">
            <w:pPr>
              <w:spacing w:before="100" w:after="100" w:line="240" w:lineRule="atLeast"/>
              <w:rPr>
                <w:rFonts w:cs="Arial"/>
                <w:sz w:val="18"/>
                <w:szCs w:val="18"/>
              </w:rPr>
            </w:pP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13.01.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9.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Az 50 kg-nál nehezebb horgonyok csörlői</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E56A84" w:rsidRDefault="005624E3" w:rsidP="00101A80">
            <w:pPr>
              <w:spacing w:before="100" w:after="100" w:line="240" w:lineRule="atLeast"/>
              <w:rPr>
                <w:rFonts w:cs="Arial"/>
                <w:sz w:val="18"/>
                <w:szCs w:val="18"/>
              </w:rPr>
            </w:pPr>
            <w:r>
              <w:rPr>
                <w:sz w:val="18"/>
              </w:rPr>
              <w:t>13.07. cikk</w:t>
            </w:r>
          </w:p>
        </w:tc>
        <w:tc>
          <w:tcPr>
            <w:tcW w:w="1458" w:type="dxa"/>
            <w:shd w:val="clear" w:color="auto" w:fill="auto"/>
          </w:tcPr>
          <w:p w:rsidR="005624E3" w:rsidRPr="00E56A84" w:rsidRDefault="005624E3" w:rsidP="00101A80">
            <w:pPr>
              <w:spacing w:before="100" w:after="100" w:line="240" w:lineRule="atLeast"/>
              <w:rPr>
                <w:rFonts w:cs="Arial"/>
                <w:sz w:val="18"/>
                <w:szCs w:val="18"/>
              </w:rPr>
            </w:pPr>
            <w:r>
              <w:rPr>
                <w:sz w:val="18"/>
              </w:rPr>
              <w:t>1. bekezdés</w:t>
            </w:r>
          </w:p>
        </w:tc>
        <w:tc>
          <w:tcPr>
            <w:tcW w:w="3296" w:type="dxa"/>
            <w:shd w:val="clear" w:color="auto" w:fill="auto"/>
          </w:tcPr>
          <w:p w:rsidR="005624E3" w:rsidRPr="00E56A84" w:rsidRDefault="005624E3" w:rsidP="00101A80">
            <w:pPr>
              <w:spacing w:before="100" w:after="100" w:line="240" w:lineRule="atLeast"/>
              <w:rPr>
                <w:rFonts w:cs="Arial"/>
                <w:sz w:val="18"/>
                <w:szCs w:val="18"/>
              </w:rPr>
            </w:pPr>
            <w:r>
              <w:rPr>
                <w:noProof/>
                <w:sz w:val="18"/>
              </w:rPr>
              <w:t>Az európai szabvány alkalmazása a szolgálati csónakra</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13.08.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1.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szabvány alkalmazása mentőgyűrűkre</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100" w:after="100" w:line="240" w:lineRule="atLeast"/>
              <w:rPr>
                <w:rFonts w:cs="Arial"/>
                <w:sz w:val="18"/>
                <w:szCs w:val="18"/>
              </w:rPr>
            </w:pPr>
            <w:r>
              <w:rPr>
                <w:sz w:val="18"/>
              </w:rPr>
              <w:t>13.08. cikk</w:t>
            </w:r>
          </w:p>
        </w:tc>
        <w:tc>
          <w:tcPr>
            <w:tcW w:w="1458" w:type="dxa"/>
            <w:shd w:val="clear" w:color="auto" w:fill="auto"/>
          </w:tcPr>
          <w:p w:rsidR="005624E3" w:rsidRPr="00C903F8" w:rsidRDefault="005624E3" w:rsidP="00101A80">
            <w:pPr>
              <w:spacing w:before="100" w:after="10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100" w:after="100" w:line="240" w:lineRule="atLeast"/>
              <w:rPr>
                <w:rFonts w:cs="Arial"/>
                <w:sz w:val="18"/>
                <w:szCs w:val="18"/>
              </w:rPr>
            </w:pPr>
            <w:r>
              <w:rPr>
                <w:noProof/>
                <w:sz w:val="18"/>
              </w:rPr>
              <w:t>A szabvány alkalmazása mentőmellényekre</w:t>
            </w:r>
          </w:p>
        </w:tc>
        <w:tc>
          <w:tcPr>
            <w:tcW w:w="6521" w:type="dxa"/>
            <w:shd w:val="clear" w:color="auto" w:fill="auto"/>
          </w:tcPr>
          <w:p w:rsidR="005624E3" w:rsidRPr="00C903F8" w:rsidRDefault="005624E3" w:rsidP="00101A80">
            <w:pPr>
              <w:spacing w:before="100" w:after="10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100" w:after="100" w:line="240" w:lineRule="atLeast"/>
              <w:rPr>
                <w:rFonts w:cs="Arial"/>
                <w:sz w:val="18"/>
                <w:szCs w:val="18"/>
              </w:rPr>
            </w:pP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60" w:after="60" w:line="240" w:lineRule="atLeast"/>
              <w:jc w:val="center"/>
              <w:rPr>
                <w:rFonts w:cs="Arial"/>
                <w:sz w:val="18"/>
                <w:szCs w:val="18"/>
              </w:rPr>
            </w:pPr>
            <w:r>
              <w:rPr>
                <w:b/>
                <w:sz w:val="18"/>
              </w:rPr>
              <w:t>14.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14.11.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2.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A csörlőkkel kapcsolatos biztonság</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101A80">
        <w:trPr>
          <w:cantSplit/>
          <w:jc w:val="center"/>
        </w:trPr>
        <w:tc>
          <w:tcPr>
            <w:tcW w:w="6096" w:type="dxa"/>
            <w:gridSpan w:val="3"/>
            <w:shd w:val="clear" w:color="auto" w:fill="auto"/>
          </w:tcPr>
          <w:p w:rsidR="005624E3" w:rsidRPr="00C903F8" w:rsidRDefault="005624E3" w:rsidP="00101A80">
            <w:pPr>
              <w:spacing w:before="60" w:after="60" w:line="240" w:lineRule="atLeast"/>
              <w:jc w:val="center"/>
              <w:rPr>
                <w:rFonts w:cs="Arial"/>
                <w:sz w:val="18"/>
                <w:szCs w:val="18"/>
              </w:rPr>
            </w:pPr>
            <w:r>
              <w:rPr>
                <w:b/>
                <w:sz w:val="18"/>
              </w:rPr>
              <w:t>15. FEJEZET</w:t>
            </w:r>
          </w:p>
        </w:tc>
        <w:tc>
          <w:tcPr>
            <w:tcW w:w="6521" w:type="dxa"/>
            <w:shd w:val="clear" w:color="auto" w:fill="auto"/>
          </w:tcPr>
          <w:p w:rsidR="005624E3" w:rsidRPr="00C903F8" w:rsidRDefault="005624E3" w:rsidP="00101A80">
            <w:pPr>
              <w:spacing w:before="60" w:after="60" w:line="240" w:lineRule="atLeast"/>
              <w:rPr>
                <w:rFonts w:cs="Arial"/>
                <w:sz w:val="18"/>
                <w:szCs w:val="18"/>
              </w:rPr>
            </w:pP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r w:rsidR="005624E3" w:rsidRPr="00C903F8" w:rsidTr="00101A80">
        <w:trPr>
          <w:cantSplit/>
          <w:jc w:val="center"/>
        </w:trPr>
        <w:tc>
          <w:tcPr>
            <w:tcW w:w="1342" w:type="dxa"/>
            <w:shd w:val="clear" w:color="auto" w:fill="auto"/>
          </w:tcPr>
          <w:p w:rsidR="005624E3" w:rsidRPr="00C903F8" w:rsidRDefault="005624E3" w:rsidP="00101A80">
            <w:pPr>
              <w:spacing w:before="60" w:after="60" w:line="240" w:lineRule="atLeast"/>
              <w:rPr>
                <w:rFonts w:cs="Arial"/>
                <w:sz w:val="18"/>
                <w:szCs w:val="18"/>
              </w:rPr>
            </w:pPr>
            <w:r>
              <w:rPr>
                <w:sz w:val="18"/>
              </w:rPr>
              <w:t>15.02. cikk</w:t>
            </w:r>
          </w:p>
        </w:tc>
        <w:tc>
          <w:tcPr>
            <w:tcW w:w="1458" w:type="dxa"/>
            <w:shd w:val="clear" w:color="auto" w:fill="auto"/>
          </w:tcPr>
          <w:p w:rsidR="005624E3" w:rsidRPr="00C903F8" w:rsidRDefault="005624E3" w:rsidP="00101A80">
            <w:pPr>
              <w:spacing w:before="60" w:after="60" w:line="240" w:lineRule="atLeast"/>
              <w:rPr>
                <w:rFonts w:cs="Arial"/>
                <w:sz w:val="18"/>
                <w:szCs w:val="18"/>
              </w:rPr>
            </w:pPr>
            <w:r>
              <w:rPr>
                <w:sz w:val="18"/>
              </w:rPr>
              <w:t>3. bekezdés</w:t>
            </w:r>
          </w:p>
        </w:tc>
        <w:tc>
          <w:tcPr>
            <w:tcW w:w="3296" w:type="dxa"/>
            <w:shd w:val="clear" w:color="auto" w:fill="auto"/>
          </w:tcPr>
          <w:p w:rsidR="005624E3" w:rsidRPr="00C903F8" w:rsidRDefault="005624E3" w:rsidP="00101A80">
            <w:pPr>
              <w:spacing w:before="60" w:after="60" w:line="240" w:lineRule="atLeast"/>
              <w:rPr>
                <w:rFonts w:cs="Arial"/>
                <w:sz w:val="18"/>
                <w:szCs w:val="18"/>
              </w:rPr>
            </w:pPr>
            <w:r>
              <w:rPr>
                <w:noProof/>
                <w:sz w:val="18"/>
              </w:rPr>
              <w:t>Veszélyes gázokat vagy folyadékokat szállító csövek</w:t>
            </w:r>
          </w:p>
        </w:tc>
        <w:tc>
          <w:tcPr>
            <w:tcW w:w="6521" w:type="dxa"/>
            <w:shd w:val="clear" w:color="auto" w:fill="auto"/>
          </w:tcPr>
          <w:p w:rsidR="005624E3" w:rsidRPr="00C903F8" w:rsidRDefault="005624E3" w:rsidP="00101A80">
            <w:pPr>
              <w:spacing w:before="60" w:after="60" w:line="240" w:lineRule="atLeast"/>
              <w:rPr>
                <w:rFonts w:cs="Arial"/>
                <w:sz w:val="18"/>
                <w:szCs w:val="18"/>
              </w:rPr>
            </w:pPr>
            <w:r>
              <w:rPr>
                <w:sz w:val="18"/>
              </w:rPr>
              <w:t>N.R.C.</w:t>
            </w:r>
          </w:p>
        </w:tc>
        <w:tc>
          <w:tcPr>
            <w:tcW w:w="1276" w:type="dxa"/>
            <w:shd w:val="clear" w:color="auto" w:fill="auto"/>
          </w:tcPr>
          <w:p w:rsidR="005624E3" w:rsidRPr="00C903F8" w:rsidRDefault="005624E3" w:rsidP="00101A80">
            <w:pPr>
              <w:spacing w:before="60" w:after="60" w:line="240" w:lineRule="atLeast"/>
              <w:rPr>
                <w:rFonts w:cs="Arial"/>
                <w:sz w:val="18"/>
                <w:szCs w:val="18"/>
              </w:rPr>
            </w:pPr>
          </w:p>
        </w:tc>
      </w:tr>
    </w:tbl>
    <w:p w:rsidR="005624E3" w:rsidRPr="00C903F8" w:rsidRDefault="005624E3" w:rsidP="005624E3">
      <w:pPr>
        <w:spacing w:line="240" w:lineRule="atLeast"/>
        <w:rPr>
          <w:noProof/>
        </w:rPr>
      </w:pPr>
    </w:p>
    <w:p w:rsidR="005624E3" w:rsidRPr="00C903F8" w:rsidRDefault="005624E3" w:rsidP="005624E3">
      <w:pPr>
        <w:spacing w:line="240" w:lineRule="atLeast"/>
        <w:ind w:left="567" w:hanging="567"/>
      </w:pPr>
    </w:p>
    <w:p w:rsidR="005624E3" w:rsidRPr="00C903F8" w:rsidRDefault="005624E3" w:rsidP="005624E3">
      <w:pPr>
        <w:rPr>
          <w:noProof/>
        </w:rPr>
      </w:pPr>
    </w:p>
    <w:p w:rsidR="005624E3" w:rsidRPr="00C903F8" w:rsidRDefault="005624E3" w:rsidP="005624E3">
      <w:pPr>
        <w:rPr>
          <w:noProof/>
        </w:rPr>
      </w:pPr>
    </w:p>
    <w:p w:rsidR="005624E3" w:rsidRPr="00C903F8" w:rsidRDefault="005624E3" w:rsidP="005624E3">
      <w:pPr>
        <w:rPr>
          <w:noProof/>
        </w:rPr>
      </w:pPr>
    </w:p>
    <w:p w:rsidR="005624E3" w:rsidRPr="00C903F8" w:rsidRDefault="005624E3" w:rsidP="005624E3">
      <w:pPr>
        <w:pStyle w:val="ESch"/>
      </w:pPr>
    </w:p>
    <w:p w:rsidR="005624E3" w:rsidRPr="00C903F8" w:rsidRDefault="005624E3" w:rsidP="005624E3">
      <w:pPr>
        <w:pStyle w:val="ESch"/>
      </w:pPr>
    </w:p>
    <w:p w:rsidR="005624E3" w:rsidRPr="00C903F8" w:rsidRDefault="005624E3" w:rsidP="005624E3">
      <w:pPr>
        <w:pStyle w:val="ESch"/>
      </w:pPr>
    </w:p>
    <w:p w:rsidR="005624E3" w:rsidRPr="00C903F8" w:rsidRDefault="005624E3" w:rsidP="005624E3">
      <w:pPr>
        <w:pStyle w:val="ESch"/>
        <w:sectPr w:rsidR="005624E3" w:rsidRPr="00C903F8" w:rsidSect="001E2331">
          <w:headerReference w:type="first" r:id="rId36"/>
          <w:footerReference w:type="first" r:id="rId37"/>
          <w:footnotePr>
            <w:numRestart w:val="eachPage"/>
          </w:footnotePr>
          <w:pgSz w:w="16838" w:h="11906" w:orient="landscape" w:code="9"/>
          <w:pgMar w:top="1418" w:right="1418" w:bottom="1418" w:left="1418" w:header="709" w:footer="709" w:gutter="0"/>
          <w:cols w:space="709"/>
          <w:titlePg/>
          <w:docGrid w:linePitch="272"/>
        </w:sectPr>
      </w:pPr>
    </w:p>
    <w:p w:rsidR="005624E3" w:rsidRPr="0063454C" w:rsidRDefault="005624E3" w:rsidP="005624E3">
      <w:pPr>
        <w:pStyle w:val="Es-Titreannexes"/>
      </w:pPr>
      <w:bookmarkStart w:id="596" w:name="_Toc491854290"/>
      <w:bookmarkStart w:id="597" w:name="_Toc535854071"/>
      <w:r>
        <w:t>Az európai szabvány mellékletei</w:t>
      </w:r>
      <w:bookmarkEnd w:id="596"/>
      <w:bookmarkEnd w:id="597"/>
    </w:p>
    <w:p w:rsidR="005624E3" w:rsidRPr="0063454C" w:rsidRDefault="005624E3" w:rsidP="005624E3">
      <w:pPr>
        <w:pStyle w:val="ES-Titre3a"/>
      </w:pPr>
    </w:p>
    <w:p w:rsidR="005624E3" w:rsidRPr="00C903F8" w:rsidRDefault="005624E3" w:rsidP="005624E3">
      <w:pPr>
        <w:pStyle w:val="ESch"/>
      </w:pPr>
    </w:p>
    <w:p w:rsidR="005624E3" w:rsidRPr="00C903F8" w:rsidRDefault="005624E3" w:rsidP="005624E3">
      <w:pPr>
        <w:pStyle w:val="ESch"/>
      </w:pPr>
    </w:p>
    <w:p w:rsidR="005624E3" w:rsidRPr="00C903F8" w:rsidRDefault="005624E3" w:rsidP="005624E3">
      <w:pPr>
        <w:pStyle w:val="ESch"/>
      </w:pPr>
    </w:p>
    <w:p w:rsidR="005624E3" w:rsidRPr="00C903F8" w:rsidRDefault="005624E3" w:rsidP="005624E3">
      <w:pPr>
        <w:pStyle w:val="ESch"/>
      </w:pPr>
      <w:r>
        <w:br w:type="page"/>
      </w:r>
    </w:p>
    <w:p w:rsidR="005624E3" w:rsidRPr="00C903F8" w:rsidRDefault="005624E3" w:rsidP="005624E3">
      <w:pPr>
        <w:pStyle w:val="ESch"/>
      </w:pPr>
    </w:p>
    <w:p w:rsidR="005624E3" w:rsidRPr="00C903F8" w:rsidRDefault="005624E3" w:rsidP="005624E3">
      <w:pPr>
        <w:pStyle w:val="ESch"/>
      </w:pPr>
    </w:p>
    <w:p w:rsidR="005624E3" w:rsidRPr="00C903F8" w:rsidRDefault="005624E3" w:rsidP="005624E3">
      <w:pPr>
        <w:pStyle w:val="ESch"/>
      </w:pPr>
    </w:p>
    <w:p w:rsidR="005624E3" w:rsidRPr="00C903F8" w:rsidRDefault="005624E3" w:rsidP="005624E3">
      <w:pPr>
        <w:pStyle w:val="ESch"/>
        <w:sectPr w:rsidR="005624E3" w:rsidRPr="00C903F8" w:rsidSect="00AC5CC1">
          <w:headerReference w:type="default" r:id="rId38"/>
          <w:footerReference w:type="default" r:id="rId39"/>
          <w:headerReference w:type="first" r:id="rId40"/>
          <w:footerReference w:type="first" r:id="rId41"/>
          <w:footnotePr>
            <w:numRestart w:val="eachPage"/>
          </w:footnotePr>
          <w:pgSz w:w="11906" w:h="16838" w:code="9"/>
          <w:pgMar w:top="1418" w:right="1418" w:bottom="1418" w:left="1418" w:header="709" w:footer="709" w:gutter="0"/>
          <w:cols w:space="709"/>
          <w:titlePg/>
          <w:docGrid w:linePitch="272"/>
        </w:sectPr>
      </w:pPr>
    </w:p>
    <w:p w:rsidR="005624E3" w:rsidRPr="00C903F8" w:rsidRDefault="005624E3" w:rsidP="005624E3">
      <w:pPr>
        <w:pStyle w:val="ES-Titre1"/>
      </w:pPr>
      <w:bookmarkStart w:id="598" w:name="_Toc395775413"/>
      <w:bookmarkStart w:id="599" w:name="_Toc491854291"/>
      <w:bookmarkStart w:id="600" w:name="_Toc535854072"/>
      <w:r>
        <w:t>I. RÉSZ</w:t>
      </w:r>
      <w:r>
        <w:br/>
      </w:r>
      <w:bookmarkEnd w:id="598"/>
      <w:r>
        <w:t>HAJÓAZONOSÍTÁS ÉS -NYILVÁNTARTÁS</w:t>
      </w:r>
      <w:bookmarkEnd w:id="599"/>
      <w:bookmarkEnd w:id="600"/>
    </w:p>
    <w:p w:rsidR="005624E3" w:rsidRPr="00C903F8" w:rsidRDefault="005624E3" w:rsidP="005624E3">
      <w:pPr>
        <w:overflowPunct w:val="0"/>
        <w:adjustRightInd w:val="0"/>
        <w:spacing w:line="240" w:lineRule="atLeast"/>
        <w:jc w:val="center"/>
        <w:textAlignment w:val="baseline"/>
        <w:rPr>
          <w:rFonts w:eastAsia="Calibri"/>
          <w:b/>
          <w:i/>
          <w:caps/>
        </w:rPr>
      </w:pPr>
    </w:p>
    <w:p w:rsidR="005624E3" w:rsidRPr="00C903F8" w:rsidRDefault="005624E3" w:rsidP="005624E3">
      <w:pPr>
        <w:pStyle w:val="ES-Titre2"/>
        <w:pageBreakBefore w:val="0"/>
      </w:pPr>
      <w:bookmarkStart w:id="601" w:name="_Toc395775414"/>
      <w:bookmarkStart w:id="602" w:name="_Toc491854292"/>
      <w:bookmarkStart w:id="603" w:name="_Toc535854073"/>
      <w:r>
        <w:t>1. melléklet</w:t>
      </w:r>
      <w:r>
        <w:br/>
      </w:r>
      <w:bookmarkEnd w:id="601"/>
      <w:r>
        <w:t>Az egyedi európai hajóazonosító szám (ENI-kód) mintája</w:t>
      </w:r>
      <w:bookmarkEnd w:id="602"/>
      <w:bookmarkEnd w:id="603"/>
    </w:p>
    <w:p w:rsidR="005624E3" w:rsidRPr="00C903F8" w:rsidRDefault="005624E3" w:rsidP="005624E3">
      <w:pPr>
        <w:overflowPunct w:val="0"/>
        <w:adjustRightInd w:val="0"/>
        <w:spacing w:line="240" w:lineRule="atLeast"/>
        <w:jc w:val="center"/>
        <w:textAlignment w:val="baseline"/>
        <w:rPr>
          <w:rFonts w:eastAsia="Calibri"/>
        </w:rPr>
      </w:pPr>
    </w:p>
    <w:p w:rsidR="005624E3" w:rsidRPr="00C903F8" w:rsidRDefault="005624E3" w:rsidP="005624E3">
      <w:pPr>
        <w:overflowPunct w:val="0"/>
        <w:adjustRightInd w:val="0"/>
        <w:spacing w:line="240" w:lineRule="atLeast"/>
        <w:jc w:val="center"/>
        <w:textAlignment w:val="baseline"/>
        <w:rPr>
          <w:rFonts w:eastAsia="Calibri"/>
        </w:rPr>
      </w:pPr>
    </w:p>
    <w:p w:rsidR="005624E3" w:rsidRPr="00C903F8" w:rsidRDefault="005624E3" w:rsidP="005624E3">
      <w:pPr>
        <w:overflowPunct w:val="0"/>
        <w:adjustRightInd w:val="0"/>
        <w:textAlignment w:val="baseline"/>
        <w:rPr>
          <w:rFonts w:cs="Arial"/>
          <w:szCs w:val="20"/>
        </w:rPr>
      </w:pPr>
    </w:p>
    <w:tbl>
      <w:tblPr>
        <w:tblW w:w="0" w:type="auto"/>
        <w:tblInd w:w="1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0"/>
        <w:gridCol w:w="789"/>
        <w:gridCol w:w="789"/>
        <w:gridCol w:w="564"/>
        <w:gridCol w:w="564"/>
        <w:gridCol w:w="564"/>
        <w:gridCol w:w="564"/>
        <w:gridCol w:w="564"/>
      </w:tblGrid>
      <w:tr w:rsidR="005624E3" w:rsidRPr="00C903F8" w:rsidTr="00101A80">
        <w:trPr>
          <w:cantSplit/>
        </w:trPr>
        <w:tc>
          <w:tcPr>
            <w:tcW w:w="790" w:type="dxa"/>
            <w:tcBorders>
              <w:top w:val="single" w:sz="4" w:space="0" w:color="auto"/>
              <w:left w:val="single" w:sz="4" w:space="0" w:color="auto"/>
              <w:bottom w:val="single" w:sz="4" w:space="0" w:color="auto"/>
              <w:right w:val="single" w:sz="4" w:space="0" w:color="auto"/>
            </w:tcBorders>
          </w:tcPr>
          <w:p w:rsidR="005624E3" w:rsidRPr="00C903F8" w:rsidRDefault="005624E3" w:rsidP="00101A80">
            <w:pPr>
              <w:adjustRightInd w:val="0"/>
              <w:spacing w:before="40" w:after="40"/>
              <w:jc w:val="center"/>
              <w:rPr>
                <w:rFonts w:cs="Arial"/>
                <w:snapToGrid w:val="0"/>
                <w:sz w:val="18"/>
                <w:szCs w:val="20"/>
              </w:rPr>
            </w:pPr>
            <w:r>
              <w:rPr>
                <w:noProof/>
                <w:snapToGrid w:val="0"/>
                <w:sz w:val="18"/>
              </w:rPr>
              <w:t>A</w:t>
            </w:r>
          </w:p>
        </w:tc>
        <w:tc>
          <w:tcPr>
            <w:tcW w:w="789" w:type="dxa"/>
            <w:tcBorders>
              <w:top w:val="single" w:sz="4" w:space="0" w:color="auto"/>
              <w:left w:val="single" w:sz="4" w:space="0" w:color="auto"/>
              <w:bottom w:val="single" w:sz="4" w:space="0" w:color="auto"/>
              <w:right w:val="single" w:sz="4" w:space="0" w:color="auto"/>
            </w:tcBorders>
          </w:tcPr>
          <w:p w:rsidR="005624E3" w:rsidRPr="00C903F8" w:rsidRDefault="005624E3" w:rsidP="00101A80">
            <w:pPr>
              <w:overflowPunct w:val="0"/>
              <w:adjustRightInd w:val="0"/>
              <w:spacing w:before="40" w:after="40"/>
              <w:jc w:val="center"/>
              <w:textAlignment w:val="baseline"/>
              <w:rPr>
                <w:rFonts w:cs="Arial"/>
                <w:sz w:val="18"/>
                <w:szCs w:val="20"/>
              </w:rPr>
            </w:pPr>
            <w:r>
              <w:rPr>
                <w:noProof/>
                <w:sz w:val="18"/>
              </w:rPr>
              <w:t>A</w:t>
            </w:r>
          </w:p>
        </w:tc>
        <w:tc>
          <w:tcPr>
            <w:tcW w:w="789" w:type="dxa"/>
            <w:tcBorders>
              <w:top w:val="single" w:sz="4" w:space="0" w:color="auto"/>
              <w:left w:val="single" w:sz="4" w:space="0" w:color="auto"/>
              <w:bottom w:val="single" w:sz="4" w:space="0" w:color="auto"/>
              <w:right w:val="single" w:sz="4" w:space="0" w:color="auto"/>
            </w:tcBorders>
          </w:tcPr>
          <w:p w:rsidR="005624E3" w:rsidRPr="00C903F8" w:rsidRDefault="005624E3" w:rsidP="00101A80">
            <w:pPr>
              <w:overflowPunct w:val="0"/>
              <w:adjustRightInd w:val="0"/>
              <w:spacing w:before="40" w:after="40"/>
              <w:jc w:val="center"/>
              <w:textAlignment w:val="baseline"/>
              <w:rPr>
                <w:rFonts w:cs="Arial"/>
                <w:sz w:val="18"/>
                <w:szCs w:val="20"/>
              </w:rPr>
            </w:pPr>
            <w:r>
              <w:rPr>
                <w:noProof/>
                <w:sz w:val="18"/>
              </w:rPr>
              <w:t>A</w:t>
            </w:r>
          </w:p>
        </w:tc>
        <w:tc>
          <w:tcPr>
            <w:tcW w:w="564" w:type="dxa"/>
            <w:tcBorders>
              <w:top w:val="single" w:sz="4" w:space="0" w:color="auto"/>
              <w:left w:val="single" w:sz="4" w:space="0" w:color="auto"/>
              <w:bottom w:val="single" w:sz="4" w:space="0" w:color="auto"/>
              <w:right w:val="single" w:sz="4" w:space="0" w:color="auto"/>
            </w:tcBorders>
          </w:tcPr>
          <w:p w:rsidR="005624E3" w:rsidRPr="00C903F8" w:rsidRDefault="005624E3" w:rsidP="00101A80">
            <w:pPr>
              <w:overflowPunct w:val="0"/>
              <w:adjustRightInd w:val="0"/>
              <w:spacing w:before="40" w:after="40"/>
              <w:jc w:val="center"/>
              <w:textAlignment w:val="baseline"/>
              <w:rPr>
                <w:rFonts w:cs="Arial"/>
                <w:sz w:val="18"/>
                <w:szCs w:val="20"/>
              </w:rPr>
            </w:pPr>
            <w:r>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5624E3" w:rsidRPr="00C903F8" w:rsidRDefault="005624E3" w:rsidP="00101A80">
            <w:pPr>
              <w:overflowPunct w:val="0"/>
              <w:adjustRightInd w:val="0"/>
              <w:spacing w:before="40" w:after="40"/>
              <w:jc w:val="center"/>
              <w:textAlignment w:val="baseline"/>
              <w:rPr>
                <w:rFonts w:cs="Arial"/>
                <w:sz w:val="18"/>
                <w:szCs w:val="20"/>
              </w:rPr>
            </w:pPr>
            <w:r>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5624E3" w:rsidRPr="00C903F8" w:rsidRDefault="005624E3" w:rsidP="00101A80">
            <w:pPr>
              <w:overflowPunct w:val="0"/>
              <w:adjustRightInd w:val="0"/>
              <w:spacing w:before="40" w:after="40"/>
              <w:jc w:val="center"/>
              <w:textAlignment w:val="baseline"/>
              <w:rPr>
                <w:rFonts w:cs="Arial"/>
                <w:sz w:val="18"/>
                <w:szCs w:val="20"/>
              </w:rPr>
            </w:pPr>
            <w:r>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5624E3" w:rsidRPr="00C903F8" w:rsidRDefault="005624E3" w:rsidP="00101A80">
            <w:pPr>
              <w:overflowPunct w:val="0"/>
              <w:adjustRightInd w:val="0"/>
              <w:spacing w:before="40" w:after="40"/>
              <w:jc w:val="center"/>
              <w:textAlignment w:val="baseline"/>
              <w:rPr>
                <w:rFonts w:cs="Arial"/>
                <w:sz w:val="18"/>
                <w:szCs w:val="20"/>
              </w:rPr>
            </w:pPr>
            <w:r>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5624E3" w:rsidRPr="00C903F8" w:rsidRDefault="005624E3" w:rsidP="00101A80">
            <w:pPr>
              <w:overflowPunct w:val="0"/>
              <w:adjustRightInd w:val="0"/>
              <w:spacing w:before="40" w:after="40"/>
              <w:jc w:val="center"/>
              <w:textAlignment w:val="baseline"/>
              <w:rPr>
                <w:rFonts w:cs="Arial"/>
                <w:sz w:val="18"/>
                <w:szCs w:val="20"/>
              </w:rPr>
            </w:pPr>
            <w:r>
              <w:rPr>
                <w:noProof/>
                <w:sz w:val="18"/>
              </w:rPr>
              <w:t>x</w:t>
            </w:r>
          </w:p>
        </w:tc>
      </w:tr>
      <w:tr w:rsidR="005624E3" w:rsidRPr="00C903F8" w:rsidTr="00101A80">
        <w:trPr>
          <w:cantSplit/>
        </w:trPr>
        <w:tc>
          <w:tcPr>
            <w:tcW w:w="2368" w:type="dxa"/>
            <w:gridSpan w:val="3"/>
            <w:tcBorders>
              <w:top w:val="single" w:sz="4" w:space="0" w:color="auto"/>
              <w:left w:val="single" w:sz="4" w:space="0" w:color="auto"/>
              <w:bottom w:val="single" w:sz="4" w:space="0" w:color="auto"/>
              <w:right w:val="single" w:sz="4" w:space="0" w:color="auto"/>
            </w:tcBorders>
          </w:tcPr>
          <w:p w:rsidR="005624E3" w:rsidRPr="00C903F8" w:rsidRDefault="005624E3" w:rsidP="00101A80">
            <w:pPr>
              <w:overflowPunct w:val="0"/>
              <w:adjustRightInd w:val="0"/>
              <w:spacing w:before="40" w:after="40"/>
              <w:textAlignment w:val="baseline"/>
              <w:rPr>
                <w:rFonts w:cs="Arial"/>
                <w:sz w:val="18"/>
                <w:szCs w:val="20"/>
              </w:rPr>
            </w:pPr>
            <w:r>
              <w:rPr>
                <w:noProof/>
                <w:sz w:val="18"/>
              </w:rPr>
              <w:t>Az egyedi európai hajóazonosító számot (ENI-kód) kiadó illetékes hatóság kódja</w:t>
            </w:r>
          </w:p>
        </w:tc>
        <w:tc>
          <w:tcPr>
            <w:tcW w:w="2820" w:type="dxa"/>
            <w:gridSpan w:val="5"/>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spacing w:before="40" w:after="40"/>
              <w:jc w:val="center"/>
              <w:textAlignment w:val="baseline"/>
              <w:rPr>
                <w:rFonts w:cs="Arial"/>
                <w:sz w:val="18"/>
                <w:szCs w:val="20"/>
              </w:rPr>
            </w:pPr>
            <w:r>
              <w:rPr>
                <w:noProof/>
                <w:sz w:val="18"/>
              </w:rPr>
              <w:t xml:space="preserve">Sorozatszám </w:t>
            </w:r>
          </w:p>
        </w:tc>
      </w:tr>
    </w:tbl>
    <w:p w:rsidR="005624E3" w:rsidRPr="00C903F8" w:rsidRDefault="005624E3" w:rsidP="005624E3">
      <w:pPr>
        <w:overflowPunct w:val="0"/>
        <w:adjustRightInd w:val="0"/>
        <w:spacing w:before="40" w:after="40"/>
        <w:textAlignment w:val="baseline"/>
        <w:rPr>
          <w:rFonts w:cs="Arial"/>
          <w:sz w:val="18"/>
          <w:szCs w:val="20"/>
        </w:rPr>
      </w:pPr>
    </w:p>
    <w:p w:rsidR="005624E3" w:rsidRPr="00C903F8" w:rsidRDefault="005624E3" w:rsidP="005624E3">
      <w:pPr>
        <w:overflowPunct w:val="0"/>
        <w:adjustRightInd w:val="0"/>
        <w:textAlignment w:val="baseline"/>
        <w:rPr>
          <w:rFonts w:cs="Arial"/>
          <w:szCs w:val="20"/>
        </w:rPr>
      </w:pPr>
    </w:p>
    <w:p w:rsidR="005624E3" w:rsidRPr="00C903F8" w:rsidRDefault="005624E3" w:rsidP="005624E3">
      <w:pPr>
        <w:overflowPunct w:val="0"/>
        <w:adjustRightInd w:val="0"/>
        <w:textAlignment w:val="baseline"/>
        <w:rPr>
          <w:rFonts w:cs="Arial"/>
          <w:szCs w:val="20"/>
        </w:rPr>
      </w:pPr>
      <w:r>
        <w:t>A mintában az „AAA” karakterek az egyedi európai hajóazonosító számot kijelölő illetékes hatóság által az alábbi számtartományokban adott három számjegyű kódnak felelnek meg:</w:t>
      </w:r>
    </w:p>
    <w:p w:rsidR="005624E3" w:rsidRPr="00C903F8" w:rsidRDefault="005624E3" w:rsidP="005624E3">
      <w:pPr>
        <w:overflowPunct w:val="0"/>
        <w:adjustRightInd w:val="0"/>
        <w:textAlignment w:val="baseline"/>
        <w:rPr>
          <w:rFonts w:cs="Arial"/>
          <w:szCs w:val="20"/>
        </w:rPr>
      </w:pP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001 – 019</w:t>
      </w:r>
      <w:r>
        <w:tab/>
        <w:t>Franciaország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020 – 039</w:t>
      </w:r>
      <w:r>
        <w:tab/>
        <w:t>Hollandia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040 – 059</w:t>
      </w:r>
      <w:r>
        <w:tab/>
        <w:t>Németország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060 – 069</w:t>
      </w:r>
      <w:r>
        <w:tab/>
        <w:t>Belgium</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070 – 079</w:t>
      </w:r>
      <w:r>
        <w:tab/>
        <w:t>Svájc</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080 – 099</w:t>
      </w:r>
      <w:r>
        <w:tab/>
        <w:t xml:space="preserve">A Mannheimi egyezményben nem részes országokból származó olyan vízi járműveknek fenntartva, amelyek számára 2007. április 1-je előtt rajnai hajóbizonyítványt állítottak ki. </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100 – 119</w:t>
      </w:r>
      <w:r>
        <w:tab/>
        <w:t>Norvégia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120 – 139</w:t>
      </w:r>
      <w:r>
        <w:tab/>
        <w:t>Dánia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140 – 159</w:t>
      </w:r>
      <w:r>
        <w:tab/>
        <w:t>Egyesült Királyság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160 – 169</w:t>
      </w:r>
      <w:r>
        <w:tab/>
        <w:t>Izland</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170 – 179</w:t>
      </w:r>
      <w:r>
        <w:tab/>
        <w:t>Írország</w:t>
      </w:r>
    </w:p>
    <w:p w:rsidR="005624E3" w:rsidRPr="009879C7"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180 – 189</w:t>
      </w:r>
      <w:r>
        <w:tab/>
        <w:t>Portugália</w:t>
      </w:r>
    </w:p>
    <w:p w:rsidR="005624E3" w:rsidRPr="009879C7"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190 – 199</w:t>
      </w:r>
      <w:r>
        <w:tab/>
        <w:t>fenntartva</w:t>
      </w:r>
    </w:p>
    <w:p w:rsidR="005624E3" w:rsidRPr="009879C7"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200 – 219</w:t>
      </w:r>
      <w:r>
        <w:tab/>
        <w:t>Luxemburg</w:t>
      </w:r>
    </w:p>
    <w:p w:rsidR="005624E3" w:rsidRPr="009879C7"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220 – 239</w:t>
      </w:r>
      <w:r>
        <w:tab/>
        <w:t>Finnország</w:t>
      </w:r>
    </w:p>
    <w:p w:rsidR="005624E3" w:rsidRPr="009879C7"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240 – 259</w:t>
      </w:r>
      <w:r>
        <w:tab/>
        <w:t>Lengyelország</w:t>
      </w:r>
    </w:p>
    <w:p w:rsidR="005624E3" w:rsidRPr="009879C7"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260 – 269</w:t>
      </w:r>
      <w:r>
        <w:tab/>
        <w:t>Észtország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270 – 279</w:t>
      </w:r>
      <w:r>
        <w:tab/>
        <w:t>Litvánia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280 – 289</w:t>
      </w:r>
      <w:r>
        <w:tab/>
        <w:t>Lettország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290 – 299</w:t>
      </w:r>
      <w:r>
        <w:tab/>
        <w:t>fenntartva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300 – 309</w:t>
      </w:r>
      <w:r>
        <w:tab/>
        <w:t>Ausztria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310 – 319</w:t>
      </w:r>
      <w:r>
        <w:tab/>
        <w:t>Liechtenstein</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320 – 329</w:t>
      </w:r>
      <w:r>
        <w:tab/>
        <w:t>Cseh Köztársaság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330 – 339</w:t>
      </w:r>
      <w:r>
        <w:tab/>
        <w:t>Szlovákia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340 – 349</w:t>
      </w:r>
      <w:r>
        <w:tab/>
        <w:t>fenntartva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350 – 359</w:t>
      </w:r>
      <w:r>
        <w:tab/>
        <w:t>Horvátország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360 – 369</w:t>
      </w:r>
      <w:r>
        <w:tab/>
        <w:t>Szerbia</w:t>
      </w:r>
    </w:p>
    <w:p w:rsidR="005624E3" w:rsidRPr="00C903F8" w:rsidRDefault="005624E3" w:rsidP="005624E3">
      <w:pPr>
        <w:tabs>
          <w:tab w:val="left" w:pos="1418"/>
        </w:tabs>
        <w:overflowPunct w:val="0"/>
        <w:adjustRightInd w:val="0"/>
        <w:spacing w:line="240" w:lineRule="atLeast"/>
        <w:ind w:left="1418" w:hanging="1418"/>
        <w:textAlignment w:val="baseline"/>
        <w:rPr>
          <w:rFonts w:cs="Arial"/>
          <w:noProof/>
          <w:snapToGrid w:val="0"/>
          <w:szCs w:val="20"/>
        </w:rPr>
      </w:pPr>
      <w:r>
        <w:t>370 – 379</w:t>
      </w:r>
      <w:r>
        <w:tab/>
        <w:t>Bosznia-Hercegovina</w:t>
      </w:r>
    </w:p>
    <w:p w:rsidR="005624E3" w:rsidRPr="00C903F8" w:rsidRDefault="005624E3" w:rsidP="005624E3">
      <w:pPr>
        <w:tabs>
          <w:tab w:val="left" w:pos="1134"/>
        </w:tabs>
        <w:overflowPunct w:val="0"/>
        <w:adjustRightInd w:val="0"/>
        <w:ind w:left="1134" w:hanging="1134"/>
        <w:textAlignment w:val="baseline"/>
        <w:rPr>
          <w:rFonts w:cs="Arial"/>
          <w:snapToGrid w:val="0"/>
          <w:szCs w:val="20"/>
        </w:rPr>
      </w:pPr>
    </w:p>
    <w:p w:rsidR="005624E3" w:rsidRPr="00C903F8" w:rsidRDefault="005624E3" w:rsidP="005624E3">
      <w:pPr>
        <w:tabs>
          <w:tab w:val="left" w:pos="1134"/>
        </w:tabs>
        <w:overflowPunct w:val="0"/>
        <w:adjustRightInd w:val="0"/>
        <w:ind w:left="1134" w:hanging="1134"/>
        <w:textAlignment w:val="baseline"/>
        <w:rPr>
          <w:rFonts w:cs="Arial"/>
          <w:snapToGrid w:val="0"/>
          <w:szCs w:val="20"/>
        </w:rPr>
      </w:pPr>
      <w:r>
        <w:br w:type="page"/>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380 – 399</w:t>
      </w:r>
      <w:r>
        <w:tab/>
        <w:t>Magyarország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400 – 419</w:t>
      </w:r>
      <w:r>
        <w:tab/>
        <w:t>Oroszországi Föderáció</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420 – 439</w:t>
      </w:r>
      <w:r>
        <w:tab/>
        <w:t>Ukrajna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440 – 449</w:t>
      </w:r>
      <w:r>
        <w:tab/>
        <w:t>Fehéroroszország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450 – 459</w:t>
      </w:r>
      <w:r>
        <w:tab/>
        <w:t>Moldovai Köztársaság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460 – 469</w:t>
      </w:r>
      <w:r>
        <w:tab/>
        <w:t>Románia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470 – 479</w:t>
      </w:r>
      <w:r>
        <w:tab/>
        <w:t>Bulgária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480 – 489</w:t>
      </w:r>
      <w:r>
        <w:tab/>
        <w:t>Grúzia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490 – 499</w:t>
      </w:r>
      <w:r>
        <w:tab/>
        <w:t>fenntartva</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500 – 519</w:t>
      </w:r>
      <w:r>
        <w:tab/>
        <w:t>Törökország</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520 – 539</w:t>
      </w:r>
      <w:r>
        <w:tab/>
        <w:t xml:space="preserve">Görögország </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540 – 549</w:t>
      </w:r>
      <w:r>
        <w:tab/>
        <w:t>Ciprus</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550 – 559</w:t>
      </w:r>
      <w:r>
        <w:tab/>
        <w:t xml:space="preserve">Albánia </w:t>
      </w:r>
    </w:p>
    <w:p w:rsidR="005624E3" w:rsidRPr="00C903F8"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560 – 569</w:t>
      </w:r>
      <w:r>
        <w:tab/>
        <w:t xml:space="preserve">Macedónia Volt Jugoszláv Köztársaság </w:t>
      </w:r>
    </w:p>
    <w:p w:rsidR="005624E3" w:rsidRPr="002F672B"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570 – 579</w:t>
      </w:r>
      <w:r>
        <w:tab/>
        <w:t>Szlovénia</w:t>
      </w:r>
    </w:p>
    <w:p w:rsidR="005624E3" w:rsidRPr="002F672B"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580 – 589</w:t>
      </w:r>
      <w:r>
        <w:tab/>
        <w:t>Montenegró</w:t>
      </w:r>
    </w:p>
    <w:p w:rsidR="005624E3" w:rsidRPr="002F672B"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590 – 599</w:t>
      </w:r>
      <w:r>
        <w:tab/>
        <w:t>fenntartva</w:t>
      </w:r>
    </w:p>
    <w:p w:rsidR="005624E3" w:rsidRPr="002F672B"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600 – 619</w:t>
      </w:r>
      <w:r>
        <w:tab/>
        <w:t>Olaszország</w:t>
      </w:r>
    </w:p>
    <w:p w:rsidR="005624E3" w:rsidRPr="002F672B"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620 – 639</w:t>
      </w:r>
      <w:r>
        <w:tab/>
        <w:t>Spanyolország</w:t>
      </w:r>
    </w:p>
    <w:p w:rsidR="005624E3" w:rsidRPr="002F672B" w:rsidRDefault="005624E3" w:rsidP="005624E3">
      <w:pPr>
        <w:tabs>
          <w:tab w:val="left" w:pos="1418"/>
        </w:tabs>
        <w:overflowPunct w:val="0"/>
        <w:adjustRightInd w:val="0"/>
        <w:spacing w:line="240" w:lineRule="atLeast"/>
        <w:ind w:left="1418" w:hanging="1418"/>
        <w:textAlignment w:val="baseline"/>
        <w:rPr>
          <w:rFonts w:cs="Arial"/>
          <w:snapToGrid w:val="0"/>
          <w:szCs w:val="20"/>
        </w:rPr>
      </w:pPr>
      <w:r>
        <w:t>640 – 649</w:t>
      </w:r>
      <w:r>
        <w:tab/>
        <w:t>Andorra</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650 – 659</w:t>
      </w:r>
      <w:r w:rsidRPr="00D50F76">
        <w:rPr>
          <w:lang w:val="it-IT"/>
        </w:rPr>
        <w:tab/>
        <w:t>Málta</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660 – 669</w:t>
      </w:r>
      <w:r w:rsidRPr="00D50F76">
        <w:rPr>
          <w:lang w:val="it-IT"/>
        </w:rPr>
        <w:tab/>
        <w:t>Monaco</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670 – 679</w:t>
      </w:r>
      <w:r w:rsidRPr="00D50F76">
        <w:rPr>
          <w:lang w:val="it-IT"/>
        </w:rPr>
        <w:tab/>
        <w:t>San Marino</w:t>
      </w:r>
    </w:p>
    <w:p w:rsidR="005624E3" w:rsidRPr="00D50F76" w:rsidRDefault="005624E3" w:rsidP="005624E3">
      <w:pPr>
        <w:tabs>
          <w:tab w:val="left" w:pos="1418"/>
        </w:tabs>
        <w:overflowPunct w:val="0"/>
        <w:adjustRightInd w:val="0"/>
        <w:spacing w:line="240" w:lineRule="atLeast"/>
        <w:ind w:left="1418" w:hanging="1418"/>
        <w:textAlignment w:val="baseline"/>
        <w:rPr>
          <w:rFonts w:cs="Arial"/>
          <w:noProof/>
          <w:snapToGrid w:val="0"/>
          <w:szCs w:val="20"/>
          <w:lang w:val="it-IT"/>
        </w:rPr>
      </w:pPr>
      <w:r w:rsidRPr="00D50F76">
        <w:rPr>
          <w:lang w:val="it-IT"/>
        </w:rPr>
        <w:t>680 – 699</w:t>
      </w:r>
      <w:r w:rsidRPr="00D50F76">
        <w:rPr>
          <w:lang w:val="it-IT"/>
        </w:rPr>
        <w:tab/>
        <w:t>fenntartva</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700 – 719</w:t>
      </w:r>
      <w:r w:rsidRPr="00D50F76">
        <w:rPr>
          <w:lang w:val="it-IT"/>
        </w:rPr>
        <w:tab/>
        <w:t>Svédország</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720 – 739</w:t>
      </w:r>
      <w:r w:rsidRPr="00D50F76">
        <w:rPr>
          <w:lang w:val="it-IT"/>
        </w:rPr>
        <w:tab/>
        <w:t>Kanada</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740 – 759</w:t>
      </w:r>
      <w:r w:rsidRPr="00D50F76">
        <w:rPr>
          <w:lang w:val="it-IT"/>
        </w:rPr>
        <w:tab/>
        <w:t>Amerikai Egyesült Államok</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760 – 769</w:t>
      </w:r>
      <w:r w:rsidRPr="00D50F76">
        <w:rPr>
          <w:lang w:val="it-IT"/>
        </w:rPr>
        <w:tab/>
        <w:t>Izrael</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770 – 799</w:t>
      </w:r>
      <w:r w:rsidRPr="00D50F76">
        <w:rPr>
          <w:lang w:val="it-IT"/>
        </w:rPr>
        <w:tab/>
        <w:t>fenntartva</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800 – 809</w:t>
      </w:r>
      <w:r w:rsidRPr="00D50F76">
        <w:rPr>
          <w:lang w:val="it-IT"/>
        </w:rPr>
        <w:tab/>
        <w:t>Azerbajdzsán</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810 – 819</w:t>
      </w:r>
      <w:r w:rsidRPr="00D50F76">
        <w:rPr>
          <w:lang w:val="it-IT"/>
        </w:rPr>
        <w:tab/>
        <w:t>Kazahsztán</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820 – 829</w:t>
      </w:r>
      <w:r w:rsidRPr="00D50F76">
        <w:rPr>
          <w:lang w:val="it-IT"/>
        </w:rPr>
        <w:tab/>
        <w:t>Kirgizisztán</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830 – 839</w:t>
      </w:r>
      <w:r w:rsidRPr="00D50F76">
        <w:rPr>
          <w:lang w:val="it-IT"/>
        </w:rPr>
        <w:tab/>
        <w:t>Tádzsikisztán</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840 – 849</w:t>
      </w:r>
      <w:r w:rsidRPr="00D50F76">
        <w:rPr>
          <w:lang w:val="it-IT"/>
        </w:rPr>
        <w:tab/>
        <w:t>Türkmenisztán</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850 – 859</w:t>
      </w:r>
      <w:r w:rsidRPr="00D50F76">
        <w:rPr>
          <w:lang w:val="it-IT"/>
        </w:rPr>
        <w:tab/>
        <w:t>Üzbegisztán</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860 – 869</w:t>
      </w:r>
      <w:r w:rsidRPr="00D50F76">
        <w:rPr>
          <w:lang w:val="it-IT"/>
        </w:rPr>
        <w:tab/>
        <w:t>Irán</w:t>
      </w:r>
    </w:p>
    <w:p w:rsidR="005624E3" w:rsidRPr="00D50F76" w:rsidRDefault="005624E3" w:rsidP="005624E3">
      <w:pPr>
        <w:tabs>
          <w:tab w:val="left" w:pos="1418"/>
        </w:tabs>
        <w:overflowPunct w:val="0"/>
        <w:adjustRightInd w:val="0"/>
        <w:spacing w:line="240" w:lineRule="atLeast"/>
        <w:ind w:left="1418" w:hanging="1418"/>
        <w:textAlignment w:val="baseline"/>
        <w:rPr>
          <w:rFonts w:cs="Arial"/>
          <w:snapToGrid w:val="0"/>
          <w:szCs w:val="20"/>
          <w:lang w:val="it-IT"/>
        </w:rPr>
      </w:pPr>
      <w:r w:rsidRPr="00D50F76">
        <w:rPr>
          <w:lang w:val="it-IT"/>
        </w:rPr>
        <w:t>870 – 999</w:t>
      </w:r>
      <w:r w:rsidRPr="00D50F76">
        <w:rPr>
          <w:lang w:val="it-IT"/>
        </w:rPr>
        <w:tab/>
        <w:t>fenntartva</w:t>
      </w:r>
    </w:p>
    <w:p w:rsidR="005624E3" w:rsidRPr="00D50F76" w:rsidRDefault="005624E3" w:rsidP="005624E3">
      <w:pPr>
        <w:overflowPunct w:val="0"/>
        <w:adjustRightInd w:val="0"/>
        <w:textAlignment w:val="baseline"/>
        <w:rPr>
          <w:rFonts w:cs="Arial"/>
          <w:szCs w:val="20"/>
          <w:lang w:val="it-IT"/>
        </w:rPr>
      </w:pPr>
    </w:p>
    <w:p w:rsidR="005624E3" w:rsidRPr="00D50F76" w:rsidRDefault="005624E3" w:rsidP="005624E3">
      <w:pPr>
        <w:overflowPunct w:val="0"/>
        <w:adjustRightInd w:val="0"/>
        <w:textAlignment w:val="baseline"/>
        <w:rPr>
          <w:rFonts w:cs="Arial"/>
          <w:szCs w:val="20"/>
          <w:lang w:val="it-IT"/>
        </w:rPr>
      </w:pPr>
    </w:p>
    <w:p w:rsidR="005624E3" w:rsidRPr="00D50F76" w:rsidRDefault="005624E3" w:rsidP="005624E3">
      <w:pPr>
        <w:rPr>
          <w:noProof/>
          <w:lang w:val="it-IT"/>
        </w:rPr>
      </w:pPr>
      <w:r w:rsidRPr="00D50F76">
        <w:rPr>
          <w:lang w:val="it-IT"/>
        </w:rPr>
        <w:t>Az „xxxxx” karakterek az illetékes hatóság által adott öt számjegyű sorszámnak felelnek meg.</w:t>
      </w:r>
    </w:p>
    <w:p w:rsidR="005624E3" w:rsidRPr="00D50F76" w:rsidRDefault="005624E3" w:rsidP="005624E3">
      <w:pPr>
        <w:overflowPunct w:val="0"/>
        <w:adjustRightInd w:val="0"/>
        <w:textAlignment w:val="baseline"/>
        <w:rPr>
          <w:rFonts w:cs="Arial"/>
          <w:szCs w:val="20"/>
          <w:lang w:val="it-IT"/>
        </w:rPr>
      </w:pPr>
    </w:p>
    <w:p w:rsidR="005624E3" w:rsidRPr="00D50F76" w:rsidRDefault="005624E3" w:rsidP="005624E3">
      <w:pPr>
        <w:overflowPunct w:val="0"/>
        <w:adjustRightInd w:val="0"/>
        <w:textAlignment w:val="baseline"/>
        <w:rPr>
          <w:rFonts w:cs="Arial"/>
          <w:szCs w:val="20"/>
          <w:lang w:val="it-IT"/>
        </w:rPr>
      </w:pPr>
    </w:p>
    <w:p w:rsidR="005624E3" w:rsidRPr="00D50F76" w:rsidRDefault="005624E3" w:rsidP="005624E3">
      <w:pPr>
        <w:spacing w:line="240" w:lineRule="atLeast"/>
        <w:ind w:left="567" w:hanging="567"/>
        <w:rPr>
          <w:rFonts w:cs="Arial"/>
          <w:szCs w:val="20"/>
          <w:lang w:val="it-IT"/>
        </w:rPr>
      </w:pPr>
    </w:p>
    <w:p w:rsidR="005624E3" w:rsidRPr="00D50F76" w:rsidRDefault="005624E3" w:rsidP="005624E3">
      <w:pPr>
        <w:spacing w:line="240" w:lineRule="atLeast"/>
        <w:ind w:left="567" w:hanging="567"/>
        <w:rPr>
          <w:rFonts w:cs="Arial"/>
          <w:szCs w:val="20"/>
          <w:lang w:val="it-IT"/>
        </w:rPr>
      </w:pPr>
    </w:p>
    <w:p w:rsidR="005624E3" w:rsidRPr="00D50F76" w:rsidRDefault="005624E3" w:rsidP="005624E3">
      <w:pPr>
        <w:spacing w:line="240" w:lineRule="atLeast"/>
        <w:ind w:left="567" w:hanging="567"/>
        <w:rPr>
          <w:rFonts w:cs="Arial"/>
          <w:szCs w:val="20"/>
          <w:lang w:val="it-IT"/>
        </w:rPr>
      </w:pPr>
    </w:p>
    <w:p w:rsidR="005624E3" w:rsidRPr="00D50F76" w:rsidRDefault="005624E3" w:rsidP="005624E3">
      <w:pPr>
        <w:spacing w:line="240" w:lineRule="atLeast"/>
        <w:rPr>
          <w:rFonts w:cs="Arial"/>
          <w:szCs w:val="20"/>
          <w:lang w:val="it-IT"/>
        </w:rPr>
      </w:pPr>
    </w:p>
    <w:p w:rsidR="005624E3" w:rsidRPr="00D50F76" w:rsidRDefault="005624E3" w:rsidP="005624E3">
      <w:pPr>
        <w:spacing w:line="240" w:lineRule="atLeast"/>
        <w:rPr>
          <w:lang w:val="it-IT"/>
        </w:rPr>
      </w:pPr>
      <w:r w:rsidRPr="00D50F76">
        <w:rPr>
          <w:lang w:val="it-IT"/>
        </w:rPr>
        <w:br w:type="page"/>
      </w:r>
    </w:p>
    <w:p w:rsidR="005624E3" w:rsidRPr="00166EA9" w:rsidRDefault="005624E3" w:rsidP="005624E3">
      <w:pPr>
        <w:pStyle w:val="ES-Titre2"/>
        <w:pageBreakBefore w:val="0"/>
        <w:rPr>
          <w:lang w:val="it-IT"/>
        </w:rPr>
      </w:pPr>
      <w:bookmarkStart w:id="604" w:name="_Toc491854293"/>
      <w:bookmarkStart w:id="605" w:name="_Toc535854074"/>
      <w:r w:rsidRPr="00166EA9">
        <w:rPr>
          <w:lang w:val="it-IT"/>
        </w:rPr>
        <w:t>2. melléklet</w:t>
      </w:r>
      <w:r w:rsidRPr="00166EA9">
        <w:rPr>
          <w:lang w:val="it-IT"/>
        </w:rPr>
        <w:br/>
        <w:t>A vízi jármű azonosítására szolgáló adatok</w:t>
      </w:r>
      <w:bookmarkEnd w:id="604"/>
      <w:bookmarkEnd w:id="605"/>
    </w:p>
    <w:p w:rsidR="005624E3" w:rsidRPr="00D50F76" w:rsidRDefault="005624E3" w:rsidP="005624E3">
      <w:pPr>
        <w:overflowPunct w:val="0"/>
        <w:adjustRightInd w:val="0"/>
        <w:textAlignment w:val="baseline"/>
        <w:rPr>
          <w:rFonts w:cs="Arial"/>
          <w:szCs w:val="20"/>
          <w:lang w:val="it-IT"/>
        </w:rPr>
      </w:pPr>
    </w:p>
    <w:p w:rsidR="005624E3" w:rsidRPr="00D50F76" w:rsidRDefault="005624E3" w:rsidP="005624E3">
      <w:pPr>
        <w:spacing w:line="240" w:lineRule="atLeast"/>
        <w:rPr>
          <w:rFonts w:cs="Arial"/>
          <w:noProof/>
          <w:szCs w:val="20"/>
          <w:lang w:val="it-IT"/>
        </w:rPr>
      </w:pPr>
    </w:p>
    <w:p w:rsidR="005624E3" w:rsidRPr="00D50F76" w:rsidRDefault="005624E3" w:rsidP="005624E3">
      <w:pPr>
        <w:spacing w:line="240" w:lineRule="atLeast"/>
        <w:rPr>
          <w:rFonts w:cs="Arial"/>
          <w:color w:val="000000"/>
          <w:lang w:val="it-IT"/>
        </w:rPr>
      </w:pPr>
      <w:r w:rsidRPr="00D50F76">
        <w:rPr>
          <w:color w:val="000000"/>
          <w:lang w:val="it-IT"/>
        </w:rPr>
        <w:t>A.</w:t>
      </w:r>
      <w:r w:rsidRPr="00D50F76">
        <w:rPr>
          <w:lang w:val="it-IT"/>
        </w:rPr>
        <w:tab/>
      </w:r>
      <w:r w:rsidRPr="00D50F76">
        <w:rPr>
          <w:color w:val="000000"/>
          <w:lang w:val="it-IT"/>
        </w:rPr>
        <w:t>Valamennyi vízi jármű:</w:t>
      </w:r>
    </w:p>
    <w:p w:rsidR="005624E3" w:rsidRPr="00D50F76" w:rsidRDefault="005624E3" w:rsidP="005624E3">
      <w:pPr>
        <w:spacing w:before="60" w:line="240" w:lineRule="atLeast"/>
        <w:ind w:left="992" w:hanging="567"/>
        <w:rPr>
          <w:rFonts w:cs="Arial"/>
          <w:noProof/>
          <w:szCs w:val="20"/>
          <w:lang w:val="it-IT"/>
        </w:rPr>
      </w:pPr>
      <w:r w:rsidRPr="00D50F76">
        <w:rPr>
          <w:lang w:val="it-IT"/>
        </w:rPr>
        <w:t>1.</w:t>
      </w:r>
      <w:r w:rsidRPr="00D50F76">
        <w:rPr>
          <w:lang w:val="it-IT"/>
        </w:rPr>
        <w:tab/>
        <w:t>Egyedi európai hajóazonosító szám (3. melléklet, I. szakasz, a minta 3. rovata, valamint VI. szakasz, ötödik hasáb)</w:t>
      </w:r>
    </w:p>
    <w:p w:rsidR="005624E3" w:rsidRPr="00D50F76" w:rsidRDefault="005624E3" w:rsidP="005624E3">
      <w:pPr>
        <w:spacing w:before="60" w:line="240" w:lineRule="atLeast"/>
        <w:ind w:left="992" w:hanging="567"/>
        <w:rPr>
          <w:rFonts w:cs="Arial"/>
          <w:noProof/>
          <w:szCs w:val="20"/>
          <w:lang w:val="it-IT"/>
        </w:rPr>
      </w:pPr>
      <w:r w:rsidRPr="00D50F76">
        <w:rPr>
          <w:lang w:val="it-IT"/>
        </w:rPr>
        <w:t>2.</w:t>
      </w:r>
      <w:r w:rsidRPr="00D50F76">
        <w:rPr>
          <w:lang w:val="it-IT"/>
        </w:rPr>
        <w:tab/>
        <w:t>A vízi jármű / hajó neve (3. melléklet, I. szakasz, a minta 1. rovata, valamint VI. szakasz, negyedik hasáb)</w:t>
      </w:r>
    </w:p>
    <w:p w:rsidR="005624E3" w:rsidRPr="00D50F76" w:rsidRDefault="005624E3" w:rsidP="005624E3">
      <w:pPr>
        <w:spacing w:before="60" w:line="240" w:lineRule="atLeast"/>
        <w:ind w:left="992" w:hanging="567"/>
        <w:rPr>
          <w:rFonts w:cs="Arial"/>
          <w:noProof/>
          <w:szCs w:val="20"/>
          <w:lang w:val="it-IT"/>
        </w:rPr>
      </w:pPr>
      <w:r w:rsidRPr="00D50F76">
        <w:rPr>
          <w:lang w:val="it-IT"/>
        </w:rPr>
        <w:t>3.</w:t>
      </w:r>
      <w:r w:rsidRPr="00D50F76">
        <w:rPr>
          <w:lang w:val="it-IT"/>
        </w:rPr>
        <w:tab/>
        <w:t>A vízi jármű típusa az 1.01. cikk 1.1–1.28. pontjának meghatározása szerint (3. melléklet, I. szakasz, a minta 2. rovata)</w:t>
      </w:r>
    </w:p>
    <w:p w:rsidR="005624E3" w:rsidRPr="00D50F76" w:rsidRDefault="005624E3" w:rsidP="005624E3">
      <w:pPr>
        <w:spacing w:before="60" w:line="240" w:lineRule="atLeast"/>
        <w:ind w:left="992" w:hanging="567"/>
        <w:rPr>
          <w:rFonts w:cs="Arial"/>
          <w:noProof/>
          <w:szCs w:val="20"/>
          <w:lang w:val="it-IT"/>
        </w:rPr>
      </w:pPr>
      <w:r w:rsidRPr="00D50F76">
        <w:rPr>
          <w:lang w:val="it-IT"/>
        </w:rPr>
        <w:t>4.</w:t>
      </w:r>
      <w:r w:rsidRPr="00D50F76">
        <w:rPr>
          <w:lang w:val="it-IT"/>
        </w:rPr>
        <w:tab/>
        <w:t>Teljes hosszúság az 1.01. cikk 4.17. pontjának meghatározása szerint (3. melléklet, I. szakasz, 17a. rovat)</w:t>
      </w:r>
    </w:p>
    <w:p w:rsidR="005624E3" w:rsidRPr="00D50F76" w:rsidRDefault="005624E3" w:rsidP="005624E3">
      <w:pPr>
        <w:spacing w:before="60" w:line="240" w:lineRule="atLeast"/>
        <w:ind w:left="992" w:hanging="567"/>
        <w:rPr>
          <w:rFonts w:cs="Arial"/>
          <w:noProof/>
          <w:szCs w:val="20"/>
          <w:lang w:val="it-IT"/>
        </w:rPr>
      </w:pPr>
      <w:r w:rsidRPr="00D50F76">
        <w:rPr>
          <w:lang w:val="it-IT"/>
        </w:rPr>
        <w:t>5.</w:t>
      </w:r>
      <w:r w:rsidRPr="00D50F76">
        <w:rPr>
          <w:lang w:val="it-IT"/>
        </w:rPr>
        <w:tab/>
        <w:t>Teljes szélesség az 1.01. cikk 4.20. pontjának meghatározása szerint (3. melléklet, I. szakasz, 18a. rovat)</w:t>
      </w:r>
    </w:p>
    <w:p w:rsidR="005624E3" w:rsidRPr="00D50F76" w:rsidRDefault="005624E3" w:rsidP="005624E3">
      <w:pPr>
        <w:spacing w:before="60" w:line="240" w:lineRule="atLeast"/>
        <w:ind w:left="992" w:hanging="567"/>
        <w:rPr>
          <w:rFonts w:cs="Arial"/>
          <w:noProof/>
          <w:szCs w:val="20"/>
          <w:lang w:val="it-IT"/>
        </w:rPr>
      </w:pPr>
      <w:r w:rsidRPr="00D50F76">
        <w:rPr>
          <w:lang w:val="it-IT"/>
        </w:rPr>
        <w:t>6.</w:t>
      </w:r>
      <w:r w:rsidRPr="00D50F76">
        <w:rPr>
          <w:lang w:val="it-IT"/>
        </w:rPr>
        <w:tab/>
        <w:t>Merülés az 1.01. cikk 4.23. pontjának meghatározása szerint (3. melléklet, I. szakasz, 19a. rovat)</w:t>
      </w:r>
    </w:p>
    <w:p w:rsidR="005624E3" w:rsidRPr="00D50F76" w:rsidRDefault="005624E3" w:rsidP="005624E3">
      <w:pPr>
        <w:spacing w:before="60" w:line="240" w:lineRule="atLeast"/>
        <w:ind w:left="992" w:hanging="567"/>
        <w:rPr>
          <w:rFonts w:cs="Arial"/>
          <w:noProof/>
          <w:szCs w:val="20"/>
          <w:lang w:val="it-IT"/>
        </w:rPr>
      </w:pPr>
      <w:r w:rsidRPr="00D50F76">
        <w:rPr>
          <w:lang w:val="it-IT"/>
        </w:rPr>
        <w:t>7.</w:t>
      </w:r>
      <w:r w:rsidRPr="00D50F76">
        <w:rPr>
          <w:lang w:val="it-IT"/>
        </w:rPr>
        <w:tab/>
        <w:t>Adatforrás (= belvízi hajóbizonyítvány)</w:t>
      </w:r>
    </w:p>
    <w:p w:rsidR="005624E3" w:rsidRPr="00D50F76" w:rsidRDefault="005624E3" w:rsidP="005624E3">
      <w:pPr>
        <w:spacing w:before="60" w:line="240" w:lineRule="atLeast"/>
        <w:ind w:left="992" w:hanging="567"/>
        <w:rPr>
          <w:rFonts w:cs="Arial"/>
          <w:noProof/>
          <w:szCs w:val="20"/>
          <w:lang w:val="it-IT"/>
        </w:rPr>
      </w:pPr>
      <w:r w:rsidRPr="00D50F76">
        <w:rPr>
          <w:lang w:val="it-IT"/>
        </w:rPr>
        <w:t>8.</w:t>
      </w:r>
      <w:r w:rsidRPr="00D50F76">
        <w:rPr>
          <w:lang w:val="it-IT"/>
        </w:rPr>
        <w:tab/>
        <w:t>Hordképesség (3. melléklet, I. szakasz, 21. rovat, valamint VI. szakasz, tizenharmadik hasáb) szárazáru-szállító hajók esetében</w:t>
      </w:r>
    </w:p>
    <w:p w:rsidR="005624E3" w:rsidRPr="00D50F76" w:rsidRDefault="005624E3" w:rsidP="005624E3">
      <w:pPr>
        <w:spacing w:before="60" w:line="240" w:lineRule="atLeast"/>
        <w:ind w:left="992" w:hanging="567"/>
        <w:rPr>
          <w:rFonts w:cs="Arial"/>
          <w:noProof/>
          <w:szCs w:val="20"/>
          <w:lang w:val="it-IT"/>
        </w:rPr>
      </w:pPr>
      <w:r w:rsidRPr="00D50F76">
        <w:rPr>
          <w:lang w:val="it-IT"/>
        </w:rPr>
        <w:t>9.</w:t>
      </w:r>
      <w:r w:rsidRPr="00D50F76">
        <w:rPr>
          <w:lang w:val="it-IT"/>
        </w:rPr>
        <w:tab/>
        <w:t>Vízkiszorítási térfogat az 1.01. cikk 4.7. pontjának meghatározása szerint (3. melléklet, I. szakasz, 21. rovat, valamint VI. szakasz, tizenharmadik hasáb) szárazáru-szállító hajóktól eltérő hajók esetében</w:t>
      </w:r>
    </w:p>
    <w:p w:rsidR="005624E3" w:rsidRPr="00D50F76" w:rsidRDefault="005624E3" w:rsidP="005624E3">
      <w:pPr>
        <w:spacing w:before="60" w:line="240" w:lineRule="atLeast"/>
        <w:ind w:left="992" w:hanging="567"/>
        <w:rPr>
          <w:rFonts w:cs="Arial"/>
          <w:noProof/>
          <w:szCs w:val="20"/>
          <w:lang w:val="it-IT"/>
        </w:rPr>
      </w:pPr>
      <w:r w:rsidRPr="00D50F76">
        <w:rPr>
          <w:lang w:val="it-IT"/>
        </w:rPr>
        <w:t>10.</w:t>
      </w:r>
      <w:r w:rsidRPr="00D50F76">
        <w:rPr>
          <w:lang w:val="it-IT"/>
        </w:rPr>
        <w:tab/>
        <w:t>Üzembentartó (a tulajdonos vagy képviselője)</w:t>
      </w:r>
    </w:p>
    <w:p w:rsidR="005624E3" w:rsidRPr="00D50F76" w:rsidRDefault="005624E3" w:rsidP="005624E3">
      <w:pPr>
        <w:spacing w:before="60" w:line="240" w:lineRule="atLeast"/>
        <w:ind w:left="992" w:hanging="567"/>
        <w:rPr>
          <w:rFonts w:cs="Arial"/>
          <w:noProof/>
          <w:szCs w:val="20"/>
          <w:lang w:val="it-IT"/>
        </w:rPr>
      </w:pPr>
      <w:r w:rsidRPr="00D50F76">
        <w:rPr>
          <w:lang w:val="it-IT"/>
        </w:rPr>
        <w:t>11.</w:t>
      </w:r>
      <w:r w:rsidRPr="00D50F76">
        <w:rPr>
          <w:lang w:val="it-IT"/>
        </w:rPr>
        <w:tab/>
        <w:t>Ellenőrző szerv / Kiállító hatóság (3. melléklet, I. és VI. szakasz)</w:t>
      </w:r>
    </w:p>
    <w:p w:rsidR="005624E3" w:rsidRPr="00D50F76" w:rsidRDefault="005624E3" w:rsidP="005624E3">
      <w:pPr>
        <w:spacing w:before="60" w:line="240" w:lineRule="atLeast"/>
        <w:ind w:left="992" w:hanging="567"/>
        <w:rPr>
          <w:rFonts w:cs="Arial"/>
          <w:noProof/>
          <w:szCs w:val="20"/>
          <w:lang w:val="it-IT"/>
        </w:rPr>
      </w:pPr>
      <w:r w:rsidRPr="00D50F76">
        <w:rPr>
          <w:lang w:val="it-IT"/>
        </w:rPr>
        <w:t>12.</w:t>
      </w:r>
      <w:r w:rsidRPr="00D50F76">
        <w:rPr>
          <w:lang w:val="it-IT"/>
        </w:rPr>
        <w:tab/>
        <w:t>A belvízi hajóbizonyítvány száma (3. melléklet. I. szakasz, valamint VI. szakasz, első hasáb)</w:t>
      </w:r>
    </w:p>
    <w:p w:rsidR="005624E3" w:rsidRPr="00D50F76" w:rsidRDefault="005624E3" w:rsidP="005624E3">
      <w:pPr>
        <w:spacing w:before="60" w:line="240" w:lineRule="atLeast"/>
        <w:ind w:left="992" w:hanging="567"/>
        <w:rPr>
          <w:rFonts w:cs="Arial"/>
          <w:noProof/>
          <w:szCs w:val="20"/>
          <w:lang w:val="it-IT"/>
        </w:rPr>
      </w:pPr>
      <w:r w:rsidRPr="00D50F76">
        <w:rPr>
          <w:lang w:val="it-IT"/>
        </w:rPr>
        <w:t>13.</w:t>
      </w:r>
      <w:r w:rsidRPr="00D50F76">
        <w:rPr>
          <w:lang w:val="it-IT"/>
        </w:rPr>
        <w:tab/>
        <w:t>A lejárat időpontja (3. melléklet, I. szakasz, a minta 11. rovata, valamint VI. szakasz, tizenhetedik hasáb)</w:t>
      </w:r>
    </w:p>
    <w:p w:rsidR="005624E3" w:rsidRPr="00D50F76" w:rsidRDefault="005624E3" w:rsidP="005624E3">
      <w:pPr>
        <w:spacing w:before="60" w:line="240" w:lineRule="atLeast"/>
        <w:ind w:left="992" w:hanging="567"/>
        <w:rPr>
          <w:rFonts w:cs="Arial"/>
          <w:noProof/>
          <w:szCs w:val="20"/>
          <w:lang w:val="it-IT"/>
        </w:rPr>
      </w:pPr>
      <w:r w:rsidRPr="00D50F76">
        <w:rPr>
          <w:lang w:val="it-IT"/>
        </w:rPr>
        <w:t>14.</w:t>
      </w:r>
      <w:r w:rsidRPr="00D50F76">
        <w:rPr>
          <w:lang w:val="it-IT"/>
        </w:rPr>
        <w:tab/>
        <w:t>Az adatbázis összeállítója.</w:t>
      </w:r>
    </w:p>
    <w:p w:rsidR="005624E3" w:rsidRPr="00D50F76" w:rsidRDefault="005624E3" w:rsidP="005624E3">
      <w:pPr>
        <w:spacing w:line="240" w:lineRule="atLeast"/>
        <w:rPr>
          <w:rFonts w:cs="Arial"/>
          <w:noProof/>
          <w:szCs w:val="20"/>
          <w:lang w:val="it-IT"/>
        </w:rPr>
      </w:pPr>
    </w:p>
    <w:p w:rsidR="005624E3" w:rsidRPr="00D50F76" w:rsidRDefault="005624E3" w:rsidP="005624E3">
      <w:pPr>
        <w:spacing w:line="240" w:lineRule="atLeast"/>
        <w:rPr>
          <w:rFonts w:cs="Arial"/>
          <w:color w:val="000000"/>
          <w:lang w:val="it-IT"/>
        </w:rPr>
      </w:pPr>
      <w:r w:rsidRPr="00D50F76">
        <w:rPr>
          <w:color w:val="000000"/>
          <w:lang w:val="it-IT"/>
        </w:rPr>
        <w:t>B.</w:t>
      </w:r>
      <w:r w:rsidRPr="00D50F76">
        <w:rPr>
          <w:lang w:val="it-IT"/>
        </w:rPr>
        <w:tab/>
      </w:r>
      <w:r w:rsidRPr="00D50F76">
        <w:rPr>
          <w:color w:val="000000"/>
          <w:lang w:val="it-IT"/>
        </w:rPr>
        <w:t>Ha rendelkezésre áll:</w:t>
      </w:r>
    </w:p>
    <w:p w:rsidR="005624E3" w:rsidRPr="00D50F76" w:rsidRDefault="005624E3" w:rsidP="005624E3">
      <w:pPr>
        <w:spacing w:before="60" w:line="240" w:lineRule="atLeast"/>
        <w:ind w:left="992" w:hanging="567"/>
        <w:rPr>
          <w:rFonts w:cs="Arial"/>
          <w:noProof/>
          <w:szCs w:val="20"/>
          <w:lang w:val="it-IT"/>
        </w:rPr>
      </w:pPr>
      <w:r w:rsidRPr="00D50F76">
        <w:rPr>
          <w:lang w:val="it-IT"/>
        </w:rPr>
        <w:t>1.</w:t>
      </w:r>
      <w:r w:rsidRPr="00D50F76">
        <w:rPr>
          <w:lang w:val="it-IT"/>
        </w:rPr>
        <w:tab/>
        <w:t>Nemzeti azonosítószám</w:t>
      </w:r>
    </w:p>
    <w:p w:rsidR="005624E3" w:rsidRPr="00D50F76" w:rsidRDefault="005624E3" w:rsidP="005624E3">
      <w:pPr>
        <w:spacing w:before="60" w:line="240" w:lineRule="atLeast"/>
        <w:ind w:left="992" w:hanging="567"/>
        <w:rPr>
          <w:rFonts w:cs="Arial"/>
          <w:noProof/>
          <w:szCs w:val="20"/>
          <w:lang w:val="it-IT"/>
        </w:rPr>
      </w:pPr>
      <w:r w:rsidRPr="00D50F76">
        <w:rPr>
          <w:lang w:val="it-IT"/>
        </w:rPr>
        <w:t>2.</w:t>
      </w:r>
      <w:r w:rsidRPr="00D50F76">
        <w:rPr>
          <w:lang w:val="it-IT"/>
        </w:rPr>
        <w:tab/>
        <w:t>A vízi jármű típusa a belvízi hajózással kapcsolatos elektronikus hajózási adatszolgáltatásra vonatkozó műszaki előírások szerint</w:t>
      </w:r>
    </w:p>
    <w:p w:rsidR="005624E3" w:rsidRPr="00D50F76" w:rsidRDefault="005624E3" w:rsidP="005624E3">
      <w:pPr>
        <w:spacing w:before="60" w:line="240" w:lineRule="atLeast"/>
        <w:ind w:left="992" w:hanging="567"/>
        <w:rPr>
          <w:rFonts w:cs="Arial"/>
          <w:noProof/>
          <w:szCs w:val="20"/>
          <w:lang w:val="it-IT"/>
        </w:rPr>
      </w:pPr>
      <w:r w:rsidRPr="00D50F76">
        <w:rPr>
          <w:lang w:val="it-IT"/>
        </w:rPr>
        <w:t>3.</w:t>
      </w:r>
      <w:r w:rsidRPr="00D50F76">
        <w:rPr>
          <w:lang w:val="it-IT"/>
        </w:rPr>
        <w:tab/>
        <w:t>Szimpla- vagy duplahéjazatú hajótest az ADN/ADNR szerint</w:t>
      </w:r>
    </w:p>
    <w:p w:rsidR="005624E3" w:rsidRPr="00D50F76" w:rsidRDefault="005624E3" w:rsidP="005624E3">
      <w:pPr>
        <w:spacing w:before="60" w:line="240" w:lineRule="atLeast"/>
        <w:ind w:left="992" w:hanging="567"/>
        <w:rPr>
          <w:rFonts w:cs="Arial"/>
          <w:noProof/>
          <w:szCs w:val="20"/>
          <w:lang w:val="it-IT"/>
        </w:rPr>
      </w:pPr>
      <w:r w:rsidRPr="00D50F76">
        <w:rPr>
          <w:lang w:val="it-IT"/>
        </w:rPr>
        <w:t>4.</w:t>
      </w:r>
      <w:r w:rsidRPr="00D50F76">
        <w:rPr>
          <w:lang w:val="it-IT"/>
        </w:rPr>
        <w:tab/>
        <w:t>Magasság az 1.01. cikk 4.22. pontjának meghatározása szerint.</w:t>
      </w:r>
    </w:p>
    <w:p w:rsidR="005624E3" w:rsidRPr="00D50F76" w:rsidRDefault="005624E3" w:rsidP="005624E3">
      <w:pPr>
        <w:spacing w:before="60" w:line="240" w:lineRule="atLeast"/>
        <w:ind w:left="992" w:hanging="567"/>
        <w:rPr>
          <w:rFonts w:cs="Arial"/>
          <w:noProof/>
          <w:szCs w:val="20"/>
          <w:lang w:val="it-IT"/>
        </w:rPr>
      </w:pPr>
      <w:r w:rsidRPr="00D50F76">
        <w:rPr>
          <w:lang w:val="it-IT"/>
        </w:rPr>
        <w:t>5.</w:t>
      </w:r>
      <w:r w:rsidRPr="00D50F76">
        <w:rPr>
          <w:lang w:val="it-IT"/>
        </w:rPr>
        <w:tab/>
        <w:t>Bruttó űrtartalom (tengeri hajóknál)</w:t>
      </w:r>
    </w:p>
    <w:p w:rsidR="005624E3" w:rsidRPr="00D50F76" w:rsidRDefault="005624E3" w:rsidP="005624E3">
      <w:pPr>
        <w:spacing w:before="60" w:line="240" w:lineRule="atLeast"/>
        <w:ind w:left="992" w:hanging="567"/>
        <w:rPr>
          <w:rFonts w:cs="Arial"/>
          <w:noProof/>
          <w:szCs w:val="20"/>
          <w:lang w:val="it-IT"/>
        </w:rPr>
      </w:pPr>
      <w:r w:rsidRPr="00D50F76">
        <w:rPr>
          <w:lang w:val="it-IT"/>
        </w:rPr>
        <w:t>6.</w:t>
      </w:r>
      <w:r w:rsidRPr="00D50F76">
        <w:rPr>
          <w:lang w:val="it-IT"/>
        </w:rPr>
        <w:tab/>
        <w:t>IMO-szám (tengeri hajóknál)</w:t>
      </w:r>
    </w:p>
    <w:p w:rsidR="005624E3" w:rsidRPr="00D50F76" w:rsidRDefault="005624E3" w:rsidP="005624E3">
      <w:pPr>
        <w:spacing w:before="60" w:line="240" w:lineRule="atLeast"/>
        <w:ind w:left="992" w:hanging="567"/>
        <w:rPr>
          <w:rFonts w:cs="Arial"/>
          <w:noProof/>
          <w:szCs w:val="20"/>
          <w:lang w:val="it-IT"/>
        </w:rPr>
      </w:pPr>
      <w:r w:rsidRPr="00D50F76">
        <w:rPr>
          <w:lang w:val="it-IT"/>
        </w:rPr>
        <w:t>7.</w:t>
      </w:r>
      <w:r w:rsidRPr="00D50F76">
        <w:rPr>
          <w:lang w:val="it-IT"/>
        </w:rPr>
        <w:tab/>
        <w:t>Hívójel (tengeri hajóknál)</w:t>
      </w:r>
    </w:p>
    <w:p w:rsidR="005624E3" w:rsidRPr="00D50F76" w:rsidRDefault="005624E3" w:rsidP="005624E3">
      <w:pPr>
        <w:spacing w:before="60" w:line="240" w:lineRule="atLeast"/>
        <w:ind w:left="992" w:hanging="567"/>
        <w:rPr>
          <w:rFonts w:cs="Arial"/>
          <w:noProof/>
          <w:szCs w:val="20"/>
          <w:lang w:val="it-IT"/>
        </w:rPr>
      </w:pPr>
      <w:r w:rsidRPr="00D50F76">
        <w:rPr>
          <w:lang w:val="it-IT"/>
        </w:rPr>
        <w:t>8.</w:t>
      </w:r>
      <w:r w:rsidRPr="00D50F76">
        <w:rPr>
          <w:lang w:val="it-IT"/>
        </w:rPr>
        <w:tab/>
        <w:t>MMSI-szám</w:t>
      </w:r>
    </w:p>
    <w:p w:rsidR="005624E3" w:rsidRPr="00D50F76" w:rsidRDefault="005624E3" w:rsidP="005624E3">
      <w:pPr>
        <w:spacing w:before="60" w:line="240" w:lineRule="atLeast"/>
        <w:ind w:left="992" w:hanging="567"/>
        <w:rPr>
          <w:rFonts w:cs="Arial"/>
          <w:noProof/>
          <w:szCs w:val="20"/>
          <w:lang w:val="it-IT"/>
        </w:rPr>
      </w:pPr>
      <w:r w:rsidRPr="00D50F76">
        <w:rPr>
          <w:lang w:val="it-IT"/>
        </w:rPr>
        <w:t>9.</w:t>
      </w:r>
      <w:r w:rsidRPr="00D50F76">
        <w:rPr>
          <w:lang w:val="it-IT"/>
        </w:rPr>
        <w:tab/>
        <w:t>ATIS-kód</w:t>
      </w:r>
    </w:p>
    <w:p w:rsidR="005624E3" w:rsidRPr="00D50F76" w:rsidRDefault="005624E3" w:rsidP="005624E3">
      <w:pPr>
        <w:spacing w:before="60" w:line="240" w:lineRule="atLeast"/>
        <w:ind w:left="992" w:hanging="567"/>
        <w:rPr>
          <w:rFonts w:cs="Arial"/>
          <w:noProof/>
          <w:szCs w:val="20"/>
          <w:lang w:val="it-IT"/>
        </w:rPr>
      </w:pPr>
      <w:r w:rsidRPr="00D50F76">
        <w:rPr>
          <w:lang w:val="it-IT"/>
        </w:rPr>
        <w:t>10.</w:t>
      </w:r>
      <w:r w:rsidRPr="00D50F76">
        <w:rPr>
          <w:lang w:val="it-IT"/>
        </w:rPr>
        <w:tab/>
        <w:t>Az egyéb bizonyítványok típusa, száma, kiállító hatósága és lejárati időpontja.</w:t>
      </w:r>
    </w:p>
    <w:p w:rsidR="005624E3" w:rsidRPr="00D50F76" w:rsidRDefault="005624E3" w:rsidP="005624E3">
      <w:pPr>
        <w:spacing w:before="60" w:line="240" w:lineRule="atLeast"/>
        <w:ind w:left="992" w:hanging="567"/>
        <w:rPr>
          <w:rFonts w:cs="Arial"/>
          <w:noProof/>
          <w:szCs w:val="20"/>
          <w:lang w:val="it-IT"/>
        </w:rPr>
      </w:pPr>
    </w:p>
    <w:p w:rsidR="005624E3" w:rsidRPr="00D50F76" w:rsidRDefault="005624E3" w:rsidP="005624E3">
      <w:pPr>
        <w:spacing w:before="60" w:line="240" w:lineRule="atLeast"/>
        <w:ind w:left="992" w:hanging="567"/>
        <w:rPr>
          <w:rFonts w:cs="Arial"/>
          <w:noProof/>
          <w:szCs w:val="20"/>
          <w:lang w:val="it-IT"/>
        </w:rPr>
      </w:pPr>
    </w:p>
    <w:p w:rsidR="005624E3" w:rsidRPr="00D50F76" w:rsidRDefault="005624E3" w:rsidP="005624E3">
      <w:pPr>
        <w:spacing w:line="240" w:lineRule="atLeast"/>
        <w:rPr>
          <w:rFonts w:cs="Arial"/>
          <w:noProof/>
          <w:szCs w:val="20"/>
          <w:lang w:val="it-IT"/>
        </w:rPr>
      </w:pPr>
      <w:r w:rsidRPr="00D50F76">
        <w:rPr>
          <w:lang w:val="it-IT"/>
        </w:rPr>
        <w:br w:type="page"/>
      </w:r>
    </w:p>
    <w:p w:rsidR="005624E3" w:rsidRPr="00D50F76" w:rsidRDefault="005624E3" w:rsidP="005624E3">
      <w:pPr>
        <w:spacing w:line="240" w:lineRule="atLeast"/>
        <w:rPr>
          <w:rFonts w:cs="Arial"/>
          <w:noProof/>
          <w:szCs w:val="20"/>
          <w:lang w:val="it-IT"/>
        </w:rPr>
      </w:pPr>
    </w:p>
    <w:p w:rsidR="005624E3" w:rsidRPr="00D50F76" w:rsidRDefault="005624E3" w:rsidP="005624E3">
      <w:pPr>
        <w:spacing w:line="240" w:lineRule="atLeast"/>
        <w:rPr>
          <w:rFonts w:cs="Arial"/>
          <w:noProof/>
          <w:szCs w:val="20"/>
          <w:lang w:val="it-IT"/>
        </w:rPr>
      </w:pPr>
    </w:p>
    <w:p w:rsidR="005624E3" w:rsidRPr="00D50F76" w:rsidRDefault="005624E3" w:rsidP="005624E3">
      <w:pPr>
        <w:spacing w:line="240" w:lineRule="atLeast"/>
        <w:rPr>
          <w:rFonts w:cs="Arial"/>
          <w:noProof/>
          <w:szCs w:val="20"/>
          <w:lang w:val="it-IT"/>
        </w:rPr>
      </w:pPr>
    </w:p>
    <w:p w:rsidR="005624E3" w:rsidRPr="00D50F76" w:rsidRDefault="005624E3" w:rsidP="005624E3">
      <w:pPr>
        <w:tabs>
          <w:tab w:val="center" w:pos="8647"/>
        </w:tabs>
        <w:rPr>
          <w:rFonts w:cs="Arial"/>
          <w:szCs w:val="20"/>
          <w:lang w:val="it-IT"/>
        </w:rPr>
        <w:sectPr w:rsidR="005624E3" w:rsidRPr="00D50F76" w:rsidSect="0042206B">
          <w:headerReference w:type="default" r:id="rId42"/>
          <w:footerReference w:type="default" r:id="rId43"/>
          <w:headerReference w:type="first" r:id="rId44"/>
          <w:footnotePr>
            <w:numRestart w:val="eachPage"/>
          </w:footnotePr>
          <w:pgSz w:w="11907" w:h="16840"/>
          <w:pgMar w:top="1418" w:right="1418" w:bottom="1418" w:left="1418" w:header="720" w:footer="720" w:gutter="0"/>
          <w:cols w:space="720"/>
          <w:docGrid w:linePitch="272"/>
        </w:sectPr>
      </w:pPr>
    </w:p>
    <w:p w:rsidR="005624E3" w:rsidRPr="00D50F76" w:rsidRDefault="005624E3" w:rsidP="005624E3">
      <w:pPr>
        <w:tabs>
          <w:tab w:val="center" w:pos="8647"/>
        </w:tabs>
        <w:rPr>
          <w:rFonts w:cs="Arial"/>
          <w:szCs w:val="20"/>
          <w:lang w:val="it-IT"/>
        </w:rPr>
      </w:pPr>
    </w:p>
    <w:p w:rsidR="005624E3" w:rsidRPr="00166EA9" w:rsidRDefault="005624E3" w:rsidP="005624E3">
      <w:pPr>
        <w:pStyle w:val="ES-Titre2"/>
        <w:pageBreakBefore w:val="0"/>
        <w:rPr>
          <w:lang w:val="it-IT"/>
        </w:rPr>
      </w:pPr>
      <w:bookmarkStart w:id="606" w:name="_Toc491854294"/>
      <w:bookmarkStart w:id="607" w:name="_Toc535854075"/>
      <w:r w:rsidRPr="00166EA9">
        <w:rPr>
          <w:lang w:val="it-IT"/>
        </w:rPr>
        <w:t>3. melléklet</w:t>
      </w:r>
      <w:r w:rsidRPr="00166EA9">
        <w:rPr>
          <w:lang w:val="it-IT"/>
        </w:rPr>
        <w:br/>
        <w:t>A belvízi hajóbizonyítványok mintái és a belvízi hajóbizonyítványok nyilvántartásának mintája</w:t>
      </w:r>
      <w:bookmarkEnd w:id="606"/>
      <w:bookmarkEnd w:id="607"/>
    </w:p>
    <w:p w:rsidR="005624E3" w:rsidRPr="00D50F76" w:rsidRDefault="005624E3" w:rsidP="005624E3">
      <w:pPr>
        <w:pStyle w:val="ESgauche"/>
        <w:rPr>
          <w:lang w:val="it-IT"/>
        </w:rPr>
      </w:pPr>
    </w:p>
    <w:p w:rsidR="005624E3" w:rsidRPr="00D50F76" w:rsidRDefault="005624E3" w:rsidP="005624E3">
      <w:pPr>
        <w:pStyle w:val="ES-Titre3"/>
        <w:rPr>
          <w:noProof/>
          <w:lang w:val="it-IT"/>
        </w:rPr>
      </w:pPr>
      <w:bookmarkStart w:id="608" w:name="_Toc491854295"/>
      <w:bookmarkStart w:id="609" w:name="_Toc535854076"/>
      <w:r w:rsidRPr="00D50F76">
        <w:rPr>
          <w:lang w:val="it-IT"/>
        </w:rPr>
        <w:t>I. szakasz</w:t>
      </w:r>
      <w:bookmarkEnd w:id="608"/>
      <w:bookmarkEnd w:id="609"/>
    </w:p>
    <w:p w:rsidR="005624E3" w:rsidRPr="00D50F76" w:rsidRDefault="005624E3" w:rsidP="005624E3">
      <w:pPr>
        <w:pStyle w:val="ES-Titre3a"/>
        <w:rPr>
          <w:lang w:val="it-IT"/>
        </w:rPr>
      </w:pPr>
      <w:bookmarkStart w:id="610" w:name="_Toc491854296"/>
      <w:bookmarkStart w:id="611" w:name="_Toc535854077"/>
      <w:r w:rsidRPr="00D50F76">
        <w:rPr>
          <w:lang w:val="it-IT"/>
        </w:rPr>
        <w:t>A belvízi hajóbizonyítvány mintája</w:t>
      </w:r>
      <w:bookmarkEnd w:id="610"/>
      <w:bookmarkEnd w:id="611"/>
    </w:p>
    <w:p w:rsidR="005624E3" w:rsidRPr="00D50F76" w:rsidRDefault="005624E3" w:rsidP="005624E3">
      <w:pPr>
        <w:tabs>
          <w:tab w:val="left" w:pos="284"/>
          <w:tab w:val="left" w:leader="dot" w:pos="9356"/>
        </w:tabs>
        <w:overflowPunct w:val="0"/>
        <w:adjustRightInd w:val="0"/>
        <w:textAlignment w:val="baseline"/>
        <w:rPr>
          <w:rFonts w:cs="Arial"/>
          <w:szCs w:val="20"/>
          <w:lang w:val="it-IT"/>
        </w:rPr>
      </w:pPr>
    </w:p>
    <w:p w:rsidR="005624E3" w:rsidRPr="00D50F76" w:rsidRDefault="005624E3" w:rsidP="005624E3">
      <w:pPr>
        <w:tabs>
          <w:tab w:val="left" w:pos="284"/>
          <w:tab w:val="left" w:leader="dot" w:pos="9356"/>
        </w:tabs>
        <w:overflowPunct w:val="0"/>
        <w:adjustRightInd w:val="0"/>
        <w:textAlignment w:val="baseline"/>
        <w:rPr>
          <w:rFonts w:cs="Arial"/>
          <w:szCs w:val="20"/>
          <w:lang w:val="it-IT"/>
        </w:rPr>
      </w:pPr>
    </w:p>
    <w:p w:rsidR="005624E3" w:rsidRPr="00D50F76" w:rsidRDefault="005624E3" w:rsidP="005624E3">
      <w:pPr>
        <w:tabs>
          <w:tab w:val="left" w:pos="284"/>
          <w:tab w:val="left" w:leader="dot" w:pos="9356"/>
        </w:tabs>
        <w:overflowPunct w:val="0"/>
        <w:adjustRightInd w:val="0"/>
        <w:jc w:val="center"/>
        <w:textAlignment w:val="baseline"/>
        <w:rPr>
          <w:rFonts w:cs="Arial"/>
          <w:b/>
          <w:lang w:val="it-IT"/>
        </w:rPr>
      </w:pPr>
      <w:r w:rsidRPr="00D50F76">
        <w:rPr>
          <w:b/>
          <w:lang w:val="it-IT"/>
        </w:rPr>
        <w:t>Az állam neve / Bélyegző</w:t>
      </w:r>
    </w:p>
    <w:p w:rsidR="005624E3" w:rsidRPr="00D50F76" w:rsidRDefault="005624E3" w:rsidP="005624E3">
      <w:pPr>
        <w:tabs>
          <w:tab w:val="left" w:pos="284"/>
          <w:tab w:val="left" w:leader="dot" w:pos="9356"/>
        </w:tabs>
        <w:overflowPunct w:val="0"/>
        <w:adjustRightInd w:val="0"/>
        <w:jc w:val="center"/>
        <w:textAlignment w:val="baseline"/>
        <w:rPr>
          <w:rFonts w:cs="Arial"/>
          <w:b/>
          <w:lang w:val="it-IT"/>
        </w:rPr>
      </w:pPr>
    </w:p>
    <w:p w:rsidR="005624E3" w:rsidRPr="00D50F76" w:rsidRDefault="005624E3" w:rsidP="005624E3">
      <w:pPr>
        <w:tabs>
          <w:tab w:val="left" w:pos="284"/>
          <w:tab w:val="left" w:leader="dot" w:pos="9356"/>
        </w:tabs>
        <w:overflowPunct w:val="0"/>
        <w:adjustRightInd w:val="0"/>
        <w:jc w:val="center"/>
        <w:textAlignment w:val="baseline"/>
        <w:rPr>
          <w:rFonts w:cs="Arial"/>
          <w:b/>
          <w:lang w:val="it-IT"/>
        </w:rPr>
      </w:pPr>
    </w:p>
    <w:p w:rsidR="005624E3" w:rsidRPr="00D50F76" w:rsidRDefault="005624E3" w:rsidP="005624E3">
      <w:pPr>
        <w:tabs>
          <w:tab w:val="left" w:pos="284"/>
          <w:tab w:val="left" w:leader="dot" w:pos="9356"/>
        </w:tabs>
        <w:overflowPunct w:val="0"/>
        <w:adjustRightInd w:val="0"/>
        <w:jc w:val="center"/>
        <w:textAlignment w:val="baseline"/>
        <w:rPr>
          <w:rFonts w:cs="Arial"/>
          <w:b/>
          <w:lang w:val="it-IT"/>
        </w:rPr>
      </w:pPr>
      <w:r w:rsidRPr="00D50F76">
        <w:rPr>
          <w:b/>
          <w:lang w:val="it-IT"/>
        </w:rPr>
        <w:t>BELVÍZI HAJÓBIZONYÍTVÁNY</w:t>
      </w:r>
    </w:p>
    <w:p w:rsidR="005624E3" w:rsidRPr="00D50F76" w:rsidRDefault="005624E3" w:rsidP="005624E3">
      <w:pPr>
        <w:tabs>
          <w:tab w:val="left" w:pos="284"/>
          <w:tab w:val="left" w:leader="dot" w:pos="9356"/>
        </w:tabs>
        <w:overflowPunct w:val="0"/>
        <w:adjustRightInd w:val="0"/>
        <w:jc w:val="center"/>
        <w:textAlignment w:val="baseline"/>
        <w:rPr>
          <w:rFonts w:cs="Arial"/>
          <w:b/>
          <w:lang w:val="it-IT"/>
        </w:rPr>
      </w:pPr>
    </w:p>
    <w:p w:rsidR="005624E3" w:rsidRPr="00D50F76" w:rsidRDefault="005624E3" w:rsidP="005624E3">
      <w:pPr>
        <w:tabs>
          <w:tab w:val="left" w:pos="284"/>
          <w:tab w:val="left" w:leader="dot" w:pos="9356"/>
        </w:tabs>
        <w:overflowPunct w:val="0"/>
        <w:adjustRightInd w:val="0"/>
        <w:jc w:val="center"/>
        <w:textAlignment w:val="baseline"/>
        <w:rPr>
          <w:rFonts w:cs="Arial"/>
          <w:b/>
          <w:lang w:val="it-IT"/>
        </w:rPr>
      </w:pPr>
    </w:p>
    <w:p w:rsidR="005624E3" w:rsidRPr="00D50F76" w:rsidRDefault="005624E3" w:rsidP="005624E3">
      <w:pPr>
        <w:tabs>
          <w:tab w:val="left" w:pos="284"/>
          <w:tab w:val="left" w:leader="dot" w:pos="1701"/>
          <w:tab w:val="left" w:leader="dot" w:pos="9356"/>
        </w:tabs>
        <w:overflowPunct w:val="0"/>
        <w:adjustRightInd w:val="0"/>
        <w:jc w:val="center"/>
        <w:textAlignment w:val="baseline"/>
        <w:rPr>
          <w:rFonts w:cs="Arial"/>
          <w:b/>
          <w:lang w:val="it-IT"/>
        </w:rPr>
      </w:pPr>
      <w:r w:rsidRPr="00D50F76">
        <w:rPr>
          <w:b/>
          <w:lang w:val="it-IT"/>
        </w:rPr>
        <w:t xml:space="preserve">Száma: </w:t>
      </w:r>
      <w:r w:rsidRPr="00D50F76">
        <w:rPr>
          <w:lang w:val="it-IT"/>
        </w:rPr>
        <w:tab/>
      </w:r>
    </w:p>
    <w:p w:rsidR="005624E3" w:rsidRPr="00D50F76" w:rsidRDefault="005624E3" w:rsidP="005624E3">
      <w:pPr>
        <w:tabs>
          <w:tab w:val="left" w:pos="284"/>
          <w:tab w:val="left" w:leader="dot" w:pos="2268"/>
          <w:tab w:val="left" w:leader="dot" w:pos="9356"/>
        </w:tabs>
        <w:overflowPunct w:val="0"/>
        <w:adjustRightInd w:val="0"/>
        <w:textAlignment w:val="baseline"/>
        <w:rPr>
          <w:rFonts w:cs="Arial"/>
          <w:szCs w:val="20"/>
          <w:lang w:val="it-IT"/>
        </w:rPr>
      </w:pPr>
    </w:p>
    <w:p w:rsidR="005624E3" w:rsidRPr="00D50F76" w:rsidRDefault="005624E3" w:rsidP="005624E3">
      <w:pPr>
        <w:tabs>
          <w:tab w:val="left" w:pos="284"/>
          <w:tab w:val="left" w:leader="dot" w:pos="2268"/>
          <w:tab w:val="left" w:leader="dot" w:pos="9356"/>
        </w:tabs>
        <w:overflowPunct w:val="0"/>
        <w:adjustRightInd w:val="0"/>
        <w:textAlignment w:val="baseline"/>
        <w:rPr>
          <w:rFonts w:cs="Arial"/>
          <w:szCs w:val="20"/>
          <w:lang w:val="it-IT"/>
        </w:rPr>
      </w:pPr>
    </w:p>
    <w:p w:rsidR="005624E3" w:rsidRPr="00D50F76" w:rsidRDefault="005624E3" w:rsidP="005624E3">
      <w:pPr>
        <w:tabs>
          <w:tab w:val="left" w:pos="284"/>
          <w:tab w:val="left" w:leader="dot" w:pos="2268"/>
          <w:tab w:val="left" w:leader="dot" w:pos="9356"/>
        </w:tabs>
        <w:overflowPunct w:val="0"/>
        <w:adjustRightInd w:val="0"/>
        <w:textAlignment w:val="baseline"/>
        <w:rPr>
          <w:rFonts w:cs="Arial"/>
          <w:szCs w:val="20"/>
          <w:lang w:val="it-IT"/>
        </w:rPr>
      </w:pPr>
    </w:p>
    <w:p w:rsidR="005624E3" w:rsidRPr="00D50F76" w:rsidRDefault="005624E3" w:rsidP="005624E3">
      <w:pPr>
        <w:tabs>
          <w:tab w:val="left" w:pos="397"/>
          <w:tab w:val="left" w:leader="dot" w:pos="9356"/>
        </w:tabs>
        <w:overflowPunct w:val="0"/>
        <w:adjustRightInd w:val="0"/>
        <w:textAlignment w:val="baseline"/>
        <w:rPr>
          <w:rFonts w:cs="Arial"/>
          <w:szCs w:val="20"/>
          <w:lang w:val="it-IT"/>
        </w:rPr>
      </w:pPr>
      <w:r w:rsidRPr="00D50F76">
        <w:rPr>
          <w:lang w:val="it-IT"/>
        </w:rPr>
        <w:tab/>
        <w:t>Hely, dátum</w:t>
      </w:r>
    </w:p>
    <w:p w:rsidR="005624E3" w:rsidRPr="00D50F76" w:rsidRDefault="005624E3" w:rsidP="005624E3">
      <w:pPr>
        <w:tabs>
          <w:tab w:val="left" w:pos="113"/>
          <w:tab w:val="left" w:pos="397"/>
          <w:tab w:val="left" w:leader="dot" w:pos="9356"/>
        </w:tabs>
        <w:overflowPunct w:val="0"/>
        <w:adjustRightInd w:val="0"/>
        <w:textAlignment w:val="baseline"/>
        <w:rPr>
          <w:rFonts w:cs="Arial"/>
          <w:szCs w:val="20"/>
          <w:lang w:val="it-IT"/>
        </w:rPr>
      </w:pPr>
    </w:p>
    <w:p w:rsidR="005624E3" w:rsidRPr="00D50F76" w:rsidRDefault="005624E3" w:rsidP="005624E3">
      <w:pPr>
        <w:tabs>
          <w:tab w:val="left" w:pos="397"/>
          <w:tab w:val="left" w:leader="dot" w:pos="4536"/>
          <w:tab w:val="left" w:leader="dot" w:pos="9356"/>
        </w:tabs>
        <w:overflowPunct w:val="0"/>
        <w:adjustRightInd w:val="0"/>
        <w:textAlignment w:val="baseline"/>
        <w:rPr>
          <w:rFonts w:cs="Arial"/>
          <w:szCs w:val="20"/>
          <w:lang w:val="it-IT"/>
        </w:rPr>
      </w:pPr>
      <w:r w:rsidRPr="00D50F76">
        <w:rPr>
          <w:lang w:val="it-IT"/>
        </w:rPr>
        <w:tab/>
      </w:r>
      <w:r w:rsidRPr="00D50F76">
        <w:rPr>
          <w:lang w:val="it-IT"/>
        </w:rPr>
        <w:tab/>
      </w:r>
    </w:p>
    <w:p w:rsidR="005624E3" w:rsidRPr="00D50F76" w:rsidRDefault="005624E3" w:rsidP="005624E3">
      <w:pPr>
        <w:tabs>
          <w:tab w:val="left" w:pos="113"/>
          <w:tab w:val="left" w:pos="397"/>
          <w:tab w:val="left" w:leader="dot" w:pos="3969"/>
          <w:tab w:val="left" w:leader="dot" w:pos="9356"/>
        </w:tabs>
        <w:overflowPunct w:val="0"/>
        <w:adjustRightInd w:val="0"/>
        <w:textAlignment w:val="baseline"/>
        <w:rPr>
          <w:rFonts w:cs="Arial"/>
          <w:szCs w:val="20"/>
          <w:lang w:val="it-IT"/>
        </w:rPr>
      </w:pPr>
    </w:p>
    <w:p w:rsidR="005624E3" w:rsidRPr="00D50F76" w:rsidRDefault="005624E3" w:rsidP="005624E3">
      <w:pPr>
        <w:tabs>
          <w:tab w:val="center" w:pos="7088"/>
          <w:tab w:val="left" w:leader="dot" w:pos="9356"/>
        </w:tabs>
        <w:overflowPunct w:val="0"/>
        <w:adjustRightInd w:val="0"/>
        <w:textAlignment w:val="baseline"/>
        <w:rPr>
          <w:rFonts w:cs="Arial"/>
          <w:szCs w:val="20"/>
          <w:lang w:val="it-IT"/>
        </w:rPr>
      </w:pPr>
      <w:r w:rsidRPr="00D50F76">
        <w:rPr>
          <w:lang w:val="it-IT"/>
        </w:rPr>
        <w:tab/>
        <w:t>Ellenőrző szerv</w:t>
      </w:r>
    </w:p>
    <w:p w:rsidR="005624E3" w:rsidRPr="00D50F76" w:rsidRDefault="005624E3" w:rsidP="005624E3">
      <w:pPr>
        <w:tabs>
          <w:tab w:val="left" w:pos="113"/>
          <w:tab w:val="left" w:pos="397"/>
          <w:tab w:val="left" w:pos="5103"/>
          <w:tab w:val="left" w:leader="dot" w:pos="9356"/>
        </w:tabs>
        <w:overflowPunct w:val="0"/>
        <w:adjustRightInd w:val="0"/>
        <w:textAlignment w:val="baseline"/>
        <w:rPr>
          <w:rFonts w:cs="Arial"/>
          <w:szCs w:val="20"/>
          <w:lang w:val="it-IT"/>
        </w:rPr>
      </w:pPr>
    </w:p>
    <w:p w:rsidR="005624E3" w:rsidRPr="00D50F76" w:rsidRDefault="005624E3" w:rsidP="005624E3">
      <w:pPr>
        <w:tabs>
          <w:tab w:val="left" w:pos="5103"/>
          <w:tab w:val="left" w:leader="dot" w:pos="9072"/>
        </w:tabs>
        <w:overflowPunct w:val="0"/>
        <w:adjustRightInd w:val="0"/>
        <w:textAlignment w:val="baseline"/>
        <w:rPr>
          <w:rFonts w:cs="Arial"/>
          <w:szCs w:val="20"/>
          <w:lang w:val="it-IT"/>
        </w:rPr>
      </w:pPr>
      <w:r w:rsidRPr="00D50F76">
        <w:rPr>
          <w:lang w:val="it-IT"/>
        </w:rPr>
        <w:tab/>
      </w:r>
      <w:r w:rsidRPr="00D50F76">
        <w:rPr>
          <w:lang w:val="it-IT"/>
        </w:rPr>
        <w:tab/>
      </w:r>
    </w:p>
    <w:p w:rsidR="005624E3" w:rsidRPr="00D50F76" w:rsidRDefault="005624E3" w:rsidP="005624E3">
      <w:pPr>
        <w:tabs>
          <w:tab w:val="center" w:pos="1985"/>
          <w:tab w:val="left" w:pos="5103"/>
          <w:tab w:val="left" w:leader="dot" w:pos="9356"/>
        </w:tabs>
        <w:overflowPunct w:val="0"/>
        <w:adjustRightInd w:val="0"/>
        <w:textAlignment w:val="baseline"/>
        <w:rPr>
          <w:rFonts w:cs="Arial"/>
          <w:szCs w:val="20"/>
          <w:lang w:val="it-IT"/>
        </w:rPr>
      </w:pPr>
      <w:r w:rsidRPr="00D50F76">
        <w:rPr>
          <w:lang w:val="it-IT"/>
        </w:rPr>
        <w:tab/>
        <w:t>Bélyegző</w:t>
      </w:r>
    </w:p>
    <w:p w:rsidR="005624E3" w:rsidRPr="00D50F76" w:rsidRDefault="005624E3" w:rsidP="005624E3">
      <w:pPr>
        <w:tabs>
          <w:tab w:val="left" w:pos="113"/>
          <w:tab w:val="left" w:pos="397"/>
          <w:tab w:val="left" w:pos="5103"/>
          <w:tab w:val="left" w:leader="dot" w:pos="9356"/>
        </w:tabs>
        <w:overflowPunct w:val="0"/>
        <w:adjustRightInd w:val="0"/>
        <w:textAlignment w:val="baseline"/>
        <w:rPr>
          <w:rFonts w:cs="Arial"/>
          <w:szCs w:val="20"/>
          <w:lang w:val="it-IT"/>
        </w:rPr>
      </w:pPr>
    </w:p>
    <w:p w:rsidR="005624E3" w:rsidRPr="00D50F76" w:rsidRDefault="005624E3" w:rsidP="005624E3">
      <w:pPr>
        <w:tabs>
          <w:tab w:val="left" w:pos="113"/>
          <w:tab w:val="left" w:pos="397"/>
          <w:tab w:val="left" w:pos="5103"/>
          <w:tab w:val="left" w:leader="dot" w:pos="9356"/>
        </w:tabs>
        <w:overflowPunct w:val="0"/>
        <w:adjustRightInd w:val="0"/>
        <w:textAlignment w:val="baseline"/>
        <w:rPr>
          <w:rFonts w:cs="Arial"/>
          <w:szCs w:val="20"/>
          <w:lang w:val="it-IT"/>
        </w:rPr>
      </w:pPr>
    </w:p>
    <w:p w:rsidR="005624E3" w:rsidRPr="00D50F76" w:rsidRDefault="005624E3" w:rsidP="005624E3">
      <w:pPr>
        <w:tabs>
          <w:tab w:val="left" w:pos="113"/>
          <w:tab w:val="left" w:pos="397"/>
          <w:tab w:val="left" w:pos="5103"/>
          <w:tab w:val="left" w:leader="dot" w:pos="9356"/>
        </w:tabs>
        <w:overflowPunct w:val="0"/>
        <w:adjustRightInd w:val="0"/>
        <w:textAlignment w:val="baseline"/>
        <w:rPr>
          <w:rFonts w:cs="Arial"/>
          <w:szCs w:val="20"/>
          <w:lang w:val="it-IT"/>
        </w:rPr>
      </w:pPr>
    </w:p>
    <w:p w:rsidR="005624E3" w:rsidRPr="00D50F76" w:rsidRDefault="005624E3" w:rsidP="005624E3">
      <w:pPr>
        <w:tabs>
          <w:tab w:val="left" w:pos="113"/>
          <w:tab w:val="left" w:pos="397"/>
          <w:tab w:val="left" w:pos="5103"/>
          <w:tab w:val="left" w:leader="dot" w:pos="9356"/>
        </w:tabs>
        <w:overflowPunct w:val="0"/>
        <w:adjustRightInd w:val="0"/>
        <w:textAlignment w:val="baseline"/>
        <w:rPr>
          <w:rFonts w:cs="Arial"/>
          <w:szCs w:val="20"/>
          <w:lang w:val="it-IT"/>
        </w:rPr>
      </w:pPr>
    </w:p>
    <w:p w:rsidR="005624E3" w:rsidRPr="00D50F76" w:rsidRDefault="005624E3" w:rsidP="005624E3">
      <w:pPr>
        <w:tabs>
          <w:tab w:val="left" w:pos="5103"/>
          <w:tab w:val="left" w:leader="dot" w:pos="9072"/>
        </w:tabs>
        <w:overflowPunct w:val="0"/>
        <w:adjustRightInd w:val="0"/>
        <w:textAlignment w:val="baseline"/>
        <w:rPr>
          <w:rFonts w:cs="Arial"/>
          <w:szCs w:val="20"/>
          <w:lang w:val="it-IT"/>
        </w:rPr>
      </w:pPr>
      <w:r w:rsidRPr="00D50F76">
        <w:rPr>
          <w:lang w:val="it-IT"/>
        </w:rPr>
        <w:tab/>
      </w:r>
      <w:r w:rsidRPr="00D50F76">
        <w:rPr>
          <w:lang w:val="it-IT"/>
        </w:rPr>
        <w:tab/>
      </w:r>
    </w:p>
    <w:p w:rsidR="005624E3" w:rsidRPr="00D50F76" w:rsidRDefault="005624E3" w:rsidP="005624E3">
      <w:pPr>
        <w:tabs>
          <w:tab w:val="center" w:pos="7088"/>
          <w:tab w:val="left" w:leader="dot" w:pos="9356"/>
        </w:tabs>
        <w:overflowPunct w:val="0"/>
        <w:adjustRightInd w:val="0"/>
        <w:textAlignment w:val="baseline"/>
        <w:rPr>
          <w:rFonts w:cs="Arial"/>
          <w:szCs w:val="20"/>
          <w:lang w:val="it-IT"/>
        </w:rPr>
      </w:pPr>
      <w:r w:rsidRPr="00D50F76">
        <w:rPr>
          <w:lang w:val="it-IT"/>
        </w:rPr>
        <w:tab/>
      </w:r>
      <w:r w:rsidRPr="00D50F76">
        <w:rPr>
          <w:sz w:val="16"/>
          <w:lang w:val="it-IT"/>
        </w:rPr>
        <w:t>(Aláírás)</w:t>
      </w:r>
    </w:p>
    <w:p w:rsidR="005624E3" w:rsidRPr="00D50F76" w:rsidRDefault="005624E3" w:rsidP="005624E3">
      <w:pPr>
        <w:tabs>
          <w:tab w:val="left" w:pos="284"/>
          <w:tab w:val="left" w:leader="dot" w:pos="2268"/>
          <w:tab w:val="left" w:leader="dot" w:pos="9356"/>
        </w:tabs>
        <w:overflowPunct w:val="0"/>
        <w:adjustRightInd w:val="0"/>
        <w:textAlignment w:val="baseline"/>
        <w:rPr>
          <w:rFonts w:cs="Arial"/>
          <w:b/>
          <w:szCs w:val="20"/>
          <w:lang w:val="it-IT"/>
        </w:rPr>
      </w:pPr>
    </w:p>
    <w:p w:rsidR="005624E3" w:rsidRPr="00D50F76" w:rsidRDefault="005624E3" w:rsidP="005624E3">
      <w:pPr>
        <w:tabs>
          <w:tab w:val="left" w:pos="284"/>
          <w:tab w:val="left" w:leader="dot" w:pos="2268"/>
          <w:tab w:val="left" w:leader="dot" w:pos="9356"/>
        </w:tabs>
        <w:overflowPunct w:val="0"/>
        <w:adjustRightInd w:val="0"/>
        <w:textAlignment w:val="baseline"/>
        <w:rPr>
          <w:rFonts w:cs="Arial"/>
          <w:b/>
          <w:szCs w:val="20"/>
          <w:lang w:val="it-IT"/>
        </w:rPr>
      </w:pPr>
    </w:p>
    <w:p w:rsidR="005624E3" w:rsidRPr="00D50F76" w:rsidRDefault="005624E3" w:rsidP="005624E3">
      <w:pPr>
        <w:tabs>
          <w:tab w:val="left" w:pos="284"/>
          <w:tab w:val="left" w:leader="dot" w:pos="2268"/>
          <w:tab w:val="left" w:leader="dot" w:pos="9356"/>
        </w:tabs>
        <w:overflowPunct w:val="0"/>
        <w:adjustRightInd w:val="0"/>
        <w:textAlignment w:val="baseline"/>
        <w:rPr>
          <w:rFonts w:cs="Arial"/>
          <w:b/>
          <w:szCs w:val="20"/>
          <w:lang w:val="it-IT"/>
        </w:rPr>
      </w:pPr>
    </w:p>
    <w:p w:rsidR="005624E3" w:rsidRPr="00D50F76" w:rsidRDefault="005624E3" w:rsidP="005624E3">
      <w:pPr>
        <w:tabs>
          <w:tab w:val="left" w:pos="284"/>
          <w:tab w:val="left" w:leader="dot" w:pos="2268"/>
          <w:tab w:val="left" w:leader="dot" w:pos="9356"/>
        </w:tabs>
        <w:overflowPunct w:val="0"/>
        <w:adjustRightInd w:val="0"/>
        <w:textAlignment w:val="baseline"/>
        <w:rPr>
          <w:rFonts w:cs="Arial"/>
          <w:b/>
          <w:szCs w:val="20"/>
          <w:lang w:val="it-IT"/>
        </w:rPr>
      </w:pPr>
    </w:p>
    <w:p w:rsidR="005624E3" w:rsidRPr="00D50F76" w:rsidRDefault="005624E3" w:rsidP="005624E3">
      <w:pPr>
        <w:tabs>
          <w:tab w:val="left" w:pos="284"/>
          <w:tab w:val="left" w:leader="dot" w:pos="2268"/>
          <w:tab w:val="left" w:leader="dot" w:pos="9356"/>
        </w:tabs>
        <w:overflowPunct w:val="0"/>
        <w:adjustRightInd w:val="0"/>
        <w:textAlignment w:val="baseline"/>
        <w:rPr>
          <w:rFonts w:cs="Arial"/>
          <w:b/>
          <w:szCs w:val="20"/>
          <w:lang w:val="it-IT"/>
        </w:rPr>
      </w:pPr>
    </w:p>
    <w:p w:rsidR="005624E3" w:rsidRPr="00D50F76" w:rsidRDefault="005624E3" w:rsidP="005624E3">
      <w:pPr>
        <w:tabs>
          <w:tab w:val="left" w:pos="284"/>
          <w:tab w:val="left" w:leader="dot" w:pos="2268"/>
          <w:tab w:val="left" w:leader="dot" w:pos="9356"/>
        </w:tabs>
        <w:overflowPunct w:val="0"/>
        <w:adjustRightInd w:val="0"/>
        <w:textAlignment w:val="baseline"/>
        <w:rPr>
          <w:rFonts w:cs="Arial"/>
          <w:szCs w:val="20"/>
          <w:lang w:val="it-IT"/>
        </w:rPr>
      </w:pPr>
      <w:r w:rsidRPr="00D50F76">
        <w:rPr>
          <w:lang w:val="it-IT"/>
        </w:rPr>
        <w:t>Megjegyzések:</w:t>
      </w:r>
    </w:p>
    <w:p w:rsidR="005624E3" w:rsidRPr="00D50F76" w:rsidRDefault="005624E3" w:rsidP="005624E3">
      <w:pPr>
        <w:tabs>
          <w:tab w:val="left" w:pos="284"/>
          <w:tab w:val="left" w:leader="dot" w:pos="2268"/>
          <w:tab w:val="left" w:leader="dot" w:pos="9356"/>
        </w:tabs>
        <w:overflowPunct w:val="0"/>
        <w:adjustRightInd w:val="0"/>
        <w:textAlignment w:val="baseline"/>
        <w:rPr>
          <w:rFonts w:cs="Arial"/>
          <w:szCs w:val="20"/>
          <w:lang w:val="it-IT"/>
        </w:rPr>
      </w:pPr>
    </w:p>
    <w:p w:rsidR="005624E3" w:rsidRPr="00D50F76" w:rsidRDefault="005624E3" w:rsidP="005624E3">
      <w:pPr>
        <w:tabs>
          <w:tab w:val="left" w:leader="dot" w:pos="2268"/>
          <w:tab w:val="left" w:leader="dot" w:pos="9356"/>
        </w:tabs>
        <w:overflowPunct w:val="0"/>
        <w:adjustRightInd w:val="0"/>
        <w:textAlignment w:val="baseline"/>
        <w:rPr>
          <w:rFonts w:cs="Arial"/>
          <w:szCs w:val="20"/>
          <w:lang w:val="it-IT"/>
        </w:rPr>
      </w:pPr>
      <w:r w:rsidRPr="00D50F76">
        <w:rPr>
          <w:lang w:val="it-IT"/>
        </w:rPr>
        <w:t>A vízi jármű csak e belvízi hajózási hajóbizonyítvány alapján és csak az abban leírt állapotában használható hajózásra.</w:t>
      </w:r>
    </w:p>
    <w:p w:rsidR="005624E3" w:rsidRPr="00D50F76" w:rsidRDefault="005624E3" w:rsidP="005624E3">
      <w:pPr>
        <w:tabs>
          <w:tab w:val="left" w:leader="dot" w:pos="2268"/>
          <w:tab w:val="left" w:leader="dot" w:pos="9356"/>
        </w:tabs>
        <w:overflowPunct w:val="0"/>
        <w:adjustRightInd w:val="0"/>
        <w:textAlignment w:val="baseline"/>
        <w:rPr>
          <w:rFonts w:cs="Arial"/>
          <w:szCs w:val="20"/>
          <w:lang w:val="it-IT"/>
        </w:rPr>
      </w:pPr>
    </w:p>
    <w:p w:rsidR="005624E3" w:rsidRPr="00D50F76" w:rsidRDefault="005624E3" w:rsidP="005624E3">
      <w:pPr>
        <w:tabs>
          <w:tab w:val="left" w:leader="dot" w:pos="2268"/>
          <w:tab w:val="left" w:leader="dot" w:pos="9356"/>
        </w:tabs>
        <w:overflowPunct w:val="0"/>
        <w:adjustRightInd w:val="0"/>
        <w:textAlignment w:val="baseline"/>
        <w:rPr>
          <w:rFonts w:cs="Arial"/>
          <w:szCs w:val="20"/>
          <w:lang w:val="it-IT"/>
        </w:rPr>
      </w:pPr>
      <w:r w:rsidRPr="00D50F76">
        <w:rPr>
          <w:lang w:val="it-IT"/>
        </w:rPr>
        <w:t>Jelentősebb átalakítások vagy javítások esetén a vízi járművet új út előtt külön vizsgálat alá kell vonni.</w:t>
      </w:r>
    </w:p>
    <w:p w:rsidR="005624E3" w:rsidRPr="00D50F76" w:rsidRDefault="005624E3" w:rsidP="005624E3">
      <w:pPr>
        <w:tabs>
          <w:tab w:val="left" w:leader="dot" w:pos="2268"/>
          <w:tab w:val="left" w:leader="dot" w:pos="9356"/>
        </w:tabs>
        <w:overflowPunct w:val="0"/>
        <w:adjustRightInd w:val="0"/>
        <w:textAlignment w:val="baseline"/>
        <w:rPr>
          <w:rFonts w:cs="Arial"/>
          <w:szCs w:val="20"/>
          <w:lang w:val="it-IT"/>
        </w:rPr>
      </w:pPr>
    </w:p>
    <w:p w:rsidR="005624E3" w:rsidRPr="00D50F76" w:rsidRDefault="005624E3" w:rsidP="005624E3">
      <w:pPr>
        <w:tabs>
          <w:tab w:val="left" w:leader="dot" w:pos="2268"/>
          <w:tab w:val="left" w:leader="dot" w:pos="9356"/>
        </w:tabs>
        <w:overflowPunct w:val="0"/>
        <w:adjustRightInd w:val="0"/>
        <w:textAlignment w:val="baseline"/>
        <w:rPr>
          <w:rFonts w:cs="Arial"/>
          <w:b/>
          <w:szCs w:val="20"/>
          <w:lang w:val="it-IT"/>
        </w:rPr>
      </w:pPr>
      <w:r w:rsidRPr="00D50F76">
        <w:rPr>
          <w:lang w:val="it-IT"/>
        </w:rPr>
        <w:t>A vízi jármű tulajdonosa vagy annak képviselője köteles az ellenőrző szerv tudomására hozni minden, a vízi jármű nevében vagy a tulajdonos személyében bekövetkező változást, újabb köbözési eredményt, a lajstromozásban történő vagy az anyakikötőt érintő változást, és a belvízi hajóbizonyítványt meg kell küldenie az említett ellenőrző szervnek módosításra.</w:t>
      </w:r>
    </w:p>
    <w:p w:rsidR="005624E3" w:rsidRPr="00D50F76" w:rsidRDefault="005624E3" w:rsidP="005624E3">
      <w:pPr>
        <w:tabs>
          <w:tab w:val="left" w:leader="dot" w:pos="2835"/>
          <w:tab w:val="left" w:leader="dot" w:pos="5103"/>
        </w:tabs>
        <w:overflowPunct w:val="0"/>
        <w:adjustRightInd w:val="0"/>
        <w:textAlignment w:val="baseline"/>
        <w:rPr>
          <w:rFonts w:cs="Arial"/>
          <w:szCs w:val="20"/>
          <w:lang w:val="it-IT"/>
        </w:rPr>
      </w:pPr>
      <w:r w:rsidRPr="00D50F76">
        <w:rPr>
          <w:lang w:val="it-IT"/>
        </w:rPr>
        <w:br w:type="page"/>
        <w:t xml:space="preserve">Az ellenőrző szerv által kiadott .......... számú belvízi hajóbizonyítvány </w:t>
      </w:r>
      <w:r w:rsidRPr="00D50F76">
        <w:rPr>
          <w:lang w:val="it-IT"/>
        </w:rPr>
        <w:tab/>
      </w:r>
      <w:r w:rsidRPr="00D50F76">
        <w:rPr>
          <w:lang w:val="it-IT"/>
        </w:rPr>
        <w:tab/>
      </w:r>
    </w:p>
    <w:tbl>
      <w:tblPr>
        <w:tblW w:w="0" w:type="auto"/>
        <w:jc w:val="center"/>
        <w:tblLayout w:type="fixed"/>
        <w:tblCellMar>
          <w:left w:w="0" w:type="dxa"/>
          <w:right w:w="0" w:type="dxa"/>
        </w:tblCellMar>
        <w:tblLook w:val="0000" w:firstRow="0" w:lastRow="0" w:firstColumn="0" w:lastColumn="0" w:noHBand="0" w:noVBand="0"/>
      </w:tblPr>
      <w:tblGrid>
        <w:gridCol w:w="284"/>
        <w:gridCol w:w="2665"/>
        <w:gridCol w:w="113"/>
        <w:gridCol w:w="1531"/>
        <w:gridCol w:w="1531"/>
        <w:gridCol w:w="3062"/>
      </w:tblGrid>
      <w:tr w:rsidR="005624E3" w:rsidRPr="002F672B" w:rsidTr="00101A80">
        <w:trPr>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sidRPr="00D50F76">
              <w:rPr>
                <w:lang w:val="it-IT"/>
              </w:rPr>
              <w:tab/>
            </w:r>
            <w:r>
              <w:rPr>
                <w:sz w:val="18"/>
              </w:rPr>
              <w:t>1.</w:t>
            </w:r>
          </w:p>
        </w:tc>
        <w:tc>
          <w:tcPr>
            <w:tcW w:w="2778" w:type="dxa"/>
            <w:gridSpan w:val="2"/>
            <w:tcBorders>
              <w:top w:val="single" w:sz="6" w:space="0" w:color="auto"/>
              <w:bottom w:val="single" w:sz="6" w:space="0" w:color="auto"/>
              <w:righ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Pr>
                <w:sz w:val="18"/>
              </w:rPr>
              <w:t>A vízi jármű neve</w:t>
            </w:r>
            <w:r>
              <w:rPr>
                <w:rFonts w:cs="Arial"/>
                <w:sz w:val="18"/>
                <w:szCs w:val="20"/>
              </w:rPr>
              <w:br/>
            </w:r>
            <w:r>
              <w:rPr>
                <w:rFonts w:cs="Arial"/>
                <w:sz w:val="18"/>
                <w:szCs w:val="20"/>
              </w:rPr>
              <w:br/>
            </w:r>
            <w:r>
              <w:rPr>
                <w:rFonts w:cs="Arial"/>
                <w:sz w:val="18"/>
                <w:szCs w:val="20"/>
              </w:rPr>
              <w:br/>
            </w:r>
          </w:p>
        </w:tc>
        <w:tc>
          <w:tcPr>
            <w:tcW w:w="3062" w:type="dxa"/>
            <w:gridSpan w:val="2"/>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r>
              <w:tab/>
            </w:r>
            <w:r>
              <w:rPr>
                <w:sz w:val="18"/>
              </w:rPr>
              <w:t>2.</w:t>
            </w:r>
            <w:r>
              <w:tab/>
            </w:r>
            <w:r>
              <w:rPr>
                <w:sz w:val="18"/>
              </w:rPr>
              <w:t>A vízi jármű típusa</w:t>
            </w:r>
          </w:p>
        </w:tc>
        <w:tc>
          <w:tcPr>
            <w:tcW w:w="3062" w:type="dxa"/>
            <w:tcBorders>
              <w:top w:val="single" w:sz="6" w:space="0" w:color="auto"/>
              <w:bottom w:val="single" w:sz="6" w:space="0" w:color="auto"/>
              <w:right w:val="single" w:sz="6" w:space="0" w:color="auto"/>
            </w:tcBorders>
          </w:tcPr>
          <w:p w:rsidR="005624E3" w:rsidRPr="002F672B" w:rsidRDefault="005624E3" w:rsidP="00101A80">
            <w:pPr>
              <w:tabs>
                <w:tab w:val="left" w:pos="57"/>
                <w:tab w:val="left" w:pos="284"/>
              </w:tabs>
              <w:overflowPunct w:val="0"/>
              <w:adjustRightInd w:val="0"/>
              <w:ind w:left="284" w:hanging="284"/>
              <w:textAlignment w:val="baseline"/>
              <w:rPr>
                <w:rFonts w:cs="Arial"/>
                <w:sz w:val="18"/>
                <w:szCs w:val="20"/>
              </w:rPr>
            </w:pPr>
            <w:r>
              <w:tab/>
            </w:r>
            <w:r>
              <w:rPr>
                <w:sz w:val="18"/>
              </w:rPr>
              <w:t>3.</w:t>
            </w:r>
            <w:r>
              <w:tab/>
            </w:r>
            <w:r>
              <w:rPr>
                <w:noProof/>
                <w:sz w:val="18"/>
              </w:rPr>
              <w:t>Egyedi európai hajóazonosító szám</w:t>
            </w:r>
          </w:p>
        </w:tc>
      </w:tr>
      <w:tr w:rsidR="005624E3" w:rsidRPr="00842442"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r>
              <w:tab/>
            </w:r>
            <w:r>
              <w:rPr>
                <w:sz w:val="18"/>
              </w:rPr>
              <w:t>4.</w:t>
            </w:r>
          </w:p>
        </w:tc>
        <w:tc>
          <w:tcPr>
            <w:tcW w:w="8902" w:type="dxa"/>
            <w:gridSpan w:val="5"/>
            <w:tcBorders>
              <w:top w:val="single" w:sz="6" w:space="0" w:color="auto"/>
              <w:bottom w:val="single" w:sz="6" w:space="0" w:color="auto"/>
              <w:right w:val="single" w:sz="6" w:space="0" w:color="auto"/>
            </w:tcBorders>
          </w:tcPr>
          <w:p w:rsidR="005624E3" w:rsidRPr="00D50F76" w:rsidRDefault="005624E3" w:rsidP="00101A80">
            <w:pPr>
              <w:tabs>
                <w:tab w:val="left" w:pos="57"/>
                <w:tab w:val="left" w:pos="227"/>
              </w:tabs>
              <w:overflowPunct w:val="0"/>
              <w:adjustRightInd w:val="0"/>
              <w:textAlignment w:val="baseline"/>
              <w:rPr>
                <w:rFonts w:cs="Arial"/>
                <w:sz w:val="18"/>
                <w:szCs w:val="20"/>
                <w:lang w:val="pt-PT"/>
              </w:rPr>
            </w:pPr>
            <w:r w:rsidRPr="00D50F76">
              <w:rPr>
                <w:sz w:val="18"/>
                <w:lang w:val="pt-PT"/>
              </w:rPr>
              <w:t>A tulajdonos neve és címe</w:t>
            </w:r>
            <w:r w:rsidRPr="00D50F76">
              <w:rPr>
                <w:rFonts w:cs="Arial"/>
                <w:sz w:val="18"/>
                <w:szCs w:val="20"/>
                <w:lang w:val="pt-PT"/>
              </w:rPr>
              <w:br/>
            </w:r>
            <w:r w:rsidRPr="00D50F76">
              <w:rPr>
                <w:rFonts w:cs="Arial"/>
                <w:sz w:val="18"/>
                <w:szCs w:val="20"/>
                <w:lang w:val="pt-PT"/>
              </w:rPr>
              <w:br/>
            </w:r>
            <w:r w:rsidRPr="00D50F76">
              <w:rPr>
                <w:rFonts w:cs="Arial"/>
                <w:sz w:val="18"/>
                <w:szCs w:val="20"/>
                <w:lang w:val="pt-PT"/>
              </w:rPr>
              <w:br/>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sidRPr="00D50F76">
              <w:rPr>
                <w:lang w:val="pt-PT"/>
              </w:rPr>
              <w:tab/>
            </w:r>
            <w:r>
              <w:rPr>
                <w:sz w:val="18"/>
              </w:rPr>
              <w:t>5.</w:t>
            </w:r>
          </w:p>
        </w:tc>
        <w:tc>
          <w:tcPr>
            <w:tcW w:w="4309" w:type="dxa"/>
            <w:gridSpan w:val="3"/>
            <w:tcBorders>
              <w:right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r>
              <w:rPr>
                <w:sz w:val="18"/>
              </w:rPr>
              <w:t>Lajstromozás helye és lajstromszám</w:t>
            </w:r>
            <w:r>
              <w:rPr>
                <w:rFonts w:cs="Arial"/>
                <w:sz w:val="18"/>
                <w:szCs w:val="20"/>
              </w:rPr>
              <w:br/>
            </w:r>
            <w:r>
              <w:rPr>
                <w:rFonts w:cs="Arial"/>
                <w:sz w:val="18"/>
                <w:szCs w:val="20"/>
              </w:rPr>
              <w:br/>
            </w:r>
          </w:p>
        </w:tc>
        <w:tc>
          <w:tcPr>
            <w:tcW w:w="4593" w:type="dxa"/>
            <w:gridSpan w:val="2"/>
            <w:tcBorders>
              <w:top w:val="single" w:sz="6" w:space="0" w:color="auto"/>
              <w:bottom w:val="single" w:sz="6" w:space="0" w:color="auto"/>
              <w:right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r>
              <w:tab/>
            </w:r>
            <w:r>
              <w:rPr>
                <w:sz w:val="18"/>
              </w:rPr>
              <w:t>6.</w:t>
            </w:r>
            <w:r>
              <w:tab/>
            </w:r>
            <w:r>
              <w:rPr>
                <w:sz w:val="18"/>
              </w:rPr>
              <w:t>Anyakikötő</w:t>
            </w:r>
          </w:p>
        </w:tc>
      </w:tr>
      <w:tr w:rsidR="005624E3" w:rsidRPr="00842442"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tab/>
            </w:r>
            <w:r>
              <w:rPr>
                <w:sz w:val="18"/>
              </w:rPr>
              <w:t>7.</w:t>
            </w:r>
          </w:p>
        </w:tc>
        <w:tc>
          <w:tcPr>
            <w:tcW w:w="2665" w:type="dxa"/>
            <w:tcBorders>
              <w:top w:val="single" w:sz="6" w:space="0" w:color="auto"/>
              <w:bottom w:val="single" w:sz="6" w:space="0" w:color="auto"/>
              <w:right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r>
              <w:rPr>
                <w:sz w:val="18"/>
              </w:rPr>
              <w:t>Építés éve</w:t>
            </w:r>
            <w:r>
              <w:rPr>
                <w:rFonts w:cs="Arial"/>
                <w:sz w:val="18"/>
                <w:szCs w:val="20"/>
              </w:rPr>
              <w:br/>
            </w:r>
            <w:r>
              <w:rPr>
                <w:rFonts w:cs="Arial"/>
                <w:sz w:val="18"/>
                <w:szCs w:val="20"/>
              </w:rPr>
              <w:br/>
            </w:r>
          </w:p>
        </w:tc>
        <w:tc>
          <w:tcPr>
            <w:tcW w:w="6237" w:type="dxa"/>
            <w:gridSpan w:val="4"/>
            <w:tcBorders>
              <w:top w:val="single" w:sz="6" w:space="0" w:color="auto"/>
              <w:bottom w:val="single" w:sz="6" w:space="0" w:color="auto"/>
              <w:right w:val="single" w:sz="6" w:space="0" w:color="auto"/>
            </w:tcBorders>
          </w:tcPr>
          <w:p w:rsidR="005624E3" w:rsidRPr="00D50F76" w:rsidRDefault="005624E3" w:rsidP="00101A80">
            <w:pPr>
              <w:tabs>
                <w:tab w:val="left" w:pos="57"/>
                <w:tab w:val="left" w:pos="227"/>
              </w:tabs>
              <w:overflowPunct w:val="0"/>
              <w:adjustRightInd w:val="0"/>
              <w:textAlignment w:val="baseline"/>
              <w:rPr>
                <w:rFonts w:cs="Arial"/>
                <w:sz w:val="18"/>
                <w:szCs w:val="20"/>
                <w:lang w:val="pt-PT"/>
              </w:rPr>
            </w:pPr>
            <w:r w:rsidRPr="00D50F76">
              <w:rPr>
                <w:lang w:val="pt-PT"/>
              </w:rPr>
              <w:tab/>
            </w:r>
            <w:r w:rsidRPr="00D50F76">
              <w:rPr>
                <w:sz w:val="18"/>
                <w:lang w:val="pt-PT"/>
              </w:rPr>
              <w:t>8.</w:t>
            </w:r>
            <w:r w:rsidRPr="00D50F76">
              <w:rPr>
                <w:lang w:val="pt-PT"/>
              </w:rPr>
              <w:tab/>
            </w:r>
            <w:r w:rsidRPr="00D50F76">
              <w:rPr>
                <w:sz w:val="18"/>
                <w:lang w:val="pt-PT"/>
              </w:rPr>
              <w:t>A hajógyár neve és címe</w:t>
            </w: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spacing w:before="160"/>
              <w:textAlignment w:val="baseline"/>
              <w:rPr>
                <w:rFonts w:cs="Arial"/>
                <w:sz w:val="18"/>
                <w:szCs w:val="20"/>
              </w:rPr>
            </w:pPr>
            <w:r w:rsidRPr="00D50F76">
              <w:rPr>
                <w:lang w:val="pt-PT"/>
              </w:rPr>
              <w:tab/>
            </w:r>
            <w:r>
              <w:rPr>
                <w:sz w:val="18"/>
              </w:rPr>
              <w:t>9.</w:t>
            </w:r>
          </w:p>
        </w:tc>
        <w:tc>
          <w:tcPr>
            <w:tcW w:w="8902" w:type="dxa"/>
            <w:gridSpan w:val="5"/>
            <w:tcBorders>
              <w:bottom w:val="single" w:sz="6" w:space="0" w:color="auto"/>
              <w:right w:val="single" w:sz="6" w:space="0" w:color="auto"/>
            </w:tcBorders>
          </w:tcPr>
          <w:p w:rsidR="005624E3" w:rsidRPr="00C903F8" w:rsidRDefault="005624E3" w:rsidP="00101A80">
            <w:pPr>
              <w:tabs>
                <w:tab w:val="left" w:pos="57"/>
                <w:tab w:val="left" w:leader="dot" w:pos="2835"/>
                <w:tab w:val="left" w:leader="dot" w:pos="6295"/>
                <w:tab w:val="left" w:leader="dot" w:pos="8138"/>
                <w:tab w:val="left" w:leader="dot" w:pos="8705"/>
              </w:tabs>
              <w:overflowPunct w:val="0"/>
              <w:adjustRightInd w:val="0"/>
              <w:spacing w:before="160"/>
              <w:textAlignment w:val="baseline"/>
              <w:rPr>
                <w:rFonts w:cs="Arial"/>
                <w:sz w:val="18"/>
                <w:szCs w:val="20"/>
              </w:rPr>
            </w:pPr>
            <w:r w:rsidRPr="009740EF">
              <w:rPr>
                <w:sz w:val="18"/>
              </w:rPr>
              <w:t>Ez a hajóbizonyítvány felváltja a(z) .......... ellenőrző szerv által .......... -án/-én kiállított .......... számú belvízi hajóbizonyítványt</w:t>
            </w:r>
            <w:r w:rsidRPr="009740EF">
              <w:t>.</w:t>
            </w:r>
          </w:p>
        </w:tc>
      </w:tr>
      <w:tr w:rsidR="005624E3" w:rsidRPr="00A0619C" w:rsidTr="00101A80">
        <w:trPr>
          <w:cantSplit/>
          <w:jc w:val="center"/>
        </w:trPr>
        <w:tc>
          <w:tcPr>
            <w:tcW w:w="284" w:type="dxa"/>
            <w:tcBorders>
              <w:top w:val="single" w:sz="6" w:space="0" w:color="auto"/>
              <w:left w:val="single" w:sz="6" w:space="0" w:color="auto"/>
            </w:tcBorders>
          </w:tcPr>
          <w:p w:rsidR="005624E3" w:rsidRPr="00B9093D" w:rsidRDefault="005624E3" w:rsidP="00101A80">
            <w:pPr>
              <w:tabs>
                <w:tab w:val="left" w:pos="57"/>
                <w:tab w:val="left" w:pos="227"/>
              </w:tabs>
              <w:overflowPunct w:val="0"/>
              <w:adjustRightInd w:val="0"/>
              <w:spacing w:before="120"/>
              <w:textAlignment w:val="baseline"/>
              <w:rPr>
                <w:rFonts w:cs="Arial"/>
                <w:sz w:val="18"/>
                <w:szCs w:val="20"/>
              </w:rPr>
            </w:pPr>
            <w:r>
              <w:rPr>
                <w:sz w:val="18"/>
              </w:rPr>
              <w:t>10.</w:t>
            </w:r>
          </w:p>
        </w:tc>
        <w:tc>
          <w:tcPr>
            <w:tcW w:w="8902" w:type="dxa"/>
            <w:gridSpan w:val="5"/>
            <w:tcBorders>
              <w:right w:val="single" w:sz="6" w:space="0" w:color="auto"/>
            </w:tcBorders>
          </w:tcPr>
          <w:p w:rsidR="005624E3" w:rsidRPr="009740EF" w:rsidRDefault="005624E3" w:rsidP="00101A80">
            <w:pPr>
              <w:tabs>
                <w:tab w:val="left" w:pos="57"/>
                <w:tab w:val="left" w:leader="dot" w:pos="3402"/>
                <w:tab w:val="left" w:leader="dot" w:pos="8505"/>
              </w:tabs>
              <w:overflowPunct w:val="0"/>
              <w:adjustRightInd w:val="0"/>
              <w:spacing w:before="120"/>
              <w:textAlignment w:val="baseline"/>
              <w:rPr>
                <w:rFonts w:cs="Arial"/>
                <w:sz w:val="18"/>
                <w:szCs w:val="18"/>
              </w:rPr>
            </w:pPr>
            <w:r>
              <w:rPr>
                <w:sz w:val="18"/>
              </w:rPr>
              <w:t>A nevezett vízi jármű</w:t>
            </w:r>
            <w:r>
              <w:rPr>
                <w:rFonts w:cs="Arial"/>
                <w:sz w:val="18"/>
                <w:szCs w:val="20"/>
              </w:rPr>
              <w:br/>
            </w:r>
            <w:r>
              <w:rPr>
                <w:rFonts w:cs="Arial"/>
                <w:sz w:val="18"/>
                <w:szCs w:val="20"/>
              </w:rPr>
              <w:br/>
            </w:r>
            <w:r w:rsidRPr="009740EF">
              <w:rPr>
                <w:sz w:val="18"/>
                <w:szCs w:val="18"/>
              </w:rPr>
              <w:t>a(z) ................................... -án/-én</w:t>
            </w:r>
            <w:r w:rsidRPr="009740EF">
              <w:rPr>
                <w:position w:val="6"/>
                <w:sz w:val="18"/>
                <w:szCs w:val="18"/>
              </w:rPr>
              <w:t>*)</w:t>
            </w:r>
            <w:r w:rsidRPr="009740EF">
              <w:rPr>
                <w:sz w:val="18"/>
                <w:szCs w:val="18"/>
              </w:rPr>
              <w:t xml:space="preserve"> végzett ellenőrzés alapján,</w:t>
            </w:r>
          </w:p>
          <w:p w:rsidR="005624E3" w:rsidRPr="009740EF" w:rsidRDefault="005624E3" w:rsidP="00101A80">
            <w:pPr>
              <w:tabs>
                <w:tab w:val="left" w:pos="57"/>
                <w:tab w:val="left" w:leader="dot" w:pos="4536"/>
                <w:tab w:val="left" w:leader="dot" w:pos="8505"/>
              </w:tabs>
              <w:overflowPunct w:val="0"/>
              <w:adjustRightInd w:val="0"/>
              <w:textAlignment w:val="baseline"/>
              <w:rPr>
                <w:rFonts w:cs="Arial"/>
                <w:sz w:val="18"/>
                <w:szCs w:val="18"/>
              </w:rPr>
            </w:pPr>
            <w:r w:rsidRPr="009740EF">
              <w:rPr>
                <w:rFonts w:cs="Arial"/>
                <w:sz w:val="18"/>
                <w:szCs w:val="18"/>
              </w:rPr>
              <w:br/>
            </w:r>
            <w:r w:rsidRPr="009740EF">
              <w:rPr>
                <w:sz w:val="18"/>
                <w:szCs w:val="18"/>
              </w:rPr>
              <w:t>a(z) ................................... -án/-én</w:t>
            </w:r>
            <w:r w:rsidRPr="009740EF">
              <w:rPr>
                <w:position w:val="6"/>
                <w:sz w:val="18"/>
                <w:szCs w:val="18"/>
              </w:rPr>
              <w:t>*)</w:t>
            </w:r>
            <w:r w:rsidRPr="009740EF">
              <w:rPr>
                <w:sz w:val="18"/>
                <w:szCs w:val="18"/>
              </w:rPr>
              <w:t xml:space="preserve"> kelt tanúsítvány alapján,</w:t>
            </w:r>
          </w:p>
          <w:p w:rsidR="005624E3" w:rsidRPr="00C903F8" w:rsidRDefault="005624E3" w:rsidP="00101A80">
            <w:pPr>
              <w:tabs>
                <w:tab w:val="left" w:pos="57"/>
                <w:tab w:val="left" w:leader="dot" w:pos="6237"/>
                <w:tab w:val="left" w:leader="dot" w:pos="8505"/>
              </w:tabs>
              <w:overflowPunct w:val="0"/>
              <w:adjustRightInd w:val="0"/>
              <w:textAlignment w:val="baseline"/>
              <w:rPr>
                <w:rFonts w:cs="Arial"/>
                <w:sz w:val="18"/>
                <w:szCs w:val="20"/>
              </w:rPr>
            </w:pPr>
            <w:r>
              <w:rPr>
                <w:rFonts w:cs="Arial"/>
                <w:sz w:val="18"/>
                <w:szCs w:val="20"/>
              </w:rPr>
              <w:br/>
            </w:r>
            <w:r>
              <w:rPr>
                <w:sz w:val="18"/>
              </w:rPr>
              <w:t>melyet a következő elismert hajóosztályozó társaság végzett el, illetve nyújtott be:</w:t>
            </w:r>
            <w:r w:rsidRPr="009740EF">
              <w:rPr>
                <w:sz w:val="18"/>
                <w:szCs w:val="18"/>
              </w:rPr>
              <w:t xml:space="preserve"> ...................................</w:t>
            </w:r>
            <w:r>
              <w:rPr>
                <w:sz w:val="18"/>
                <w:szCs w:val="18"/>
              </w:rPr>
              <w:t>,</w:t>
            </w: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8902" w:type="dxa"/>
            <w:gridSpan w:val="5"/>
            <w:tcBorders>
              <w:right w:val="single" w:sz="6" w:space="0" w:color="auto"/>
            </w:tcBorders>
          </w:tcPr>
          <w:p w:rsidR="005624E3" w:rsidRPr="00C903F8" w:rsidRDefault="005624E3" w:rsidP="00101A80">
            <w:pPr>
              <w:tabs>
                <w:tab w:val="left" w:pos="57"/>
                <w:tab w:val="left" w:leader="dot" w:pos="3969"/>
                <w:tab w:val="left" w:pos="4253"/>
                <w:tab w:val="left" w:leader="dot" w:pos="8505"/>
              </w:tabs>
              <w:overflowPunct w:val="0"/>
              <w:adjustRightInd w:val="0"/>
              <w:spacing w:before="120" w:after="120"/>
              <w:textAlignment w:val="baseline"/>
              <w:rPr>
                <w:rFonts w:cs="Arial"/>
                <w:sz w:val="18"/>
                <w:szCs w:val="20"/>
              </w:rPr>
            </w:pPr>
            <w:r>
              <w:rPr>
                <w:sz w:val="18"/>
              </w:rPr>
              <w:t>üzemelésre alkalmasnak minősül:</w:t>
            </w:r>
          </w:p>
          <w:p w:rsidR="005624E3" w:rsidRPr="00C903F8" w:rsidRDefault="005624E3" w:rsidP="00101A80">
            <w:pPr>
              <w:tabs>
                <w:tab w:val="left" w:pos="340"/>
                <w:tab w:val="left" w:leader="dot" w:pos="3969"/>
                <w:tab w:val="left" w:pos="4253"/>
                <w:tab w:val="left" w:leader="dot" w:pos="8505"/>
              </w:tabs>
              <w:overflowPunct w:val="0"/>
              <w:adjustRightInd w:val="0"/>
              <w:textAlignment w:val="baseline"/>
              <w:rPr>
                <w:noProof/>
                <w:position w:val="6"/>
                <w:sz w:val="16"/>
              </w:rPr>
            </w:pPr>
            <w:r>
              <w:rPr>
                <w:noProof/>
                <w:sz w:val="18"/>
              </w:rPr>
              <w:t>-</w:t>
            </w:r>
            <w:r>
              <w:tab/>
            </w:r>
            <w:r>
              <w:rPr>
                <w:noProof/>
                <w:sz w:val="18"/>
              </w:rPr>
              <w:t>a Rajnán </w:t>
            </w:r>
            <w:r>
              <w:rPr>
                <w:noProof/>
                <w:position w:val="6"/>
                <w:sz w:val="16"/>
              </w:rPr>
              <w:t>(*)</w:t>
            </w:r>
          </w:p>
          <w:p w:rsidR="005624E3" w:rsidRPr="00C903F8" w:rsidRDefault="005624E3" w:rsidP="00101A80">
            <w:pPr>
              <w:tabs>
                <w:tab w:val="left" w:pos="57"/>
                <w:tab w:val="left" w:leader="dot" w:pos="3969"/>
                <w:tab w:val="left" w:pos="4253"/>
                <w:tab w:val="left" w:leader="dot" w:pos="8505"/>
              </w:tabs>
              <w:overflowPunct w:val="0"/>
              <w:adjustRightInd w:val="0"/>
              <w:textAlignment w:val="baseline"/>
              <w:rPr>
                <w:rFonts w:cs="Arial"/>
                <w:position w:val="6"/>
                <w:sz w:val="16"/>
                <w:szCs w:val="20"/>
              </w:rPr>
            </w:pPr>
            <w:r>
              <w:rPr>
                <w:sz w:val="18"/>
              </w:rPr>
              <w:t>…………………………. és</w:t>
            </w:r>
            <w:r>
              <w:tab/>
            </w:r>
            <w:r>
              <w:rPr>
                <w:sz w:val="18"/>
              </w:rPr>
              <w:t xml:space="preserve"> között</w:t>
            </w:r>
            <w:r>
              <w:rPr>
                <w:position w:val="6"/>
                <w:sz w:val="16"/>
              </w:rPr>
              <w:t>*)</w:t>
            </w:r>
          </w:p>
          <w:p w:rsidR="005624E3" w:rsidRPr="00C903F8" w:rsidRDefault="005624E3" w:rsidP="00101A80">
            <w:pPr>
              <w:tabs>
                <w:tab w:val="left" w:pos="57"/>
                <w:tab w:val="left" w:leader="dot" w:pos="3969"/>
                <w:tab w:val="left" w:pos="4253"/>
                <w:tab w:val="left" w:leader="dot" w:pos="8505"/>
              </w:tabs>
              <w:overflowPunct w:val="0"/>
              <w:adjustRightInd w:val="0"/>
              <w:textAlignment w:val="baseline"/>
              <w:rPr>
                <w:rFonts w:cs="Arial"/>
                <w:sz w:val="18"/>
                <w:szCs w:val="20"/>
              </w:rPr>
            </w:pPr>
          </w:p>
          <w:p w:rsidR="005624E3" w:rsidRPr="009740EF" w:rsidRDefault="005624E3" w:rsidP="00101A80">
            <w:pPr>
              <w:tabs>
                <w:tab w:val="left" w:pos="340"/>
                <w:tab w:val="left" w:leader="dot" w:pos="8703"/>
              </w:tabs>
              <w:overflowPunct w:val="0"/>
              <w:adjustRightInd w:val="0"/>
              <w:textAlignment w:val="baseline"/>
              <w:rPr>
                <w:noProof/>
                <w:position w:val="6"/>
                <w:sz w:val="18"/>
                <w:szCs w:val="18"/>
              </w:rPr>
            </w:pPr>
            <w:r>
              <w:rPr>
                <w:noProof/>
                <w:sz w:val="18"/>
              </w:rPr>
              <w:t>-</w:t>
            </w:r>
            <w:r w:rsidRPr="009740EF">
              <w:rPr>
                <w:sz w:val="18"/>
                <w:szCs w:val="18"/>
              </w:rPr>
              <w:tab/>
              <w:t>a</w:t>
            </w:r>
            <w:r>
              <w:rPr>
                <w:sz w:val="18"/>
                <w:szCs w:val="18"/>
              </w:rPr>
              <w:t>(z)</w:t>
            </w:r>
            <w:r w:rsidRPr="009740EF">
              <w:rPr>
                <w:sz w:val="18"/>
                <w:szCs w:val="18"/>
              </w:rPr>
              <w:t xml:space="preserve"> ....................... zóná(k)ba</w:t>
            </w:r>
            <w:r w:rsidRPr="009740EF">
              <w:rPr>
                <w:position w:val="6"/>
                <w:sz w:val="18"/>
                <w:szCs w:val="18"/>
              </w:rPr>
              <w:t>*)</w:t>
            </w:r>
            <w:r w:rsidRPr="009740EF">
              <w:rPr>
                <w:sz w:val="18"/>
                <w:szCs w:val="18"/>
              </w:rPr>
              <w:t xml:space="preserve"> sorolt uniós vízi utakon</w:t>
            </w:r>
            <w:r w:rsidRPr="009740EF">
              <w:rPr>
                <w:noProof/>
                <w:position w:val="6"/>
                <w:sz w:val="18"/>
                <w:szCs w:val="18"/>
              </w:rPr>
              <w:t xml:space="preserve"> </w:t>
            </w:r>
            <w:r w:rsidRPr="009740EF">
              <w:rPr>
                <w:sz w:val="18"/>
                <w:szCs w:val="18"/>
              </w:rPr>
              <w:tab/>
            </w:r>
          </w:p>
          <w:p w:rsidR="005624E3" w:rsidRPr="009740EF" w:rsidRDefault="005624E3" w:rsidP="00101A80">
            <w:pPr>
              <w:tabs>
                <w:tab w:val="left" w:leader="dot" w:pos="8703"/>
              </w:tabs>
              <w:overflowPunct w:val="0"/>
              <w:adjustRightInd w:val="0"/>
              <w:textAlignment w:val="baseline"/>
              <w:rPr>
                <w:noProof/>
                <w:sz w:val="18"/>
                <w:szCs w:val="18"/>
              </w:rPr>
            </w:pPr>
            <w:r w:rsidRPr="009740EF">
              <w:rPr>
                <w:sz w:val="18"/>
                <w:szCs w:val="18"/>
              </w:rPr>
              <w:tab/>
            </w:r>
          </w:p>
          <w:p w:rsidR="005624E3" w:rsidRPr="009740EF" w:rsidRDefault="005624E3" w:rsidP="00101A80">
            <w:pPr>
              <w:tabs>
                <w:tab w:val="left" w:leader="dot" w:pos="8703"/>
              </w:tabs>
              <w:overflowPunct w:val="0"/>
              <w:adjustRightInd w:val="0"/>
              <w:ind w:left="341" w:hanging="341"/>
              <w:textAlignment w:val="baseline"/>
              <w:rPr>
                <w:noProof/>
                <w:sz w:val="18"/>
                <w:szCs w:val="18"/>
              </w:rPr>
            </w:pPr>
          </w:p>
          <w:p w:rsidR="005624E3" w:rsidRPr="009740EF" w:rsidRDefault="005624E3" w:rsidP="00101A80">
            <w:pPr>
              <w:tabs>
                <w:tab w:val="left" w:leader="dot" w:pos="8703"/>
              </w:tabs>
              <w:overflowPunct w:val="0"/>
              <w:adjustRightInd w:val="0"/>
              <w:ind w:left="341" w:hanging="341"/>
              <w:textAlignment w:val="baseline"/>
              <w:rPr>
                <w:noProof/>
                <w:sz w:val="18"/>
                <w:szCs w:val="18"/>
              </w:rPr>
            </w:pPr>
            <w:r w:rsidRPr="009740EF">
              <w:rPr>
                <w:noProof/>
                <w:sz w:val="18"/>
                <w:szCs w:val="18"/>
              </w:rPr>
              <w:t>-</w:t>
            </w:r>
            <w:r w:rsidRPr="009740EF">
              <w:rPr>
                <w:sz w:val="18"/>
                <w:szCs w:val="18"/>
              </w:rPr>
              <w:tab/>
              <w:t>a</w:t>
            </w:r>
            <w:r>
              <w:rPr>
                <w:sz w:val="18"/>
                <w:szCs w:val="18"/>
              </w:rPr>
              <w:t>(z)</w:t>
            </w:r>
            <w:r w:rsidRPr="009740EF">
              <w:rPr>
                <w:sz w:val="18"/>
                <w:szCs w:val="18"/>
              </w:rPr>
              <w:t xml:space="preserve"> ....................... zóná(k)ba</w:t>
            </w:r>
            <w:r w:rsidRPr="009740EF">
              <w:rPr>
                <w:position w:val="6"/>
                <w:sz w:val="18"/>
                <w:szCs w:val="18"/>
              </w:rPr>
              <w:t>*)</w:t>
            </w:r>
            <w:r w:rsidRPr="009740EF">
              <w:rPr>
                <w:sz w:val="18"/>
                <w:szCs w:val="18"/>
              </w:rPr>
              <w:t xml:space="preserve"> sorolt vízi utakon</w:t>
            </w:r>
          </w:p>
          <w:p w:rsidR="005624E3" w:rsidRPr="00C903F8" w:rsidRDefault="005624E3" w:rsidP="00101A80">
            <w:pPr>
              <w:tabs>
                <w:tab w:val="left" w:leader="dot" w:pos="8703"/>
              </w:tabs>
              <w:overflowPunct w:val="0"/>
              <w:adjustRightInd w:val="0"/>
              <w:textAlignment w:val="baseline"/>
              <w:rPr>
                <w:noProof/>
                <w:sz w:val="18"/>
              </w:rPr>
            </w:pPr>
            <w:r>
              <w:rPr>
                <w:noProof/>
                <w:sz w:val="18"/>
              </w:rPr>
              <w:t>………………………………………………………………………………………………………………………………….[államok nevei</w:t>
            </w:r>
            <w:r>
              <w:rPr>
                <w:noProof/>
                <w:position w:val="6"/>
                <w:sz w:val="16"/>
              </w:rPr>
              <w:t>(*)</w:t>
            </w:r>
            <w:r>
              <w:rPr>
                <w:noProof/>
                <w:sz w:val="18"/>
              </w:rPr>
              <w:t>]-ban/-ben</w:t>
            </w:r>
            <w:r>
              <w:rPr>
                <w:noProof/>
                <w:sz w:val="18"/>
                <w:szCs w:val="20"/>
              </w:rPr>
              <w:t xml:space="preserve">, </w:t>
            </w:r>
            <w:r>
              <w:rPr>
                <w:noProof/>
                <w:sz w:val="18"/>
              </w:rPr>
              <w:t xml:space="preserve">a következők kivételével: </w:t>
            </w:r>
            <w:r>
              <w:tab/>
            </w:r>
            <w:r>
              <w:rPr>
                <w:noProof/>
                <w:sz w:val="18"/>
                <w:szCs w:val="20"/>
              </w:rPr>
              <w:br/>
            </w:r>
            <w:r>
              <w:tab/>
            </w:r>
            <w:r>
              <w:rPr>
                <w:noProof/>
                <w:sz w:val="18"/>
                <w:szCs w:val="20"/>
              </w:rPr>
              <w:br/>
            </w:r>
            <w:r>
              <w:rPr>
                <w:noProof/>
                <w:sz w:val="18"/>
              </w:rPr>
              <w:t xml:space="preserve">- </w:t>
            </w:r>
            <w:r w:rsidRPr="00D662D5">
              <w:rPr>
                <w:sz w:val="18"/>
                <w:szCs w:val="18"/>
              </w:rPr>
              <w:t>a következő államok vízi útjain [államok nevei (*)]:</w:t>
            </w:r>
            <w:r>
              <w:rPr>
                <w:noProof/>
                <w:sz w:val="18"/>
              </w:rPr>
              <w:t xml:space="preserve"> </w:t>
            </w:r>
            <w:r>
              <w:tab/>
            </w:r>
          </w:p>
          <w:p w:rsidR="005624E3" w:rsidRPr="00C903F8" w:rsidRDefault="005624E3" w:rsidP="00101A80">
            <w:pPr>
              <w:tabs>
                <w:tab w:val="left" w:leader="dot" w:pos="8703"/>
              </w:tabs>
              <w:overflowPunct w:val="0"/>
              <w:adjustRightInd w:val="0"/>
              <w:textAlignment w:val="baseline"/>
              <w:rPr>
                <w:rFonts w:cs="Arial"/>
                <w:sz w:val="18"/>
                <w:szCs w:val="20"/>
              </w:rPr>
            </w:pPr>
            <w:r>
              <w:tab/>
            </w:r>
            <w:r>
              <w:rPr>
                <w:noProof/>
                <w:sz w:val="18"/>
                <w:szCs w:val="20"/>
              </w:rPr>
              <w:br/>
            </w:r>
            <w:r>
              <w:tab/>
            </w:r>
            <w:r>
              <w:rPr>
                <w:rFonts w:cs="Arial"/>
                <w:sz w:val="18"/>
                <w:szCs w:val="20"/>
              </w:rPr>
              <w:br/>
            </w:r>
            <w:r>
              <w:tab/>
            </w:r>
          </w:p>
        </w:tc>
      </w:tr>
      <w:tr w:rsidR="005624E3" w:rsidRPr="00A0619C"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8902" w:type="dxa"/>
            <w:gridSpan w:val="5"/>
            <w:tcBorders>
              <w:bottom w:val="single" w:sz="6" w:space="0" w:color="auto"/>
              <w:right w:val="single" w:sz="6" w:space="0" w:color="auto"/>
            </w:tcBorders>
          </w:tcPr>
          <w:p w:rsidR="005624E3" w:rsidRPr="00C903F8" w:rsidRDefault="005624E3" w:rsidP="00101A80">
            <w:pPr>
              <w:tabs>
                <w:tab w:val="left" w:pos="57"/>
                <w:tab w:val="left" w:pos="340"/>
                <w:tab w:val="left" w:leader="dot" w:pos="8505"/>
              </w:tabs>
              <w:overflowPunct w:val="0"/>
              <w:adjustRightInd w:val="0"/>
              <w:spacing w:before="120"/>
              <w:textAlignment w:val="baseline"/>
              <w:rPr>
                <w:rFonts w:cs="Arial"/>
                <w:sz w:val="18"/>
                <w:szCs w:val="20"/>
              </w:rPr>
            </w:pPr>
            <w:r>
              <w:rPr>
                <w:sz w:val="18"/>
              </w:rPr>
              <w:t>a megengedett legnagyobb merüléssel, valamint az alábbiakban meghatározott felszereléssel és legénységgel.</w:t>
            </w: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s>
              <w:overflowPunct w:val="0"/>
              <w:adjustRightInd w:val="0"/>
              <w:spacing w:before="160"/>
              <w:textAlignment w:val="baseline"/>
              <w:rPr>
                <w:rFonts w:cs="Arial"/>
                <w:sz w:val="18"/>
                <w:szCs w:val="20"/>
              </w:rPr>
            </w:pPr>
            <w:r>
              <w:rPr>
                <w:sz w:val="18"/>
              </w:rPr>
              <w:t>11.</w:t>
            </w:r>
          </w:p>
        </w:tc>
        <w:tc>
          <w:tcPr>
            <w:tcW w:w="8902" w:type="dxa"/>
            <w:gridSpan w:val="5"/>
            <w:tcBorders>
              <w:top w:val="single" w:sz="6" w:space="0" w:color="auto"/>
              <w:bottom w:val="single" w:sz="6" w:space="0" w:color="auto"/>
              <w:right w:val="single" w:sz="6" w:space="0" w:color="auto"/>
            </w:tcBorders>
          </w:tcPr>
          <w:p w:rsidR="005624E3" w:rsidRPr="009740EF" w:rsidRDefault="005624E3" w:rsidP="00101A80">
            <w:pPr>
              <w:tabs>
                <w:tab w:val="left" w:pos="57"/>
                <w:tab w:val="left" w:leader="dot" w:pos="4536"/>
                <w:tab w:val="left" w:leader="dot" w:pos="6437"/>
              </w:tabs>
              <w:overflowPunct w:val="0"/>
              <w:adjustRightInd w:val="0"/>
              <w:spacing w:before="160"/>
              <w:textAlignment w:val="baseline"/>
              <w:rPr>
                <w:rFonts w:cs="Arial"/>
                <w:sz w:val="18"/>
                <w:szCs w:val="18"/>
              </w:rPr>
            </w:pPr>
            <w:r w:rsidRPr="009740EF">
              <w:rPr>
                <w:sz w:val="18"/>
                <w:szCs w:val="18"/>
              </w:rPr>
              <w:t>A hajóbizonyítvány érvényessége lejár .......... -án/-én.</w:t>
            </w:r>
            <w:r w:rsidRPr="009740EF">
              <w:rPr>
                <w:rFonts w:cs="Arial"/>
                <w:sz w:val="18"/>
                <w:szCs w:val="18"/>
              </w:rPr>
              <w:br/>
            </w:r>
          </w:p>
        </w:tc>
      </w:tr>
      <w:tr w:rsidR="005624E3" w:rsidRPr="00842442"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spacing w:before="80"/>
              <w:textAlignment w:val="baseline"/>
              <w:rPr>
                <w:rFonts w:cs="Arial"/>
                <w:sz w:val="18"/>
                <w:szCs w:val="20"/>
              </w:rPr>
            </w:pPr>
            <w:r>
              <w:tab/>
            </w:r>
            <w:r>
              <w:rPr>
                <w:sz w:val="18"/>
              </w:rPr>
              <w:t>*)</w:t>
            </w:r>
            <w:r>
              <w:rPr>
                <w:rFonts w:cs="Arial"/>
                <w:sz w:val="18"/>
                <w:szCs w:val="20"/>
              </w:rPr>
              <w:br/>
            </w:r>
            <w:r>
              <w:rPr>
                <w:rFonts w:cs="Arial"/>
                <w:sz w:val="18"/>
                <w:szCs w:val="20"/>
              </w:rPr>
              <w:br/>
            </w:r>
          </w:p>
          <w:p w:rsidR="005624E3" w:rsidRPr="00C903F8" w:rsidRDefault="005624E3" w:rsidP="00101A80">
            <w:pPr>
              <w:tabs>
                <w:tab w:val="left" w:pos="57"/>
              </w:tabs>
              <w:overflowPunct w:val="0"/>
              <w:adjustRightInd w:val="0"/>
              <w:spacing w:before="80"/>
              <w:textAlignment w:val="baseline"/>
              <w:rPr>
                <w:rFonts w:cs="Arial"/>
                <w:sz w:val="18"/>
                <w:szCs w:val="20"/>
              </w:rPr>
            </w:pPr>
          </w:p>
          <w:p w:rsidR="005624E3" w:rsidRPr="00C903F8" w:rsidRDefault="005624E3" w:rsidP="00101A80">
            <w:pPr>
              <w:tabs>
                <w:tab w:val="left" w:pos="57"/>
              </w:tabs>
              <w:overflowPunct w:val="0"/>
              <w:adjustRightInd w:val="0"/>
              <w:spacing w:before="160"/>
              <w:textAlignment w:val="baseline"/>
              <w:rPr>
                <w:rFonts w:cs="Arial"/>
                <w:sz w:val="18"/>
                <w:szCs w:val="20"/>
              </w:rPr>
            </w:pPr>
            <w:r>
              <w:tab/>
            </w:r>
            <w:r>
              <w:rPr>
                <w:sz w:val="18"/>
              </w:rPr>
              <w:t>*)</w:t>
            </w:r>
          </w:p>
        </w:tc>
        <w:tc>
          <w:tcPr>
            <w:tcW w:w="8902" w:type="dxa"/>
            <w:gridSpan w:val="5"/>
            <w:tcBorders>
              <w:bottom w:val="single" w:sz="6" w:space="0" w:color="auto"/>
              <w:right w:val="single" w:sz="6" w:space="0" w:color="auto"/>
            </w:tcBorders>
          </w:tcPr>
          <w:p w:rsidR="005624E3" w:rsidRPr="00C903F8" w:rsidRDefault="005624E3" w:rsidP="00101A80">
            <w:pPr>
              <w:tabs>
                <w:tab w:val="left" w:pos="57"/>
                <w:tab w:val="left" w:leader="dot" w:pos="3686"/>
              </w:tabs>
              <w:overflowPunct w:val="0"/>
              <w:adjustRightInd w:val="0"/>
              <w:spacing w:before="80" w:after="80"/>
              <w:ind w:left="57" w:right="57"/>
              <w:textAlignment w:val="baseline"/>
              <w:rPr>
                <w:rFonts w:cs="Arial"/>
                <w:sz w:val="18"/>
                <w:szCs w:val="20"/>
              </w:rPr>
            </w:pPr>
            <w:r>
              <w:rPr>
                <w:noProof/>
                <w:sz w:val="18"/>
              </w:rPr>
              <w:t>A következő rovatok módosultak: ...........</w:t>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rPr>
                <w:noProof/>
                <w:sz w:val="18"/>
              </w:rPr>
              <w:t>Új szöveg:</w:t>
            </w: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Ez az oldal lecserélésre került.</w:t>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 xml:space="preserve">Hely, dátum </w:t>
            </w:r>
            <w:r>
              <w:tab/>
            </w:r>
            <w:r>
              <w:tab/>
            </w:r>
            <w:r>
              <w:rPr>
                <w:sz w:val="18"/>
              </w:rPr>
              <w:t>Ellenőrző szerv</w:t>
            </w:r>
          </w:p>
          <w:p w:rsidR="005624E3" w:rsidRPr="00C903F8" w:rsidRDefault="005624E3" w:rsidP="00101A80">
            <w:pPr>
              <w:tabs>
                <w:tab w:val="left" w:pos="5103"/>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1701"/>
              </w:tabs>
              <w:overflowPunct w:val="0"/>
              <w:adjustRightInd w:val="0"/>
              <w:spacing w:after="80"/>
              <w:textAlignment w:val="baseline"/>
              <w:rPr>
                <w:rFonts w:cs="Arial"/>
                <w:sz w:val="18"/>
                <w:szCs w:val="20"/>
              </w:rPr>
            </w:pPr>
            <w:r>
              <w:tab/>
            </w:r>
            <w:r>
              <w:rPr>
                <w:sz w:val="18"/>
              </w:rPr>
              <w:t>Bélyegző</w:t>
            </w:r>
          </w:p>
          <w:p w:rsidR="005624E3" w:rsidRPr="00C903F8" w:rsidRDefault="005624E3" w:rsidP="00101A80">
            <w:pPr>
              <w:tabs>
                <w:tab w:val="left" w:pos="5103"/>
                <w:tab w:val="left" w:leader="dot" w:pos="8505"/>
              </w:tabs>
              <w:overflowPunct w:val="0"/>
              <w:adjustRightInd w:val="0"/>
              <w:textAlignment w:val="baseline"/>
              <w:rPr>
                <w:rFonts w:cs="Arial"/>
                <w:szCs w:val="20"/>
              </w:rPr>
            </w:pPr>
            <w:r>
              <w:tab/>
            </w:r>
            <w:r>
              <w:tab/>
            </w:r>
          </w:p>
          <w:p w:rsidR="005624E3" w:rsidRPr="00C903F8" w:rsidRDefault="005624E3" w:rsidP="00101A80">
            <w:pPr>
              <w:tabs>
                <w:tab w:val="center" w:pos="6862"/>
              </w:tabs>
              <w:overflowPunct w:val="0"/>
              <w:adjustRightInd w:val="0"/>
              <w:textAlignment w:val="baseline"/>
              <w:rPr>
                <w:rFonts w:cs="Arial"/>
                <w:sz w:val="16"/>
                <w:szCs w:val="20"/>
              </w:rPr>
            </w:pPr>
            <w:r>
              <w:tab/>
            </w:r>
            <w:r>
              <w:rPr>
                <w:sz w:val="16"/>
              </w:rPr>
              <w:t>(Aláírás)</w:t>
            </w:r>
          </w:p>
          <w:p w:rsidR="005624E3" w:rsidRPr="00D50F76" w:rsidRDefault="005624E3" w:rsidP="00101A80">
            <w:pPr>
              <w:tabs>
                <w:tab w:val="left" w:pos="113"/>
                <w:tab w:val="left" w:pos="397"/>
                <w:tab w:val="left" w:pos="6237"/>
                <w:tab w:val="left" w:leader="dot" w:pos="9356"/>
              </w:tabs>
              <w:overflowPunct w:val="0"/>
              <w:adjustRightInd w:val="0"/>
              <w:textAlignment w:val="baseline"/>
              <w:rPr>
                <w:rFonts w:cs="Arial"/>
                <w:sz w:val="16"/>
                <w:szCs w:val="20"/>
                <w:lang w:val="pt-PT"/>
              </w:rPr>
            </w:pPr>
            <w:r w:rsidRPr="00D50F76">
              <w:rPr>
                <w:sz w:val="18"/>
                <w:lang w:val="pt-PT"/>
              </w:rPr>
              <w:t>_______________________</w:t>
            </w:r>
          </w:p>
          <w:p w:rsidR="005624E3" w:rsidRPr="00D50F76" w:rsidRDefault="005624E3" w:rsidP="00101A80">
            <w:pPr>
              <w:tabs>
                <w:tab w:val="left" w:pos="284"/>
              </w:tabs>
              <w:overflowPunct w:val="0"/>
              <w:adjustRightInd w:val="0"/>
              <w:spacing w:after="40"/>
              <w:ind w:left="57"/>
              <w:textAlignment w:val="baseline"/>
              <w:rPr>
                <w:rFonts w:cs="Arial"/>
                <w:sz w:val="18"/>
                <w:szCs w:val="20"/>
                <w:lang w:val="pt-PT"/>
              </w:rPr>
            </w:pPr>
            <w:r w:rsidRPr="00D50F76">
              <w:rPr>
                <w:position w:val="4"/>
                <w:sz w:val="16"/>
                <w:lang w:val="pt-PT"/>
              </w:rPr>
              <w:t>*)</w:t>
            </w:r>
            <w:r w:rsidRPr="00D50F76">
              <w:rPr>
                <w:lang w:val="pt-PT"/>
              </w:rPr>
              <w:tab/>
            </w:r>
            <w:r w:rsidRPr="00D50F76">
              <w:rPr>
                <w:sz w:val="16"/>
                <w:lang w:val="pt-PT"/>
              </w:rPr>
              <w:t>A nem kívánt rész törlendő.</w:t>
            </w:r>
          </w:p>
        </w:tc>
      </w:tr>
    </w:tbl>
    <w:p w:rsidR="005624E3" w:rsidRPr="00842442" w:rsidRDefault="005624E3" w:rsidP="005624E3">
      <w:pPr>
        <w:tabs>
          <w:tab w:val="left" w:leader="dot" w:pos="2835"/>
          <w:tab w:val="left" w:leader="dot" w:pos="5103"/>
        </w:tabs>
        <w:overflowPunct w:val="0"/>
        <w:adjustRightInd w:val="0"/>
        <w:textAlignment w:val="baseline"/>
        <w:rPr>
          <w:rFonts w:cs="Arial"/>
          <w:szCs w:val="20"/>
          <w:lang w:val="pt-PT"/>
        </w:rPr>
      </w:pPr>
      <w:r w:rsidRPr="00842442">
        <w:rPr>
          <w:lang w:val="pt-PT"/>
        </w:rPr>
        <w:br w:type="page"/>
        <w:t xml:space="preserve">Az ellenőrző szerv által kiadott .......... számú belvízi hajóbizonyítvány </w:t>
      </w:r>
      <w:r w:rsidRPr="00842442">
        <w:rPr>
          <w:lang w:val="pt-PT"/>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12.</w:t>
            </w:r>
          </w:p>
        </w:tc>
        <w:tc>
          <w:tcPr>
            <w:tcW w:w="8902" w:type="dxa"/>
            <w:tcBorders>
              <w:top w:val="single" w:sz="6" w:space="0" w:color="auto"/>
              <w:bottom w:val="single" w:sz="6" w:space="0" w:color="auto"/>
              <w:right w:val="single" w:sz="6" w:space="0" w:color="auto"/>
            </w:tcBorders>
          </w:tcPr>
          <w:p w:rsidR="005624E3" w:rsidRPr="00C903F8" w:rsidRDefault="005624E3" w:rsidP="00101A80">
            <w:pPr>
              <w:tabs>
                <w:tab w:val="left" w:pos="57"/>
                <w:tab w:val="left" w:pos="340"/>
                <w:tab w:val="left" w:leader="dot" w:pos="8505"/>
              </w:tabs>
              <w:overflowPunct w:val="0"/>
              <w:adjustRightInd w:val="0"/>
              <w:spacing w:before="120"/>
              <w:ind w:left="57" w:hanging="57"/>
              <w:textAlignment w:val="baseline"/>
              <w:rPr>
                <w:rFonts w:cs="Arial"/>
                <w:sz w:val="18"/>
                <w:szCs w:val="20"/>
              </w:rPr>
            </w:pPr>
            <w:r>
              <w:tab/>
              <w:t>A belvízi hajóbizonyítvány számát (1), az egyedi európai hajóazonosító számot (2), a lajstromszámot (3) és a köbözési számot (4) megfelelő jelek alkalmazása útján fel kell tüntetni a vízi jármű következő helyein:</w:t>
            </w:r>
            <w:r>
              <w:rPr>
                <w:rFonts w:cs="Arial"/>
                <w:noProof/>
                <w:sz w:val="18"/>
                <w:szCs w:val="18"/>
              </w:rPr>
              <w:br/>
            </w:r>
            <w:r>
              <w:rPr>
                <w:rFonts w:cs="Arial"/>
                <w:noProof/>
                <w:sz w:val="18"/>
                <w:szCs w:val="18"/>
              </w:rPr>
              <w:br/>
            </w:r>
            <w:r>
              <w:rPr>
                <w:noProof/>
                <w:sz w:val="18"/>
              </w:rPr>
              <w:t>1.</w:t>
            </w:r>
            <w:r>
              <w:tab/>
            </w:r>
            <w:r>
              <w:tab/>
            </w:r>
            <w:r>
              <w:rPr>
                <w:rFonts w:cs="Arial"/>
                <w:sz w:val="18"/>
                <w:szCs w:val="20"/>
              </w:rPr>
              <w:br/>
            </w:r>
            <w:r>
              <w:rPr>
                <w:rFonts w:cs="Arial"/>
                <w:sz w:val="18"/>
                <w:szCs w:val="20"/>
              </w:rPr>
              <w:br/>
            </w:r>
            <w:r>
              <w:rPr>
                <w:sz w:val="18"/>
              </w:rPr>
              <w:t>2.</w:t>
            </w:r>
            <w:r>
              <w:tab/>
            </w:r>
            <w:r>
              <w:tab/>
            </w:r>
            <w:r>
              <w:rPr>
                <w:rFonts w:cs="Arial"/>
                <w:sz w:val="18"/>
                <w:szCs w:val="20"/>
              </w:rPr>
              <w:br/>
            </w:r>
            <w:r>
              <w:rPr>
                <w:rFonts w:cs="Arial"/>
                <w:sz w:val="18"/>
                <w:szCs w:val="20"/>
              </w:rPr>
              <w:br/>
            </w:r>
            <w:r>
              <w:rPr>
                <w:sz w:val="18"/>
              </w:rPr>
              <w:t>3.</w:t>
            </w:r>
            <w:r>
              <w:tab/>
            </w:r>
            <w:r>
              <w:tab/>
            </w:r>
            <w:r>
              <w:rPr>
                <w:rFonts w:cs="Arial"/>
                <w:sz w:val="18"/>
                <w:szCs w:val="20"/>
              </w:rPr>
              <w:br/>
            </w:r>
            <w:r>
              <w:rPr>
                <w:rFonts w:cs="Arial"/>
                <w:sz w:val="18"/>
                <w:szCs w:val="20"/>
              </w:rPr>
              <w:br/>
            </w:r>
            <w:r>
              <w:rPr>
                <w:sz w:val="18"/>
              </w:rPr>
              <w:t>4.</w:t>
            </w:r>
            <w:r>
              <w:tab/>
            </w:r>
            <w:r>
              <w:tab/>
            </w:r>
            <w:r>
              <w:rPr>
                <w:rFonts w:cs="Arial"/>
                <w:sz w:val="18"/>
                <w:szCs w:val="20"/>
              </w:rPr>
              <w:br/>
            </w: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13.</w:t>
            </w:r>
          </w:p>
        </w:tc>
        <w:tc>
          <w:tcPr>
            <w:tcW w:w="8902" w:type="dxa"/>
            <w:tcBorders>
              <w:top w:val="single" w:sz="6" w:space="0" w:color="auto"/>
              <w:bottom w:val="single" w:sz="6" w:space="0" w:color="auto"/>
              <w:right w:val="single" w:sz="6" w:space="0" w:color="auto"/>
            </w:tcBorders>
          </w:tcPr>
          <w:p w:rsidR="005624E3" w:rsidRPr="009740EF" w:rsidRDefault="005624E3" w:rsidP="00101A80">
            <w:pPr>
              <w:tabs>
                <w:tab w:val="left" w:pos="57"/>
                <w:tab w:val="left" w:pos="340"/>
                <w:tab w:val="left" w:pos="567"/>
                <w:tab w:val="left" w:pos="4536"/>
                <w:tab w:val="left" w:pos="4820"/>
              </w:tabs>
              <w:overflowPunct w:val="0"/>
              <w:adjustRightInd w:val="0"/>
              <w:spacing w:before="120" w:after="120"/>
              <w:textAlignment w:val="baseline"/>
              <w:rPr>
                <w:rFonts w:cs="Arial"/>
                <w:sz w:val="18"/>
                <w:szCs w:val="18"/>
              </w:rPr>
            </w:pPr>
            <w:r>
              <w:tab/>
            </w:r>
            <w:r>
              <w:rPr>
                <w:sz w:val="18"/>
              </w:rPr>
              <w:t xml:space="preserve">A </w:t>
            </w:r>
            <w:r w:rsidRPr="009740EF">
              <w:rPr>
                <w:sz w:val="18"/>
                <w:szCs w:val="18"/>
              </w:rPr>
              <w:t>megengedett legnagyobb merülést a hajó mindkét oldalán</w:t>
            </w:r>
          </w:p>
          <w:p w:rsidR="005624E3" w:rsidRPr="009740EF" w:rsidRDefault="005624E3" w:rsidP="00101A80">
            <w:pPr>
              <w:tabs>
                <w:tab w:val="left" w:pos="57"/>
                <w:tab w:val="left" w:pos="340"/>
                <w:tab w:val="left" w:pos="567"/>
                <w:tab w:val="left" w:pos="4536"/>
                <w:tab w:val="left" w:pos="4820"/>
              </w:tabs>
              <w:overflowPunct w:val="0"/>
              <w:adjustRightInd w:val="0"/>
              <w:spacing w:after="120"/>
              <w:textAlignment w:val="baseline"/>
              <w:rPr>
                <w:rFonts w:cs="Arial"/>
                <w:sz w:val="18"/>
                <w:szCs w:val="18"/>
              </w:rPr>
            </w:pPr>
            <w:r w:rsidRPr="009740EF">
              <w:rPr>
                <w:sz w:val="18"/>
                <w:szCs w:val="18"/>
              </w:rPr>
              <w:t>-</w:t>
            </w:r>
            <w:r w:rsidRPr="009740EF">
              <w:rPr>
                <w:sz w:val="18"/>
                <w:szCs w:val="18"/>
              </w:rPr>
              <w:tab/>
              <w:t xml:space="preserve">két – ........... – merülési vonallal jelezték </w:t>
            </w:r>
            <w:r w:rsidRPr="009740EF">
              <w:rPr>
                <w:position w:val="6"/>
                <w:sz w:val="18"/>
                <w:szCs w:val="18"/>
              </w:rPr>
              <w:t>*)</w:t>
            </w:r>
            <w:r w:rsidRPr="009740EF">
              <w:rPr>
                <w:sz w:val="18"/>
                <w:szCs w:val="18"/>
              </w:rPr>
              <w:t>.</w:t>
            </w:r>
          </w:p>
          <w:p w:rsidR="005624E3" w:rsidRPr="009740EF" w:rsidRDefault="005624E3" w:rsidP="00101A80">
            <w:pPr>
              <w:tabs>
                <w:tab w:val="left" w:pos="57"/>
                <w:tab w:val="left" w:pos="340"/>
                <w:tab w:val="left" w:pos="567"/>
                <w:tab w:val="left" w:pos="4536"/>
                <w:tab w:val="left" w:pos="4820"/>
              </w:tabs>
              <w:overflowPunct w:val="0"/>
              <w:adjustRightInd w:val="0"/>
              <w:textAlignment w:val="baseline"/>
              <w:rPr>
                <w:rFonts w:cs="Arial"/>
                <w:sz w:val="18"/>
                <w:szCs w:val="18"/>
              </w:rPr>
            </w:pPr>
            <w:r w:rsidRPr="009740EF">
              <w:rPr>
                <w:sz w:val="18"/>
                <w:szCs w:val="18"/>
              </w:rPr>
              <w:t>-</w:t>
            </w:r>
            <w:r w:rsidRPr="009740EF">
              <w:rPr>
                <w:sz w:val="18"/>
                <w:szCs w:val="18"/>
              </w:rPr>
              <w:tab/>
              <w:t xml:space="preserve">a felső köbözési táblákkal jelezték </w:t>
            </w:r>
            <w:r w:rsidRPr="009740EF">
              <w:rPr>
                <w:position w:val="6"/>
                <w:sz w:val="18"/>
                <w:szCs w:val="18"/>
              </w:rPr>
              <w:t>*)</w:t>
            </w:r>
            <w:r w:rsidRPr="009740EF">
              <w:rPr>
                <w:sz w:val="18"/>
                <w:szCs w:val="18"/>
              </w:rPr>
              <w:t>.</w:t>
            </w:r>
          </w:p>
          <w:p w:rsidR="005624E3" w:rsidRPr="009740EF" w:rsidRDefault="005624E3" w:rsidP="00101A80">
            <w:pPr>
              <w:tabs>
                <w:tab w:val="left" w:pos="57"/>
                <w:tab w:val="left" w:pos="340"/>
                <w:tab w:val="left" w:pos="567"/>
                <w:tab w:val="left" w:pos="4536"/>
                <w:tab w:val="left" w:pos="4820"/>
              </w:tabs>
              <w:overflowPunct w:val="0"/>
              <w:adjustRightInd w:val="0"/>
              <w:textAlignment w:val="baseline"/>
              <w:rPr>
                <w:rFonts w:cs="Arial"/>
                <w:sz w:val="18"/>
                <w:szCs w:val="18"/>
              </w:rPr>
            </w:pPr>
          </w:p>
          <w:p w:rsidR="005624E3" w:rsidRPr="00C903F8" w:rsidRDefault="005624E3" w:rsidP="00101A80">
            <w:pPr>
              <w:tabs>
                <w:tab w:val="left" w:pos="57"/>
                <w:tab w:val="left" w:pos="340"/>
                <w:tab w:val="left" w:pos="567"/>
                <w:tab w:val="left" w:pos="4536"/>
                <w:tab w:val="left" w:pos="4820"/>
              </w:tabs>
              <w:overflowPunct w:val="0"/>
              <w:adjustRightInd w:val="0"/>
              <w:textAlignment w:val="baseline"/>
              <w:rPr>
                <w:rFonts w:cs="Arial"/>
                <w:sz w:val="18"/>
                <w:szCs w:val="20"/>
              </w:rPr>
            </w:pPr>
            <w:r>
              <w:rPr>
                <w:sz w:val="18"/>
              </w:rPr>
              <w:t xml:space="preserve">Két merülési mércét alkalmaztak </w:t>
            </w:r>
            <w:r>
              <w:rPr>
                <w:position w:val="6"/>
                <w:sz w:val="16"/>
              </w:rPr>
              <w:t>*)</w:t>
            </w:r>
            <w:r>
              <w:rPr>
                <w:sz w:val="18"/>
              </w:rPr>
              <w:t>.</w:t>
            </w:r>
            <w:r>
              <w:rPr>
                <w:rFonts w:cs="Arial"/>
                <w:sz w:val="18"/>
                <w:szCs w:val="20"/>
              </w:rPr>
              <w:br/>
            </w:r>
            <w:r>
              <w:rPr>
                <w:sz w:val="18"/>
              </w:rPr>
              <w:t>A hátsó köbözési mércék merülési mércékként szolgálnak: e célból kiegészültek a merülést jelző számokkal</w:t>
            </w:r>
            <w:r>
              <w:rPr>
                <w:position w:val="6"/>
                <w:sz w:val="16"/>
              </w:rPr>
              <w:t>*)</w:t>
            </w:r>
            <w:r>
              <w:rPr>
                <w:sz w:val="18"/>
              </w:rPr>
              <w:t>.</w:t>
            </w:r>
            <w:r>
              <w:rPr>
                <w:rFonts w:cs="Arial"/>
                <w:sz w:val="18"/>
                <w:szCs w:val="20"/>
              </w:rPr>
              <w:br/>
            </w: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14.</w:t>
            </w:r>
          </w:p>
        </w:tc>
        <w:tc>
          <w:tcPr>
            <w:tcW w:w="8902" w:type="dxa"/>
            <w:tcBorders>
              <w:top w:val="single" w:sz="6" w:space="0" w:color="auto"/>
              <w:bottom w:val="single" w:sz="6" w:space="0" w:color="auto"/>
              <w:right w:val="single" w:sz="6" w:space="0" w:color="auto"/>
            </w:tcBorders>
          </w:tcPr>
          <w:p w:rsidR="005624E3" w:rsidRPr="007F42A0" w:rsidRDefault="005624E3" w:rsidP="00101A80">
            <w:pPr>
              <w:tabs>
                <w:tab w:val="left" w:pos="57"/>
                <w:tab w:val="left" w:pos="340"/>
                <w:tab w:val="left" w:pos="567"/>
                <w:tab w:val="left" w:pos="4536"/>
                <w:tab w:val="left" w:pos="4820"/>
              </w:tabs>
              <w:overflowPunct w:val="0"/>
              <w:adjustRightInd w:val="0"/>
              <w:spacing w:before="120"/>
              <w:textAlignment w:val="baseline"/>
              <w:rPr>
                <w:sz w:val="18"/>
                <w:szCs w:val="18"/>
              </w:rPr>
            </w:pPr>
            <w:r w:rsidRPr="007F42A0">
              <w:rPr>
                <w:sz w:val="18"/>
                <w:szCs w:val="18"/>
              </w:rPr>
              <w:t>A vízi jármű – a 15. és 52. rovatban megadott korlátozásokkal *) – alkalmas arra, hogy:</w:t>
            </w:r>
          </w:p>
          <w:p w:rsidR="005624E3" w:rsidRPr="00C903F8" w:rsidRDefault="005624E3" w:rsidP="00101A80">
            <w:pPr>
              <w:tabs>
                <w:tab w:val="left" w:pos="57"/>
                <w:tab w:val="left" w:pos="340"/>
                <w:tab w:val="left" w:pos="567"/>
                <w:tab w:val="left" w:pos="4536"/>
                <w:tab w:val="left" w:pos="4820"/>
              </w:tabs>
              <w:overflowPunct w:val="0"/>
              <w:adjustRightInd w:val="0"/>
              <w:textAlignment w:val="baseline"/>
              <w:rPr>
                <w:rFonts w:cs="Arial"/>
                <w:sz w:val="18"/>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4"/>
              <w:gridCol w:w="3232"/>
              <w:gridCol w:w="284"/>
              <w:gridCol w:w="624"/>
              <w:gridCol w:w="3515"/>
            </w:tblGrid>
            <w:tr w:rsidR="005624E3" w:rsidRPr="00A0619C" w:rsidTr="00101A80">
              <w:trPr>
                <w:jc w:val="center"/>
              </w:trPr>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1.</w:t>
                  </w:r>
                </w:p>
              </w:tc>
              <w:tc>
                <w:tcPr>
                  <w:tcW w:w="3232" w:type="dxa"/>
                  <w:tcBorders>
                    <w:righ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toljon</w:t>
                  </w:r>
                  <w:r>
                    <w:rPr>
                      <w:position w:val="6"/>
                      <w:sz w:val="16"/>
                    </w:rPr>
                    <w:t xml:space="preserve"> *)</w:t>
                  </w:r>
                </w:p>
              </w:tc>
              <w:tc>
                <w:tcPr>
                  <w:tcW w:w="284" w:type="dxa"/>
                  <w:tcBorders>
                    <w:lef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4.</w:t>
                  </w:r>
                </w:p>
              </w:tc>
              <w:tc>
                <w:tcPr>
                  <w:tcW w:w="3515"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mellévett alakzatban továbbítsák</w:t>
                  </w:r>
                  <w:r>
                    <w:rPr>
                      <w:position w:val="6"/>
                      <w:sz w:val="16"/>
                    </w:rPr>
                    <w:t>*)</w:t>
                  </w:r>
                </w:p>
              </w:tc>
            </w:tr>
            <w:tr w:rsidR="005624E3" w:rsidRPr="00C903F8" w:rsidTr="00101A80">
              <w:trPr>
                <w:jc w:val="center"/>
              </w:trPr>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1.1.</w:t>
                  </w:r>
                </w:p>
              </w:tc>
              <w:tc>
                <w:tcPr>
                  <w:tcW w:w="3232" w:type="dxa"/>
                  <w:tcBorders>
                    <w:righ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merev alakzatban</w:t>
                  </w:r>
                  <w:r>
                    <w:rPr>
                      <w:position w:val="6"/>
                      <w:sz w:val="16"/>
                    </w:rPr>
                    <w:t xml:space="preserve"> *)</w:t>
                  </w:r>
                </w:p>
              </w:tc>
              <w:tc>
                <w:tcPr>
                  <w:tcW w:w="284" w:type="dxa"/>
                  <w:tcBorders>
                    <w:lef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5.</w:t>
                  </w:r>
                </w:p>
              </w:tc>
              <w:tc>
                <w:tcPr>
                  <w:tcW w:w="3515"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vontasson</w:t>
                  </w:r>
                  <w:r>
                    <w:rPr>
                      <w:position w:val="6"/>
                      <w:sz w:val="16"/>
                    </w:rPr>
                    <w:t xml:space="preserve"> *)</w:t>
                  </w:r>
                </w:p>
              </w:tc>
            </w:tr>
            <w:tr w:rsidR="005624E3" w:rsidRPr="00A0619C" w:rsidTr="00101A80">
              <w:trPr>
                <w:jc w:val="center"/>
              </w:trPr>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1.2.</w:t>
                  </w:r>
                </w:p>
              </w:tc>
              <w:tc>
                <w:tcPr>
                  <w:tcW w:w="3232" w:type="dxa"/>
                  <w:tcBorders>
                    <w:righ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 xml:space="preserve">vezérelt </w:t>
                  </w:r>
                  <w:r w:rsidRPr="009740EF">
                    <w:rPr>
                      <w:sz w:val="18"/>
                    </w:rPr>
                    <w:t>kihajlással</w:t>
                  </w:r>
                  <w:r>
                    <w:rPr>
                      <w:position w:val="6"/>
                      <w:sz w:val="16"/>
                    </w:rPr>
                    <w:t xml:space="preserve"> *)</w:t>
                  </w:r>
                </w:p>
              </w:tc>
              <w:tc>
                <w:tcPr>
                  <w:tcW w:w="284" w:type="dxa"/>
                  <w:tcBorders>
                    <w:lef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5.1.</w:t>
                  </w:r>
                </w:p>
              </w:tc>
              <w:tc>
                <w:tcPr>
                  <w:tcW w:w="3515"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gép nélküli vízi járművet</w:t>
                  </w:r>
                  <w:r>
                    <w:rPr>
                      <w:position w:val="6"/>
                      <w:sz w:val="16"/>
                    </w:rPr>
                    <w:t>*)</w:t>
                  </w:r>
                </w:p>
              </w:tc>
            </w:tr>
            <w:tr w:rsidR="005624E3" w:rsidRPr="00C903F8" w:rsidTr="00101A80">
              <w:trPr>
                <w:jc w:val="center"/>
              </w:trPr>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2.</w:t>
                  </w:r>
                </w:p>
              </w:tc>
              <w:tc>
                <w:tcPr>
                  <w:tcW w:w="3232" w:type="dxa"/>
                  <w:tcBorders>
                    <w:righ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tolják</w:t>
                  </w:r>
                  <w:r>
                    <w:rPr>
                      <w:position w:val="6"/>
                      <w:sz w:val="16"/>
                    </w:rPr>
                    <w:t xml:space="preserve"> *)</w:t>
                  </w:r>
                </w:p>
              </w:tc>
              <w:tc>
                <w:tcPr>
                  <w:tcW w:w="284" w:type="dxa"/>
                  <w:tcBorders>
                    <w:lef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5.2.</w:t>
                  </w:r>
                </w:p>
              </w:tc>
              <w:tc>
                <w:tcPr>
                  <w:tcW w:w="3515"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géphajót</w:t>
                  </w:r>
                  <w:r>
                    <w:rPr>
                      <w:position w:val="6"/>
                      <w:sz w:val="16"/>
                    </w:rPr>
                    <w:t>*)</w:t>
                  </w:r>
                </w:p>
              </w:tc>
            </w:tr>
            <w:tr w:rsidR="005624E3" w:rsidRPr="00C903F8" w:rsidTr="00101A80">
              <w:trPr>
                <w:jc w:val="center"/>
              </w:trPr>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2.1.</w:t>
                  </w:r>
                </w:p>
              </w:tc>
              <w:tc>
                <w:tcPr>
                  <w:tcW w:w="3232" w:type="dxa"/>
                  <w:tcBorders>
                    <w:righ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merev alakzatban</w:t>
                  </w:r>
                  <w:r>
                    <w:rPr>
                      <w:position w:val="6"/>
                      <w:sz w:val="16"/>
                    </w:rPr>
                    <w:t xml:space="preserve"> *)</w:t>
                  </w:r>
                </w:p>
              </w:tc>
              <w:tc>
                <w:tcPr>
                  <w:tcW w:w="284" w:type="dxa"/>
                  <w:tcBorders>
                    <w:lef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5.3.</w:t>
                  </w:r>
                </w:p>
              </w:tc>
              <w:tc>
                <w:tcPr>
                  <w:tcW w:w="3515"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csak folyásiránnyal szemben</w:t>
                  </w:r>
                  <w:r>
                    <w:rPr>
                      <w:position w:val="6"/>
                      <w:sz w:val="16"/>
                    </w:rPr>
                    <w:t xml:space="preserve"> *)</w:t>
                  </w:r>
                </w:p>
              </w:tc>
            </w:tr>
            <w:tr w:rsidR="005624E3" w:rsidRPr="00C903F8" w:rsidTr="00101A80">
              <w:trPr>
                <w:jc w:val="center"/>
              </w:trPr>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2.2.</w:t>
                  </w:r>
                </w:p>
              </w:tc>
              <w:tc>
                <w:tcPr>
                  <w:tcW w:w="3232" w:type="dxa"/>
                  <w:tcBorders>
                    <w:righ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merev alakzat elején</w:t>
                  </w:r>
                  <w:r>
                    <w:rPr>
                      <w:position w:val="6"/>
                      <w:sz w:val="16"/>
                    </w:rPr>
                    <w:t xml:space="preserve"> *)</w:t>
                  </w:r>
                </w:p>
              </w:tc>
              <w:tc>
                <w:tcPr>
                  <w:tcW w:w="284" w:type="dxa"/>
                  <w:tcBorders>
                    <w:lef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6.</w:t>
                  </w:r>
                </w:p>
              </w:tc>
              <w:tc>
                <w:tcPr>
                  <w:tcW w:w="3515"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vontassák</w:t>
                  </w:r>
                  <w:r>
                    <w:rPr>
                      <w:position w:val="6"/>
                      <w:sz w:val="16"/>
                    </w:rPr>
                    <w:t xml:space="preserve"> *)</w:t>
                  </w:r>
                </w:p>
              </w:tc>
            </w:tr>
            <w:tr w:rsidR="005624E3" w:rsidRPr="00C903F8" w:rsidTr="00101A80">
              <w:trPr>
                <w:jc w:val="center"/>
              </w:trPr>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2.3.</w:t>
                  </w:r>
                </w:p>
              </w:tc>
              <w:tc>
                <w:tcPr>
                  <w:tcW w:w="3232" w:type="dxa"/>
                  <w:tcBorders>
                    <w:righ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vezérelt kihajlással</w:t>
                  </w:r>
                  <w:r>
                    <w:rPr>
                      <w:position w:val="6"/>
                      <w:sz w:val="16"/>
                    </w:rPr>
                    <w:t xml:space="preserve"> *)</w:t>
                  </w:r>
                </w:p>
              </w:tc>
              <w:tc>
                <w:tcPr>
                  <w:tcW w:w="284" w:type="dxa"/>
                  <w:tcBorders>
                    <w:lef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6.1.</w:t>
                  </w:r>
                </w:p>
              </w:tc>
              <w:tc>
                <w:tcPr>
                  <w:tcW w:w="3515"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géphajóként</w:t>
                  </w:r>
                  <w:r>
                    <w:rPr>
                      <w:position w:val="6"/>
                      <w:sz w:val="16"/>
                    </w:rPr>
                    <w:t>*)</w:t>
                  </w:r>
                </w:p>
              </w:tc>
            </w:tr>
            <w:tr w:rsidR="005624E3" w:rsidRPr="00A0619C" w:rsidTr="00101A80">
              <w:trPr>
                <w:jc w:val="center"/>
              </w:trPr>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3.</w:t>
                  </w:r>
                </w:p>
              </w:tc>
              <w:tc>
                <w:tcPr>
                  <w:tcW w:w="3232" w:type="dxa"/>
                  <w:tcBorders>
                    <w:righ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mellévett alakzatban továbbítson</w:t>
                  </w:r>
                  <w:r>
                    <w:rPr>
                      <w:position w:val="6"/>
                      <w:sz w:val="16"/>
                    </w:rPr>
                    <w:t>*)</w:t>
                  </w:r>
                </w:p>
              </w:tc>
              <w:tc>
                <w:tcPr>
                  <w:tcW w:w="284" w:type="dxa"/>
                  <w:tcBorders>
                    <w:left w:val="nil"/>
                  </w:tcBorders>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6.2.</w:t>
                  </w:r>
                </w:p>
              </w:tc>
              <w:tc>
                <w:tcPr>
                  <w:tcW w:w="3515" w:type="dxa"/>
                  <w:shd w:val="clear" w:color="auto" w:fill="auto"/>
                </w:tcPr>
                <w:p w:rsidR="005624E3" w:rsidRPr="00C903F8" w:rsidRDefault="005624E3" w:rsidP="00101A80">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Pr>
                      <w:sz w:val="18"/>
                    </w:rPr>
                    <w:t>gép nélküli vízi járműként</w:t>
                  </w:r>
                  <w:r>
                    <w:rPr>
                      <w:position w:val="6"/>
                      <w:sz w:val="16"/>
                    </w:rPr>
                    <w:t>*)</w:t>
                  </w:r>
                </w:p>
              </w:tc>
            </w:tr>
          </w:tbl>
          <w:p w:rsidR="005624E3" w:rsidRPr="00C903F8" w:rsidRDefault="005624E3" w:rsidP="00101A80">
            <w:pPr>
              <w:tabs>
                <w:tab w:val="left" w:pos="57"/>
                <w:tab w:val="left" w:pos="340"/>
                <w:tab w:val="left" w:pos="567"/>
                <w:tab w:val="left" w:pos="4536"/>
                <w:tab w:val="left" w:pos="4820"/>
              </w:tabs>
              <w:overflowPunct w:val="0"/>
              <w:adjustRightInd w:val="0"/>
              <w:textAlignment w:val="baseline"/>
              <w:rPr>
                <w:rFonts w:cs="Arial"/>
                <w:sz w:val="18"/>
                <w:szCs w:val="20"/>
              </w:rPr>
            </w:pPr>
          </w:p>
          <w:p w:rsidR="005624E3" w:rsidRPr="00C903F8" w:rsidRDefault="005624E3" w:rsidP="00101A80">
            <w:pPr>
              <w:tabs>
                <w:tab w:val="left" w:pos="57"/>
                <w:tab w:val="left" w:pos="340"/>
                <w:tab w:val="left" w:pos="567"/>
                <w:tab w:val="left" w:pos="4536"/>
                <w:tab w:val="left" w:pos="4820"/>
              </w:tabs>
              <w:overflowPunct w:val="0"/>
              <w:adjustRightInd w:val="0"/>
              <w:textAlignment w:val="baseline"/>
              <w:rPr>
                <w:rFonts w:cs="Arial"/>
                <w:sz w:val="18"/>
                <w:szCs w:val="20"/>
              </w:rPr>
            </w:pPr>
          </w:p>
        </w:tc>
      </w:tr>
      <w:tr w:rsidR="005624E3" w:rsidRPr="00842442"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spacing w:before="80"/>
              <w:textAlignment w:val="baseline"/>
              <w:rPr>
                <w:rFonts w:cs="Arial"/>
                <w:sz w:val="18"/>
                <w:szCs w:val="20"/>
              </w:rPr>
            </w:pPr>
            <w:r>
              <w:tab/>
            </w:r>
            <w:r>
              <w:rPr>
                <w:sz w:val="18"/>
              </w:rPr>
              <w:t>*)</w:t>
            </w:r>
            <w:r>
              <w:rPr>
                <w:rFonts w:cs="Arial"/>
                <w:sz w:val="18"/>
                <w:szCs w:val="20"/>
              </w:rPr>
              <w:br/>
            </w:r>
            <w:r>
              <w:rPr>
                <w:rFonts w:cs="Arial"/>
                <w:sz w:val="18"/>
                <w:szCs w:val="20"/>
              </w:rPr>
              <w:br/>
            </w:r>
          </w:p>
          <w:p w:rsidR="005624E3" w:rsidRPr="00C903F8" w:rsidRDefault="005624E3" w:rsidP="00101A80">
            <w:pPr>
              <w:tabs>
                <w:tab w:val="left" w:pos="57"/>
              </w:tabs>
              <w:overflowPunct w:val="0"/>
              <w:adjustRightInd w:val="0"/>
              <w:spacing w:before="80"/>
              <w:textAlignment w:val="baseline"/>
              <w:rPr>
                <w:rFonts w:cs="Arial"/>
                <w:sz w:val="18"/>
                <w:szCs w:val="20"/>
              </w:rPr>
            </w:pPr>
          </w:p>
          <w:p w:rsidR="005624E3" w:rsidRPr="00C903F8" w:rsidRDefault="005624E3" w:rsidP="00101A80">
            <w:pPr>
              <w:tabs>
                <w:tab w:val="left" w:pos="57"/>
              </w:tabs>
              <w:overflowPunct w:val="0"/>
              <w:adjustRightInd w:val="0"/>
              <w:spacing w:before="160"/>
              <w:textAlignment w:val="baseline"/>
              <w:rPr>
                <w:rFonts w:cs="Arial"/>
                <w:sz w:val="18"/>
                <w:szCs w:val="20"/>
              </w:rPr>
            </w:pPr>
            <w:r>
              <w:tab/>
            </w:r>
            <w:r>
              <w:rPr>
                <w:sz w:val="18"/>
              </w:rPr>
              <w:t>*)</w:t>
            </w:r>
          </w:p>
        </w:tc>
        <w:tc>
          <w:tcPr>
            <w:tcW w:w="8902" w:type="dxa"/>
            <w:tcBorders>
              <w:bottom w:val="single" w:sz="6" w:space="0" w:color="auto"/>
              <w:right w:val="single" w:sz="6" w:space="0" w:color="auto"/>
            </w:tcBorders>
          </w:tcPr>
          <w:p w:rsidR="005624E3" w:rsidRPr="00C903F8" w:rsidRDefault="005624E3" w:rsidP="00101A80">
            <w:pPr>
              <w:tabs>
                <w:tab w:val="left" w:pos="57"/>
                <w:tab w:val="left" w:leader="dot" w:pos="3686"/>
              </w:tabs>
              <w:overflowPunct w:val="0"/>
              <w:adjustRightInd w:val="0"/>
              <w:spacing w:before="80" w:after="80"/>
              <w:ind w:left="57" w:right="57"/>
              <w:textAlignment w:val="baseline"/>
              <w:rPr>
                <w:rFonts w:cs="Arial"/>
                <w:sz w:val="18"/>
                <w:szCs w:val="20"/>
              </w:rPr>
            </w:pPr>
            <w:r>
              <w:rPr>
                <w:noProof/>
                <w:sz w:val="18"/>
              </w:rPr>
              <w:t>A következő rovatok módosultak: ...........</w:t>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rPr>
                <w:noProof/>
                <w:sz w:val="18"/>
              </w:rPr>
              <w:t>Új szöveg:</w:t>
            </w: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Ez az oldal lecserélésre került.</w:t>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 xml:space="preserve">Hely, dátum </w:t>
            </w:r>
            <w:r>
              <w:tab/>
            </w:r>
            <w:r>
              <w:tab/>
            </w:r>
            <w:r>
              <w:rPr>
                <w:sz w:val="18"/>
              </w:rPr>
              <w:t>Ellenőrző szerv</w:t>
            </w:r>
          </w:p>
          <w:p w:rsidR="005624E3" w:rsidRPr="00C903F8" w:rsidRDefault="005624E3" w:rsidP="00101A80">
            <w:pPr>
              <w:tabs>
                <w:tab w:val="left" w:pos="5103"/>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1701"/>
              </w:tabs>
              <w:overflowPunct w:val="0"/>
              <w:adjustRightInd w:val="0"/>
              <w:spacing w:after="80"/>
              <w:textAlignment w:val="baseline"/>
              <w:rPr>
                <w:rFonts w:cs="Arial"/>
                <w:sz w:val="18"/>
                <w:szCs w:val="20"/>
              </w:rPr>
            </w:pPr>
            <w:r>
              <w:tab/>
            </w:r>
            <w:r>
              <w:rPr>
                <w:sz w:val="18"/>
              </w:rPr>
              <w:t>Bélyegző</w:t>
            </w:r>
          </w:p>
          <w:p w:rsidR="005624E3" w:rsidRPr="00C903F8" w:rsidRDefault="005624E3" w:rsidP="00101A80">
            <w:pPr>
              <w:tabs>
                <w:tab w:val="left" w:pos="5103"/>
                <w:tab w:val="left" w:leader="dot" w:pos="8505"/>
              </w:tabs>
              <w:overflowPunct w:val="0"/>
              <w:adjustRightInd w:val="0"/>
              <w:textAlignment w:val="baseline"/>
              <w:rPr>
                <w:rFonts w:cs="Arial"/>
                <w:szCs w:val="20"/>
              </w:rPr>
            </w:pPr>
            <w:r>
              <w:tab/>
            </w:r>
            <w:r>
              <w:tab/>
            </w:r>
          </w:p>
          <w:p w:rsidR="005624E3" w:rsidRPr="00C903F8" w:rsidRDefault="005624E3" w:rsidP="00101A80">
            <w:pPr>
              <w:tabs>
                <w:tab w:val="center" w:pos="6862"/>
              </w:tabs>
              <w:overflowPunct w:val="0"/>
              <w:adjustRightInd w:val="0"/>
              <w:textAlignment w:val="baseline"/>
              <w:rPr>
                <w:rFonts w:cs="Arial"/>
                <w:sz w:val="16"/>
                <w:szCs w:val="20"/>
              </w:rPr>
            </w:pPr>
            <w:r>
              <w:tab/>
            </w:r>
            <w:r>
              <w:rPr>
                <w:sz w:val="16"/>
              </w:rPr>
              <w:t>(Aláírás)</w:t>
            </w:r>
          </w:p>
          <w:p w:rsidR="005624E3" w:rsidRPr="00D50F76" w:rsidRDefault="005624E3" w:rsidP="00101A80">
            <w:pPr>
              <w:tabs>
                <w:tab w:val="left" w:pos="113"/>
                <w:tab w:val="left" w:pos="397"/>
                <w:tab w:val="left" w:pos="6237"/>
                <w:tab w:val="left" w:leader="dot" w:pos="9356"/>
              </w:tabs>
              <w:overflowPunct w:val="0"/>
              <w:adjustRightInd w:val="0"/>
              <w:textAlignment w:val="baseline"/>
              <w:rPr>
                <w:rFonts w:cs="Arial"/>
                <w:sz w:val="16"/>
                <w:szCs w:val="20"/>
                <w:lang w:val="pt-PT"/>
              </w:rPr>
            </w:pPr>
            <w:r w:rsidRPr="00D50F76">
              <w:rPr>
                <w:sz w:val="18"/>
                <w:lang w:val="pt-PT"/>
              </w:rPr>
              <w:t>_______________________</w:t>
            </w:r>
          </w:p>
          <w:p w:rsidR="005624E3" w:rsidRPr="00D50F76" w:rsidRDefault="005624E3" w:rsidP="00101A80">
            <w:pPr>
              <w:tabs>
                <w:tab w:val="left" w:pos="284"/>
              </w:tabs>
              <w:overflowPunct w:val="0"/>
              <w:adjustRightInd w:val="0"/>
              <w:spacing w:after="40"/>
              <w:ind w:left="57"/>
              <w:textAlignment w:val="baseline"/>
              <w:rPr>
                <w:rFonts w:cs="Arial"/>
                <w:sz w:val="18"/>
                <w:szCs w:val="20"/>
                <w:lang w:val="pt-PT"/>
              </w:rPr>
            </w:pPr>
            <w:r w:rsidRPr="00D50F76">
              <w:rPr>
                <w:position w:val="4"/>
                <w:sz w:val="16"/>
                <w:lang w:val="pt-PT"/>
              </w:rPr>
              <w:t>*)</w:t>
            </w:r>
            <w:r w:rsidRPr="00D50F76">
              <w:rPr>
                <w:lang w:val="pt-PT"/>
              </w:rPr>
              <w:tab/>
            </w:r>
            <w:r w:rsidRPr="00D50F76">
              <w:rPr>
                <w:sz w:val="16"/>
                <w:lang w:val="pt-PT"/>
              </w:rPr>
              <w:t>A nem kívánt rész törlendő.</w:t>
            </w:r>
          </w:p>
        </w:tc>
      </w:tr>
    </w:tbl>
    <w:p w:rsidR="005624E3" w:rsidRPr="00D50F76" w:rsidRDefault="005624E3" w:rsidP="005624E3">
      <w:pPr>
        <w:overflowPunct w:val="0"/>
        <w:adjustRightInd w:val="0"/>
        <w:textAlignment w:val="baseline"/>
        <w:rPr>
          <w:rFonts w:cs="Arial"/>
          <w:szCs w:val="20"/>
          <w:lang w:val="pt-PT"/>
        </w:rPr>
      </w:pPr>
    </w:p>
    <w:p w:rsidR="005624E3" w:rsidRPr="00D50F76" w:rsidRDefault="005624E3" w:rsidP="005624E3">
      <w:pPr>
        <w:tabs>
          <w:tab w:val="left" w:leader="dot" w:pos="2835"/>
          <w:tab w:val="left" w:leader="dot" w:pos="5103"/>
        </w:tabs>
        <w:overflowPunct w:val="0"/>
        <w:adjustRightInd w:val="0"/>
        <w:textAlignment w:val="baseline"/>
        <w:rPr>
          <w:rFonts w:cs="Arial"/>
          <w:szCs w:val="20"/>
          <w:lang w:val="pt-PT"/>
        </w:rPr>
      </w:pPr>
      <w:r w:rsidRPr="00D50F76">
        <w:rPr>
          <w:lang w:val="pt-PT"/>
        </w:rPr>
        <w:br w:type="page"/>
        <w:t xml:space="preserve">Az ellenőrző szerv által kiadott .......... számú belvízi hajóbizonyítvány </w:t>
      </w:r>
      <w:r w:rsidRPr="00D50F76">
        <w:rPr>
          <w:lang w:val="pt-PT"/>
        </w:rPr>
        <w:tab/>
      </w:r>
    </w:p>
    <w:tbl>
      <w:tblPr>
        <w:tblW w:w="9188" w:type="dxa"/>
        <w:jc w:val="center"/>
        <w:tblLayout w:type="fixed"/>
        <w:tblCellMar>
          <w:left w:w="0" w:type="dxa"/>
          <w:right w:w="0" w:type="dxa"/>
        </w:tblCellMar>
        <w:tblLook w:val="0000" w:firstRow="0" w:lastRow="0" w:firstColumn="0" w:lastColumn="0" w:noHBand="0" w:noVBand="0"/>
      </w:tblPr>
      <w:tblGrid>
        <w:gridCol w:w="284"/>
        <w:gridCol w:w="567"/>
        <w:gridCol w:w="794"/>
        <w:gridCol w:w="794"/>
        <w:gridCol w:w="794"/>
        <w:gridCol w:w="794"/>
        <w:gridCol w:w="794"/>
        <w:gridCol w:w="794"/>
        <w:gridCol w:w="851"/>
        <w:gridCol w:w="851"/>
        <w:gridCol w:w="1701"/>
        <w:gridCol w:w="170"/>
      </w:tblGrid>
      <w:tr w:rsidR="005624E3" w:rsidRPr="00A0619C" w:rsidTr="00101A80">
        <w:trPr>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r>
              <w:rPr>
                <w:sz w:val="18"/>
              </w:rPr>
              <w:t>15.</w:t>
            </w:r>
          </w:p>
        </w:tc>
        <w:tc>
          <w:tcPr>
            <w:tcW w:w="8904" w:type="dxa"/>
            <w:gridSpan w:val="11"/>
            <w:tcBorders>
              <w:top w:val="single" w:sz="6" w:space="0" w:color="auto"/>
              <w:right w:val="single" w:sz="6" w:space="0" w:color="auto"/>
            </w:tcBorders>
          </w:tcPr>
          <w:p w:rsidR="005624E3" w:rsidRPr="00C903F8" w:rsidRDefault="005624E3" w:rsidP="00101A80">
            <w:pPr>
              <w:tabs>
                <w:tab w:val="left" w:pos="57"/>
                <w:tab w:val="left" w:pos="340"/>
                <w:tab w:val="left" w:leader="dot" w:pos="8505"/>
              </w:tabs>
              <w:overflowPunct w:val="0"/>
              <w:adjustRightInd w:val="0"/>
              <w:spacing w:before="80"/>
              <w:ind w:left="57" w:right="113" w:hanging="57"/>
              <w:textAlignment w:val="baseline"/>
              <w:rPr>
                <w:rFonts w:cs="Arial"/>
                <w:sz w:val="18"/>
                <w:szCs w:val="20"/>
              </w:rPr>
            </w:pPr>
            <w:r>
              <w:tab/>
              <w:t>Engedélyezett alakzatok</w:t>
            </w:r>
            <w:r>
              <w:br/>
              <w:t>1.</w:t>
            </w:r>
            <w:r>
              <w:tab/>
              <w:t>A vízi jármű az alábbi alakzatok továbbítására rendelkezik engedéllyel:</w:t>
            </w: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567" w:type="dxa"/>
            <w:tcBorders>
              <w:top w:val="single" w:sz="6" w:space="0" w:color="auto"/>
              <w:left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Pr>
                <w:sz w:val="16"/>
              </w:rPr>
              <w:t>Alakzat formája</w:t>
            </w:r>
          </w:p>
        </w:tc>
        <w:tc>
          <w:tcPr>
            <w:tcW w:w="8167" w:type="dxa"/>
            <w:gridSpan w:val="9"/>
            <w:tcBorders>
              <w:top w:val="single" w:sz="6" w:space="0" w:color="auto"/>
              <w:left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Pr>
                <w:sz w:val="18"/>
              </w:rPr>
              <w:t>Korlátozások az 5. és 21. fejezet alapján</w:t>
            </w:r>
          </w:p>
        </w:tc>
        <w:tc>
          <w:tcPr>
            <w:tcW w:w="170" w:type="dxa"/>
            <w:tcBorders>
              <w:left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567" w:type="dxa"/>
            <w:tcBorders>
              <w:left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1588" w:type="dxa"/>
            <w:gridSpan w:val="2"/>
            <w:tcBorders>
              <w:top w:val="single" w:sz="6" w:space="0" w:color="auto"/>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Pr>
                <w:sz w:val="18"/>
              </w:rPr>
              <w:t>Legnagyobb méret</w:t>
            </w:r>
          </w:p>
        </w:tc>
        <w:tc>
          <w:tcPr>
            <w:tcW w:w="3176" w:type="dxa"/>
            <w:gridSpan w:val="4"/>
            <w:tcBorders>
              <w:top w:val="single" w:sz="6" w:space="0" w:color="auto"/>
              <w:left w:val="single" w:sz="12"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Pr>
                <w:sz w:val="18"/>
              </w:rPr>
              <w:t>Menetirány és terhelési állapot</w:t>
            </w:r>
          </w:p>
        </w:tc>
        <w:tc>
          <w:tcPr>
            <w:tcW w:w="1702" w:type="dxa"/>
            <w:gridSpan w:val="2"/>
            <w:tcBorders>
              <w:top w:val="single" w:sz="6" w:space="0" w:color="auto"/>
              <w:left w:val="single" w:sz="12"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pPr>
            <w:r w:rsidRPr="00D50F76">
              <w:rPr>
                <w:sz w:val="18"/>
              </w:rPr>
              <w:t>Legnagyobb bemerült keresztmetszet m²-ben</w:t>
            </w:r>
          </w:p>
        </w:tc>
        <w:tc>
          <w:tcPr>
            <w:tcW w:w="1701" w:type="dxa"/>
            <w:tcBorders>
              <w:top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567" w:type="dxa"/>
            <w:tcBorders>
              <w:left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6"/>
                <w:szCs w:val="20"/>
              </w:rPr>
            </w:pPr>
          </w:p>
        </w:tc>
        <w:tc>
          <w:tcPr>
            <w:tcW w:w="1588" w:type="dxa"/>
            <w:gridSpan w:val="2"/>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Pr>
                <w:sz w:val="18"/>
              </w:rPr>
              <w:t>m</w:t>
            </w:r>
          </w:p>
        </w:tc>
        <w:tc>
          <w:tcPr>
            <w:tcW w:w="1588" w:type="dxa"/>
            <w:gridSpan w:val="2"/>
            <w:tcBorders>
              <w:left w:val="single" w:sz="12"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Pr>
                <w:sz w:val="18"/>
              </w:rPr>
              <w:t>folyásiránnyal szemben</w:t>
            </w:r>
          </w:p>
        </w:tc>
        <w:tc>
          <w:tcPr>
            <w:tcW w:w="1588" w:type="dxa"/>
            <w:gridSpan w:val="2"/>
            <w:tcBorders>
              <w:left w:val="single" w:sz="12"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pPr>
            <w:r w:rsidRPr="00D50F76">
              <w:rPr>
                <w:sz w:val="18"/>
              </w:rPr>
              <w:t>folyásirányban</w:t>
            </w:r>
            <w:r>
              <w:t xml:space="preserve"> </w:t>
            </w:r>
          </w:p>
        </w:tc>
        <w:tc>
          <w:tcPr>
            <w:tcW w:w="1702" w:type="dxa"/>
            <w:gridSpan w:val="2"/>
            <w:tcBorders>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1701"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Pr>
                <w:sz w:val="18"/>
              </w:rPr>
              <w:t>Megjegyzések</w:t>
            </w:r>
          </w:p>
        </w:tc>
        <w:tc>
          <w:tcPr>
            <w:tcW w:w="170" w:type="dxa"/>
            <w:tcBorders>
              <w:left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567" w:type="dxa"/>
            <w:tcBorders>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6"/>
                <w:szCs w:val="20"/>
              </w:rPr>
            </w:pPr>
            <w:r>
              <w:rPr>
                <w:sz w:val="16"/>
              </w:rPr>
              <w:t>Szám</w:t>
            </w:r>
          </w:p>
        </w:tc>
        <w:tc>
          <w:tcPr>
            <w:tcW w:w="794" w:type="dxa"/>
            <w:tcBorders>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pPr>
            <w:r w:rsidRPr="00D50F76">
              <w:rPr>
                <w:sz w:val="18"/>
              </w:rPr>
              <w:t>hosszúság</w:t>
            </w:r>
          </w:p>
        </w:tc>
        <w:tc>
          <w:tcPr>
            <w:tcW w:w="794" w:type="dxa"/>
            <w:tcBorders>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pPr>
            <w:r w:rsidRPr="00D50F76">
              <w:rPr>
                <w:sz w:val="18"/>
              </w:rPr>
              <w:t>szélesség</w:t>
            </w:r>
          </w:p>
        </w:tc>
        <w:tc>
          <w:tcPr>
            <w:tcW w:w="794" w:type="dxa"/>
            <w:tcBorders>
              <w:left w:val="single" w:sz="12" w:space="0" w:color="auto"/>
              <w:bottom w:val="single" w:sz="6" w:space="0" w:color="auto"/>
              <w:right w:val="single" w:sz="6" w:space="0" w:color="auto"/>
            </w:tcBorders>
          </w:tcPr>
          <w:p w:rsidR="005624E3" w:rsidRPr="00C903F8" w:rsidRDefault="005624E3" w:rsidP="00101A80">
            <w:r w:rsidRPr="00D50F76">
              <w:rPr>
                <w:sz w:val="18"/>
              </w:rPr>
              <w:t>teher (t)</w:t>
            </w:r>
          </w:p>
        </w:tc>
        <w:tc>
          <w:tcPr>
            <w:tcW w:w="794" w:type="dxa"/>
            <w:tcBorders>
              <w:left w:val="single" w:sz="6" w:space="0" w:color="auto"/>
              <w:bottom w:val="single" w:sz="6" w:space="0" w:color="auto"/>
              <w:right w:val="single" w:sz="12" w:space="0" w:color="auto"/>
            </w:tcBorders>
          </w:tcPr>
          <w:p w:rsidR="005624E3" w:rsidRPr="00C903F8" w:rsidRDefault="005624E3" w:rsidP="00101A80">
            <w:r w:rsidRPr="00D50F76">
              <w:rPr>
                <w:sz w:val="18"/>
              </w:rPr>
              <w:t>üres</w:t>
            </w:r>
          </w:p>
        </w:tc>
        <w:tc>
          <w:tcPr>
            <w:tcW w:w="794" w:type="dxa"/>
            <w:tcBorders>
              <w:bottom w:val="single" w:sz="6" w:space="0" w:color="auto"/>
              <w:right w:val="single" w:sz="6" w:space="0" w:color="auto"/>
            </w:tcBorders>
          </w:tcPr>
          <w:p w:rsidR="005624E3" w:rsidRPr="00C903F8" w:rsidRDefault="005624E3" w:rsidP="00101A80">
            <w:r w:rsidRPr="00D50F76">
              <w:rPr>
                <w:sz w:val="18"/>
              </w:rPr>
              <w:t>teher (t)</w:t>
            </w:r>
          </w:p>
        </w:tc>
        <w:tc>
          <w:tcPr>
            <w:tcW w:w="794" w:type="dxa"/>
            <w:tcBorders>
              <w:left w:val="single" w:sz="6" w:space="0" w:color="auto"/>
              <w:bottom w:val="single" w:sz="6" w:space="0" w:color="auto"/>
            </w:tcBorders>
          </w:tcPr>
          <w:p w:rsidR="005624E3" w:rsidRPr="00C903F8" w:rsidRDefault="005624E3" w:rsidP="00101A80">
            <w:r w:rsidRPr="00D50F76">
              <w:rPr>
                <w:sz w:val="18"/>
              </w:rPr>
              <w:t>üres</w:t>
            </w:r>
          </w:p>
        </w:tc>
        <w:tc>
          <w:tcPr>
            <w:tcW w:w="851" w:type="dxa"/>
            <w:tcBorders>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pPr>
            <w:r w:rsidRPr="00D50F76">
              <w:rPr>
                <w:sz w:val="18"/>
              </w:rPr>
              <w:t>folyás</w:t>
            </w:r>
            <w:r>
              <w:rPr>
                <w:sz w:val="18"/>
              </w:rPr>
              <w:t>-</w:t>
            </w:r>
            <w:r w:rsidRPr="00D50F76">
              <w:rPr>
                <w:sz w:val="18"/>
              </w:rPr>
              <w:t>iránnyal szemben</w:t>
            </w:r>
          </w:p>
        </w:tc>
        <w:tc>
          <w:tcPr>
            <w:tcW w:w="851" w:type="dxa"/>
            <w:tcBorders>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pPr>
            <w:r w:rsidRPr="00D50F76">
              <w:rPr>
                <w:sz w:val="18"/>
              </w:rPr>
              <w:t>folyás</w:t>
            </w:r>
            <w:r>
              <w:rPr>
                <w:sz w:val="18"/>
              </w:rPr>
              <w:t>-</w:t>
            </w:r>
            <w:r w:rsidRPr="00D50F76">
              <w:rPr>
                <w:sz w:val="18"/>
              </w:rPr>
              <w:t>irányban</w:t>
            </w:r>
          </w:p>
        </w:tc>
        <w:tc>
          <w:tcPr>
            <w:tcW w:w="1701" w:type="dxa"/>
            <w:tcBorders>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spacing w:line="180" w:lineRule="exact"/>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5624E3" w:rsidRPr="00C903F8" w:rsidRDefault="005624E3" w:rsidP="00101A80">
            <w:pPr>
              <w:tabs>
                <w:tab w:val="left" w:pos="113"/>
                <w:tab w:val="left" w:pos="567"/>
                <w:tab w:val="left" w:pos="851"/>
                <w:tab w:val="left" w:pos="1247"/>
              </w:tabs>
              <w:overflowPunct w:val="0"/>
              <w:adjustRightInd w:val="0"/>
              <w:textAlignment w:val="baseline"/>
              <w:rPr>
                <w:rFonts w:cs="Arial"/>
                <w:sz w:val="18"/>
                <w:szCs w:val="20"/>
              </w:rPr>
            </w:pP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8904" w:type="dxa"/>
            <w:gridSpan w:val="11"/>
            <w:tcBorders>
              <w:right w:val="single" w:sz="6" w:space="0" w:color="auto"/>
            </w:tcBorders>
          </w:tcPr>
          <w:p w:rsidR="005624E3" w:rsidRPr="00C903F8" w:rsidRDefault="005624E3" w:rsidP="00101A80">
            <w:pPr>
              <w:tabs>
                <w:tab w:val="left" w:pos="57"/>
                <w:tab w:val="left" w:pos="340"/>
                <w:tab w:val="left" w:leader="dot" w:pos="8505"/>
              </w:tabs>
              <w:overflowPunct w:val="0"/>
              <w:adjustRightInd w:val="0"/>
              <w:ind w:left="57" w:right="113" w:hanging="57"/>
              <w:textAlignment w:val="baseline"/>
              <w:rPr>
                <w:rFonts w:cs="Arial"/>
                <w:sz w:val="8"/>
                <w:szCs w:val="20"/>
              </w:rPr>
            </w:pPr>
          </w:p>
          <w:p w:rsidR="005624E3" w:rsidRPr="00C903F8" w:rsidRDefault="005624E3" w:rsidP="00101A80">
            <w:pPr>
              <w:tabs>
                <w:tab w:val="left" w:pos="57"/>
                <w:tab w:val="left" w:pos="340"/>
                <w:tab w:val="left" w:leader="dot" w:pos="8505"/>
              </w:tabs>
              <w:overflowPunct w:val="0"/>
              <w:adjustRightInd w:val="0"/>
              <w:spacing w:before="120"/>
              <w:ind w:left="57" w:right="113" w:hanging="57"/>
              <w:textAlignment w:val="baseline"/>
              <w:rPr>
                <w:rFonts w:cs="Arial"/>
                <w:sz w:val="18"/>
                <w:szCs w:val="20"/>
              </w:rPr>
            </w:pPr>
            <w:r>
              <w:tab/>
            </w:r>
            <w:r>
              <w:rPr>
                <w:noProof/>
                <w:szCs w:val="20"/>
              </w:rPr>
              <w:drawing>
                <wp:inline distT="0" distB="0" distL="0" distR="0" wp14:anchorId="48276908" wp14:editId="2AF524DC">
                  <wp:extent cx="5133975" cy="3162300"/>
                  <wp:effectExtent l="0" t="0" r="952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33975" cy="3162300"/>
                          </a:xfrm>
                          <a:prstGeom prst="rect">
                            <a:avLst/>
                          </a:prstGeom>
                          <a:noFill/>
                          <a:ln>
                            <a:noFill/>
                          </a:ln>
                        </pic:spPr>
                      </pic:pic>
                    </a:graphicData>
                  </a:graphic>
                </wp:inline>
              </w:drawing>
            </w:r>
          </w:p>
          <w:p w:rsidR="005624E3" w:rsidRPr="00C903F8" w:rsidRDefault="005624E3" w:rsidP="00101A80">
            <w:pPr>
              <w:tabs>
                <w:tab w:val="left" w:pos="57"/>
                <w:tab w:val="left" w:pos="340"/>
                <w:tab w:val="left" w:leader="dot" w:pos="8505"/>
              </w:tabs>
              <w:overflowPunct w:val="0"/>
              <w:adjustRightInd w:val="0"/>
              <w:ind w:left="57" w:right="113" w:hanging="57"/>
              <w:textAlignment w:val="baseline"/>
              <w:rPr>
                <w:rFonts w:cs="Arial"/>
                <w:sz w:val="6"/>
                <w:szCs w:val="20"/>
              </w:rPr>
            </w:pPr>
          </w:p>
          <w:p w:rsidR="005624E3" w:rsidRPr="00C903F8" w:rsidRDefault="005624E3" w:rsidP="00101A80">
            <w:pPr>
              <w:pBdr>
                <w:left w:val="single" w:sz="6" w:space="1" w:color="auto"/>
                <w:right w:val="single" w:sz="6" w:space="1" w:color="auto"/>
              </w:pBdr>
              <w:tabs>
                <w:tab w:val="left" w:pos="341"/>
              </w:tabs>
              <w:overflowPunct w:val="0"/>
              <w:adjustRightInd w:val="0"/>
              <w:textAlignment w:val="baseline"/>
              <w:rPr>
                <w:rFonts w:cs="Arial"/>
                <w:szCs w:val="20"/>
              </w:rPr>
            </w:pPr>
            <w:r>
              <w:t>2.</w:t>
            </w:r>
            <w:r>
              <w:tab/>
              <w:t xml:space="preserve">Csatolás: </w:t>
            </w:r>
          </w:p>
          <w:p w:rsidR="005624E3" w:rsidRPr="00C903F8" w:rsidRDefault="005624E3" w:rsidP="00101A80">
            <w:pPr>
              <w:pBdr>
                <w:right w:val="single" w:sz="6" w:space="1" w:color="auto"/>
              </w:pBdr>
              <w:tabs>
                <w:tab w:val="left" w:pos="341"/>
                <w:tab w:val="left" w:leader="dot" w:pos="3969"/>
                <w:tab w:val="left" w:pos="4168"/>
                <w:tab w:val="left" w:leader="dot" w:pos="8505"/>
              </w:tabs>
              <w:overflowPunct w:val="0"/>
              <w:adjustRightInd w:val="0"/>
              <w:ind w:left="341"/>
              <w:textAlignment w:val="baseline"/>
              <w:rPr>
                <w:rFonts w:cs="Arial"/>
                <w:szCs w:val="20"/>
              </w:rPr>
            </w:pPr>
            <w:r>
              <w:t xml:space="preserve">Csatolás típusa: </w:t>
            </w:r>
            <w:r>
              <w:tab/>
            </w:r>
            <w:r>
              <w:tab/>
              <w:t xml:space="preserve">Csatolások száma oldalanként: </w:t>
            </w:r>
            <w:r>
              <w:tab/>
            </w:r>
          </w:p>
          <w:p w:rsidR="005624E3" w:rsidRPr="00C903F8" w:rsidRDefault="005624E3" w:rsidP="00101A80">
            <w:pPr>
              <w:pBdr>
                <w:right w:val="single" w:sz="6" w:space="1" w:color="auto"/>
              </w:pBdr>
              <w:tabs>
                <w:tab w:val="left" w:pos="397"/>
                <w:tab w:val="left" w:leader="dot" w:pos="3969"/>
                <w:tab w:val="left" w:pos="4168"/>
                <w:tab w:val="left" w:leader="dot" w:pos="8505"/>
              </w:tabs>
              <w:overflowPunct w:val="0"/>
              <w:adjustRightInd w:val="0"/>
              <w:ind w:left="341"/>
              <w:textAlignment w:val="baseline"/>
              <w:rPr>
                <w:rFonts w:cs="Arial"/>
                <w:szCs w:val="20"/>
              </w:rPr>
            </w:pPr>
            <w:r>
              <w:t xml:space="preserve">Csatolókötelek száma: </w:t>
            </w:r>
            <w:r>
              <w:tab/>
            </w:r>
            <w:r>
              <w:tab/>
              <w:t>Az egyes csatolókötelek hossza:</w:t>
            </w:r>
            <w:r>
              <w:tab/>
            </w:r>
          </w:p>
          <w:p w:rsidR="005624E3" w:rsidRPr="00C903F8" w:rsidRDefault="005624E3" w:rsidP="00101A80">
            <w:pPr>
              <w:pBdr>
                <w:right w:val="single" w:sz="6" w:space="1" w:color="auto"/>
              </w:pBdr>
              <w:tabs>
                <w:tab w:val="left" w:pos="397"/>
                <w:tab w:val="left" w:leader="dot" w:pos="3969"/>
                <w:tab w:val="left" w:leader="dot" w:pos="5670"/>
                <w:tab w:val="left" w:leader="dot" w:pos="8505"/>
              </w:tabs>
              <w:overflowPunct w:val="0"/>
              <w:adjustRightInd w:val="0"/>
              <w:ind w:left="341"/>
              <w:textAlignment w:val="baseline"/>
              <w:rPr>
                <w:rFonts w:cs="Arial"/>
                <w:szCs w:val="20"/>
              </w:rPr>
            </w:pPr>
            <w:r>
              <w:t xml:space="preserve">Hosszanti csatolás szakítószilárdsága: </w:t>
            </w:r>
            <w:r>
              <w:tab/>
              <w:t xml:space="preserve"> kN</w:t>
            </w:r>
          </w:p>
          <w:p w:rsidR="005624E3" w:rsidRPr="00C903F8" w:rsidRDefault="005624E3" w:rsidP="00101A80">
            <w:pPr>
              <w:pBdr>
                <w:right w:val="single" w:sz="6" w:space="1" w:color="auto"/>
              </w:pBdr>
              <w:tabs>
                <w:tab w:val="left" w:pos="397"/>
                <w:tab w:val="left" w:leader="dot" w:pos="5670"/>
                <w:tab w:val="left" w:leader="dot" w:pos="8789"/>
              </w:tabs>
              <w:overflowPunct w:val="0"/>
              <w:adjustRightInd w:val="0"/>
              <w:ind w:left="341"/>
              <w:textAlignment w:val="baseline"/>
              <w:rPr>
                <w:rFonts w:cs="Arial"/>
                <w:szCs w:val="20"/>
              </w:rPr>
            </w:pPr>
            <w:r>
              <w:t>Szakítószilárdság csatolókötelenként:</w:t>
            </w:r>
            <w:r>
              <w:tab/>
              <w:t xml:space="preserve"> kN</w:t>
            </w:r>
          </w:p>
          <w:p w:rsidR="005624E3" w:rsidRPr="00C903F8" w:rsidRDefault="005624E3" w:rsidP="00101A80">
            <w:pPr>
              <w:pBdr>
                <w:right w:val="single" w:sz="6" w:space="1" w:color="auto"/>
              </w:pBdr>
              <w:tabs>
                <w:tab w:val="left" w:pos="397"/>
                <w:tab w:val="left" w:leader="dot" w:pos="5670"/>
                <w:tab w:val="left" w:leader="dot" w:pos="8789"/>
              </w:tabs>
              <w:overflowPunct w:val="0"/>
              <w:adjustRightInd w:val="0"/>
              <w:ind w:left="341"/>
              <w:textAlignment w:val="baseline"/>
              <w:rPr>
                <w:rFonts w:cs="Arial"/>
                <w:sz w:val="18"/>
                <w:szCs w:val="20"/>
              </w:rPr>
            </w:pPr>
            <w:r>
              <w:t xml:space="preserve">Kötélmenetek száma: </w:t>
            </w:r>
            <w:r>
              <w:tab/>
              <w:t xml:space="preserve"> </w:t>
            </w:r>
          </w:p>
        </w:tc>
      </w:tr>
      <w:tr w:rsidR="005624E3" w:rsidRPr="00842442"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s>
              <w:overflowPunct w:val="0"/>
              <w:adjustRightInd w:val="0"/>
              <w:spacing w:before="80"/>
              <w:textAlignment w:val="baseline"/>
              <w:rPr>
                <w:rFonts w:cs="Arial"/>
                <w:sz w:val="18"/>
                <w:szCs w:val="20"/>
              </w:rPr>
            </w:pPr>
            <w:r>
              <w:tab/>
            </w:r>
            <w:r>
              <w:rPr>
                <w:sz w:val="18"/>
              </w:rPr>
              <w:t>*)</w:t>
            </w:r>
            <w:r>
              <w:rPr>
                <w:rFonts w:cs="Arial"/>
                <w:sz w:val="18"/>
                <w:szCs w:val="20"/>
              </w:rPr>
              <w:br/>
            </w:r>
            <w:r>
              <w:rPr>
                <w:rFonts w:cs="Arial"/>
                <w:sz w:val="18"/>
                <w:szCs w:val="20"/>
              </w:rPr>
              <w:br/>
            </w:r>
          </w:p>
          <w:p w:rsidR="005624E3" w:rsidRPr="00C903F8" w:rsidRDefault="005624E3" w:rsidP="00101A80">
            <w:pPr>
              <w:tabs>
                <w:tab w:val="left" w:pos="57"/>
              </w:tabs>
              <w:overflowPunct w:val="0"/>
              <w:adjustRightInd w:val="0"/>
              <w:spacing w:before="80"/>
              <w:textAlignment w:val="baseline"/>
              <w:rPr>
                <w:rFonts w:cs="Arial"/>
                <w:sz w:val="18"/>
                <w:szCs w:val="20"/>
              </w:rPr>
            </w:pPr>
          </w:p>
          <w:p w:rsidR="005624E3" w:rsidRPr="00C903F8" w:rsidRDefault="005624E3" w:rsidP="00101A80">
            <w:pPr>
              <w:tabs>
                <w:tab w:val="left" w:pos="57"/>
              </w:tabs>
              <w:overflowPunct w:val="0"/>
              <w:adjustRightInd w:val="0"/>
              <w:spacing w:before="160"/>
              <w:textAlignment w:val="baseline"/>
              <w:rPr>
                <w:rFonts w:cs="Arial"/>
                <w:sz w:val="18"/>
                <w:szCs w:val="20"/>
              </w:rPr>
            </w:pPr>
            <w:r>
              <w:tab/>
            </w:r>
            <w:r>
              <w:rPr>
                <w:sz w:val="18"/>
              </w:rPr>
              <w:t>*)</w:t>
            </w:r>
          </w:p>
        </w:tc>
        <w:tc>
          <w:tcPr>
            <w:tcW w:w="8904" w:type="dxa"/>
            <w:gridSpan w:val="11"/>
            <w:tcBorders>
              <w:top w:val="single" w:sz="6" w:space="0" w:color="auto"/>
              <w:bottom w:val="single" w:sz="6" w:space="0" w:color="auto"/>
              <w:right w:val="single" w:sz="6" w:space="0" w:color="auto"/>
            </w:tcBorders>
          </w:tcPr>
          <w:p w:rsidR="005624E3" w:rsidRPr="00C903F8" w:rsidRDefault="005624E3" w:rsidP="00101A80">
            <w:pPr>
              <w:tabs>
                <w:tab w:val="left" w:pos="57"/>
                <w:tab w:val="left" w:leader="dot" w:pos="3686"/>
              </w:tabs>
              <w:overflowPunct w:val="0"/>
              <w:adjustRightInd w:val="0"/>
              <w:spacing w:before="80" w:after="80"/>
              <w:ind w:left="57" w:right="57"/>
              <w:textAlignment w:val="baseline"/>
              <w:rPr>
                <w:rFonts w:cs="Arial"/>
                <w:sz w:val="18"/>
                <w:szCs w:val="20"/>
              </w:rPr>
            </w:pPr>
            <w:r>
              <w:rPr>
                <w:noProof/>
                <w:sz w:val="18"/>
              </w:rPr>
              <w:t>A következő rovatok módosultak: ...........</w:t>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rPr>
                <w:noProof/>
                <w:sz w:val="18"/>
              </w:rPr>
              <w:t>Új szöveg:</w:t>
            </w: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Ez az oldal lecserélésre került.</w:t>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 xml:space="preserve">Hely, dátum </w:t>
            </w:r>
            <w:r>
              <w:tab/>
            </w:r>
            <w:r>
              <w:tab/>
            </w:r>
            <w:r>
              <w:rPr>
                <w:sz w:val="18"/>
              </w:rPr>
              <w:t>Ellenőrző szerv</w:t>
            </w:r>
          </w:p>
          <w:p w:rsidR="005624E3" w:rsidRPr="00C903F8" w:rsidRDefault="005624E3" w:rsidP="00101A80">
            <w:pPr>
              <w:tabs>
                <w:tab w:val="left" w:pos="5103"/>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1701"/>
              </w:tabs>
              <w:overflowPunct w:val="0"/>
              <w:adjustRightInd w:val="0"/>
              <w:spacing w:after="80"/>
              <w:textAlignment w:val="baseline"/>
              <w:rPr>
                <w:rFonts w:cs="Arial"/>
                <w:sz w:val="18"/>
                <w:szCs w:val="20"/>
              </w:rPr>
            </w:pPr>
            <w:r>
              <w:tab/>
            </w:r>
            <w:r>
              <w:rPr>
                <w:sz w:val="18"/>
              </w:rPr>
              <w:t>Bélyegző</w:t>
            </w:r>
          </w:p>
          <w:p w:rsidR="005624E3" w:rsidRPr="00C903F8" w:rsidRDefault="005624E3" w:rsidP="00101A80">
            <w:pPr>
              <w:tabs>
                <w:tab w:val="left" w:pos="5103"/>
                <w:tab w:val="left" w:leader="dot" w:pos="8505"/>
              </w:tabs>
              <w:overflowPunct w:val="0"/>
              <w:adjustRightInd w:val="0"/>
              <w:textAlignment w:val="baseline"/>
              <w:rPr>
                <w:rFonts w:cs="Arial"/>
                <w:szCs w:val="20"/>
              </w:rPr>
            </w:pPr>
            <w:r>
              <w:tab/>
            </w:r>
            <w:r>
              <w:tab/>
            </w:r>
          </w:p>
          <w:p w:rsidR="005624E3" w:rsidRPr="00C903F8" w:rsidRDefault="005624E3" w:rsidP="00101A80">
            <w:pPr>
              <w:tabs>
                <w:tab w:val="center" w:pos="6862"/>
              </w:tabs>
              <w:overflowPunct w:val="0"/>
              <w:adjustRightInd w:val="0"/>
              <w:textAlignment w:val="baseline"/>
              <w:rPr>
                <w:rFonts w:cs="Arial"/>
                <w:sz w:val="16"/>
                <w:szCs w:val="20"/>
              </w:rPr>
            </w:pPr>
            <w:r>
              <w:tab/>
            </w:r>
            <w:r>
              <w:rPr>
                <w:sz w:val="16"/>
              </w:rPr>
              <w:t>(Aláírás)</w:t>
            </w:r>
          </w:p>
          <w:p w:rsidR="005624E3" w:rsidRPr="00D50F76" w:rsidRDefault="005624E3" w:rsidP="00101A80">
            <w:pPr>
              <w:tabs>
                <w:tab w:val="left" w:pos="113"/>
                <w:tab w:val="left" w:pos="397"/>
                <w:tab w:val="left" w:pos="6237"/>
                <w:tab w:val="left" w:leader="dot" w:pos="9356"/>
              </w:tabs>
              <w:overflowPunct w:val="0"/>
              <w:adjustRightInd w:val="0"/>
              <w:textAlignment w:val="baseline"/>
              <w:rPr>
                <w:rFonts w:cs="Arial"/>
                <w:sz w:val="16"/>
                <w:szCs w:val="20"/>
                <w:lang w:val="pt-PT"/>
              </w:rPr>
            </w:pPr>
            <w:r w:rsidRPr="00D50F76">
              <w:rPr>
                <w:sz w:val="18"/>
                <w:lang w:val="pt-PT"/>
              </w:rPr>
              <w:t>_______________________</w:t>
            </w:r>
          </w:p>
          <w:p w:rsidR="005624E3" w:rsidRPr="00D50F76" w:rsidRDefault="005624E3" w:rsidP="00101A80">
            <w:pPr>
              <w:tabs>
                <w:tab w:val="left" w:pos="284"/>
              </w:tabs>
              <w:overflowPunct w:val="0"/>
              <w:adjustRightInd w:val="0"/>
              <w:spacing w:after="40"/>
              <w:ind w:left="57"/>
              <w:textAlignment w:val="baseline"/>
              <w:rPr>
                <w:rFonts w:cs="Arial"/>
                <w:sz w:val="18"/>
                <w:szCs w:val="20"/>
                <w:lang w:val="pt-PT"/>
              </w:rPr>
            </w:pPr>
            <w:r w:rsidRPr="00D50F76">
              <w:rPr>
                <w:position w:val="4"/>
                <w:sz w:val="16"/>
                <w:lang w:val="pt-PT"/>
              </w:rPr>
              <w:t>*)</w:t>
            </w:r>
            <w:r w:rsidRPr="00D50F76">
              <w:rPr>
                <w:lang w:val="pt-PT"/>
              </w:rPr>
              <w:tab/>
            </w:r>
            <w:r w:rsidRPr="00D50F76">
              <w:rPr>
                <w:sz w:val="16"/>
                <w:lang w:val="pt-PT"/>
              </w:rPr>
              <w:t>A nem kívánt rész törlendő.</w:t>
            </w:r>
          </w:p>
        </w:tc>
      </w:tr>
    </w:tbl>
    <w:p w:rsidR="005624E3" w:rsidRPr="00842442" w:rsidRDefault="005624E3" w:rsidP="005624E3">
      <w:pPr>
        <w:tabs>
          <w:tab w:val="left" w:leader="dot" w:pos="2835"/>
          <w:tab w:val="left" w:leader="dot" w:pos="5103"/>
        </w:tabs>
        <w:overflowPunct w:val="0"/>
        <w:adjustRightInd w:val="0"/>
        <w:textAlignment w:val="baseline"/>
        <w:rPr>
          <w:rFonts w:cs="Arial"/>
          <w:szCs w:val="20"/>
          <w:lang w:val="pt-PT"/>
        </w:rPr>
      </w:pPr>
      <w:r w:rsidRPr="00842442">
        <w:rPr>
          <w:lang w:val="pt-PT"/>
        </w:rPr>
        <w:br w:type="page"/>
        <w:t xml:space="preserve">Az ellenőrző szerv által kiadott .......... számú belvízi hajóbizonyítvány </w:t>
      </w:r>
      <w:r w:rsidRPr="00842442">
        <w:rPr>
          <w:lang w:val="pt-PT"/>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764"/>
        <w:gridCol w:w="1533"/>
        <w:gridCol w:w="1529"/>
        <w:gridCol w:w="768"/>
        <w:gridCol w:w="2297"/>
      </w:tblGrid>
      <w:tr w:rsidR="005624E3" w:rsidRPr="00A0619C" w:rsidTr="00101A80">
        <w:trPr>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r>
              <w:rPr>
                <w:sz w:val="18"/>
              </w:rPr>
              <w:t>16.</w:t>
            </w:r>
          </w:p>
        </w:tc>
        <w:tc>
          <w:tcPr>
            <w:tcW w:w="8905" w:type="dxa"/>
            <w:gridSpan w:val="6"/>
            <w:tcBorders>
              <w:top w:val="single" w:sz="6" w:space="0" w:color="auto"/>
              <w:right w:val="single" w:sz="6" w:space="0" w:color="auto"/>
            </w:tcBorders>
          </w:tcPr>
          <w:p w:rsidR="005624E3" w:rsidRPr="00C903F8" w:rsidRDefault="005624E3" w:rsidP="00101A80">
            <w:pPr>
              <w:tabs>
                <w:tab w:val="left" w:pos="57"/>
                <w:tab w:val="left" w:pos="340"/>
                <w:tab w:val="left" w:leader="dot" w:pos="2835"/>
                <w:tab w:val="left" w:leader="dot" w:pos="6804"/>
                <w:tab w:val="left" w:leader="dot" w:pos="8505"/>
              </w:tabs>
              <w:overflowPunct w:val="0"/>
              <w:adjustRightInd w:val="0"/>
              <w:spacing w:before="80"/>
              <w:textAlignment w:val="baseline"/>
              <w:rPr>
                <w:rFonts w:cs="Arial"/>
                <w:sz w:val="18"/>
                <w:szCs w:val="20"/>
              </w:rPr>
            </w:pPr>
            <w:r>
              <w:tab/>
              <w:t>A ........... köbözési hivatal ........... -án/-én kelt ........... számú köbözési bizonyítványa</w:t>
            </w:r>
            <w:r>
              <w:rPr>
                <w:rFonts w:cs="Arial"/>
                <w:sz w:val="18"/>
                <w:szCs w:val="20"/>
              </w:rPr>
              <w:br/>
            </w:r>
            <w:r>
              <w:tab/>
            </w:r>
          </w:p>
        </w:tc>
      </w:tr>
      <w:tr w:rsidR="005624E3" w:rsidRPr="00C903F8"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s>
              <w:overflowPunct w:val="0"/>
              <w:adjustRightInd w:val="0"/>
              <w:spacing w:before="40"/>
              <w:textAlignment w:val="baseline"/>
              <w:rPr>
                <w:rFonts w:cs="Arial"/>
                <w:sz w:val="14"/>
                <w:szCs w:val="20"/>
              </w:rPr>
            </w:pPr>
            <w:r>
              <w:rPr>
                <w:sz w:val="14"/>
              </w:rPr>
              <w:t>17a.</w:t>
            </w:r>
          </w:p>
          <w:p w:rsidR="005624E3" w:rsidRPr="00C903F8" w:rsidRDefault="005624E3" w:rsidP="00101A80">
            <w:pPr>
              <w:tabs>
                <w:tab w:val="left" w:pos="57"/>
              </w:tabs>
              <w:overflowPunct w:val="0"/>
              <w:adjustRightInd w:val="0"/>
              <w:spacing w:before="40"/>
              <w:textAlignment w:val="baseline"/>
              <w:rPr>
                <w:rFonts w:cs="Arial"/>
                <w:sz w:val="18"/>
                <w:szCs w:val="20"/>
              </w:rPr>
            </w:pPr>
            <w:r>
              <w:rPr>
                <w:sz w:val="14"/>
              </w:rPr>
              <w:t>17</w:t>
            </w:r>
            <w:r>
              <w:rPr>
                <w:sz w:val="12"/>
              </w:rPr>
              <w:t>b.</w:t>
            </w:r>
          </w:p>
        </w:tc>
        <w:tc>
          <w:tcPr>
            <w:tcW w:w="2014" w:type="dxa"/>
            <w:tcBorders>
              <w:top w:val="single" w:sz="6" w:space="0" w:color="auto"/>
              <w:bottom w:val="single" w:sz="6" w:space="0" w:color="auto"/>
            </w:tcBorders>
          </w:tcPr>
          <w:p w:rsidR="005624E3" w:rsidRPr="00C903F8" w:rsidRDefault="005624E3" w:rsidP="00101A80">
            <w:pPr>
              <w:tabs>
                <w:tab w:val="left" w:pos="57"/>
                <w:tab w:val="left" w:pos="1758"/>
              </w:tabs>
              <w:overflowPunct w:val="0"/>
              <w:adjustRightInd w:val="0"/>
              <w:textAlignment w:val="baseline"/>
              <w:rPr>
                <w:rFonts w:cs="Arial"/>
                <w:sz w:val="18"/>
                <w:szCs w:val="20"/>
              </w:rPr>
            </w:pPr>
            <w:r>
              <w:tab/>
            </w:r>
            <w:r>
              <w:rPr>
                <w:sz w:val="18"/>
              </w:rPr>
              <w:t>Teljes hosszúság</w:t>
            </w:r>
            <w:r>
              <w:tab/>
            </w:r>
            <w:r>
              <w:rPr>
                <w:sz w:val="18"/>
              </w:rPr>
              <w:t>m</w:t>
            </w:r>
            <w:r>
              <w:rPr>
                <w:rFonts w:cs="Arial"/>
                <w:sz w:val="18"/>
                <w:szCs w:val="20"/>
              </w:rPr>
              <w:br/>
            </w:r>
            <w:r>
              <w:tab/>
            </w:r>
            <w:r>
              <w:rPr>
                <w:sz w:val="18"/>
              </w:rPr>
              <w:t>Hosszúság (L)</w:t>
            </w:r>
            <w:r>
              <w:tab/>
            </w:r>
            <w:r>
              <w:rPr>
                <w:sz w:val="18"/>
              </w:rPr>
              <w:t>m</w:t>
            </w:r>
            <w:r>
              <w:rPr>
                <w:rFonts w:cs="Arial"/>
                <w:sz w:val="18"/>
                <w:szCs w:val="20"/>
              </w:rPr>
              <w:br/>
            </w:r>
          </w:p>
        </w:tc>
        <w:tc>
          <w:tcPr>
            <w:tcW w:w="2297" w:type="dxa"/>
            <w:gridSpan w:val="2"/>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pos="454"/>
                <w:tab w:val="left" w:pos="1758"/>
              </w:tabs>
              <w:overflowPunct w:val="0"/>
              <w:adjustRightInd w:val="0"/>
              <w:textAlignment w:val="baseline"/>
              <w:rPr>
                <w:rFonts w:cs="Arial"/>
                <w:sz w:val="18"/>
                <w:szCs w:val="20"/>
              </w:rPr>
            </w:pPr>
            <w:r>
              <w:tab/>
            </w:r>
            <w:r>
              <w:rPr>
                <w:sz w:val="16"/>
              </w:rPr>
              <w:t>18a.</w:t>
            </w:r>
            <w:r>
              <w:tab/>
            </w:r>
            <w:r>
              <w:rPr>
                <w:sz w:val="18"/>
              </w:rPr>
              <w:t>Teljes szélesség</w:t>
            </w:r>
            <w:r>
              <w:tab/>
            </w:r>
            <w:r>
              <w:rPr>
                <w:sz w:val="18"/>
              </w:rPr>
              <w:t>m</w:t>
            </w:r>
            <w:r>
              <w:rPr>
                <w:rFonts w:cs="Arial"/>
                <w:position w:val="6"/>
                <w:sz w:val="16"/>
                <w:szCs w:val="20"/>
              </w:rPr>
              <w:br/>
            </w:r>
            <w:r>
              <w:tab/>
            </w:r>
            <w:r>
              <w:rPr>
                <w:sz w:val="16"/>
              </w:rPr>
              <w:t>18b.</w:t>
            </w:r>
            <w:r>
              <w:tab/>
            </w:r>
            <w:r>
              <w:rPr>
                <w:noProof/>
                <w:sz w:val="18"/>
              </w:rPr>
              <w:t>Szélesség (B)</w:t>
            </w:r>
            <w:r>
              <w:tab/>
            </w:r>
            <w:r>
              <w:rPr>
                <w:sz w:val="18"/>
              </w:rPr>
              <w:t>m</w:t>
            </w:r>
            <w:r>
              <w:rPr>
                <w:rFonts w:cs="Arial"/>
                <w:sz w:val="16"/>
                <w:szCs w:val="20"/>
              </w:rPr>
              <w:br/>
            </w:r>
          </w:p>
        </w:tc>
        <w:tc>
          <w:tcPr>
            <w:tcW w:w="2297" w:type="dxa"/>
            <w:gridSpan w:val="2"/>
            <w:tcBorders>
              <w:top w:val="single" w:sz="6" w:space="0" w:color="auto"/>
              <w:left w:val="single" w:sz="6" w:space="0" w:color="auto"/>
              <w:bottom w:val="single" w:sz="6" w:space="0" w:color="auto"/>
              <w:right w:val="single" w:sz="6" w:space="0" w:color="auto"/>
            </w:tcBorders>
          </w:tcPr>
          <w:p w:rsidR="005624E3" w:rsidRPr="00D50F76" w:rsidRDefault="005624E3" w:rsidP="00101A80">
            <w:pPr>
              <w:tabs>
                <w:tab w:val="left" w:pos="57"/>
                <w:tab w:val="left" w:pos="340"/>
                <w:tab w:val="left" w:pos="1985"/>
              </w:tabs>
              <w:overflowPunct w:val="0"/>
              <w:adjustRightInd w:val="0"/>
              <w:textAlignment w:val="baseline"/>
              <w:rPr>
                <w:rFonts w:cs="Arial"/>
                <w:sz w:val="18"/>
                <w:szCs w:val="20"/>
                <w:lang w:val="fr-FR"/>
              </w:rPr>
            </w:pPr>
            <w:r w:rsidRPr="00D50F76">
              <w:rPr>
                <w:lang w:val="fr-FR"/>
              </w:rPr>
              <w:tab/>
            </w:r>
            <w:r w:rsidRPr="00D50F76">
              <w:rPr>
                <w:sz w:val="16"/>
                <w:lang w:val="fr-FR"/>
              </w:rPr>
              <w:t>19 a.</w:t>
            </w:r>
            <w:r w:rsidRPr="00D50F76">
              <w:rPr>
                <w:lang w:val="fr-FR"/>
              </w:rPr>
              <w:t xml:space="preserve"> </w:t>
            </w:r>
            <w:r w:rsidRPr="00D50F76">
              <w:rPr>
                <w:sz w:val="18"/>
                <w:lang w:val="fr-FR"/>
              </w:rPr>
              <w:t>Teljes merülés</w:t>
            </w:r>
            <w:r w:rsidRPr="00D50F76">
              <w:rPr>
                <w:lang w:val="fr-FR"/>
              </w:rPr>
              <w:tab/>
            </w:r>
            <w:r w:rsidRPr="00D50F76">
              <w:rPr>
                <w:sz w:val="18"/>
                <w:lang w:val="fr-FR"/>
              </w:rPr>
              <w:t>m</w:t>
            </w:r>
          </w:p>
          <w:p w:rsidR="005624E3" w:rsidRPr="00D50F76" w:rsidRDefault="005624E3" w:rsidP="00101A80">
            <w:pPr>
              <w:tabs>
                <w:tab w:val="left" w:pos="57"/>
                <w:tab w:val="left" w:pos="340"/>
                <w:tab w:val="left" w:pos="1985"/>
              </w:tabs>
              <w:overflowPunct w:val="0"/>
              <w:adjustRightInd w:val="0"/>
              <w:textAlignment w:val="baseline"/>
              <w:rPr>
                <w:rFonts w:cs="Arial"/>
                <w:sz w:val="18"/>
                <w:szCs w:val="20"/>
                <w:lang w:val="fr-FR"/>
              </w:rPr>
            </w:pPr>
            <w:r w:rsidRPr="00D50F76">
              <w:rPr>
                <w:sz w:val="16"/>
                <w:lang w:val="fr-FR"/>
              </w:rPr>
              <w:t>19b.</w:t>
            </w:r>
            <w:r w:rsidRPr="00D50F76">
              <w:rPr>
                <w:lang w:val="fr-FR"/>
              </w:rPr>
              <w:tab/>
            </w:r>
            <w:r w:rsidRPr="00D50F76">
              <w:rPr>
                <w:sz w:val="18"/>
                <w:lang w:val="fr-FR"/>
              </w:rPr>
              <w:t>Merülés (T)</w:t>
            </w:r>
            <w:r w:rsidRPr="00D50F76">
              <w:rPr>
                <w:lang w:val="fr-FR"/>
              </w:rPr>
              <w:tab/>
            </w:r>
            <w:r w:rsidRPr="00D50F76">
              <w:rPr>
                <w:sz w:val="18"/>
                <w:lang w:val="fr-FR"/>
              </w:rPr>
              <w:t>m</w:t>
            </w:r>
          </w:p>
        </w:tc>
        <w:tc>
          <w:tcPr>
            <w:tcW w:w="2297" w:type="dxa"/>
            <w:tcBorders>
              <w:top w:val="single" w:sz="6" w:space="0" w:color="auto"/>
              <w:bottom w:val="single" w:sz="6" w:space="0" w:color="auto"/>
              <w:right w:val="single" w:sz="6" w:space="0" w:color="auto"/>
            </w:tcBorders>
          </w:tcPr>
          <w:p w:rsidR="005624E3" w:rsidRPr="00C903F8" w:rsidRDefault="005624E3" w:rsidP="00101A80">
            <w:pPr>
              <w:tabs>
                <w:tab w:val="left" w:pos="57"/>
                <w:tab w:val="left" w:pos="340"/>
                <w:tab w:val="left" w:pos="1758"/>
              </w:tabs>
              <w:overflowPunct w:val="0"/>
              <w:adjustRightInd w:val="0"/>
              <w:textAlignment w:val="baseline"/>
              <w:rPr>
                <w:rFonts w:cs="Arial"/>
                <w:sz w:val="18"/>
                <w:szCs w:val="20"/>
              </w:rPr>
            </w:pPr>
            <w:r w:rsidRPr="00D50F76">
              <w:rPr>
                <w:lang w:val="fr-FR"/>
              </w:rPr>
              <w:tab/>
            </w:r>
            <w:r>
              <w:rPr>
                <w:sz w:val="18"/>
              </w:rPr>
              <w:t>20.</w:t>
            </w:r>
            <w:r>
              <w:tab/>
            </w:r>
            <w:r>
              <w:rPr>
                <w:sz w:val="18"/>
              </w:rPr>
              <w:t>Szabadoldal</w:t>
            </w:r>
            <w:r>
              <w:tab/>
            </w:r>
            <w:r>
              <w:rPr>
                <w:sz w:val="18"/>
              </w:rPr>
              <w:t>cm</w:t>
            </w:r>
            <w:r>
              <w:rPr>
                <w:rFonts w:cs="Arial"/>
                <w:sz w:val="18"/>
                <w:szCs w:val="20"/>
              </w:rPr>
              <w:br/>
            </w:r>
            <w:r>
              <w:rPr>
                <w:rFonts w:cs="Arial"/>
                <w:sz w:val="18"/>
                <w:szCs w:val="20"/>
              </w:rPr>
              <w:br/>
            </w:r>
            <w:r>
              <w:tab/>
            </w:r>
          </w:p>
        </w:tc>
      </w:tr>
      <w:tr w:rsidR="005624E3" w:rsidRPr="00C903F8"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r>
              <w:rPr>
                <w:sz w:val="18"/>
              </w:rPr>
              <w:t>21.</w:t>
            </w:r>
          </w:p>
        </w:tc>
        <w:tc>
          <w:tcPr>
            <w:tcW w:w="2778" w:type="dxa"/>
            <w:gridSpan w:val="2"/>
            <w:tcBorders>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 xml:space="preserve">Hordképesség / Vízkiszorítási térfogat </w:t>
            </w:r>
            <w:r>
              <w:rPr>
                <w:position w:val="6"/>
                <w:sz w:val="16"/>
              </w:rPr>
              <w:t>*)</w:t>
            </w:r>
            <w:r>
              <w:rPr>
                <w:sz w:val="18"/>
              </w:rPr>
              <w:t xml:space="preserve"> </w:t>
            </w:r>
            <w:r>
              <w:tab/>
            </w:r>
            <w:r>
              <w:tab/>
            </w:r>
            <w:r>
              <w:tab/>
            </w:r>
            <w:r>
              <w:rPr>
                <w:sz w:val="18"/>
              </w:rPr>
              <w:t>t/m</w:t>
            </w:r>
            <w:r>
              <w:rPr>
                <w:position w:val="6"/>
                <w:sz w:val="14"/>
                <w:vertAlign w:val="superscript"/>
              </w:rPr>
              <w:t>3</w:t>
            </w:r>
            <w:r>
              <w:rPr>
                <w:position w:val="6"/>
                <w:sz w:val="14"/>
              </w:rPr>
              <w:t>*)</w:t>
            </w:r>
          </w:p>
        </w:tc>
        <w:tc>
          <w:tcPr>
            <w:tcW w:w="3062"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22.</w:t>
            </w:r>
            <w:r>
              <w:tab/>
            </w:r>
            <w:r>
              <w:rPr>
                <w:sz w:val="18"/>
              </w:rPr>
              <w:t>Utaslétszám</w:t>
            </w:r>
          </w:p>
        </w:tc>
        <w:tc>
          <w:tcPr>
            <w:tcW w:w="3065"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23.</w:t>
            </w:r>
            <w:r>
              <w:tab/>
            </w:r>
            <w:r>
              <w:rPr>
                <w:sz w:val="18"/>
              </w:rPr>
              <w:t>Utasfekhelyek száma</w:t>
            </w:r>
            <w:r>
              <w:rPr>
                <w:rFonts w:cs="Arial"/>
                <w:sz w:val="18"/>
                <w:szCs w:val="20"/>
              </w:rPr>
              <w:br/>
            </w:r>
          </w:p>
        </w:tc>
      </w:tr>
      <w:tr w:rsidR="005624E3" w:rsidRPr="00C903F8"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r>
              <w:rPr>
                <w:sz w:val="18"/>
              </w:rPr>
              <w:t>24.</w:t>
            </w:r>
          </w:p>
        </w:tc>
        <w:tc>
          <w:tcPr>
            <w:tcW w:w="2778" w:type="dxa"/>
            <w:gridSpan w:val="2"/>
            <w:tcBorders>
              <w:bottom w:val="single" w:sz="6" w:space="0" w:color="auto"/>
              <w:right w:val="single" w:sz="6" w:space="0" w:color="auto"/>
            </w:tcBorders>
          </w:tcPr>
          <w:p w:rsidR="005624E3" w:rsidRPr="00E3172D" w:rsidRDefault="005624E3" w:rsidP="00101A80">
            <w:pPr>
              <w:tabs>
                <w:tab w:val="left" w:pos="57"/>
                <w:tab w:val="left" w:pos="340"/>
              </w:tabs>
              <w:overflowPunct w:val="0"/>
              <w:adjustRightInd w:val="0"/>
              <w:textAlignment w:val="baseline"/>
              <w:rPr>
                <w:rFonts w:cs="Arial"/>
                <w:sz w:val="18"/>
                <w:szCs w:val="20"/>
              </w:rPr>
            </w:pPr>
            <w:r>
              <w:rPr>
                <w:sz w:val="18"/>
              </w:rPr>
              <w:t>Vízmentes keresztirányú válaszfalak száma</w:t>
            </w:r>
            <w:r>
              <w:rPr>
                <w:rFonts w:cs="Arial"/>
                <w:sz w:val="18"/>
                <w:szCs w:val="20"/>
              </w:rPr>
              <w:br/>
            </w:r>
            <w:r>
              <w:rPr>
                <w:rFonts w:cs="Arial"/>
                <w:sz w:val="18"/>
                <w:szCs w:val="20"/>
              </w:rPr>
              <w:br/>
            </w:r>
            <w:r>
              <w:tab/>
            </w:r>
          </w:p>
        </w:tc>
        <w:tc>
          <w:tcPr>
            <w:tcW w:w="3062"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25.</w:t>
            </w:r>
            <w:r>
              <w:tab/>
            </w:r>
            <w:r>
              <w:rPr>
                <w:sz w:val="18"/>
              </w:rPr>
              <w:t>Rakományterek száma</w:t>
            </w:r>
          </w:p>
        </w:tc>
        <w:tc>
          <w:tcPr>
            <w:tcW w:w="3065"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26.</w:t>
            </w:r>
            <w:r>
              <w:tab/>
            </w:r>
            <w:r>
              <w:rPr>
                <w:sz w:val="18"/>
              </w:rPr>
              <w:t>Nyílásfedelek száma</w:t>
            </w:r>
            <w:r>
              <w:rPr>
                <w:rFonts w:cs="Arial"/>
                <w:sz w:val="18"/>
                <w:szCs w:val="20"/>
              </w:rPr>
              <w:br/>
            </w:r>
          </w:p>
        </w:tc>
      </w:tr>
      <w:tr w:rsidR="005624E3" w:rsidRPr="00C903F8"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r>
              <w:rPr>
                <w:sz w:val="18"/>
              </w:rPr>
              <w:t>27.</w:t>
            </w:r>
          </w:p>
        </w:tc>
        <w:tc>
          <w:tcPr>
            <w:tcW w:w="2778" w:type="dxa"/>
            <w:gridSpan w:val="2"/>
            <w:tcBorders>
              <w:bottom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Fő propulziós motorok száma</w:t>
            </w:r>
            <w:r>
              <w:rPr>
                <w:rFonts w:cs="Arial"/>
                <w:sz w:val="18"/>
                <w:szCs w:val="20"/>
              </w:rPr>
              <w:br/>
            </w:r>
          </w:p>
        </w:tc>
        <w:tc>
          <w:tcPr>
            <w:tcW w:w="3062"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 w:val="left" w:pos="2242"/>
              </w:tabs>
              <w:overflowPunct w:val="0"/>
              <w:adjustRightInd w:val="0"/>
              <w:textAlignment w:val="baseline"/>
              <w:rPr>
                <w:rFonts w:cs="Arial"/>
                <w:sz w:val="18"/>
                <w:szCs w:val="20"/>
              </w:rPr>
            </w:pPr>
            <w:r>
              <w:tab/>
            </w:r>
            <w:r>
              <w:rPr>
                <w:sz w:val="18"/>
              </w:rPr>
              <w:t>28.</w:t>
            </w:r>
            <w:r>
              <w:t xml:space="preserve"> </w:t>
            </w:r>
            <w:r>
              <w:rPr>
                <w:sz w:val="18"/>
              </w:rPr>
              <w:t>Teljes főgépteljesítmény</w:t>
            </w:r>
            <w:r>
              <w:rPr>
                <w:rFonts w:cs="Arial"/>
                <w:sz w:val="18"/>
                <w:szCs w:val="20"/>
              </w:rPr>
              <w:br/>
            </w:r>
            <w:r>
              <w:rPr>
                <w:rFonts w:cs="Arial"/>
                <w:sz w:val="18"/>
                <w:szCs w:val="20"/>
              </w:rPr>
              <w:br/>
            </w:r>
            <w:r>
              <w:tab/>
            </w:r>
            <w:r>
              <w:tab/>
            </w:r>
            <w:r>
              <w:tab/>
            </w:r>
            <w:r>
              <w:rPr>
                <w:sz w:val="18"/>
              </w:rPr>
              <w:t xml:space="preserve">kW </w:t>
            </w:r>
          </w:p>
        </w:tc>
        <w:tc>
          <w:tcPr>
            <w:tcW w:w="3065" w:type="dxa"/>
            <w:gridSpan w:val="2"/>
            <w:tcBorders>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29.</w:t>
            </w:r>
            <w:r>
              <w:tab/>
            </w:r>
            <w:r>
              <w:rPr>
                <w:sz w:val="18"/>
              </w:rPr>
              <w:t>Fő propellerek száma</w:t>
            </w:r>
            <w:r>
              <w:rPr>
                <w:rFonts w:cs="Arial"/>
                <w:sz w:val="18"/>
                <w:szCs w:val="20"/>
              </w:rPr>
              <w:br/>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Pr>
                <w:sz w:val="18"/>
              </w:rPr>
              <w:t>30.</w:t>
            </w:r>
          </w:p>
        </w:tc>
        <w:tc>
          <w:tcPr>
            <w:tcW w:w="2014" w:type="dxa"/>
          </w:tcPr>
          <w:p w:rsidR="005624E3" w:rsidRPr="00C903F8" w:rsidRDefault="005624E3" w:rsidP="00101A80">
            <w:pPr>
              <w:tabs>
                <w:tab w:val="left" w:pos="57"/>
              </w:tabs>
              <w:overflowPunct w:val="0"/>
              <w:adjustRightInd w:val="0"/>
              <w:textAlignment w:val="baseline"/>
              <w:rPr>
                <w:rFonts w:cs="Arial"/>
                <w:sz w:val="18"/>
                <w:szCs w:val="20"/>
              </w:rPr>
            </w:pPr>
            <w:r>
              <w:tab/>
            </w:r>
            <w:r>
              <w:rPr>
                <w:sz w:val="18"/>
              </w:rPr>
              <w:t>Orrhorgonycsörlők száma</w:t>
            </w:r>
            <w:r>
              <w:rPr>
                <w:rFonts w:cs="Arial"/>
                <w:sz w:val="18"/>
                <w:szCs w:val="20"/>
              </w:rPr>
              <w:br/>
            </w:r>
            <w:r>
              <w:tab/>
            </w:r>
          </w:p>
        </w:tc>
        <w:tc>
          <w:tcPr>
            <w:tcW w:w="2297" w:type="dxa"/>
            <w:gridSpan w:val="2"/>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Ebből gépi hajtású ...........</w:t>
            </w:r>
          </w:p>
        </w:tc>
        <w:tc>
          <w:tcPr>
            <w:tcW w:w="2297" w:type="dxa"/>
            <w:gridSpan w:val="2"/>
          </w:tcPr>
          <w:p w:rsidR="005624E3" w:rsidRPr="00C903F8" w:rsidRDefault="005624E3" w:rsidP="00101A80">
            <w:pPr>
              <w:tabs>
                <w:tab w:val="left" w:pos="340"/>
              </w:tabs>
              <w:overflowPunct w:val="0"/>
              <w:adjustRightInd w:val="0"/>
              <w:ind w:left="284" w:hanging="284"/>
              <w:textAlignment w:val="baseline"/>
              <w:rPr>
                <w:rFonts w:cs="Arial"/>
                <w:sz w:val="18"/>
                <w:szCs w:val="20"/>
              </w:rPr>
            </w:pPr>
            <w:r>
              <w:rPr>
                <w:sz w:val="18"/>
              </w:rPr>
              <w:t>31.</w:t>
            </w:r>
            <w:r>
              <w:tab/>
            </w:r>
            <w:r>
              <w:rPr>
                <w:sz w:val="18"/>
              </w:rPr>
              <w:t>Farhorgonycsörlők száma</w:t>
            </w:r>
          </w:p>
        </w:tc>
        <w:tc>
          <w:tcPr>
            <w:tcW w:w="2297" w:type="dxa"/>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Ebből gépi hajtású ...........</w:t>
            </w:r>
          </w:p>
        </w:tc>
      </w:tr>
      <w:tr w:rsidR="005624E3" w:rsidRPr="00C903F8"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2014" w:type="dxa"/>
            <w:tcBorders>
              <w:bottom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rFonts w:cs="Arial"/>
                <w:sz w:val="18"/>
                <w:szCs w:val="20"/>
              </w:rPr>
              <w:br/>
            </w:r>
          </w:p>
        </w:tc>
        <w:tc>
          <w:tcPr>
            <w:tcW w:w="2297" w:type="dxa"/>
            <w:gridSpan w:val="2"/>
            <w:tcBorders>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c>
          <w:tcPr>
            <w:tcW w:w="2297" w:type="dxa"/>
            <w:tcBorders>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r>
              <w:rPr>
                <w:sz w:val="18"/>
              </w:rPr>
              <w:t>32.</w:t>
            </w:r>
          </w:p>
        </w:tc>
        <w:tc>
          <w:tcPr>
            <w:tcW w:w="2778" w:type="dxa"/>
            <w:gridSpan w:val="2"/>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Vontatóhorgok száma</w:t>
            </w:r>
            <w:r>
              <w:rPr>
                <w:rFonts w:cs="Arial"/>
                <w:sz w:val="18"/>
                <w:szCs w:val="20"/>
              </w:rPr>
              <w:br/>
            </w:r>
          </w:p>
        </w:tc>
        <w:tc>
          <w:tcPr>
            <w:tcW w:w="3062" w:type="dxa"/>
            <w:gridSpan w:val="2"/>
            <w:tcBorders>
              <w:lef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33.</w:t>
            </w:r>
            <w:r>
              <w:tab/>
            </w:r>
            <w:r>
              <w:rPr>
                <w:sz w:val="18"/>
              </w:rPr>
              <w:t>Vontatócsörlők száma</w:t>
            </w:r>
          </w:p>
          <w:p w:rsidR="005624E3" w:rsidRPr="00C903F8" w:rsidRDefault="005624E3" w:rsidP="00101A80">
            <w:pPr>
              <w:tabs>
                <w:tab w:val="left" w:pos="57"/>
                <w:tab w:val="left" w:pos="340"/>
              </w:tabs>
              <w:overflowPunct w:val="0"/>
              <w:adjustRightInd w:val="0"/>
              <w:textAlignment w:val="baseline"/>
              <w:rPr>
                <w:rFonts w:cs="Arial"/>
                <w:sz w:val="18"/>
                <w:szCs w:val="20"/>
              </w:rPr>
            </w:pPr>
            <w:r>
              <w:rPr>
                <w:sz w:val="18"/>
              </w:rPr>
              <w:t>Ebből</w:t>
            </w:r>
          </w:p>
        </w:tc>
        <w:tc>
          <w:tcPr>
            <w:tcW w:w="3065" w:type="dxa"/>
            <w:gridSpan w:val="2"/>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rPr>
                <w:sz w:val="18"/>
              </w:rPr>
              <w:t xml:space="preserve"> gépi hajtású ........... </w:t>
            </w:r>
          </w:p>
        </w:tc>
      </w:tr>
      <w:tr w:rsidR="005624E3" w:rsidRPr="00C903F8"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p>
        </w:tc>
        <w:tc>
          <w:tcPr>
            <w:tcW w:w="2778" w:type="dxa"/>
            <w:gridSpan w:val="2"/>
            <w:tcBorders>
              <w:bottom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rPr>
                <w:rFonts w:cs="Arial"/>
                <w:sz w:val="18"/>
                <w:szCs w:val="20"/>
              </w:rPr>
              <w:br/>
            </w:r>
          </w:p>
        </w:tc>
        <w:tc>
          <w:tcPr>
            <w:tcW w:w="3062"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rPr>
                <w:rFonts w:cs="Arial"/>
                <w:sz w:val="18"/>
                <w:szCs w:val="20"/>
              </w:rPr>
              <w:br/>
            </w:r>
          </w:p>
        </w:tc>
        <w:tc>
          <w:tcPr>
            <w:tcW w:w="3065" w:type="dxa"/>
            <w:gridSpan w:val="2"/>
            <w:tcBorders>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Pr>
                <w:sz w:val="18"/>
              </w:rPr>
              <w:t>34.</w:t>
            </w:r>
          </w:p>
        </w:tc>
        <w:tc>
          <w:tcPr>
            <w:tcW w:w="2014" w:type="dxa"/>
          </w:tcPr>
          <w:p w:rsidR="005624E3" w:rsidRPr="00C903F8" w:rsidRDefault="005624E3" w:rsidP="00101A80">
            <w:pPr>
              <w:tabs>
                <w:tab w:val="left" w:pos="57"/>
              </w:tabs>
              <w:overflowPunct w:val="0"/>
              <w:adjustRightInd w:val="0"/>
              <w:textAlignment w:val="baseline"/>
              <w:rPr>
                <w:rFonts w:cs="Arial"/>
                <w:sz w:val="18"/>
                <w:szCs w:val="20"/>
              </w:rPr>
            </w:pPr>
            <w:r>
              <w:tab/>
            </w:r>
            <w:r>
              <w:rPr>
                <w:sz w:val="18"/>
              </w:rPr>
              <w:t>Kormányberendezések</w:t>
            </w:r>
          </w:p>
        </w:tc>
        <w:tc>
          <w:tcPr>
            <w:tcW w:w="2297" w:type="dxa"/>
            <w:gridSpan w:val="2"/>
          </w:tcPr>
          <w:p w:rsidR="005624E3" w:rsidRPr="00C903F8" w:rsidRDefault="005624E3" w:rsidP="00101A80">
            <w:pPr>
              <w:tabs>
                <w:tab w:val="left" w:pos="57"/>
                <w:tab w:val="left" w:pos="340"/>
              </w:tabs>
              <w:overflowPunct w:val="0"/>
              <w:adjustRightInd w:val="0"/>
              <w:textAlignment w:val="baseline"/>
              <w:rPr>
                <w:rFonts w:cs="Arial"/>
                <w:sz w:val="18"/>
                <w:szCs w:val="20"/>
              </w:rPr>
            </w:pPr>
          </w:p>
        </w:tc>
        <w:tc>
          <w:tcPr>
            <w:tcW w:w="2297" w:type="dxa"/>
            <w:gridSpan w:val="2"/>
          </w:tcPr>
          <w:p w:rsidR="005624E3" w:rsidRPr="00C903F8" w:rsidRDefault="005624E3" w:rsidP="00101A80">
            <w:pPr>
              <w:tabs>
                <w:tab w:val="left" w:pos="57"/>
                <w:tab w:val="left" w:pos="340"/>
              </w:tabs>
              <w:overflowPunct w:val="0"/>
              <w:adjustRightInd w:val="0"/>
              <w:textAlignment w:val="baseline"/>
              <w:rPr>
                <w:rFonts w:cs="Arial"/>
                <w:sz w:val="18"/>
                <w:szCs w:val="20"/>
              </w:rPr>
            </w:pPr>
            <w:r>
              <w:tab/>
            </w:r>
          </w:p>
        </w:tc>
        <w:tc>
          <w:tcPr>
            <w:tcW w:w="2297" w:type="dxa"/>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2014" w:type="dxa"/>
            <w:tcBorders>
              <w:bottom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tab/>
            </w:r>
            <w:r>
              <w:rPr>
                <w:sz w:val="18"/>
              </w:rPr>
              <w:t>Főkormánylapátok száma</w:t>
            </w:r>
            <w:r>
              <w:rPr>
                <w:rFonts w:cs="Arial"/>
                <w:sz w:val="18"/>
                <w:szCs w:val="20"/>
              </w:rPr>
              <w:br/>
            </w: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Főkormányhajtás</w:t>
            </w:r>
            <w:r>
              <w:rPr>
                <w:rFonts w:cs="Arial"/>
                <w:sz w:val="18"/>
                <w:szCs w:val="20"/>
              </w:rPr>
              <w:br/>
            </w: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w:t>
            </w:r>
            <w:r>
              <w:tab/>
            </w:r>
            <w:r>
              <w:rPr>
                <w:sz w:val="18"/>
              </w:rPr>
              <w:t xml:space="preserve">kézi </w:t>
            </w:r>
            <w:r>
              <w:rPr>
                <w:position w:val="6"/>
                <w:sz w:val="16"/>
              </w:rPr>
              <w:t xml:space="preserve">*) </w:t>
            </w:r>
            <w:r>
              <w:rPr>
                <w:rFonts w:cs="Arial"/>
                <w:sz w:val="18"/>
                <w:szCs w:val="20"/>
              </w:rPr>
              <w:br/>
            </w:r>
            <w:r>
              <w:tab/>
            </w:r>
            <w:r>
              <w:rPr>
                <w:sz w:val="18"/>
              </w:rPr>
              <w:t>-</w:t>
            </w:r>
            <w:r>
              <w:tab/>
            </w:r>
            <w:r>
              <w:rPr>
                <w:sz w:val="18"/>
              </w:rPr>
              <w:t>elektromos</w:t>
            </w:r>
            <w:r>
              <w:rPr>
                <w:position w:val="6"/>
                <w:sz w:val="16"/>
              </w:rPr>
              <w:t xml:space="preserve">*) </w:t>
            </w:r>
            <w:r>
              <w:rPr>
                <w:rFonts w:cs="Arial"/>
                <w:sz w:val="18"/>
                <w:szCs w:val="20"/>
              </w:rPr>
              <w:br/>
            </w:r>
          </w:p>
        </w:tc>
        <w:tc>
          <w:tcPr>
            <w:tcW w:w="2297" w:type="dxa"/>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w:t>
            </w:r>
            <w:r>
              <w:tab/>
            </w:r>
            <w:r>
              <w:rPr>
                <w:sz w:val="18"/>
              </w:rPr>
              <w:t>elektro-hidraulikus</w:t>
            </w:r>
            <w:r>
              <w:rPr>
                <w:position w:val="6"/>
                <w:sz w:val="16"/>
              </w:rPr>
              <w:t>*)</w:t>
            </w:r>
            <w:r>
              <w:rPr>
                <w:rFonts w:cs="Arial"/>
                <w:sz w:val="18"/>
                <w:szCs w:val="20"/>
              </w:rPr>
              <w:br/>
            </w:r>
            <w:r>
              <w:tab/>
            </w:r>
            <w:r>
              <w:rPr>
                <w:sz w:val="18"/>
              </w:rPr>
              <w:t>-</w:t>
            </w:r>
            <w:r>
              <w:tab/>
            </w:r>
            <w:r>
              <w:rPr>
                <w:sz w:val="18"/>
              </w:rPr>
              <w:t>hidraulikus</w:t>
            </w:r>
            <w:r>
              <w:rPr>
                <w:position w:val="6"/>
                <w:sz w:val="16"/>
              </w:rPr>
              <w:t>*)</w:t>
            </w: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p>
        </w:tc>
        <w:tc>
          <w:tcPr>
            <w:tcW w:w="8905" w:type="dxa"/>
            <w:gridSpan w:val="6"/>
            <w:tcBorders>
              <w:top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Egyéb berendezések igen/nem</w:t>
            </w:r>
            <w:r>
              <w:rPr>
                <w:position w:val="6"/>
                <w:sz w:val="16"/>
              </w:rPr>
              <w:t>*)</w:t>
            </w:r>
            <w:r>
              <w:rPr>
                <w:sz w:val="18"/>
              </w:rPr>
              <w:t xml:space="preserve"> Típus</w:t>
            </w:r>
            <w:r>
              <w:rPr>
                <w:rFonts w:cs="Arial"/>
                <w:sz w:val="18"/>
                <w:szCs w:val="20"/>
              </w:rPr>
              <w:br/>
            </w:r>
            <w:r>
              <w:rPr>
                <w:rFonts w:cs="Arial"/>
                <w:sz w:val="18"/>
                <w:szCs w:val="20"/>
              </w:rPr>
              <w:br/>
            </w:r>
            <w:r>
              <w:rPr>
                <w:sz w:val="18"/>
              </w:rPr>
              <w:t xml:space="preserve"> </w:t>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2014" w:type="dxa"/>
          </w:tcPr>
          <w:p w:rsidR="005624E3" w:rsidRPr="00C903F8" w:rsidRDefault="005624E3" w:rsidP="00101A80">
            <w:pPr>
              <w:tabs>
                <w:tab w:val="left" w:pos="57"/>
              </w:tabs>
              <w:overflowPunct w:val="0"/>
              <w:adjustRightInd w:val="0"/>
              <w:textAlignment w:val="baseline"/>
              <w:rPr>
                <w:rFonts w:cs="Arial"/>
                <w:sz w:val="18"/>
                <w:szCs w:val="20"/>
              </w:rPr>
            </w:pPr>
            <w:r>
              <w:tab/>
            </w:r>
            <w:r>
              <w:rPr>
                <w:sz w:val="18"/>
              </w:rPr>
              <w:t>Hátrameneti kormány</w:t>
            </w:r>
          </w:p>
          <w:p w:rsidR="005624E3" w:rsidRPr="00C903F8" w:rsidRDefault="005624E3" w:rsidP="00101A80">
            <w:pPr>
              <w:tabs>
                <w:tab w:val="left" w:pos="57"/>
              </w:tabs>
              <w:overflowPunct w:val="0"/>
              <w:adjustRightInd w:val="0"/>
              <w:textAlignment w:val="baseline"/>
              <w:rPr>
                <w:rFonts w:cs="Arial"/>
                <w:sz w:val="18"/>
                <w:szCs w:val="20"/>
              </w:rPr>
            </w:pPr>
            <w:r>
              <w:tab/>
            </w:r>
            <w:r>
              <w:rPr>
                <w:sz w:val="18"/>
              </w:rPr>
              <w:t xml:space="preserve">igen/nem </w:t>
            </w:r>
            <w:r>
              <w:rPr>
                <w:position w:val="6"/>
                <w:sz w:val="16"/>
              </w:rPr>
              <w:t>*)</w:t>
            </w:r>
          </w:p>
        </w:tc>
        <w:tc>
          <w:tcPr>
            <w:tcW w:w="2297" w:type="dxa"/>
            <w:gridSpan w:val="2"/>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Hátrameneti kormány meghajtása</w:t>
            </w:r>
          </w:p>
        </w:tc>
        <w:tc>
          <w:tcPr>
            <w:tcW w:w="2297" w:type="dxa"/>
            <w:gridSpan w:val="2"/>
          </w:tcPr>
          <w:p w:rsidR="005624E3" w:rsidRPr="00C903F8" w:rsidRDefault="005624E3" w:rsidP="00101A80">
            <w:pPr>
              <w:tabs>
                <w:tab w:val="left" w:pos="57"/>
                <w:tab w:val="left" w:pos="340"/>
              </w:tabs>
              <w:overflowPunct w:val="0"/>
              <w:adjustRightInd w:val="0"/>
              <w:textAlignment w:val="baseline"/>
              <w:rPr>
                <w:rFonts w:cs="Arial"/>
                <w:sz w:val="18"/>
                <w:szCs w:val="20"/>
              </w:rPr>
            </w:pPr>
            <w:r>
              <w:tab/>
            </w:r>
          </w:p>
        </w:tc>
        <w:tc>
          <w:tcPr>
            <w:tcW w:w="2297" w:type="dxa"/>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2014" w:type="dxa"/>
            <w:tcBorders>
              <w:bottom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rFonts w:cs="Arial"/>
                <w:sz w:val="18"/>
                <w:szCs w:val="20"/>
              </w:rPr>
              <w:br/>
            </w: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w:t>
            </w:r>
            <w:r>
              <w:tab/>
            </w:r>
            <w:r>
              <w:rPr>
                <w:sz w:val="18"/>
              </w:rPr>
              <w:t xml:space="preserve">kézi </w:t>
            </w:r>
            <w:r>
              <w:rPr>
                <w:position w:val="6"/>
                <w:sz w:val="16"/>
              </w:rPr>
              <w:t>*)</w:t>
            </w:r>
            <w:r>
              <w:rPr>
                <w:rFonts w:cs="Arial"/>
                <w:sz w:val="18"/>
                <w:szCs w:val="20"/>
              </w:rPr>
              <w:br/>
            </w:r>
            <w:r>
              <w:tab/>
            </w:r>
            <w:r>
              <w:rPr>
                <w:sz w:val="18"/>
              </w:rPr>
              <w:t>-</w:t>
            </w:r>
            <w:r>
              <w:tab/>
            </w:r>
            <w:r>
              <w:rPr>
                <w:sz w:val="18"/>
              </w:rPr>
              <w:t>elektromos</w:t>
            </w:r>
            <w:r>
              <w:rPr>
                <w:position w:val="6"/>
                <w:sz w:val="16"/>
              </w:rPr>
              <w:t xml:space="preserve">*) </w:t>
            </w:r>
            <w:r>
              <w:rPr>
                <w:rFonts w:cs="Arial"/>
                <w:sz w:val="18"/>
                <w:szCs w:val="20"/>
              </w:rPr>
              <w:br/>
            </w:r>
          </w:p>
        </w:tc>
        <w:tc>
          <w:tcPr>
            <w:tcW w:w="2297" w:type="dxa"/>
            <w:tcBorders>
              <w:left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w:t>
            </w:r>
            <w:r>
              <w:tab/>
            </w:r>
            <w:r>
              <w:rPr>
                <w:sz w:val="18"/>
              </w:rPr>
              <w:t>elektro-hidraulikus</w:t>
            </w:r>
            <w:r>
              <w:rPr>
                <w:position w:val="6"/>
                <w:sz w:val="16"/>
              </w:rPr>
              <w:t xml:space="preserve">*) </w:t>
            </w:r>
            <w:r>
              <w:rPr>
                <w:rFonts w:cs="Arial"/>
                <w:sz w:val="18"/>
                <w:szCs w:val="20"/>
              </w:rPr>
              <w:br/>
            </w:r>
            <w:r>
              <w:tab/>
            </w:r>
            <w:r>
              <w:rPr>
                <w:sz w:val="18"/>
              </w:rPr>
              <w:t>-</w:t>
            </w:r>
            <w:r>
              <w:tab/>
            </w:r>
            <w:r>
              <w:rPr>
                <w:sz w:val="18"/>
              </w:rPr>
              <w:t>hidraulikus</w:t>
            </w:r>
            <w:r>
              <w:rPr>
                <w:position w:val="6"/>
                <w:sz w:val="16"/>
              </w:rPr>
              <w:t xml:space="preserve">*) </w:t>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2014" w:type="dxa"/>
          </w:tcPr>
          <w:p w:rsidR="005624E3" w:rsidRPr="00C903F8" w:rsidRDefault="005624E3" w:rsidP="00101A80">
            <w:pPr>
              <w:tabs>
                <w:tab w:val="left" w:pos="57"/>
              </w:tabs>
              <w:overflowPunct w:val="0"/>
              <w:adjustRightInd w:val="0"/>
              <w:textAlignment w:val="baseline"/>
              <w:rPr>
                <w:rFonts w:cs="Arial"/>
                <w:sz w:val="18"/>
                <w:szCs w:val="20"/>
              </w:rPr>
            </w:pPr>
            <w:r>
              <w:tab/>
            </w:r>
            <w:r>
              <w:rPr>
                <w:sz w:val="18"/>
              </w:rPr>
              <w:t>Orrkormány-berendezés</w:t>
            </w:r>
          </w:p>
        </w:tc>
        <w:tc>
          <w:tcPr>
            <w:tcW w:w="2297" w:type="dxa"/>
            <w:gridSpan w:val="2"/>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w:t>
            </w:r>
            <w:r>
              <w:tab/>
            </w:r>
            <w:r>
              <w:rPr>
                <w:sz w:val="18"/>
              </w:rPr>
              <w:t>orrkormány</w:t>
            </w:r>
            <w:r>
              <w:rPr>
                <w:position w:val="6"/>
                <w:sz w:val="16"/>
              </w:rPr>
              <w:t>*)</w:t>
            </w:r>
            <w:r>
              <w:rPr>
                <w:sz w:val="18"/>
              </w:rPr>
              <w:t xml:space="preserve"> </w:t>
            </w:r>
          </w:p>
        </w:tc>
        <w:tc>
          <w:tcPr>
            <w:tcW w:w="2297" w:type="dxa"/>
            <w:gridSpan w:val="2"/>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w:t>
            </w:r>
            <w:r>
              <w:tab/>
            </w:r>
            <w:r>
              <w:rPr>
                <w:sz w:val="18"/>
              </w:rPr>
              <w:t>Távvezérlés</w:t>
            </w:r>
          </w:p>
        </w:tc>
        <w:tc>
          <w:tcPr>
            <w:tcW w:w="2297" w:type="dxa"/>
            <w:tcBorders>
              <w:top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Távindítás</w:t>
            </w:r>
          </w:p>
        </w:tc>
      </w:tr>
      <w:tr w:rsidR="005624E3" w:rsidRPr="00C903F8"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2014" w:type="dxa"/>
            <w:tcBorders>
              <w:bottom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tab/>
            </w:r>
            <w:r>
              <w:rPr>
                <w:sz w:val="18"/>
              </w:rPr>
              <w:t>igen/nem</w:t>
            </w:r>
            <w:r>
              <w:rPr>
                <w:position w:val="6"/>
                <w:sz w:val="16"/>
              </w:rPr>
              <w:t>*)</w:t>
            </w: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w:t>
            </w:r>
            <w:r>
              <w:tab/>
            </w:r>
            <w:r>
              <w:rPr>
                <w:sz w:val="18"/>
              </w:rPr>
              <w:t>orrsugárkormány</w:t>
            </w:r>
            <w:r>
              <w:rPr>
                <w:position w:val="6"/>
                <w:sz w:val="16"/>
              </w:rPr>
              <w:t>*)</w:t>
            </w:r>
            <w:r>
              <w:rPr>
                <w:rFonts w:cs="Arial"/>
                <w:sz w:val="18"/>
                <w:szCs w:val="20"/>
              </w:rPr>
              <w:br/>
            </w:r>
            <w:r>
              <w:tab/>
            </w:r>
            <w:r>
              <w:rPr>
                <w:sz w:val="18"/>
              </w:rPr>
              <w:t>-</w:t>
            </w:r>
            <w:r>
              <w:tab/>
            </w:r>
            <w:r>
              <w:rPr>
                <w:sz w:val="18"/>
              </w:rPr>
              <w:t>egyéb berendezés</w:t>
            </w:r>
            <w:r>
              <w:rPr>
                <w:position w:val="6"/>
                <w:sz w:val="16"/>
              </w:rPr>
              <w:t>*)</w:t>
            </w:r>
          </w:p>
        </w:tc>
        <w:tc>
          <w:tcPr>
            <w:tcW w:w="2297"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tab/>
            </w:r>
            <w:r>
              <w:rPr>
                <w:sz w:val="18"/>
              </w:rPr>
              <w:t>igen/nem</w:t>
            </w:r>
            <w:r>
              <w:rPr>
                <w:position w:val="6"/>
                <w:sz w:val="16"/>
              </w:rPr>
              <w:t>*)</w:t>
            </w:r>
            <w:r>
              <w:rPr>
                <w:rFonts w:cs="Arial"/>
                <w:sz w:val="18"/>
                <w:szCs w:val="20"/>
              </w:rPr>
              <w:br/>
            </w:r>
          </w:p>
        </w:tc>
        <w:tc>
          <w:tcPr>
            <w:tcW w:w="2297" w:type="dxa"/>
            <w:tcBorders>
              <w:left w:val="single" w:sz="6" w:space="0" w:color="auto"/>
              <w:bottom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igen/nem</w:t>
            </w:r>
            <w:r>
              <w:rPr>
                <w:position w:val="6"/>
                <w:sz w:val="16"/>
              </w:rPr>
              <w:t>*)</w:t>
            </w: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r>
              <w:rPr>
                <w:sz w:val="18"/>
              </w:rPr>
              <w:t>35.</w:t>
            </w:r>
          </w:p>
        </w:tc>
        <w:tc>
          <w:tcPr>
            <w:tcW w:w="8905" w:type="dxa"/>
            <w:gridSpan w:val="6"/>
            <w:tcBorders>
              <w:top w:val="single" w:sz="6" w:space="0" w:color="auto"/>
              <w:bottom w:val="single" w:sz="6" w:space="0" w:color="auto"/>
              <w:right w:val="single" w:sz="6" w:space="0" w:color="auto"/>
            </w:tcBorders>
          </w:tcPr>
          <w:p w:rsidR="005624E3" w:rsidRPr="00C903F8" w:rsidRDefault="005624E3" w:rsidP="00101A80">
            <w:pPr>
              <w:tabs>
                <w:tab w:val="left" w:pos="57"/>
                <w:tab w:val="left" w:pos="340"/>
                <w:tab w:val="left" w:pos="2752"/>
                <w:tab w:val="left" w:pos="4820"/>
                <w:tab w:val="left" w:pos="7088"/>
                <w:tab w:val="left" w:leader="dot" w:pos="8505"/>
              </w:tabs>
              <w:overflowPunct w:val="0"/>
              <w:adjustRightInd w:val="0"/>
              <w:spacing w:before="80"/>
              <w:ind w:left="57" w:hanging="57"/>
              <w:textAlignment w:val="baseline"/>
              <w:rPr>
                <w:rFonts w:cs="Arial"/>
                <w:sz w:val="18"/>
                <w:szCs w:val="20"/>
              </w:rPr>
            </w:pPr>
            <w:r>
              <w:tab/>
            </w:r>
            <w:r>
              <w:rPr>
                <w:sz w:val="18"/>
              </w:rPr>
              <w:t>Fenékvíz-elvezető rendszer</w:t>
            </w:r>
          </w:p>
          <w:p w:rsidR="005624E3" w:rsidRPr="00C903F8" w:rsidRDefault="005624E3" w:rsidP="00101A80">
            <w:pPr>
              <w:tabs>
                <w:tab w:val="left" w:pos="2552"/>
                <w:tab w:val="left" w:leader="dot" w:pos="3602"/>
                <w:tab w:val="left" w:pos="4820"/>
                <w:tab w:val="left" w:leader="dot" w:pos="6012"/>
                <w:tab w:val="left" w:pos="7088"/>
                <w:tab w:val="left" w:leader="dot" w:pos="8505"/>
              </w:tabs>
              <w:overflowPunct w:val="0"/>
              <w:adjustRightInd w:val="0"/>
              <w:spacing w:before="40" w:after="40"/>
              <w:ind w:left="57" w:hanging="57"/>
              <w:textAlignment w:val="baseline"/>
              <w:rPr>
                <w:rFonts w:cs="Arial"/>
                <w:sz w:val="18"/>
                <w:szCs w:val="20"/>
              </w:rPr>
            </w:pPr>
            <w:r>
              <w:tab/>
            </w:r>
            <w:r>
              <w:rPr>
                <w:sz w:val="18"/>
              </w:rPr>
              <w:t>Fenékvízszivattyúk száma</w:t>
            </w:r>
            <w:r>
              <w:tab/>
            </w:r>
            <w:r>
              <w:tab/>
            </w:r>
            <w:r>
              <w:rPr>
                <w:sz w:val="18"/>
              </w:rPr>
              <w:t>Ebből gépi hajtású ...........</w:t>
            </w:r>
            <w:r>
              <w:rPr>
                <w:rFonts w:cs="Arial"/>
                <w:sz w:val="18"/>
                <w:szCs w:val="20"/>
              </w:rPr>
              <w:t xml:space="preserve"> </w:t>
            </w:r>
            <w:r>
              <w:rPr>
                <w:rFonts w:cs="Arial"/>
                <w:sz w:val="18"/>
                <w:szCs w:val="20"/>
              </w:rPr>
              <w:br/>
            </w:r>
            <w:r>
              <w:rPr>
                <w:sz w:val="18"/>
              </w:rPr>
              <w:t>Minimális szivattyúteljesítmény</w:t>
            </w:r>
            <w:r>
              <w:tab/>
            </w:r>
            <w:r>
              <w:rPr>
                <w:sz w:val="18"/>
              </w:rPr>
              <w:t>első fenékvízszivattyú</w:t>
            </w:r>
            <w:r>
              <w:tab/>
            </w:r>
            <w:r>
              <w:rPr>
                <w:sz w:val="18"/>
              </w:rPr>
              <w:t xml:space="preserve"> l/perc</w:t>
            </w:r>
            <w:r>
              <w:rPr>
                <w:rFonts w:cs="Arial"/>
                <w:sz w:val="18"/>
                <w:szCs w:val="20"/>
              </w:rPr>
              <w:br/>
            </w:r>
            <w:r>
              <w:tab/>
            </w:r>
            <w:r>
              <w:rPr>
                <w:sz w:val="18"/>
              </w:rPr>
              <w:t>második fenékvízszivattyú</w:t>
            </w:r>
            <w:r>
              <w:tab/>
            </w:r>
            <w:r>
              <w:rPr>
                <w:sz w:val="18"/>
              </w:rPr>
              <w:t xml:space="preserve"> l/perc</w:t>
            </w:r>
          </w:p>
        </w:tc>
      </w:tr>
      <w:tr w:rsidR="005624E3" w:rsidRPr="00842442"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spacing w:before="80"/>
              <w:textAlignment w:val="baseline"/>
              <w:rPr>
                <w:rFonts w:cs="Arial"/>
                <w:sz w:val="18"/>
                <w:szCs w:val="20"/>
              </w:rPr>
            </w:pPr>
            <w:r>
              <w:tab/>
            </w:r>
            <w:r>
              <w:rPr>
                <w:sz w:val="18"/>
              </w:rPr>
              <w:t>*)</w:t>
            </w:r>
            <w:r>
              <w:rPr>
                <w:rFonts w:cs="Arial"/>
                <w:sz w:val="18"/>
                <w:szCs w:val="20"/>
              </w:rPr>
              <w:br/>
            </w:r>
            <w:r>
              <w:rPr>
                <w:rFonts w:cs="Arial"/>
                <w:sz w:val="18"/>
                <w:szCs w:val="20"/>
              </w:rPr>
              <w:br/>
            </w:r>
          </w:p>
          <w:p w:rsidR="005624E3" w:rsidRPr="00C903F8" w:rsidRDefault="005624E3" w:rsidP="00101A80">
            <w:pPr>
              <w:tabs>
                <w:tab w:val="left" w:pos="57"/>
              </w:tabs>
              <w:overflowPunct w:val="0"/>
              <w:adjustRightInd w:val="0"/>
              <w:spacing w:before="80"/>
              <w:textAlignment w:val="baseline"/>
              <w:rPr>
                <w:rFonts w:cs="Arial"/>
                <w:sz w:val="18"/>
                <w:szCs w:val="20"/>
              </w:rPr>
            </w:pPr>
          </w:p>
          <w:p w:rsidR="005624E3" w:rsidRPr="00C903F8" w:rsidRDefault="005624E3" w:rsidP="00101A80">
            <w:pPr>
              <w:tabs>
                <w:tab w:val="left" w:pos="57"/>
              </w:tabs>
              <w:overflowPunct w:val="0"/>
              <w:adjustRightInd w:val="0"/>
              <w:spacing w:before="160"/>
              <w:textAlignment w:val="baseline"/>
              <w:rPr>
                <w:rFonts w:cs="Arial"/>
                <w:sz w:val="18"/>
                <w:szCs w:val="20"/>
              </w:rPr>
            </w:pPr>
            <w:r>
              <w:tab/>
            </w:r>
            <w:r>
              <w:rPr>
                <w:sz w:val="18"/>
              </w:rPr>
              <w:t>*)</w:t>
            </w:r>
          </w:p>
        </w:tc>
        <w:tc>
          <w:tcPr>
            <w:tcW w:w="8905" w:type="dxa"/>
            <w:gridSpan w:val="6"/>
            <w:tcBorders>
              <w:bottom w:val="single" w:sz="6" w:space="0" w:color="auto"/>
              <w:right w:val="single" w:sz="6" w:space="0" w:color="auto"/>
            </w:tcBorders>
          </w:tcPr>
          <w:p w:rsidR="005624E3" w:rsidRPr="00C903F8" w:rsidRDefault="005624E3" w:rsidP="00101A80">
            <w:pPr>
              <w:tabs>
                <w:tab w:val="left" w:pos="57"/>
                <w:tab w:val="left" w:leader="dot" w:pos="3686"/>
              </w:tabs>
              <w:overflowPunct w:val="0"/>
              <w:adjustRightInd w:val="0"/>
              <w:spacing w:before="80" w:after="80"/>
              <w:ind w:left="57" w:right="57"/>
              <w:textAlignment w:val="baseline"/>
              <w:rPr>
                <w:rFonts w:cs="Arial"/>
                <w:sz w:val="18"/>
                <w:szCs w:val="20"/>
              </w:rPr>
            </w:pPr>
            <w:r>
              <w:rPr>
                <w:noProof/>
                <w:sz w:val="18"/>
              </w:rPr>
              <w:t>A következő rovatok módosultak: ...........</w:t>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rPr>
                <w:noProof/>
                <w:sz w:val="18"/>
              </w:rPr>
              <w:t xml:space="preserve">Új szöveg: </w:t>
            </w: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Ez az oldal lecserélésre került.</w:t>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 xml:space="preserve">Hely, dátum </w:t>
            </w:r>
            <w:r>
              <w:tab/>
            </w:r>
            <w:r>
              <w:tab/>
            </w:r>
            <w:r>
              <w:rPr>
                <w:sz w:val="18"/>
              </w:rPr>
              <w:t>Ellenőrző szerv</w:t>
            </w:r>
          </w:p>
          <w:p w:rsidR="005624E3" w:rsidRPr="00C903F8" w:rsidRDefault="005624E3" w:rsidP="00101A80">
            <w:pPr>
              <w:tabs>
                <w:tab w:val="left" w:pos="5103"/>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1701"/>
              </w:tabs>
              <w:overflowPunct w:val="0"/>
              <w:adjustRightInd w:val="0"/>
              <w:spacing w:after="80"/>
              <w:textAlignment w:val="baseline"/>
              <w:rPr>
                <w:rFonts w:cs="Arial"/>
                <w:sz w:val="18"/>
                <w:szCs w:val="20"/>
              </w:rPr>
            </w:pPr>
            <w:r>
              <w:tab/>
            </w:r>
            <w:r>
              <w:rPr>
                <w:sz w:val="18"/>
              </w:rPr>
              <w:t>Bélyegző</w:t>
            </w:r>
          </w:p>
          <w:p w:rsidR="005624E3" w:rsidRPr="00C903F8" w:rsidRDefault="005624E3" w:rsidP="00101A80">
            <w:pPr>
              <w:tabs>
                <w:tab w:val="left" w:pos="5103"/>
                <w:tab w:val="left" w:leader="dot" w:pos="8505"/>
              </w:tabs>
              <w:overflowPunct w:val="0"/>
              <w:adjustRightInd w:val="0"/>
              <w:textAlignment w:val="baseline"/>
              <w:rPr>
                <w:rFonts w:cs="Arial"/>
                <w:szCs w:val="20"/>
              </w:rPr>
            </w:pPr>
            <w:r>
              <w:tab/>
            </w:r>
            <w:r>
              <w:tab/>
            </w:r>
          </w:p>
          <w:p w:rsidR="005624E3" w:rsidRPr="00C903F8" w:rsidRDefault="005624E3" w:rsidP="00101A80">
            <w:pPr>
              <w:tabs>
                <w:tab w:val="center" w:pos="6862"/>
              </w:tabs>
              <w:overflowPunct w:val="0"/>
              <w:adjustRightInd w:val="0"/>
              <w:textAlignment w:val="baseline"/>
              <w:rPr>
                <w:rFonts w:cs="Arial"/>
                <w:sz w:val="16"/>
                <w:szCs w:val="20"/>
              </w:rPr>
            </w:pPr>
            <w:r>
              <w:tab/>
            </w:r>
            <w:r>
              <w:rPr>
                <w:sz w:val="16"/>
              </w:rPr>
              <w:t>(Aláírás)</w:t>
            </w:r>
          </w:p>
          <w:p w:rsidR="005624E3" w:rsidRPr="00D50F76" w:rsidRDefault="005624E3" w:rsidP="00101A80">
            <w:pPr>
              <w:tabs>
                <w:tab w:val="left" w:pos="113"/>
                <w:tab w:val="left" w:pos="397"/>
                <w:tab w:val="left" w:pos="6237"/>
                <w:tab w:val="left" w:leader="dot" w:pos="9356"/>
              </w:tabs>
              <w:overflowPunct w:val="0"/>
              <w:adjustRightInd w:val="0"/>
              <w:textAlignment w:val="baseline"/>
              <w:rPr>
                <w:rFonts w:cs="Arial"/>
                <w:sz w:val="16"/>
                <w:szCs w:val="20"/>
                <w:lang w:val="pt-PT"/>
              </w:rPr>
            </w:pPr>
            <w:r w:rsidRPr="00D50F76">
              <w:rPr>
                <w:sz w:val="18"/>
                <w:lang w:val="pt-PT"/>
              </w:rPr>
              <w:t>_______________________</w:t>
            </w:r>
          </w:p>
          <w:p w:rsidR="005624E3" w:rsidRPr="00D50F76" w:rsidRDefault="005624E3" w:rsidP="00101A80">
            <w:pPr>
              <w:tabs>
                <w:tab w:val="left" w:pos="284"/>
              </w:tabs>
              <w:overflowPunct w:val="0"/>
              <w:adjustRightInd w:val="0"/>
              <w:spacing w:after="40"/>
              <w:ind w:left="57"/>
              <w:textAlignment w:val="baseline"/>
              <w:rPr>
                <w:rFonts w:cs="Arial"/>
                <w:sz w:val="18"/>
                <w:szCs w:val="20"/>
                <w:lang w:val="pt-PT"/>
              </w:rPr>
            </w:pPr>
            <w:r w:rsidRPr="00D50F76">
              <w:rPr>
                <w:position w:val="4"/>
                <w:sz w:val="16"/>
                <w:lang w:val="pt-PT"/>
              </w:rPr>
              <w:t>*)</w:t>
            </w:r>
            <w:r w:rsidRPr="00D50F76">
              <w:rPr>
                <w:lang w:val="pt-PT"/>
              </w:rPr>
              <w:tab/>
            </w:r>
            <w:r w:rsidRPr="00D50F76">
              <w:rPr>
                <w:sz w:val="16"/>
                <w:lang w:val="pt-PT"/>
              </w:rPr>
              <w:t>A nem kívánt rész törlendő.</w:t>
            </w:r>
          </w:p>
        </w:tc>
      </w:tr>
    </w:tbl>
    <w:p w:rsidR="005624E3" w:rsidRPr="00842442" w:rsidRDefault="005624E3" w:rsidP="005624E3">
      <w:pPr>
        <w:tabs>
          <w:tab w:val="left" w:leader="dot" w:pos="2835"/>
          <w:tab w:val="left" w:leader="dot" w:pos="5103"/>
        </w:tabs>
        <w:overflowPunct w:val="0"/>
        <w:adjustRightInd w:val="0"/>
        <w:textAlignment w:val="baseline"/>
        <w:rPr>
          <w:rFonts w:cs="Arial"/>
          <w:szCs w:val="20"/>
          <w:lang w:val="pt-PT"/>
        </w:rPr>
      </w:pPr>
      <w:r w:rsidRPr="00842442">
        <w:rPr>
          <w:lang w:val="pt-PT"/>
        </w:rPr>
        <w:br w:type="page"/>
        <w:t xml:space="preserve">Az ellenőrző szerv által kiadott .......... számú belvízi hajóbizonyítvány </w:t>
      </w:r>
      <w:r w:rsidRPr="00842442">
        <w:rPr>
          <w:lang w:val="pt-PT"/>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2297"/>
        <w:gridCol w:w="2297"/>
        <w:gridCol w:w="26"/>
        <w:gridCol w:w="2271"/>
      </w:tblGrid>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36.</w:t>
            </w:r>
          </w:p>
        </w:tc>
        <w:tc>
          <w:tcPr>
            <w:tcW w:w="8905" w:type="dxa"/>
            <w:gridSpan w:val="5"/>
            <w:tcBorders>
              <w:top w:val="single" w:sz="6" w:space="0" w:color="auto"/>
              <w:bottom w:val="single" w:sz="6" w:space="0" w:color="auto"/>
              <w:right w:val="single" w:sz="6" w:space="0" w:color="auto"/>
            </w:tcBorders>
          </w:tcPr>
          <w:p w:rsidR="005624E3" w:rsidRPr="00C903F8" w:rsidRDefault="005624E3" w:rsidP="00101A80">
            <w:pPr>
              <w:tabs>
                <w:tab w:val="left" w:pos="57"/>
                <w:tab w:val="left" w:pos="340"/>
                <w:tab w:val="left" w:leader="dot" w:pos="5103"/>
                <w:tab w:val="left" w:leader="dot" w:pos="8505"/>
              </w:tabs>
              <w:overflowPunct w:val="0"/>
              <w:adjustRightInd w:val="0"/>
              <w:spacing w:before="120"/>
              <w:ind w:left="57"/>
              <w:textAlignment w:val="baseline"/>
              <w:rPr>
                <w:rFonts w:cs="Arial"/>
                <w:sz w:val="18"/>
                <w:szCs w:val="20"/>
              </w:rPr>
            </w:pPr>
            <w:r>
              <w:rPr>
                <w:noProof/>
                <w:sz w:val="18"/>
              </w:rPr>
              <w:t>A 8.08. cikk 10. és 11. bekezdése szerinti zárószerkezetek száma és helye</w:t>
            </w:r>
            <w:r>
              <w:rPr>
                <w:rFonts w:cs="Arial"/>
                <w:noProof/>
                <w:sz w:val="18"/>
                <w:szCs w:val="18"/>
              </w:rPr>
              <w:br/>
            </w:r>
            <w:r>
              <w:rPr>
                <w:rFonts w:cs="Arial"/>
                <w:noProof/>
                <w:sz w:val="18"/>
                <w:szCs w:val="18"/>
              </w:rPr>
              <w:br/>
            </w:r>
            <w:r>
              <w:rPr>
                <w:rFonts w:cs="Arial"/>
                <w:noProof/>
                <w:sz w:val="18"/>
                <w:szCs w:val="18"/>
              </w:rPr>
              <w:br/>
            </w:r>
            <w:r>
              <w:rPr>
                <w:rFonts w:cs="Arial"/>
                <w:noProof/>
                <w:sz w:val="18"/>
                <w:szCs w:val="18"/>
              </w:rPr>
              <w:br/>
            </w:r>
            <w:r>
              <w:rPr>
                <w:rFonts w:cs="Arial"/>
                <w:noProof/>
                <w:sz w:val="18"/>
                <w:szCs w:val="18"/>
              </w:rPr>
              <w:br/>
            </w:r>
            <w:r>
              <w:rPr>
                <w:rFonts w:cs="Arial"/>
                <w:noProof/>
                <w:sz w:val="18"/>
                <w:szCs w:val="18"/>
              </w:rPr>
              <w:br/>
            </w:r>
            <w:r>
              <w:rPr>
                <w:rFonts w:cs="Arial"/>
                <w:noProof/>
                <w:sz w:val="18"/>
                <w:szCs w:val="18"/>
              </w:rPr>
              <w:br/>
            </w:r>
            <w:r>
              <w:rPr>
                <w:rFonts w:cs="Arial"/>
                <w:noProof/>
                <w:sz w:val="18"/>
                <w:szCs w:val="18"/>
              </w:rPr>
              <w:br/>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Pr>
                <w:sz w:val="18"/>
              </w:rPr>
              <w:t>37.</w:t>
            </w:r>
          </w:p>
        </w:tc>
        <w:tc>
          <w:tcPr>
            <w:tcW w:w="2014" w:type="dxa"/>
          </w:tcPr>
          <w:p w:rsidR="005624E3" w:rsidRPr="00C903F8" w:rsidRDefault="005624E3" w:rsidP="00101A80">
            <w:pPr>
              <w:tabs>
                <w:tab w:val="left" w:pos="57"/>
              </w:tabs>
              <w:overflowPunct w:val="0"/>
              <w:adjustRightInd w:val="0"/>
              <w:ind w:left="57"/>
              <w:textAlignment w:val="baseline"/>
              <w:rPr>
                <w:rFonts w:cs="Arial"/>
                <w:sz w:val="18"/>
                <w:szCs w:val="20"/>
              </w:rPr>
            </w:pPr>
            <w:r>
              <w:rPr>
                <w:sz w:val="18"/>
              </w:rPr>
              <w:t>Horgonyok</w:t>
            </w:r>
          </w:p>
        </w:tc>
        <w:tc>
          <w:tcPr>
            <w:tcW w:w="2297" w:type="dxa"/>
          </w:tcPr>
          <w:p w:rsidR="005624E3" w:rsidRPr="00C903F8" w:rsidRDefault="005624E3" w:rsidP="00101A80">
            <w:pPr>
              <w:tabs>
                <w:tab w:val="left" w:pos="57"/>
                <w:tab w:val="left" w:pos="340"/>
              </w:tabs>
              <w:overflowPunct w:val="0"/>
              <w:adjustRightInd w:val="0"/>
              <w:textAlignment w:val="baseline"/>
              <w:rPr>
                <w:rFonts w:cs="Arial"/>
                <w:sz w:val="18"/>
                <w:szCs w:val="20"/>
              </w:rPr>
            </w:pPr>
          </w:p>
        </w:tc>
        <w:tc>
          <w:tcPr>
            <w:tcW w:w="2297" w:type="dxa"/>
          </w:tcPr>
          <w:p w:rsidR="005624E3" w:rsidRPr="00C903F8" w:rsidRDefault="005624E3" w:rsidP="00101A80">
            <w:pPr>
              <w:tabs>
                <w:tab w:val="left" w:pos="57"/>
                <w:tab w:val="left" w:pos="340"/>
              </w:tabs>
              <w:overflowPunct w:val="0"/>
              <w:adjustRightInd w:val="0"/>
              <w:textAlignment w:val="baseline"/>
              <w:rPr>
                <w:rFonts w:cs="Arial"/>
                <w:sz w:val="18"/>
                <w:szCs w:val="20"/>
              </w:rPr>
            </w:pPr>
          </w:p>
        </w:tc>
        <w:tc>
          <w:tcPr>
            <w:tcW w:w="2297" w:type="dxa"/>
            <w:gridSpan w:val="2"/>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2014" w:type="dxa"/>
          </w:tcPr>
          <w:p w:rsidR="005624E3" w:rsidRPr="00C903F8" w:rsidRDefault="005624E3" w:rsidP="00101A80">
            <w:pPr>
              <w:widowControl w:val="0"/>
              <w:tabs>
                <w:tab w:val="left" w:pos="57"/>
              </w:tabs>
              <w:spacing w:before="80" w:after="80"/>
              <w:rPr>
                <w:noProof/>
                <w:sz w:val="18"/>
                <w:szCs w:val="20"/>
              </w:rPr>
            </w:pPr>
            <w:r>
              <w:tab/>
            </w:r>
            <w:r>
              <w:rPr>
                <w:noProof/>
                <w:sz w:val="18"/>
              </w:rPr>
              <w:t>Orrhorgonyok száma</w:t>
            </w:r>
          </w:p>
        </w:tc>
        <w:tc>
          <w:tcPr>
            <w:tcW w:w="2297" w:type="dxa"/>
            <w:tcBorders>
              <w:left w:val="single" w:sz="6" w:space="0" w:color="auto"/>
              <w:right w:val="single" w:sz="6" w:space="0" w:color="auto"/>
            </w:tcBorders>
          </w:tcPr>
          <w:p w:rsidR="005624E3" w:rsidRPr="00C903F8" w:rsidRDefault="005624E3" w:rsidP="00101A80">
            <w:pPr>
              <w:widowControl w:val="0"/>
              <w:tabs>
                <w:tab w:val="left" w:pos="57"/>
                <w:tab w:val="left" w:pos="340"/>
              </w:tabs>
              <w:spacing w:before="80" w:after="80"/>
              <w:rPr>
                <w:noProof/>
                <w:sz w:val="18"/>
                <w:szCs w:val="20"/>
              </w:rPr>
            </w:pPr>
            <w:r>
              <w:tab/>
            </w:r>
            <w:r>
              <w:rPr>
                <w:noProof/>
                <w:sz w:val="18"/>
              </w:rPr>
              <w:t>Orrhorgonyok össztömege</w:t>
            </w:r>
          </w:p>
        </w:tc>
        <w:tc>
          <w:tcPr>
            <w:tcW w:w="2297" w:type="dxa"/>
            <w:tcBorders>
              <w:left w:val="single" w:sz="6" w:space="0" w:color="auto"/>
              <w:right w:val="single" w:sz="6" w:space="0" w:color="auto"/>
            </w:tcBorders>
          </w:tcPr>
          <w:p w:rsidR="005624E3" w:rsidRPr="00C903F8" w:rsidRDefault="005624E3" w:rsidP="00101A80">
            <w:pPr>
              <w:widowControl w:val="0"/>
              <w:tabs>
                <w:tab w:val="left" w:pos="57"/>
                <w:tab w:val="left" w:pos="340"/>
              </w:tabs>
              <w:spacing w:before="80" w:after="80"/>
              <w:rPr>
                <w:noProof/>
                <w:sz w:val="18"/>
                <w:szCs w:val="20"/>
              </w:rPr>
            </w:pPr>
            <w:r>
              <w:tab/>
            </w:r>
            <w:r>
              <w:rPr>
                <w:noProof/>
                <w:sz w:val="18"/>
              </w:rPr>
              <w:t>Farhorgonyok száma</w:t>
            </w:r>
          </w:p>
        </w:tc>
        <w:tc>
          <w:tcPr>
            <w:tcW w:w="2297" w:type="dxa"/>
            <w:gridSpan w:val="2"/>
            <w:tcBorders>
              <w:left w:val="single" w:sz="6" w:space="0" w:color="auto"/>
              <w:right w:val="single" w:sz="6" w:space="0" w:color="auto"/>
            </w:tcBorders>
          </w:tcPr>
          <w:p w:rsidR="005624E3" w:rsidRPr="00C903F8" w:rsidRDefault="005624E3" w:rsidP="00101A80">
            <w:pPr>
              <w:widowControl w:val="0"/>
              <w:tabs>
                <w:tab w:val="left" w:pos="57"/>
                <w:tab w:val="left" w:pos="340"/>
              </w:tabs>
              <w:spacing w:before="80" w:after="80"/>
              <w:rPr>
                <w:noProof/>
                <w:sz w:val="18"/>
                <w:szCs w:val="20"/>
              </w:rPr>
            </w:pPr>
            <w:r>
              <w:tab/>
            </w:r>
            <w:r>
              <w:rPr>
                <w:noProof/>
                <w:sz w:val="18"/>
              </w:rPr>
              <w:t>Farhorgonyok össztömege</w:t>
            </w:r>
          </w:p>
        </w:tc>
      </w:tr>
      <w:tr w:rsidR="005624E3" w:rsidRPr="00C903F8"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spacing w:after="120"/>
              <w:textAlignment w:val="baseline"/>
              <w:rPr>
                <w:rFonts w:cs="Arial"/>
                <w:sz w:val="18"/>
                <w:szCs w:val="20"/>
              </w:rPr>
            </w:pPr>
          </w:p>
        </w:tc>
        <w:tc>
          <w:tcPr>
            <w:tcW w:w="2014" w:type="dxa"/>
            <w:tcBorders>
              <w:bottom w:val="single" w:sz="6" w:space="0" w:color="auto"/>
            </w:tcBorders>
          </w:tcPr>
          <w:p w:rsidR="005624E3" w:rsidRPr="00C903F8" w:rsidRDefault="005624E3" w:rsidP="00101A80">
            <w:pPr>
              <w:tabs>
                <w:tab w:val="left" w:pos="57"/>
                <w:tab w:val="left" w:leader="dot" w:pos="1701"/>
              </w:tabs>
              <w:overflowPunct w:val="0"/>
              <w:adjustRightInd w:val="0"/>
              <w:spacing w:after="120"/>
              <w:textAlignment w:val="baseline"/>
              <w:rPr>
                <w:rFonts w:cs="Arial"/>
                <w:sz w:val="18"/>
                <w:szCs w:val="20"/>
              </w:rPr>
            </w:pPr>
            <w:r>
              <w:tab/>
            </w:r>
            <w:r>
              <w:tab/>
            </w:r>
          </w:p>
        </w:tc>
        <w:tc>
          <w:tcPr>
            <w:tcW w:w="2297" w:type="dxa"/>
            <w:tcBorders>
              <w:bottom w:val="single" w:sz="6" w:space="0" w:color="auto"/>
            </w:tcBorders>
          </w:tcPr>
          <w:p w:rsidR="005624E3" w:rsidRPr="00C903F8" w:rsidRDefault="005624E3" w:rsidP="00101A80">
            <w:pPr>
              <w:tabs>
                <w:tab w:val="left" w:pos="57"/>
                <w:tab w:val="left" w:leader="dot" w:pos="1814"/>
              </w:tabs>
              <w:overflowPunct w:val="0"/>
              <w:adjustRightInd w:val="0"/>
              <w:spacing w:after="120"/>
              <w:textAlignment w:val="baseline"/>
              <w:rPr>
                <w:rFonts w:cs="Arial"/>
                <w:sz w:val="18"/>
                <w:szCs w:val="20"/>
              </w:rPr>
            </w:pPr>
            <w:r>
              <w:tab/>
            </w:r>
            <w:r>
              <w:tab/>
            </w:r>
            <w:r>
              <w:rPr>
                <w:sz w:val="18"/>
              </w:rPr>
              <w:t xml:space="preserve"> kg </w:t>
            </w:r>
          </w:p>
        </w:tc>
        <w:tc>
          <w:tcPr>
            <w:tcW w:w="2297" w:type="dxa"/>
            <w:tcBorders>
              <w:left w:val="single" w:sz="6" w:space="0" w:color="auto"/>
              <w:bottom w:val="single" w:sz="6" w:space="0" w:color="auto"/>
            </w:tcBorders>
          </w:tcPr>
          <w:p w:rsidR="005624E3" w:rsidRPr="00C903F8" w:rsidRDefault="005624E3" w:rsidP="00101A80">
            <w:pPr>
              <w:tabs>
                <w:tab w:val="left" w:pos="57"/>
                <w:tab w:val="left" w:leader="dot" w:pos="1814"/>
              </w:tabs>
              <w:overflowPunct w:val="0"/>
              <w:adjustRightInd w:val="0"/>
              <w:spacing w:after="120"/>
              <w:textAlignment w:val="baseline"/>
              <w:rPr>
                <w:rFonts w:cs="Arial"/>
                <w:sz w:val="18"/>
                <w:szCs w:val="20"/>
              </w:rPr>
            </w:pPr>
            <w:r>
              <w:tab/>
            </w:r>
            <w:r>
              <w:tab/>
            </w:r>
          </w:p>
        </w:tc>
        <w:tc>
          <w:tcPr>
            <w:tcW w:w="2297" w:type="dxa"/>
            <w:gridSpan w:val="2"/>
            <w:tcBorders>
              <w:bottom w:val="single" w:sz="6" w:space="0" w:color="auto"/>
              <w:right w:val="single" w:sz="6" w:space="0" w:color="auto"/>
            </w:tcBorders>
          </w:tcPr>
          <w:p w:rsidR="005624E3" w:rsidRPr="00C903F8" w:rsidRDefault="005624E3" w:rsidP="00101A80">
            <w:pPr>
              <w:tabs>
                <w:tab w:val="left" w:pos="57"/>
                <w:tab w:val="left" w:leader="dot" w:pos="1814"/>
              </w:tabs>
              <w:overflowPunct w:val="0"/>
              <w:adjustRightInd w:val="0"/>
              <w:spacing w:after="120"/>
              <w:textAlignment w:val="baseline"/>
              <w:rPr>
                <w:rFonts w:cs="Arial"/>
                <w:sz w:val="18"/>
                <w:szCs w:val="20"/>
              </w:rPr>
            </w:pPr>
            <w:r>
              <w:tab/>
            </w:r>
            <w:r>
              <w:tab/>
            </w:r>
            <w:r>
              <w:rPr>
                <w:sz w:val="18"/>
              </w:rPr>
              <w:t xml:space="preserve"> kg</w:t>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Pr>
                <w:sz w:val="18"/>
              </w:rPr>
              <w:t>38.</w:t>
            </w:r>
          </w:p>
        </w:tc>
        <w:tc>
          <w:tcPr>
            <w:tcW w:w="2014" w:type="dxa"/>
          </w:tcPr>
          <w:p w:rsidR="005624E3" w:rsidRPr="00C903F8" w:rsidRDefault="005624E3" w:rsidP="00101A80">
            <w:pPr>
              <w:tabs>
                <w:tab w:val="left" w:pos="57"/>
              </w:tabs>
              <w:overflowPunct w:val="0"/>
              <w:adjustRightInd w:val="0"/>
              <w:ind w:left="57"/>
              <w:textAlignment w:val="baseline"/>
              <w:rPr>
                <w:rFonts w:cs="Arial"/>
                <w:sz w:val="18"/>
                <w:szCs w:val="20"/>
              </w:rPr>
            </w:pPr>
            <w:r>
              <w:rPr>
                <w:sz w:val="18"/>
              </w:rPr>
              <w:t>Horgonyláncok</w:t>
            </w:r>
          </w:p>
        </w:tc>
        <w:tc>
          <w:tcPr>
            <w:tcW w:w="2297" w:type="dxa"/>
          </w:tcPr>
          <w:p w:rsidR="005624E3" w:rsidRPr="00C903F8" w:rsidRDefault="005624E3" w:rsidP="00101A80">
            <w:pPr>
              <w:tabs>
                <w:tab w:val="left" w:pos="57"/>
                <w:tab w:val="left" w:pos="340"/>
              </w:tabs>
              <w:overflowPunct w:val="0"/>
              <w:adjustRightInd w:val="0"/>
              <w:ind w:left="57"/>
              <w:textAlignment w:val="baseline"/>
              <w:rPr>
                <w:rFonts w:cs="Arial"/>
                <w:sz w:val="18"/>
                <w:szCs w:val="20"/>
              </w:rPr>
            </w:pPr>
          </w:p>
        </w:tc>
        <w:tc>
          <w:tcPr>
            <w:tcW w:w="2297" w:type="dxa"/>
          </w:tcPr>
          <w:p w:rsidR="005624E3" w:rsidRPr="00C903F8" w:rsidRDefault="005624E3" w:rsidP="00101A80">
            <w:pPr>
              <w:tabs>
                <w:tab w:val="left" w:pos="57"/>
                <w:tab w:val="left" w:pos="340"/>
              </w:tabs>
              <w:overflowPunct w:val="0"/>
              <w:adjustRightInd w:val="0"/>
              <w:ind w:left="57"/>
              <w:textAlignment w:val="baseline"/>
              <w:rPr>
                <w:rFonts w:cs="Arial"/>
                <w:sz w:val="18"/>
                <w:szCs w:val="20"/>
              </w:rPr>
            </w:pPr>
          </w:p>
        </w:tc>
        <w:tc>
          <w:tcPr>
            <w:tcW w:w="2297" w:type="dxa"/>
            <w:gridSpan w:val="2"/>
            <w:tcBorders>
              <w:top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2014" w:type="dxa"/>
          </w:tcPr>
          <w:p w:rsidR="005624E3" w:rsidRPr="00C903F8" w:rsidRDefault="005624E3" w:rsidP="00101A80">
            <w:pPr>
              <w:tabs>
                <w:tab w:val="left" w:pos="57"/>
              </w:tabs>
              <w:overflowPunct w:val="0"/>
              <w:adjustRightInd w:val="0"/>
              <w:ind w:left="57"/>
              <w:textAlignment w:val="baseline"/>
              <w:rPr>
                <w:rFonts w:cs="Arial"/>
                <w:sz w:val="18"/>
                <w:szCs w:val="20"/>
              </w:rPr>
            </w:pPr>
            <w:r>
              <w:rPr>
                <w:sz w:val="18"/>
              </w:rPr>
              <w:t>Orrhorgonyláncok száma</w:t>
            </w:r>
            <w:r>
              <w:rPr>
                <w:rFonts w:cs="Arial"/>
                <w:sz w:val="18"/>
                <w:szCs w:val="20"/>
              </w:rPr>
              <w:br/>
            </w:r>
          </w:p>
        </w:tc>
        <w:tc>
          <w:tcPr>
            <w:tcW w:w="2297" w:type="dxa"/>
            <w:tcBorders>
              <w:left w:val="single" w:sz="6" w:space="0" w:color="auto"/>
              <w:right w:val="single" w:sz="6" w:space="0" w:color="auto"/>
            </w:tcBorders>
          </w:tcPr>
          <w:p w:rsidR="005624E3" w:rsidRPr="00C903F8" w:rsidRDefault="005624E3" w:rsidP="00101A80">
            <w:pPr>
              <w:tabs>
                <w:tab w:val="left" w:pos="57"/>
                <w:tab w:val="left" w:pos="340"/>
              </w:tabs>
              <w:overflowPunct w:val="0"/>
              <w:adjustRightInd w:val="0"/>
              <w:ind w:left="57"/>
              <w:textAlignment w:val="baseline"/>
              <w:rPr>
                <w:rFonts w:cs="Arial"/>
                <w:sz w:val="18"/>
                <w:szCs w:val="20"/>
              </w:rPr>
            </w:pPr>
            <w:r>
              <w:rPr>
                <w:sz w:val="18"/>
              </w:rPr>
              <w:t>Az egyes horgonyláncok hossza</w:t>
            </w:r>
            <w:r>
              <w:rPr>
                <w:rFonts w:cs="Arial"/>
                <w:sz w:val="18"/>
                <w:szCs w:val="20"/>
              </w:rPr>
              <w:br/>
            </w:r>
            <w:r>
              <w:rPr>
                <w:sz w:val="18"/>
              </w:rPr>
              <w:t xml:space="preserve"> </w:t>
            </w:r>
          </w:p>
        </w:tc>
        <w:tc>
          <w:tcPr>
            <w:tcW w:w="2297" w:type="dxa"/>
            <w:tcBorders>
              <w:left w:val="single" w:sz="6" w:space="0" w:color="auto"/>
            </w:tcBorders>
          </w:tcPr>
          <w:p w:rsidR="005624E3" w:rsidRPr="00C903F8" w:rsidRDefault="005624E3" w:rsidP="00101A80">
            <w:pPr>
              <w:tabs>
                <w:tab w:val="left" w:pos="57"/>
                <w:tab w:val="left" w:pos="340"/>
              </w:tabs>
              <w:overflowPunct w:val="0"/>
              <w:adjustRightInd w:val="0"/>
              <w:ind w:left="57"/>
              <w:textAlignment w:val="baseline"/>
              <w:rPr>
                <w:rFonts w:cs="Arial"/>
                <w:sz w:val="18"/>
                <w:szCs w:val="20"/>
              </w:rPr>
            </w:pPr>
            <w:r>
              <w:rPr>
                <w:sz w:val="18"/>
              </w:rPr>
              <w:t>Az egyes horgonyláncok szakítószilárdsága</w:t>
            </w:r>
          </w:p>
        </w:tc>
        <w:tc>
          <w:tcPr>
            <w:tcW w:w="2297" w:type="dxa"/>
            <w:gridSpan w:val="2"/>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spacing w:after="120"/>
              <w:textAlignment w:val="baseline"/>
              <w:rPr>
                <w:rFonts w:cs="Arial"/>
                <w:sz w:val="18"/>
                <w:szCs w:val="20"/>
              </w:rPr>
            </w:pPr>
          </w:p>
        </w:tc>
        <w:tc>
          <w:tcPr>
            <w:tcW w:w="2014" w:type="dxa"/>
            <w:tcBorders>
              <w:right w:val="single" w:sz="6" w:space="0" w:color="auto"/>
            </w:tcBorders>
          </w:tcPr>
          <w:p w:rsidR="005624E3" w:rsidRPr="00C903F8" w:rsidRDefault="005624E3" w:rsidP="00101A80">
            <w:pPr>
              <w:tabs>
                <w:tab w:val="left" w:pos="57"/>
                <w:tab w:val="left" w:leader="dot" w:pos="1701"/>
              </w:tabs>
              <w:overflowPunct w:val="0"/>
              <w:adjustRightInd w:val="0"/>
              <w:spacing w:after="120"/>
              <w:textAlignment w:val="baseline"/>
              <w:rPr>
                <w:rFonts w:cs="Arial"/>
                <w:sz w:val="18"/>
                <w:szCs w:val="20"/>
              </w:rPr>
            </w:pPr>
            <w:r>
              <w:tab/>
            </w:r>
            <w:r>
              <w:tab/>
            </w:r>
          </w:p>
        </w:tc>
        <w:tc>
          <w:tcPr>
            <w:tcW w:w="2297" w:type="dxa"/>
          </w:tcPr>
          <w:p w:rsidR="005624E3" w:rsidRPr="00C903F8" w:rsidRDefault="005624E3" w:rsidP="00101A80">
            <w:pPr>
              <w:tabs>
                <w:tab w:val="left" w:pos="57"/>
                <w:tab w:val="left" w:leader="dot" w:pos="1814"/>
              </w:tabs>
              <w:overflowPunct w:val="0"/>
              <w:adjustRightInd w:val="0"/>
              <w:spacing w:after="120"/>
              <w:textAlignment w:val="baseline"/>
              <w:rPr>
                <w:rFonts w:cs="Arial"/>
                <w:sz w:val="18"/>
                <w:szCs w:val="20"/>
              </w:rPr>
            </w:pPr>
            <w:r>
              <w:tab/>
            </w:r>
            <w:r>
              <w:tab/>
            </w:r>
            <w:r>
              <w:rPr>
                <w:sz w:val="18"/>
              </w:rPr>
              <w:t xml:space="preserve"> m</w:t>
            </w:r>
          </w:p>
        </w:tc>
        <w:tc>
          <w:tcPr>
            <w:tcW w:w="2297" w:type="dxa"/>
            <w:tcBorders>
              <w:left w:val="single" w:sz="6" w:space="0" w:color="auto"/>
            </w:tcBorders>
          </w:tcPr>
          <w:p w:rsidR="005624E3" w:rsidRPr="00C903F8" w:rsidRDefault="005624E3" w:rsidP="00101A80">
            <w:pPr>
              <w:tabs>
                <w:tab w:val="left" w:pos="57"/>
                <w:tab w:val="left" w:leader="dot" w:pos="1814"/>
              </w:tabs>
              <w:overflowPunct w:val="0"/>
              <w:adjustRightInd w:val="0"/>
              <w:spacing w:after="120"/>
              <w:textAlignment w:val="baseline"/>
              <w:rPr>
                <w:rFonts w:cs="Arial"/>
                <w:sz w:val="18"/>
                <w:szCs w:val="20"/>
              </w:rPr>
            </w:pPr>
            <w:r>
              <w:tab/>
            </w:r>
            <w:r>
              <w:tab/>
            </w:r>
            <w:r>
              <w:rPr>
                <w:sz w:val="18"/>
              </w:rPr>
              <w:t xml:space="preserve"> kN</w:t>
            </w:r>
          </w:p>
        </w:tc>
        <w:tc>
          <w:tcPr>
            <w:tcW w:w="2297" w:type="dxa"/>
            <w:gridSpan w:val="2"/>
            <w:tcBorders>
              <w:right w:val="single" w:sz="6" w:space="0" w:color="auto"/>
            </w:tcBorders>
          </w:tcPr>
          <w:p w:rsidR="005624E3" w:rsidRPr="00C903F8" w:rsidRDefault="005624E3" w:rsidP="00101A80">
            <w:pPr>
              <w:tabs>
                <w:tab w:val="left" w:pos="57"/>
                <w:tab w:val="left" w:leader="dot" w:pos="1814"/>
              </w:tabs>
              <w:overflowPunct w:val="0"/>
              <w:adjustRightInd w:val="0"/>
              <w:spacing w:after="120"/>
              <w:textAlignment w:val="baseline"/>
              <w:rPr>
                <w:rFonts w:cs="Arial"/>
                <w:sz w:val="18"/>
                <w:szCs w:val="20"/>
              </w:rPr>
            </w:pP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2014" w:type="dxa"/>
          </w:tcPr>
          <w:p w:rsidR="005624E3" w:rsidRPr="00C903F8" w:rsidRDefault="005624E3" w:rsidP="00101A80">
            <w:pPr>
              <w:tabs>
                <w:tab w:val="left" w:pos="57"/>
              </w:tabs>
              <w:overflowPunct w:val="0"/>
              <w:adjustRightInd w:val="0"/>
              <w:textAlignment w:val="baseline"/>
              <w:rPr>
                <w:rFonts w:cs="Arial"/>
                <w:sz w:val="18"/>
                <w:szCs w:val="20"/>
              </w:rPr>
            </w:pPr>
            <w:r>
              <w:tab/>
            </w:r>
            <w:r>
              <w:rPr>
                <w:sz w:val="18"/>
              </w:rPr>
              <w:t>Farhorgonyláncok száma</w:t>
            </w:r>
            <w:r>
              <w:rPr>
                <w:rFonts w:cs="Arial"/>
                <w:sz w:val="18"/>
                <w:szCs w:val="20"/>
              </w:rPr>
              <w:br/>
            </w:r>
          </w:p>
        </w:tc>
        <w:tc>
          <w:tcPr>
            <w:tcW w:w="2297" w:type="dxa"/>
            <w:tcBorders>
              <w:left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r>
              <w:tab/>
            </w:r>
            <w:r>
              <w:rPr>
                <w:sz w:val="18"/>
              </w:rPr>
              <w:t>Az egyes horgonyláncok hossza</w:t>
            </w:r>
            <w:r>
              <w:rPr>
                <w:rFonts w:cs="Arial"/>
                <w:sz w:val="18"/>
                <w:szCs w:val="20"/>
              </w:rPr>
              <w:br/>
            </w:r>
            <w:r>
              <w:rPr>
                <w:sz w:val="18"/>
              </w:rPr>
              <w:t xml:space="preserve"> </w:t>
            </w:r>
          </w:p>
        </w:tc>
        <w:tc>
          <w:tcPr>
            <w:tcW w:w="2297" w:type="dxa"/>
            <w:tcBorders>
              <w:left w:val="single" w:sz="6" w:space="0" w:color="auto"/>
            </w:tcBorders>
          </w:tcPr>
          <w:p w:rsidR="005624E3" w:rsidRPr="00C903F8" w:rsidRDefault="005624E3" w:rsidP="00101A80">
            <w:pPr>
              <w:tabs>
                <w:tab w:val="left" w:pos="57"/>
                <w:tab w:val="left" w:pos="340"/>
              </w:tabs>
              <w:overflowPunct w:val="0"/>
              <w:adjustRightInd w:val="0"/>
              <w:ind w:left="57"/>
              <w:textAlignment w:val="baseline"/>
              <w:rPr>
                <w:rFonts w:cs="Arial"/>
                <w:sz w:val="18"/>
                <w:szCs w:val="20"/>
              </w:rPr>
            </w:pPr>
            <w:r>
              <w:rPr>
                <w:sz w:val="18"/>
              </w:rPr>
              <w:t>Az egyes horgonyláncok szakítószilárdsága</w:t>
            </w:r>
          </w:p>
        </w:tc>
        <w:tc>
          <w:tcPr>
            <w:tcW w:w="2297" w:type="dxa"/>
            <w:gridSpan w:val="2"/>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spacing w:after="120"/>
              <w:textAlignment w:val="baseline"/>
              <w:rPr>
                <w:rFonts w:cs="Arial"/>
                <w:sz w:val="18"/>
                <w:szCs w:val="20"/>
              </w:rPr>
            </w:pPr>
          </w:p>
        </w:tc>
        <w:tc>
          <w:tcPr>
            <w:tcW w:w="2014" w:type="dxa"/>
            <w:tcBorders>
              <w:bottom w:val="single" w:sz="6" w:space="0" w:color="auto"/>
              <w:right w:val="single" w:sz="6" w:space="0" w:color="auto"/>
            </w:tcBorders>
          </w:tcPr>
          <w:p w:rsidR="005624E3" w:rsidRPr="00C903F8" w:rsidRDefault="005624E3" w:rsidP="00101A80">
            <w:pPr>
              <w:tabs>
                <w:tab w:val="left" w:pos="57"/>
                <w:tab w:val="left" w:leader="dot" w:pos="1701"/>
              </w:tabs>
              <w:overflowPunct w:val="0"/>
              <w:adjustRightInd w:val="0"/>
              <w:spacing w:after="120"/>
              <w:textAlignment w:val="baseline"/>
              <w:rPr>
                <w:rFonts w:cs="Arial"/>
                <w:sz w:val="18"/>
                <w:szCs w:val="20"/>
              </w:rPr>
            </w:pPr>
            <w:r>
              <w:tab/>
            </w:r>
            <w:r>
              <w:tab/>
            </w:r>
          </w:p>
        </w:tc>
        <w:tc>
          <w:tcPr>
            <w:tcW w:w="2297" w:type="dxa"/>
            <w:tcBorders>
              <w:bottom w:val="single" w:sz="6" w:space="0" w:color="auto"/>
            </w:tcBorders>
          </w:tcPr>
          <w:p w:rsidR="005624E3" w:rsidRPr="00C903F8" w:rsidRDefault="005624E3" w:rsidP="00101A80">
            <w:pPr>
              <w:tabs>
                <w:tab w:val="left" w:pos="57"/>
                <w:tab w:val="left" w:leader="dot" w:pos="1814"/>
              </w:tabs>
              <w:overflowPunct w:val="0"/>
              <w:adjustRightInd w:val="0"/>
              <w:spacing w:after="120"/>
              <w:textAlignment w:val="baseline"/>
              <w:rPr>
                <w:rFonts w:cs="Arial"/>
                <w:sz w:val="18"/>
                <w:szCs w:val="20"/>
              </w:rPr>
            </w:pPr>
            <w:r>
              <w:tab/>
            </w:r>
            <w:r>
              <w:tab/>
            </w:r>
            <w:r>
              <w:rPr>
                <w:sz w:val="18"/>
              </w:rPr>
              <w:t xml:space="preserve"> m</w:t>
            </w:r>
          </w:p>
        </w:tc>
        <w:tc>
          <w:tcPr>
            <w:tcW w:w="2297" w:type="dxa"/>
            <w:tcBorders>
              <w:left w:val="single" w:sz="6" w:space="0" w:color="auto"/>
              <w:bottom w:val="single" w:sz="6" w:space="0" w:color="auto"/>
            </w:tcBorders>
          </w:tcPr>
          <w:p w:rsidR="005624E3" w:rsidRPr="00C903F8" w:rsidRDefault="005624E3" w:rsidP="00101A80">
            <w:pPr>
              <w:tabs>
                <w:tab w:val="left" w:pos="57"/>
                <w:tab w:val="left" w:leader="dot" w:pos="1814"/>
              </w:tabs>
              <w:overflowPunct w:val="0"/>
              <w:adjustRightInd w:val="0"/>
              <w:spacing w:after="120"/>
              <w:textAlignment w:val="baseline"/>
              <w:rPr>
                <w:rFonts w:cs="Arial"/>
                <w:sz w:val="18"/>
                <w:szCs w:val="20"/>
              </w:rPr>
            </w:pPr>
            <w:r>
              <w:tab/>
            </w:r>
            <w:r>
              <w:tab/>
            </w:r>
            <w:r>
              <w:rPr>
                <w:sz w:val="18"/>
              </w:rPr>
              <w:t xml:space="preserve"> kN</w:t>
            </w:r>
          </w:p>
        </w:tc>
        <w:tc>
          <w:tcPr>
            <w:tcW w:w="2297" w:type="dxa"/>
            <w:gridSpan w:val="2"/>
            <w:tcBorders>
              <w:bottom w:val="single" w:sz="6" w:space="0" w:color="auto"/>
              <w:right w:val="single" w:sz="6" w:space="0" w:color="auto"/>
            </w:tcBorders>
          </w:tcPr>
          <w:p w:rsidR="005624E3" w:rsidRPr="00C903F8" w:rsidRDefault="005624E3" w:rsidP="00101A80">
            <w:pPr>
              <w:tabs>
                <w:tab w:val="left" w:pos="57"/>
                <w:tab w:val="left" w:leader="dot" w:pos="1814"/>
              </w:tabs>
              <w:overflowPunct w:val="0"/>
              <w:adjustRightInd w:val="0"/>
              <w:spacing w:after="12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Pr>
                <w:sz w:val="18"/>
              </w:rPr>
              <w:t>39.</w:t>
            </w:r>
          </w:p>
        </w:tc>
        <w:tc>
          <w:tcPr>
            <w:tcW w:w="2014" w:type="dxa"/>
          </w:tcPr>
          <w:p w:rsidR="005624E3" w:rsidRPr="00C903F8" w:rsidRDefault="005624E3" w:rsidP="00101A80">
            <w:pPr>
              <w:tabs>
                <w:tab w:val="left" w:pos="57"/>
              </w:tabs>
              <w:overflowPunct w:val="0"/>
              <w:adjustRightInd w:val="0"/>
              <w:textAlignment w:val="baseline"/>
              <w:rPr>
                <w:rFonts w:cs="Arial"/>
                <w:sz w:val="18"/>
                <w:szCs w:val="20"/>
              </w:rPr>
            </w:pPr>
            <w:r>
              <w:tab/>
            </w:r>
            <w:r>
              <w:rPr>
                <w:sz w:val="18"/>
              </w:rPr>
              <w:t>Kikötőkötelek</w:t>
            </w:r>
          </w:p>
        </w:tc>
        <w:tc>
          <w:tcPr>
            <w:tcW w:w="2297" w:type="dxa"/>
          </w:tcPr>
          <w:p w:rsidR="005624E3" w:rsidRPr="00C903F8" w:rsidRDefault="005624E3" w:rsidP="00101A80">
            <w:pPr>
              <w:tabs>
                <w:tab w:val="left" w:pos="57"/>
                <w:tab w:val="left" w:pos="340"/>
              </w:tabs>
              <w:overflowPunct w:val="0"/>
              <w:adjustRightInd w:val="0"/>
              <w:textAlignment w:val="baseline"/>
              <w:rPr>
                <w:rFonts w:cs="Arial"/>
                <w:sz w:val="18"/>
                <w:szCs w:val="20"/>
              </w:rPr>
            </w:pPr>
          </w:p>
        </w:tc>
        <w:tc>
          <w:tcPr>
            <w:tcW w:w="2297" w:type="dxa"/>
          </w:tcPr>
          <w:p w:rsidR="005624E3" w:rsidRPr="00C903F8" w:rsidRDefault="005624E3" w:rsidP="00101A80">
            <w:pPr>
              <w:tabs>
                <w:tab w:val="left" w:pos="57"/>
                <w:tab w:val="left" w:pos="340"/>
              </w:tabs>
              <w:overflowPunct w:val="0"/>
              <w:adjustRightInd w:val="0"/>
              <w:textAlignment w:val="baseline"/>
              <w:rPr>
                <w:rFonts w:cs="Arial"/>
                <w:sz w:val="18"/>
                <w:szCs w:val="20"/>
              </w:rPr>
            </w:pPr>
          </w:p>
        </w:tc>
        <w:tc>
          <w:tcPr>
            <w:tcW w:w="2297" w:type="dxa"/>
            <w:gridSpan w:val="2"/>
            <w:tcBorders>
              <w:top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6634" w:type="dxa"/>
            <w:gridSpan w:val="4"/>
          </w:tcPr>
          <w:p w:rsidR="005624E3" w:rsidRPr="00C903F8" w:rsidRDefault="005624E3" w:rsidP="00101A80">
            <w:pPr>
              <w:tabs>
                <w:tab w:val="left" w:pos="57"/>
                <w:tab w:val="left" w:leader="dot" w:pos="3005"/>
                <w:tab w:val="left" w:leader="dot" w:pos="6237"/>
              </w:tabs>
              <w:overflowPunct w:val="0"/>
              <w:adjustRightInd w:val="0"/>
              <w:textAlignment w:val="baseline"/>
              <w:rPr>
                <w:rFonts w:cs="Arial"/>
                <w:sz w:val="18"/>
                <w:szCs w:val="20"/>
              </w:rPr>
            </w:pPr>
            <w:r>
              <w:tab/>
              <w:t>Az első kötél ........... m hosszú és ........... kN szakítószilárdságú.</w:t>
            </w:r>
            <w:r>
              <w:rPr>
                <w:rFonts w:cs="Arial"/>
                <w:sz w:val="18"/>
                <w:szCs w:val="20"/>
              </w:rPr>
              <w:br/>
            </w:r>
          </w:p>
        </w:tc>
        <w:tc>
          <w:tcPr>
            <w:tcW w:w="2271" w:type="dxa"/>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6634" w:type="dxa"/>
            <w:gridSpan w:val="4"/>
          </w:tcPr>
          <w:p w:rsidR="005624E3" w:rsidRPr="00C903F8" w:rsidRDefault="005624E3" w:rsidP="00101A80">
            <w:pPr>
              <w:tabs>
                <w:tab w:val="left" w:pos="57"/>
                <w:tab w:val="left" w:leader="dot" w:pos="3005"/>
                <w:tab w:val="left" w:leader="dot" w:pos="6237"/>
              </w:tabs>
              <w:overflowPunct w:val="0"/>
              <w:adjustRightInd w:val="0"/>
              <w:textAlignment w:val="baseline"/>
              <w:rPr>
                <w:rFonts w:cs="Arial"/>
                <w:sz w:val="18"/>
                <w:szCs w:val="20"/>
              </w:rPr>
            </w:pPr>
            <w:r>
              <w:tab/>
              <w:t>A második kötél ........... m hosszú és ........... kN szakítószilárdságú.</w:t>
            </w:r>
            <w:r>
              <w:rPr>
                <w:rFonts w:cs="Arial"/>
                <w:sz w:val="18"/>
                <w:szCs w:val="20"/>
              </w:rPr>
              <w:br/>
            </w:r>
          </w:p>
        </w:tc>
        <w:tc>
          <w:tcPr>
            <w:tcW w:w="2271" w:type="dxa"/>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6634" w:type="dxa"/>
            <w:gridSpan w:val="4"/>
          </w:tcPr>
          <w:p w:rsidR="005624E3" w:rsidRPr="00C903F8" w:rsidRDefault="005624E3" w:rsidP="00101A80">
            <w:pPr>
              <w:tabs>
                <w:tab w:val="left" w:pos="57"/>
                <w:tab w:val="left" w:leader="dot" w:pos="3005"/>
                <w:tab w:val="left" w:leader="dot" w:pos="6237"/>
              </w:tabs>
              <w:overflowPunct w:val="0"/>
              <w:adjustRightInd w:val="0"/>
              <w:textAlignment w:val="baseline"/>
              <w:rPr>
                <w:rFonts w:cs="Arial"/>
                <w:sz w:val="18"/>
                <w:szCs w:val="20"/>
              </w:rPr>
            </w:pPr>
            <w:r>
              <w:tab/>
              <w:t>A harmadik kötél ........... m hosszú és ........... kN szakítószilárdságú.</w:t>
            </w:r>
            <w:r>
              <w:rPr>
                <w:rFonts w:cs="Arial"/>
                <w:sz w:val="18"/>
                <w:szCs w:val="20"/>
              </w:rPr>
              <w:br/>
            </w:r>
          </w:p>
        </w:tc>
        <w:tc>
          <w:tcPr>
            <w:tcW w:w="2271" w:type="dxa"/>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C903F8" w:rsidTr="00101A80">
        <w:trPr>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rPr>
                <w:sz w:val="18"/>
              </w:rPr>
              <w:t>40.</w:t>
            </w:r>
          </w:p>
        </w:tc>
        <w:tc>
          <w:tcPr>
            <w:tcW w:w="6634" w:type="dxa"/>
            <w:gridSpan w:val="4"/>
            <w:tcBorders>
              <w:top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r>
              <w:tab/>
            </w:r>
            <w:r>
              <w:rPr>
                <w:noProof/>
                <w:sz w:val="18"/>
              </w:rPr>
              <w:t>Vontatókötelek:</w:t>
            </w:r>
          </w:p>
        </w:tc>
        <w:tc>
          <w:tcPr>
            <w:tcW w:w="2271" w:type="dxa"/>
            <w:tcBorders>
              <w:top w:val="single" w:sz="6" w:space="0" w:color="auto"/>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textAlignment w:val="baseline"/>
              <w:rPr>
                <w:rFonts w:cs="Arial"/>
                <w:sz w:val="18"/>
                <w:szCs w:val="20"/>
              </w:rPr>
            </w:pPr>
          </w:p>
        </w:tc>
        <w:tc>
          <w:tcPr>
            <w:tcW w:w="6634" w:type="dxa"/>
            <w:gridSpan w:val="4"/>
          </w:tcPr>
          <w:p w:rsidR="005624E3" w:rsidRPr="00C903F8" w:rsidRDefault="005624E3" w:rsidP="00101A80">
            <w:pPr>
              <w:tabs>
                <w:tab w:val="left" w:pos="57"/>
                <w:tab w:val="left" w:leader="dot" w:pos="567"/>
                <w:tab w:val="left" w:leader="dot" w:pos="851"/>
                <w:tab w:val="left" w:leader="dot" w:pos="3005"/>
                <w:tab w:val="left" w:leader="dot" w:pos="6237"/>
              </w:tabs>
              <w:overflowPunct w:val="0"/>
              <w:adjustRightInd w:val="0"/>
              <w:textAlignment w:val="baseline"/>
              <w:rPr>
                <w:rFonts w:cs="Arial"/>
                <w:sz w:val="18"/>
                <w:szCs w:val="20"/>
              </w:rPr>
            </w:pPr>
            <w:r>
              <w:tab/>
            </w:r>
            <w:r>
              <w:tab/>
            </w:r>
            <w:r>
              <w:rPr>
                <w:sz w:val="18"/>
              </w:rPr>
              <w:t xml:space="preserve"> </w:t>
            </w:r>
            <w:r>
              <w:t>........... m hosszú és ........... kN szakítószilárdságú.</w:t>
            </w:r>
            <w:r>
              <w:rPr>
                <w:rFonts w:cs="Arial"/>
                <w:sz w:val="18"/>
                <w:szCs w:val="20"/>
              </w:rPr>
              <w:br/>
            </w:r>
          </w:p>
        </w:tc>
        <w:tc>
          <w:tcPr>
            <w:tcW w:w="2271" w:type="dxa"/>
            <w:tcBorders>
              <w:right w:val="single" w:sz="6" w:space="0" w:color="auto"/>
            </w:tcBorders>
          </w:tcPr>
          <w:p w:rsidR="005624E3" w:rsidRPr="00C903F8" w:rsidRDefault="005624E3" w:rsidP="00101A80">
            <w:pPr>
              <w:tabs>
                <w:tab w:val="left" w:pos="57"/>
                <w:tab w:val="left" w:pos="340"/>
              </w:tabs>
              <w:overflowPunct w:val="0"/>
              <w:adjustRightInd w:val="0"/>
              <w:textAlignment w:val="baseline"/>
              <w:rPr>
                <w:rFonts w:cs="Arial"/>
                <w:sz w:val="18"/>
                <w:szCs w:val="20"/>
              </w:rPr>
            </w:pP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spacing w:after="120"/>
              <w:textAlignment w:val="baseline"/>
              <w:rPr>
                <w:rFonts w:cs="Arial"/>
                <w:sz w:val="18"/>
                <w:szCs w:val="20"/>
              </w:rPr>
            </w:pPr>
          </w:p>
        </w:tc>
        <w:tc>
          <w:tcPr>
            <w:tcW w:w="6634" w:type="dxa"/>
            <w:gridSpan w:val="4"/>
          </w:tcPr>
          <w:p w:rsidR="005624E3" w:rsidRPr="00C903F8" w:rsidRDefault="005624E3" w:rsidP="00101A80">
            <w:pPr>
              <w:tabs>
                <w:tab w:val="left" w:pos="57"/>
                <w:tab w:val="left" w:leader="dot" w:pos="567"/>
                <w:tab w:val="left" w:leader="dot" w:pos="851"/>
                <w:tab w:val="left" w:leader="dot" w:pos="1701"/>
                <w:tab w:val="left" w:leader="dot" w:pos="3005"/>
                <w:tab w:val="left" w:leader="dot" w:pos="6237"/>
              </w:tabs>
              <w:overflowPunct w:val="0"/>
              <w:adjustRightInd w:val="0"/>
              <w:spacing w:after="120"/>
              <w:textAlignment w:val="baseline"/>
              <w:rPr>
                <w:rFonts w:cs="Arial"/>
                <w:sz w:val="18"/>
                <w:szCs w:val="20"/>
              </w:rPr>
            </w:pPr>
            <w:r>
              <w:tab/>
            </w:r>
            <w:r>
              <w:tab/>
            </w:r>
            <w:r>
              <w:rPr>
                <w:sz w:val="18"/>
              </w:rPr>
              <w:t xml:space="preserve"> </w:t>
            </w:r>
            <w:r>
              <w:t>........... m hosszú és ........... kN szakítószilárdságú.</w:t>
            </w:r>
          </w:p>
        </w:tc>
        <w:tc>
          <w:tcPr>
            <w:tcW w:w="2271" w:type="dxa"/>
            <w:tcBorders>
              <w:right w:val="single" w:sz="6" w:space="0" w:color="auto"/>
            </w:tcBorders>
          </w:tcPr>
          <w:p w:rsidR="005624E3" w:rsidRPr="00C903F8" w:rsidRDefault="005624E3" w:rsidP="00101A80">
            <w:pPr>
              <w:tabs>
                <w:tab w:val="left" w:pos="57"/>
                <w:tab w:val="left" w:leader="dot" w:pos="1814"/>
              </w:tabs>
              <w:overflowPunct w:val="0"/>
              <w:adjustRightInd w:val="0"/>
              <w:spacing w:after="120"/>
              <w:textAlignment w:val="baseline"/>
              <w:rPr>
                <w:rFonts w:cs="Arial"/>
                <w:sz w:val="18"/>
                <w:szCs w:val="20"/>
              </w:rPr>
            </w:pP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41.</w:t>
            </w:r>
          </w:p>
        </w:tc>
        <w:tc>
          <w:tcPr>
            <w:tcW w:w="8905" w:type="dxa"/>
            <w:gridSpan w:val="5"/>
            <w:tcBorders>
              <w:top w:val="single" w:sz="6" w:space="0" w:color="auto"/>
              <w:bottom w:val="single" w:sz="6" w:space="0" w:color="auto"/>
              <w:right w:val="single" w:sz="6" w:space="0" w:color="auto"/>
            </w:tcBorders>
          </w:tcPr>
          <w:p w:rsidR="005624E3" w:rsidRPr="00C903F8" w:rsidRDefault="005624E3" w:rsidP="00101A80">
            <w:pPr>
              <w:tabs>
                <w:tab w:val="left" w:pos="57"/>
                <w:tab w:val="left" w:pos="340"/>
                <w:tab w:val="left" w:leader="dot" w:pos="5103"/>
                <w:tab w:val="left" w:leader="dot" w:pos="8505"/>
              </w:tabs>
              <w:overflowPunct w:val="0"/>
              <w:adjustRightInd w:val="0"/>
              <w:spacing w:before="120"/>
              <w:ind w:left="57" w:right="57" w:hanging="57"/>
              <w:textAlignment w:val="baseline"/>
              <w:rPr>
                <w:rFonts w:cs="Arial"/>
                <w:sz w:val="18"/>
                <w:szCs w:val="20"/>
              </w:rPr>
            </w:pPr>
            <w:r>
              <w:tab/>
            </w:r>
            <w:r>
              <w:rPr>
                <w:noProof/>
                <w:sz w:val="18"/>
              </w:rPr>
              <w:t>Látható és hallható jelzések</w:t>
            </w:r>
            <w:r>
              <w:rPr>
                <w:noProof/>
                <w:sz w:val="18"/>
                <w:szCs w:val="20"/>
              </w:rPr>
              <w:br/>
            </w:r>
            <w:r>
              <w:t>A vízi jármű rendelkezik a jeladásra szolgáló fényekkel, lobogókkal, gömbökkel, úszókkal és hangjelző eszközökkel, valamint [a rajnai hajózási rendészeti szabályzat / a tagállamok hivatalos hajózási szabályzatai] által előírt látható és hallható jelzések leadására szolgáló eszközökkel, továbbá [a rajnai hajózási rendészeti szabályzat / a tagállamok hivatalos hajózási szabályzatai] által előírt önálló vészhelyzeti veszteglési fényekkel.</w:t>
            </w:r>
            <w:r>
              <w:rPr>
                <w:noProof/>
                <w:sz w:val="18"/>
                <w:szCs w:val="20"/>
              </w:rPr>
              <w:br/>
            </w:r>
            <w:r>
              <w:rPr>
                <w:noProof/>
                <w:sz w:val="18"/>
                <w:szCs w:val="20"/>
              </w:rPr>
              <w:br/>
            </w:r>
          </w:p>
        </w:tc>
      </w:tr>
      <w:tr w:rsidR="005624E3" w:rsidRPr="00842442"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spacing w:before="80"/>
              <w:textAlignment w:val="baseline"/>
              <w:rPr>
                <w:rFonts w:cs="Arial"/>
                <w:sz w:val="18"/>
                <w:szCs w:val="20"/>
              </w:rPr>
            </w:pPr>
            <w:r>
              <w:tab/>
            </w:r>
            <w:r>
              <w:rPr>
                <w:sz w:val="18"/>
              </w:rPr>
              <w:t>*)</w:t>
            </w:r>
            <w:r>
              <w:rPr>
                <w:rFonts w:cs="Arial"/>
                <w:sz w:val="18"/>
                <w:szCs w:val="20"/>
              </w:rPr>
              <w:br/>
            </w:r>
            <w:r>
              <w:rPr>
                <w:rFonts w:cs="Arial"/>
                <w:sz w:val="18"/>
                <w:szCs w:val="20"/>
              </w:rPr>
              <w:br/>
            </w:r>
          </w:p>
          <w:p w:rsidR="005624E3" w:rsidRPr="00C903F8" w:rsidRDefault="005624E3" w:rsidP="00101A80">
            <w:pPr>
              <w:tabs>
                <w:tab w:val="left" w:pos="57"/>
              </w:tabs>
              <w:overflowPunct w:val="0"/>
              <w:adjustRightInd w:val="0"/>
              <w:spacing w:before="80"/>
              <w:textAlignment w:val="baseline"/>
              <w:rPr>
                <w:rFonts w:cs="Arial"/>
                <w:sz w:val="18"/>
                <w:szCs w:val="20"/>
              </w:rPr>
            </w:pPr>
          </w:p>
          <w:p w:rsidR="005624E3" w:rsidRPr="00C903F8" w:rsidRDefault="005624E3" w:rsidP="00101A80">
            <w:pPr>
              <w:tabs>
                <w:tab w:val="left" w:pos="57"/>
              </w:tabs>
              <w:overflowPunct w:val="0"/>
              <w:adjustRightInd w:val="0"/>
              <w:spacing w:before="160"/>
              <w:textAlignment w:val="baseline"/>
              <w:rPr>
                <w:rFonts w:cs="Arial"/>
                <w:sz w:val="18"/>
                <w:szCs w:val="20"/>
              </w:rPr>
            </w:pPr>
            <w:r>
              <w:tab/>
            </w:r>
            <w:r>
              <w:rPr>
                <w:sz w:val="18"/>
              </w:rPr>
              <w:t>*)</w:t>
            </w:r>
          </w:p>
        </w:tc>
        <w:tc>
          <w:tcPr>
            <w:tcW w:w="8905" w:type="dxa"/>
            <w:gridSpan w:val="5"/>
            <w:tcBorders>
              <w:bottom w:val="single" w:sz="6" w:space="0" w:color="auto"/>
              <w:right w:val="single" w:sz="6" w:space="0" w:color="auto"/>
            </w:tcBorders>
          </w:tcPr>
          <w:p w:rsidR="005624E3" w:rsidRPr="00C903F8" w:rsidRDefault="005624E3" w:rsidP="00101A80">
            <w:pPr>
              <w:tabs>
                <w:tab w:val="left" w:pos="57"/>
                <w:tab w:val="left" w:leader="dot" w:pos="3686"/>
              </w:tabs>
              <w:overflowPunct w:val="0"/>
              <w:adjustRightInd w:val="0"/>
              <w:spacing w:before="80" w:after="80"/>
              <w:ind w:left="57" w:right="57"/>
              <w:textAlignment w:val="baseline"/>
              <w:rPr>
                <w:rFonts w:cs="Arial"/>
                <w:sz w:val="18"/>
                <w:szCs w:val="20"/>
              </w:rPr>
            </w:pPr>
            <w:r>
              <w:rPr>
                <w:noProof/>
                <w:sz w:val="18"/>
              </w:rPr>
              <w:t>A következő rovatok módosultak: ...........</w:t>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rPr>
                <w:noProof/>
                <w:sz w:val="18"/>
              </w:rPr>
              <w:t>Új szöveg:</w:t>
            </w: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Ez az oldal lecserélésre került.</w:t>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 xml:space="preserve">Hely, dátum </w:t>
            </w:r>
            <w:r>
              <w:tab/>
            </w:r>
            <w:r>
              <w:tab/>
            </w:r>
            <w:r>
              <w:rPr>
                <w:sz w:val="18"/>
              </w:rPr>
              <w:t>Ellenőrző szerv</w:t>
            </w:r>
          </w:p>
          <w:p w:rsidR="005624E3" w:rsidRPr="00C903F8" w:rsidRDefault="005624E3" w:rsidP="00101A80">
            <w:pPr>
              <w:tabs>
                <w:tab w:val="left" w:pos="5103"/>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1701"/>
              </w:tabs>
              <w:overflowPunct w:val="0"/>
              <w:adjustRightInd w:val="0"/>
              <w:spacing w:after="80"/>
              <w:textAlignment w:val="baseline"/>
              <w:rPr>
                <w:rFonts w:cs="Arial"/>
                <w:sz w:val="18"/>
                <w:szCs w:val="20"/>
              </w:rPr>
            </w:pPr>
            <w:r>
              <w:tab/>
            </w:r>
            <w:r>
              <w:rPr>
                <w:sz w:val="18"/>
              </w:rPr>
              <w:t>Bélyegző</w:t>
            </w:r>
          </w:p>
          <w:p w:rsidR="005624E3" w:rsidRPr="00C903F8" w:rsidRDefault="005624E3" w:rsidP="00101A80">
            <w:pPr>
              <w:tabs>
                <w:tab w:val="left" w:pos="5103"/>
                <w:tab w:val="left" w:leader="dot" w:pos="8505"/>
              </w:tabs>
              <w:overflowPunct w:val="0"/>
              <w:adjustRightInd w:val="0"/>
              <w:textAlignment w:val="baseline"/>
              <w:rPr>
                <w:rFonts w:cs="Arial"/>
                <w:szCs w:val="20"/>
              </w:rPr>
            </w:pPr>
            <w:r>
              <w:tab/>
            </w:r>
            <w:r>
              <w:tab/>
            </w:r>
          </w:p>
          <w:p w:rsidR="005624E3" w:rsidRPr="00C903F8" w:rsidRDefault="005624E3" w:rsidP="00101A80">
            <w:pPr>
              <w:tabs>
                <w:tab w:val="center" w:pos="6862"/>
              </w:tabs>
              <w:overflowPunct w:val="0"/>
              <w:adjustRightInd w:val="0"/>
              <w:textAlignment w:val="baseline"/>
              <w:rPr>
                <w:rFonts w:cs="Arial"/>
                <w:sz w:val="16"/>
                <w:szCs w:val="20"/>
              </w:rPr>
            </w:pPr>
            <w:r>
              <w:tab/>
            </w:r>
            <w:r>
              <w:rPr>
                <w:sz w:val="16"/>
              </w:rPr>
              <w:t>(Aláírás)</w:t>
            </w:r>
          </w:p>
          <w:p w:rsidR="005624E3" w:rsidRPr="00D50F76" w:rsidRDefault="005624E3" w:rsidP="00101A80">
            <w:pPr>
              <w:tabs>
                <w:tab w:val="left" w:pos="113"/>
                <w:tab w:val="left" w:pos="397"/>
                <w:tab w:val="left" w:pos="6237"/>
                <w:tab w:val="left" w:leader="dot" w:pos="9356"/>
              </w:tabs>
              <w:overflowPunct w:val="0"/>
              <w:adjustRightInd w:val="0"/>
              <w:textAlignment w:val="baseline"/>
              <w:rPr>
                <w:rFonts w:cs="Arial"/>
                <w:sz w:val="16"/>
                <w:szCs w:val="20"/>
                <w:lang w:val="pt-PT"/>
              </w:rPr>
            </w:pPr>
            <w:r w:rsidRPr="00D50F76">
              <w:rPr>
                <w:sz w:val="18"/>
                <w:lang w:val="pt-PT"/>
              </w:rPr>
              <w:t>_______________________</w:t>
            </w:r>
          </w:p>
          <w:p w:rsidR="005624E3" w:rsidRPr="00D50F76" w:rsidRDefault="005624E3" w:rsidP="00101A80">
            <w:pPr>
              <w:tabs>
                <w:tab w:val="left" w:pos="284"/>
              </w:tabs>
              <w:overflowPunct w:val="0"/>
              <w:adjustRightInd w:val="0"/>
              <w:spacing w:after="40"/>
              <w:ind w:left="57"/>
              <w:textAlignment w:val="baseline"/>
              <w:rPr>
                <w:rFonts w:cs="Arial"/>
                <w:sz w:val="18"/>
                <w:szCs w:val="20"/>
                <w:lang w:val="pt-PT"/>
              </w:rPr>
            </w:pPr>
            <w:r w:rsidRPr="00D50F76">
              <w:rPr>
                <w:position w:val="4"/>
                <w:sz w:val="16"/>
                <w:lang w:val="pt-PT"/>
              </w:rPr>
              <w:t>*)</w:t>
            </w:r>
            <w:r w:rsidRPr="00D50F76">
              <w:rPr>
                <w:lang w:val="pt-PT"/>
              </w:rPr>
              <w:tab/>
            </w:r>
            <w:r w:rsidRPr="00D50F76">
              <w:rPr>
                <w:sz w:val="16"/>
                <w:lang w:val="pt-PT"/>
              </w:rPr>
              <w:t>A nem kívánt rész törlendő.</w:t>
            </w:r>
          </w:p>
        </w:tc>
      </w:tr>
    </w:tbl>
    <w:p w:rsidR="005624E3" w:rsidRPr="00D50F76" w:rsidRDefault="005624E3" w:rsidP="005624E3">
      <w:pPr>
        <w:overflowPunct w:val="0"/>
        <w:adjustRightInd w:val="0"/>
        <w:textAlignment w:val="baseline"/>
        <w:rPr>
          <w:rFonts w:cs="Arial"/>
          <w:szCs w:val="20"/>
          <w:lang w:val="pt-PT"/>
        </w:rPr>
      </w:pPr>
    </w:p>
    <w:p w:rsidR="005624E3" w:rsidRPr="00D50F76" w:rsidRDefault="005624E3" w:rsidP="005624E3">
      <w:pPr>
        <w:tabs>
          <w:tab w:val="left" w:leader="dot" w:pos="2835"/>
          <w:tab w:val="left" w:leader="dot" w:pos="5103"/>
        </w:tabs>
        <w:overflowPunct w:val="0"/>
        <w:adjustRightInd w:val="0"/>
        <w:textAlignment w:val="baseline"/>
        <w:rPr>
          <w:rFonts w:cs="Arial"/>
          <w:szCs w:val="20"/>
          <w:lang w:val="pt-PT"/>
        </w:rPr>
      </w:pPr>
      <w:r w:rsidRPr="00D50F76">
        <w:rPr>
          <w:lang w:val="pt-PT"/>
        </w:rPr>
        <w:br w:type="page"/>
        <w:t>Az ellenőrző szerv által kiadott .......... számú belvízi hajóbizonyítvány</w:t>
      </w:r>
    </w:p>
    <w:tbl>
      <w:tblPr>
        <w:tblW w:w="9186" w:type="dxa"/>
        <w:jc w:val="center"/>
        <w:tblLayout w:type="fixed"/>
        <w:tblCellMar>
          <w:left w:w="0" w:type="dxa"/>
          <w:right w:w="0" w:type="dxa"/>
        </w:tblCellMar>
        <w:tblLook w:val="0000" w:firstRow="0" w:lastRow="0" w:firstColumn="0" w:lastColumn="0" w:noHBand="0" w:noVBand="0"/>
      </w:tblPr>
      <w:tblGrid>
        <w:gridCol w:w="284"/>
        <w:gridCol w:w="4451"/>
        <w:gridCol w:w="4445"/>
        <w:gridCol w:w="6"/>
      </w:tblGrid>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20"/>
              <w:textAlignment w:val="baseline"/>
              <w:rPr>
                <w:rFonts w:cs="Arial"/>
                <w:sz w:val="18"/>
                <w:szCs w:val="20"/>
              </w:rPr>
            </w:pPr>
            <w:r>
              <w:rPr>
                <w:sz w:val="18"/>
              </w:rPr>
              <w:t>42.</w:t>
            </w:r>
          </w:p>
        </w:tc>
        <w:tc>
          <w:tcPr>
            <w:tcW w:w="4451" w:type="dxa"/>
            <w:tcBorders>
              <w:top w:val="single" w:sz="6" w:space="0" w:color="auto"/>
              <w:bottom w:val="single" w:sz="6" w:space="0" w:color="auto"/>
            </w:tcBorders>
          </w:tcPr>
          <w:p w:rsidR="005624E3" w:rsidRPr="00C903F8" w:rsidRDefault="005624E3" w:rsidP="00101A80">
            <w:pPr>
              <w:overflowPunct w:val="0"/>
              <w:adjustRightInd w:val="0"/>
              <w:spacing w:before="20" w:after="20"/>
              <w:ind w:left="57"/>
              <w:textAlignment w:val="baseline"/>
              <w:rPr>
                <w:rFonts w:cs="Arial"/>
                <w:sz w:val="18"/>
                <w:szCs w:val="20"/>
              </w:rPr>
            </w:pPr>
            <w:r>
              <w:rPr>
                <w:noProof/>
                <w:sz w:val="18"/>
              </w:rPr>
              <w:t>Egyéb felszerelések</w:t>
            </w:r>
          </w:p>
          <w:p w:rsidR="005624E3" w:rsidRPr="00C903F8" w:rsidRDefault="005624E3" w:rsidP="00101A80">
            <w:pPr>
              <w:overflowPunct w:val="0"/>
              <w:adjustRightInd w:val="0"/>
              <w:spacing w:before="20" w:after="20"/>
              <w:ind w:left="57"/>
              <w:textAlignment w:val="baseline"/>
              <w:rPr>
                <w:rFonts w:cs="Arial"/>
                <w:sz w:val="18"/>
                <w:szCs w:val="20"/>
              </w:rPr>
            </w:pPr>
            <w:r>
              <w:rPr>
                <w:noProof/>
                <w:sz w:val="18"/>
              </w:rPr>
              <w:t>Dobókötél</w:t>
            </w:r>
          </w:p>
          <w:p w:rsidR="005624E3" w:rsidRPr="00C903F8" w:rsidRDefault="005624E3" w:rsidP="00101A80">
            <w:pPr>
              <w:tabs>
                <w:tab w:val="left" w:pos="1010"/>
              </w:tabs>
              <w:overflowPunct w:val="0"/>
              <w:adjustRightInd w:val="0"/>
              <w:spacing w:before="20" w:after="20"/>
              <w:ind w:left="974" w:hanging="917"/>
              <w:textAlignment w:val="baseline"/>
              <w:rPr>
                <w:rFonts w:cs="Arial"/>
                <w:sz w:val="18"/>
                <w:szCs w:val="20"/>
              </w:rPr>
            </w:pPr>
            <w:r>
              <w:rPr>
                <w:noProof/>
                <w:sz w:val="18"/>
              </w:rPr>
              <w:t>Feljáróhíd</w:t>
            </w:r>
            <w:r>
              <w:tab/>
            </w:r>
            <w:r>
              <w:rPr>
                <w:noProof/>
                <w:sz w:val="18"/>
              </w:rPr>
              <w:t>a 13.02. cikk 3. bekezdése d) pontjának megfelelően*)/</w:t>
            </w:r>
          </w:p>
          <w:p w:rsidR="005624E3" w:rsidRDefault="005624E3" w:rsidP="00101A80">
            <w:pPr>
              <w:tabs>
                <w:tab w:val="left" w:pos="1010"/>
              </w:tabs>
              <w:overflowPunct w:val="0"/>
              <w:adjustRightInd w:val="0"/>
              <w:spacing w:before="20" w:after="20"/>
              <w:ind w:left="57"/>
              <w:textAlignment w:val="baseline"/>
              <w:rPr>
                <w:noProof/>
                <w:sz w:val="18"/>
              </w:rPr>
            </w:pPr>
            <w:r>
              <w:tab/>
            </w:r>
            <w:r>
              <w:rPr>
                <w:noProof/>
                <w:sz w:val="18"/>
              </w:rPr>
              <w:t>a 19.06. cikk 12. Bekezdésének</w:t>
            </w:r>
          </w:p>
          <w:p w:rsidR="005624E3" w:rsidRPr="00C903F8" w:rsidRDefault="005624E3" w:rsidP="00101A80">
            <w:pPr>
              <w:tabs>
                <w:tab w:val="left" w:pos="1010"/>
              </w:tabs>
              <w:overflowPunct w:val="0"/>
              <w:adjustRightInd w:val="0"/>
              <w:spacing w:before="20" w:after="20"/>
              <w:ind w:left="974"/>
              <w:textAlignment w:val="baseline"/>
              <w:rPr>
                <w:rFonts w:cs="Arial"/>
                <w:sz w:val="18"/>
                <w:szCs w:val="20"/>
              </w:rPr>
            </w:pPr>
            <w:r>
              <w:rPr>
                <w:noProof/>
                <w:sz w:val="18"/>
              </w:rPr>
              <w:t xml:space="preserve"> megfelelően*) </w:t>
            </w:r>
          </w:p>
          <w:p w:rsidR="005624E3" w:rsidRPr="00C903F8" w:rsidRDefault="005624E3" w:rsidP="00101A80">
            <w:pPr>
              <w:tabs>
                <w:tab w:val="left" w:pos="1010"/>
              </w:tabs>
              <w:overflowPunct w:val="0"/>
              <w:adjustRightInd w:val="0"/>
              <w:spacing w:before="20" w:after="20"/>
              <w:ind w:left="57"/>
              <w:textAlignment w:val="baseline"/>
              <w:rPr>
                <w:rFonts w:cs="Arial"/>
                <w:noProof/>
                <w:sz w:val="18"/>
                <w:szCs w:val="20"/>
              </w:rPr>
            </w:pPr>
            <w:r>
              <w:tab/>
            </w:r>
            <w:r>
              <w:rPr>
                <w:noProof/>
                <w:sz w:val="18"/>
              </w:rPr>
              <w:t xml:space="preserve">Hossza: ........... (m) </w:t>
            </w:r>
          </w:p>
          <w:p w:rsidR="005624E3" w:rsidRPr="00C903F8" w:rsidRDefault="005624E3" w:rsidP="00101A80">
            <w:pPr>
              <w:tabs>
                <w:tab w:val="left" w:pos="970"/>
              </w:tabs>
              <w:overflowPunct w:val="0"/>
              <w:adjustRightInd w:val="0"/>
              <w:spacing w:before="20" w:after="20"/>
              <w:ind w:left="57"/>
              <w:textAlignment w:val="baseline"/>
              <w:rPr>
                <w:rFonts w:cs="Arial"/>
                <w:sz w:val="18"/>
                <w:szCs w:val="20"/>
              </w:rPr>
            </w:pPr>
            <w:r>
              <w:rPr>
                <w:noProof/>
                <w:sz w:val="18"/>
              </w:rPr>
              <w:t>Csáklya</w:t>
            </w:r>
          </w:p>
          <w:p w:rsidR="005624E3" w:rsidRPr="00C903F8" w:rsidRDefault="005624E3" w:rsidP="00101A80">
            <w:pPr>
              <w:overflowPunct w:val="0"/>
              <w:adjustRightInd w:val="0"/>
              <w:spacing w:before="20" w:after="20"/>
              <w:ind w:left="57"/>
              <w:textAlignment w:val="baseline"/>
              <w:rPr>
                <w:rFonts w:cs="Arial"/>
                <w:sz w:val="18"/>
                <w:szCs w:val="20"/>
              </w:rPr>
            </w:pPr>
            <w:r>
              <w:rPr>
                <w:noProof/>
                <w:sz w:val="18"/>
              </w:rPr>
              <w:t>Elsősegélycsomagok száma: ...........</w:t>
            </w:r>
          </w:p>
          <w:p w:rsidR="005624E3" w:rsidRPr="00C903F8" w:rsidRDefault="005624E3" w:rsidP="00101A80">
            <w:pPr>
              <w:overflowPunct w:val="0"/>
              <w:adjustRightInd w:val="0"/>
              <w:spacing w:before="20" w:after="20"/>
              <w:ind w:left="57"/>
              <w:textAlignment w:val="baseline"/>
              <w:rPr>
                <w:rFonts w:cs="Arial"/>
                <w:sz w:val="18"/>
                <w:szCs w:val="20"/>
              </w:rPr>
            </w:pPr>
            <w:r>
              <w:rPr>
                <w:noProof/>
                <w:sz w:val="18"/>
              </w:rPr>
              <w:t>Távcső</w:t>
            </w:r>
          </w:p>
          <w:p w:rsidR="005624E3" w:rsidRPr="00C903F8" w:rsidRDefault="005624E3" w:rsidP="00101A80">
            <w:pPr>
              <w:overflowPunct w:val="0"/>
              <w:adjustRightInd w:val="0"/>
              <w:spacing w:before="20" w:after="20"/>
              <w:ind w:left="57"/>
              <w:textAlignment w:val="baseline"/>
              <w:rPr>
                <w:rFonts w:cs="Arial"/>
                <w:sz w:val="18"/>
                <w:szCs w:val="20"/>
              </w:rPr>
            </w:pPr>
            <w:r>
              <w:rPr>
                <w:noProof/>
                <w:sz w:val="18"/>
              </w:rPr>
              <w:t>Vízből mentésre vonatkozó tájékoztató felirat</w:t>
            </w:r>
          </w:p>
          <w:p w:rsidR="005624E3" w:rsidRPr="00C903F8" w:rsidRDefault="005624E3" w:rsidP="00101A80">
            <w:pPr>
              <w:overflowPunct w:val="0"/>
              <w:adjustRightInd w:val="0"/>
              <w:spacing w:before="20" w:after="20"/>
              <w:ind w:left="57"/>
              <w:textAlignment w:val="baseline"/>
              <w:rPr>
                <w:rFonts w:cs="Arial"/>
                <w:noProof/>
                <w:sz w:val="18"/>
                <w:szCs w:val="20"/>
              </w:rPr>
            </w:pPr>
            <w:r>
              <w:rPr>
                <w:noProof/>
                <w:sz w:val="18"/>
              </w:rPr>
              <w:t xml:space="preserve">Kormányállásból működtethető keresőfény </w:t>
            </w:r>
          </w:p>
          <w:p w:rsidR="005624E3" w:rsidRPr="00C903F8" w:rsidRDefault="005624E3" w:rsidP="00101A80">
            <w:pPr>
              <w:overflowPunct w:val="0"/>
              <w:adjustRightInd w:val="0"/>
              <w:spacing w:before="20" w:after="20"/>
              <w:ind w:left="57"/>
              <w:textAlignment w:val="baseline"/>
              <w:rPr>
                <w:rFonts w:cs="Arial"/>
                <w:sz w:val="18"/>
                <w:szCs w:val="20"/>
              </w:rPr>
            </w:pPr>
            <w:r>
              <w:rPr>
                <w:noProof/>
                <w:sz w:val="18"/>
              </w:rPr>
              <w:t>Tűzálló edények</w:t>
            </w:r>
          </w:p>
          <w:p w:rsidR="005624E3" w:rsidRPr="00C903F8" w:rsidRDefault="005624E3" w:rsidP="00101A80">
            <w:pPr>
              <w:tabs>
                <w:tab w:val="left" w:pos="57"/>
                <w:tab w:val="left" w:pos="340"/>
                <w:tab w:val="left" w:pos="3402"/>
                <w:tab w:val="left" w:pos="3969"/>
                <w:tab w:val="left" w:pos="4820"/>
                <w:tab w:val="left" w:pos="4990"/>
                <w:tab w:val="left" w:pos="5160"/>
              </w:tabs>
              <w:overflowPunct w:val="0"/>
              <w:adjustRightInd w:val="0"/>
              <w:spacing w:before="20" w:after="20"/>
              <w:ind w:left="57"/>
              <w:textAlignment w:val="baseline"/>
              <w:rPr>
                <w:rFonts w:cs="Arial"/>
                <w:sz w:val="18"/>
                <w:szCs w:val="20"/>
              </w:rPr>
            </w:pPr>
            <w:r>
              <w:rPr>
                <w:noProof/>
                <w:sz w:val="18"/>
              </w:rPr>
              <w:t>Külső lépcső / csónaklétra</w:t>
            </w:r>
            <w:r>
              <w:rPr>
                <w:noProof/>
                <w:position w:val="6"/>
                <w:sz w:val="14"/>
              </w:rPr>
              <w:t>*)</w:t>
            </w:r>
          </w:p>
        </w:tc>
        <w:tc>
          <w:tcPr>
            <w:tcW w:w="4451" w:type="dxa"/>
            <w:gridSpan w:val="2"/>
            <w:tcBorders>
              <w:top w:val="single" w:sz="6" w:space="0" w:color="auto"/>
              <w:bottom w:val="single" w:sz="6" w:space="0" w:color="auto"/>
              <w:right w:val="single" w:sz="6" w:space="0" w:color="auto"/>
            </w:tcBorders>
          </w:tcPr>
          <w:p w:rsidR="005624E3" w:rsidRPr="00C903F8" w:rsidRDefault="005624E3" w:rsidP="00101A80">
            <w:pPr>
              <w:tabs>
                <w:tab w:val="left" w:pos="1844"/>
              </w:tabs>
              <w:overflowPunct w:val="0"/>
              <w:adjustRightInd w:val="0"/>
              <w:spacing w:before="20" w:after="20"/>
              <w:ind w:left="1844" w:hanging="1844"/>
              <w:textAlignment w:val="baseline"/>
              <w:rPr>
                <w:rFonts w:cs="Arial"/>
                <w:sz w:val="18"/>
                <w:szCs w:val="20"/>
              </w:rPr>
            </w:pPr>
            <w:r>
              <w:rPr>
                <w:noProof/>
                <w:sz w:val="18"/>
              </w:rPr>
              <w:t>Hangalapú kommunikációs</w:t>
            </w:r>
            <w:r>
              <w:tab/>
            </w:r>
            <w:r>
              <w:rPr>
                <w:sz w:val="18"/>
              </w:rPr>
              <w:t>váltott kétirányú*)</w:t>
            </w:r>
          </w:p>
          <w:p w:rsidR="005624E3" w:rsidRPr="00C903F8" w:rsidRDefault="005624E3" w:rsidP="00101A80">
            <w:pPr>
              <w:tabs>
                <w:tab w:val="left" w:pos="1844"/>
              </w:tabs>
              <w:overflowPunct w:val="0"/>
              <w:adjustRightInd w:val="0"/>
              <w:spacing w:before="20" w:after="20"/>
              <w:ind w:left="1844" w:hanging="1844"/>
              <w:textAlignment w:val="baseline"/>
              <w:rPr>
                <w:rFonts w:cs="Arial"/>
                <w:sz w:val="18"/>
                <w:szCs w:val="20"/>
              </w:rPr>
            </w:pPr>
            <w:r>
              <w:rPr>
                <w:noProof/>
                <w:sz w:val="18"/>
              </w:rPr>
              <w:t>rendszer</w:t>
            </w:r>
            <w:r>
              <w:tab/>
            </w:r>
            <w:r>
              <w:rPr>
                <w:noProof/>
                <w:sz w:val="18"/>
              </w:rPr>
              <w:t>szimultán kétirányú/telefon*)</w:t>
            </w:r>
          </w:p>
          <w:p w:rsidR="005624E3" w:rsidRPr="00C903F8" w:rsidRDefault="005624E3" w:rsidP="00101A80">
            <w:pPr>
              <w:tabs>
                <w:tab w:val="left" w:pos="1844"/>
                <w:tab w:val="left" w:pos="1910"/>
              </w:tabs>
              <w:overflowPunct w:val="0"/>
              <w:adjustRightInd w:val="0"/>
              <w:spacing w:before="20" w:after="20"/>
              <w:ind w:left="1844" w:hanging="1844"/>
              <w:textAlignment w:val="baseline"/>
              <w:rPr>
                <w:rFonts w:cs="Arial"/>
                <w:sz w:val="18"/>
                <w:szCs w:val="20"/>
              </w:rPr>
            </w:pPr>
            <w:r>
              <w:tab/>
            </w:r>
            <w:r>
              <w:rPr>
                <w:noProof/>
                <w:sz w:val="18"/>
              </w:rPr>
              <w:t xml:space="preserve">belső rádiótelefon-kapcsolat*) </w:t>
            </w:r>
          </w:p>
          <w:p w:rsidR="005624E3" w:rsidRPr="00C903F8" w:rsidRDefault="005624E3" w:rsidP="00101A80">
            <w:pPr>
              <w:tabs>
                <w:tab w:val="left" w:pos="1844"/>
                <w:tab w:val="left" w:pos="1910"/>
              </w:tabs>
              <w:overflowPunct w:val="0"/>
              <w:adjustRightInd w:val="0"/>
              <w:spacing w:before="20" w:after="20"/>
              <w:ind w:left="1844" w:hanging="1844"/>
              <w:textAlignment w:val="baseline"/>
              <w:rPr>
                <w:rFonts w:cs="Arial"/>
                <w:sz w:val="18"/>
                <w:szCs w:val="20"/>
              </w:rPr>
            </w:pPr>
          </w:p>
          <w:p w:rsidR="005624E3" w:rsidRDefault="005624E3" w:rsidP="00101A80">
            <w:pPr>
              <w:tabs>
                <w:tab w:val="left" w:pos="1702"/>
              </w:tabs>
              <w:overflowPunct w:val="0"/>
              <w:adjustRightInd w:val="0"/>
              <w:spacing w:before="20" w:after="20"/>
              <w:ind w:left="1702" w:hanging="1702"/>
              <w:textAlignment w:val="baseline"/>
              <w:rPr>
                <w:noProof/>
                <w:sz w:val="18"/>
              </w:rPr>
            </w:pPr>
          </w:p>
          <w:p w:rsidR="005624E3" w:rsidRDefault="005624E3" w:rsidP="00101A80">
            <w:pPr>
              <w:tabs>
                <w:tab w:val="left" w:pos="1702"/>
              </w:tabs>
              <w:overflowPunct w:val="0"/>
              <w:adjustRightInd w:val="0"/>
              <w:spacing w:before="20" w:after="20"/>
              <w:ind w:left="1702" w:hanging="1702"/>
              <w:textAlignment w:val="baseline"/>
              <w:rPr>
                <w:noProof/>
                <w:sz w:val="18"/>
              </w:rPr>
            </w:pPr>
          </w:p>
          <w:p w:rsidR="005624E3" w:rsidRDefault="005624E3" w:rsidP="00101A80">
            <w:pPr>
              <w:tabs>
                <w:tab w:val="left" w:pos="1702"/>
              </w:tabs>
              <w:overflowPunct w:val="0"/>
              <w:adjustRightInd w:val="0"/>
              <w:spacing w:before="20" w:after="20"/>
              <w:ind w:left="1702" w:hanging="1702"/>
              <w:textAlignment w:val="baseline"/>
              <w:rPr>
                <w:noProof/>
                <w:sz w:val="18"/>
              </w:rPr>
            </w:pPr>
          </w:p>
          <w:p w:rsidR="005624E3" w:rsidRPr="00C903F8" w:rsidRDefault="005624E3" w:rsidP="00101A80">
            <w:pPr>
              <w:tabs>
                <w:tab w:val="left" w:pos="1702"/>
              </w:tabs>
              <w:overflowPunct w:val="0"/>
              <w:adjustRightInd w:val="0"/>
              <w:spacing w:before="20" w:after="20"/>
              <w:ind w:left="1702" w:hanging="1702"/>
              <w:textAlignment w:val="baseline"/>
              <w:rPr>
                <w:rFonts w:cs="Arial"/>
                <w:sz w:val="18"/>
                <w:szCs w:val="20"/>
              </w:rPr>
            </w:pPr>
            <w:r>
              <w:rPr>
                <w:noProof/>
                <w:sz w:val="18"/>
              </w:rPr>
              <w:t>Rádiótelefon-</w:t>
            </w:r>
            <w:r>
              <w:tab/>
            </w:r>
            <w:r>
              <w:rPr>
                <w:noProof/>
                <w:sz w:val="18"/>
              </w:rPr>
              <w:t>hajó–hajó kapcsolat</w:t>
            </w:r>
          </w:p>
          <w:p w:rsidR="005624E3" w:rsidRPr="00C903F8" w:rsidRDefault="005624E3" w:rsidP="00101A80">
            <w:pPr>
              <w:tabs>
                <w:tab w:val="left" w:pos="1702"/>
              </w:tabs>
              <w:overflowPunct w:val="0"/>
              <w:adjustRightInd w:val="0"/>
              <w:spacing w:before="20" w:after="20"/>
              <w:ind w:left="1702" w:hanging="1702"/>
              <w:textAlignment w:val="baseline"/>
              <w:rPr>
                <w:rFonts w:cs="Arial"/>
                <w:sz w:val="18"/>
                <w:szCs w:val="20"/>
              </w:rPr>
            </w:pPr>
            <w:r>
              <w:rPr>
                <w:sz w:val="18"/>
              </w:rPr>
              <w:t>rendszerek</w:t>
            </w:r>
            <w:r>
              <w:tab/>
            </w:r>
            <w:r>
              <w:rPr>
                <w:noProof/>
                <w:sz w:val="18"/>
              </w:rPr>
              <w:t>hajózási információs rendszer</w:t>
            </w:r>
          </w:p>
          <w:p w:rsidR="005624E3" w:rsidRPr="00C903F8" w:rsidRDefault="005624E3" w:rsidP="00101A80">
            <w:pPr>
              <w:tabs>
                <w:tab w:val="left" w:pos="1702"/>
              </w:tabs>
              <w:overflowPunct w:val="0"/>
              <w:adjustRightInd w:val="0"/>
              <w:spacing w:before="20" w:after="20"/>
              <w:ind w:left="1702" w:hanging="1702"/>
              <w:textAlignment w:val="baseline"/>
              <w:rPr>
                <w:rFonts w:cs="Arial"/>
                <w:sz w:val="18"/>
                <w:szCs w:val="20"/>
              </w:rPr>
            </w:pPr>
            <w:r>
              <w:tab/>
            </w:r>
            <w:r>
              <w:rPr>
                <w:noProof/>
                <w:sz w:val="18"/>
              </w:rPr>
              <w:t>hajó–part kapcsolat</w:t>
            </w:r>
          </w:p>
          <w:p w:rsidR="005624E3" w:rsidRPr="00C903F8" w:rsidRDefault="005624E3" w:rsidP="00101A80">
            <w:pPr>
              <w:tabs>
                <w:tab w:val="left" w:pos="1702"/>
              </w:tabs>
              <w:overflowPunct w:val="0"/>
              <w:adjustRightInd w:val="0"/>
              <w:spacing w:before="20" w:after="20"/>
              <w:ind w:left="1702" w:hanging="1702"/>
              <w:textAlignment w:val="baseline"/>
              <w:rPr>
                <w:rFonts w:cs="Arial"/>
                <w:sz w:val="18"/>
                <w:szCs w:val="20"/>
              </w:rPr>
            </w:pPr>
          </w:p>
          <w:p w:rsidR="005624E3" w:rsidRPr="00C903F8" w:rsidRDefault="005624E3" w:rsidP="00101A80">
            <w:pPr>
              <w:tabs>
                <w:tab w:val="left" w:pos="1702"/>
              </w:tabs>
              <w:overflowPunct w:val="0"/>
              <w:adjustRightInd w:val="0"/>
              <w:spacing w:before="20" w:after="20"/>
              <w:ind w:left="1702" w:hanging="1702"/>
              <w:textAlignment w:val="baseline"/>
              <w:rPr>
                <w:rFonts w:cs="Arial"/>
                <w:sz w:val="18"/>
                <w:szCs w:val="20"/>
              </w:rPr>
            </w:pPr>
            <w:r>
              <w:rPr>
                <w:noProof/>
                <w:sz w:val="18"/>
              </w:rPr>
              <w:t>Daruk</w:t>
            </w:r>
            <w:r>
              <w:tab/>
            </w:r>
            <w:r>
              <w:rPr>
                <w:sz w:val="18"/>
              </w:rPr>
              <w:t>a 14.12. cikk 9. bekezdésének megfelelően*)</w:t>
            </w:r>
          </w:p>
          <w:p w:rsidR="005624E3" w:rsidRPr="00C903F8" w:rsidRDefault="005624E3" w:rsidP="00101A80">
            <w:pPr>
              <w:tabs>
                <w:tab w:val="left" w:pos="1702"/>
              </w:tabs>
              <w:overflowPunct w:val="0"/>
              <w:adjustRightInd w:val="0"/>
              <w:spacing w:before="20" w:after="20"/>
              <w:ind w:left="1702" w:hanging="1702"/>
              <w:textAlignment w:val="baseline"/>
              <w:rPr>
                <w:rFonts w:cs="Arial"/>
                <w:sz w:val="18"/>
                <w:szCs w:val="20"/>
              </w:rPr>
            </w:pPr>
            <w:r>
              <w:tab/>
            </w:r>
            <w:r>
              <w:rPr>
                <w:noProof/>
                <w:sz w:val="18"/>
              </w:rPr>
              <w:t>egyéb daruk, melyek hasznos teherbírása nem haladja meg a 2000 kg-ot*)</w:t>
            </w:r>
          </w:p>
        </w:tc>
      </w:tr>
      <w:tr w:rsidR="005624E3" w:rsidRPr="00A0619C" w:rsidTr="00101A80">
        <w:trPr>
          <w:gridAfter w:val="1"/>
          <w:wAfter w:w="6" w:type="dxa"/>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vertAlign w:val="superscript"/>
              </w:rPr>
            </w:pPr>
            <w:r>
              <w:rPr>
                <w:sz w:val="18"/>
              </w:rPr>
              <w:t>43.</w:t>
            </w:r>
          </w:p>
        </w:tc>
        <w:tc>
          <w:tcPr>
            <w:tcW w:w="8896" w:type="dxa"/>
            <w:gridSpan w:val="2"/>
            <w:tcBorders>
              <w:top w:val="single" w:sz="6" w:space="0" w:color="auto"/>
              <w:right w:val="single" w:sz="6" w:space="0" w:color="auto"/>
            </w:tcBorders>
          </w:tcPr>
          <w:p w:rsidR="005624E3" w:rsidRPr="00C903F8" w:rsidRDefault="005624E3" w:rsidP="00101A80">
            <w:pPr>
              <w:overflowPunct w:val="0"/>
              <w:adjustRightInd w:val="0"/>
              <w:spacing w:before="120"/>
              <w:ind w:left="57"/>
              <w:textAlignment w:val="baseline"/>
              <w:rPr>
                <w:rFonts w:cs="Arial"/>
                <w:sz w:val="18"/>
                <w:szCs w:val="20"/>
              </w:rPr>
            </w:pPr>
            <w:r>
              <w:rPr>
                <w:noProof/>
                <w:sz w:val="18"/>
              </w:rPr>
              <w:t>Tűzvédelmi berendezések</w:t>
            </w:r>
          </w:p>
          <w:p w:rsidR="005624E3" w:rsidRPr="00C903F8" w:rsidRDefault="005624E3" w:rsidP="00101A80">
            <w:pPr>
              <w:overflowPunct w:val="0"/>
              <w:adjustRightInd w:val="0"/>
              <w:ind w:left="57"/>
              <w:textAlignment w:val="baseline"/>
              <w:rPr>
                <w:rFonts w:cs="Arial"/>
                <w:sz w:val="18"/>
                <w:szCs w:val="20"/>
              </w:rPr>
            </w:pPr>
            <w:r>
              <w:rPr>
                <w:noProof/>
                <w:sz w:val="18"/>
              </w:rPr>
              <w:t>Hordozható tűzoltó készülékek száma: …, tűzoltószivattyúk száma: …, tűzcsapok száma: …</w:t>
            </w:r>
          </w:p>
          <w:p w:rsidR="005624E3" w:rsidRPr="00C903F8" w:rsidRDefault="005624E3" w:rsidP="00101A80">
            <w:pPr>
              <w:tabs>
                <w:tab w:val="left" w:pos="5690"/>
              </w:tabs>
              <w:overflowPunct w:val="0"/>
              <w:adjustRightInd w:val="0"/>
              <w:ind w:left="57"/>
              <w:textAlignment w:val="baseline"/>
              <w:rPr>
                <w:rFonts w:cs="Arial"/>
                <w:noProof/>
                <w:sz w:val="18"/>
                <w:szCs w:val="20"/>
              </w:rPr>
            </w:pPr>
            <w:r>
              <w:rPr>
                <w:noProof/>
                <w:sz w:val="18"/>
              </w:rPr>
              <w:t xml:space="preserve">Lakótérbe stb. beépített, tartósan rögzített tűzvédelmi rendszerek </w:t>
            </w:r>
            <w:r>
              <w:tab/>
            </w:r>
            <w:r>
              <w:rPr>
                <w:noProof/>
                <w:sz w:val="18"/>
              </w:rPr>
              <w:t>nincs/száma: ..... *)</w:t>
            </w:r>
          </w:p>
          <w:p w:rsidR="005624E3" w:rsidRPr="00C903F8" w:rsidRDefault="005624E3" w:rsidP="00101A80">
            <w:pPr>
              <w:tabs>
                <w:tab w:val="left" w:pos="5690"/>
              </w:tabs>
              <w:overflowPunct w:val="0"/>
              <w:adjustRightInd w:val="0"/>
              <w:ind w:left="57"/>
              <w:textAlignment w:val="baseline"/>
              <w:rPr>
                <w:rFonts w:cs="Arial"/>
                <w:sz w:val="18"/>
                <w:szCs w:val="20"/>
              </w:rPr>
            </w:pPr>
            <w:r>
              <w:rPr>
                <w:noProof/>
                <w:sz w:val="18"/>
              </w:rPr>
              <w:t>Gépterekbe stb. beépített, tartósan rögzített tűzvédelmi rendszerek</w:t>
            </w:r>
            <w:r>
              <w:tab/>
            </w:r>
            <w:r>
              <w:rPr>
                <w:noProof/>
                <w:sz w:val="18"/>
              </w:rPr>
              <w:t>nincs/száma: ..... *)</w:t>
            </w:r>
          </w:p>
          <w:p w:rsidR="005624E3" w:rsidRPr="00C903F8" w:rsidRDefault="005624E3" w:rsidP="00101A80">
            <w:pPr>
              <w:tabs>
                <w:tab w:val="left" w:pos="57"/>
                <w:tab w:val="left" w:pos="3289"/>
                <w:tab w:val="left" w:pos="3686"/>
                <w:tab w:val="left" w:pos="5724"/>
              </w:tabs>
              <w:overflowPunct w:val="0"/>
              <w:adjustRightInd w:val="0"/>
              <w:spacing w:after="60"/>
              <w:ind w:left="57"/>
              <w:textAlignment w:val="baseline"/>
              <w:rPr>
                <w:rFonts w:cs="Arial"/>
                <w:sz w:val="18"/>
                <w:szCs w:val="20"/>
              </w:rPr>
            </w:pPr>
            <w:r>
              <w:rPr>
                <w:noProof/>
                <w:sz w:val="18"/>
              </w:rPr>
              <w:t>A gépi hajtású fenékvízszivattyú helyettesíti a tűzoltó szivattyút</w:t>
            </w:r>
            <w:r>
              <w:tab/>
            </w:r>
            <w:r>
              <w:rPr>
                <w:noProof/>
                <w:sz w:val="18"/>
              </w:rPr>
              <w:t>igen/nem</w:t>
            </w:r>
            <w:r>
              <w:rPr>
                <w:noProof/>
                <w:sz w:val="18"/>
                <w:vertAlign w:val="superscript"/>
              </w:rPr>
              <w:t>*)</w:t>
            </w:r>
          </w:p>
        </w:tc>
      </w:tr>
      <w:tr w:rsidR="005624E3" w:rsidRPr="00A0619C" w:rsidTr="00101A80">
        <w:trPr>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 w:val="left" w:pos="227"/>
              </w:tabs>
              <w:overflowPunct w:val="0"/>
              <w:adjustRightInd w:val="0"/>
              <w:spacing w:before="60"/>
              <w:textAlignment w:val="baseline"/>
              <w:rPr>
                <w:rFonts w:cs="Arial"/>
                <w:sz w:val="18"/>
                <w:szCs w:val="20"/>
                <w:vertAlign w:val="superscript"/>
              </w:rPr>
            </w:pPr>
            <w:r>
              <w:rPr>
                <w:sz w:val="18"/>
              </w:rPr>
              <w:t>44.</w:t>
            </w:r>
          </w:p>
        </w:tc>
        <w:tc>
          <w:tcPr>
            <w:tcW w:w="8902" w:type="dxa"/>
            <w:gridSpan w:val="3"/>
            <w:tcBorders>
              <w:top w:val="single" w:sz="6" w:space="0" w:color="auto"/>
              <w:right w:val="single" w:sz="6" w:space="0" w:color="auto"/>
            </w:tcBorders>
          </w:tcPr>
          <w:p w:rsidR="005624E3" w:rsidRPr="00C903F8" w:rsidRDefault="005624E3" w:rsidP="00101A80">
            <w:pPr>
              <w:overflowPunct w:val="0"/>
              <w:adjustRightInd w:val="0"/>
              <w:spacing w:before="60"/>
              <w:ind w:left="57" w:right="57"/>
              <w:textAlignment w:val="baseline"/>
              <w:rPr>
                <w:rFonts w:cs="Arial"/>
                <w:noProof/>
                <w:sz w:val="18"/>
                <w:szCs w:val="20"/>
              </w:rPr>
            </w:pPr>
            <w:r>
              <w:rPr>
                <w:noProof/>
                <w:sz w:val="18"/>
              </w:rPr>
              <w:t>Életmentő felszerelések</w:t>
            </w:r>
          </w:p>
          <w:p w:rsidR="005624E3" w:rsidRPr="00C903F8" w:rsidRDefault="005624E3" w:rsidP="00101A80">
            <w:pPr>
              <w:overflowPunct w:val="0"/>
              <w:adjustRightInd w:val="0"/>
              <w:spacing w:before="60"/>
              <w:ind w:left="57" w:right="57"/>
              <w:textAlignment w:val="baseline"/>
              <w:rPr>
                <w:rFonts w:cs="Arial"/>
                <w:sz w:val="18"/>
                <w:szCs w:val="20"/>
              </w:rPr>
            </w:pPr>
            <w:r>
              <w:rPr>
                <w:noProof/>
                <w:sz w:val="18"/>
              </w:rPr>
              <w:t>A mentőgyűrűk száma …, amelyek közül … fel van szerelve lámpával, …pedig kötéllel *)</w:t>
            </w:r>
          </w:p>
          <w:p w:rsidR="005624E3" w:rsidRPr="00C903F8" w:rsidRDefault="005624E3" w:rsidP="00101A80">
            <w:pPr>
              <w:overflowPunct w:val="0"/>
              <w:adjustRightInd w:val="0"/>
              <w:spacing w:before="60"/>
              <w:ind w:left="57" w:right="57"/>
              <w:textAlignment w:val="baseline"/>
              <w:rPr>
                <w:rFonts w:cs="Arial"/>
                <w:sz w:val="18"/>
                <w:szCs w:val="20"/>
              </w:rPr>
            </w:pPr>
            <w:r>
              <w:rPr>
                <w:sz w:val="18"/>
              </w:rPr>
              <w:t>A hajón állandóan tartózkodó személyek számára személyenként egy mentőmellény a 13.08. cikk 2. bekezdésének megfelelően</w:t>
            </w:r>
            <w:r>
              <w:rPr>
                <w:position w:val="6"/>
                <w:sz w:val="16"/>
              </w:rPr>
              <w:t>*)</w:t>
            </w:r>
          </w:p>
          <w:p w:rsidR="005624E3" w:rsidRPr="00C903F8" w:rsidRDefault="005624E3" w:rsidP="00101A80">
            <w:pPr>
              <w:overflowPunct w:val="0"/>
              <w:adjustRightInd w:val="0"/>
              <w:spacing w:before="60"/>
              <w:ind w:left="57" w:right="57"/>
              <w:textAlignment w:val="baseline"/>
              <w:rPr>
                <w:rFonts w:cs="Arial"/>
                <w:sz w:val="18"/>
                <w:szCs w:val="20"/>
              </w:rPr>
            </w:pPr>
            <w:r>
              <w:rPr>
                <w:sz w:val="18"/>
              </w:rPr>
              <w:t>Egy szolgálati csónak egy pár evezővel, egy kikötőkötéllel és egy vízmerő eszközzel / az európai szabvány szerint</w:t>
            </w:r>
            <w:r>
              <w:rPr>
                <w:position w:val="6"/>
                <w:sz w:val="16"/>
              </w:rPr>
              <w:t>*)</w:t>
            </w:r>
          </w:p>
          <w:p w:rsidR="005624E3" w:rsidRPr="00C903F8" w:rsidRDefault="005624E3" w:rsidP="00101A80">
            <w:pPr>
              <w:overflowPunct w:val="0"/>
              <w:adjustRightInd w:val="0"/>
              <w:spacing w:before="60"/>
              <w:ind w:left="57" w:right="57"/>
              <w:textAlignment w:val="baseline"/>
              <w:rPr>
                <w:rFonts w:cs="Arial"/>
                <w:sz w:val="18"/>
                <w:szCs w:val="20"/>
              </w:rPr>
            </w:pPr>
            <w:r>
              <w:rPr>
                <w:sz w:val="18"/>
              </w:rPr>
              <w:t>Platform vagy berendezés a 19.15. cikk 4. vagy 5. bekezdése szerint</w:t>
            </w:r>
            <w:r>
              <w:rPr>
                <w:position w:val="6"/>
                <w:sz w:val="16"/>
              </w:rPr>
              <w:t>*)</w:t>
            </w:r>
          </w:p>
          <w:p w:rsidR="005624E3" w:rsidRPr="00C903F8" w:rsidRDefault="005624E3" w:rsidP="00101A80">
            <w:pPr>
              <w:tabs>
                <w:tab w:val="left" w:leader="dot" w:pos="8505"/>
              </w:tabs>
              <w:overflowPunct w:val="0"/>
              <w:adjustRightInd w:val="0"/>
              <w:spacing w:before="60"/>
              <w:ind w:left="57" w:right="57"/>
              <w:textAlignment w:val="baseline"/>
              <w:rPr>
                <w:rFonts w:cs="Arial"/>
                <w:sz w:val="18"/>
                <w:szCs w:val="20"/>
              </w:rPr>
            </w:pPr>
            <w:r>
              <w:rPr>
                <w:sz w:val="18"/>
              </w:rPr>
              <w:t xml:space="preserve">Azon eszközök száma, típusa és felszerelési helye(i), amelyek lehetővé teszik a személyek biztonságos átszállítását sekély vízre, a partra vagy egy másik vízi járműre a 19.09. cikk 3. bekezdése szerint </w:t>
            </w:r>
            <w:r>
              <w:tab/>
            </w:r>
          </w:p>
          <w:p w:rsidR="005624E3" w:rsidRPr="00C903F8" w:rsidRDefault="005624E3" w:rsidP="00101A80">
            <w:pPr>
              <w:tabs>
                <w:tab w:val="left" w:leader="dot" w:pos="8505"/>
              </w:tabs>
              <w:overflowPunct w:val="0"/>
              <w:adjustRightInd w:val="0"/>
              <w:spacing w:before="60"/>
              <w:ind w:left="57" w:right="57"/>
              <w:textAlignment w:val="baseline"/>
              <w:rPr>
                <w:rFonts w:cs="Arial"/>
                <w:sz w:val="18"/>
                <w:szCs w:val="20"/>
              </w:rPr>
            </w:pPr>
            <w:r>
              <w:tab/>
            </w:r>
          </w:p>
          <w:p w:rsidR="005624E3" w:rsidRPr="00C903F8" w:rsidRDefault="005624E3" w:rsidP="00101A80">
            <w:pPr>
              <w:tabs>
                <w:tab w:val="left" w:leader="dot" w:pos="8505"/>
              </w:tabs>
              <w:overflowPunct w:val="0"/>
              <w:adjustRightInd w:val="0"/>
              <w:spacing w:before="60"/>
              <w:ind w:left="57" w:right="57"/>
              <w:textAlignment w:val="baseline"/>
              <w:rPr>
                <w:rFonts w:cs="Arial"/>
                <w:sz w:val="18"/>
                <w:szCs w:val="20"/>
              </w:rPr>
            </w:pPr>
            <w:r>
              <w:tab/>
            </w:r>
          </w:p>
          <w:p w:rsidR="005624E3" w:rsidRPr="00C903F8" w:rsidRDefault="005624E3" w:rsidP="00101A80">
            <w:pPr>
              <w:overflowPunct w:val="0"/>
              <w:adjustRightInd w:val="0"/>
              <w:spacing w:before="60"/>
              <w:ind w:left="57" w:right="57"/>
              <w:textAlignment w:val="baseline"/>
              <w:rPr>
                <w:rFonts w:cs="Arial"/>
                <w:noProof/>
                <w:sz w:val="18"/>
                <w:szCs w:val="20"/>
              </w:rPr>
            </w:pPr>
            <w:r>
              <w:rPr>
                <w:sz w:val="18"/>
              </w:rPr>
              <w:t>A kiszolgáló személyzet számára biztosított egyéni életmentő felszerelések száma: ......, ebből a 13.08. cikk 2. bekezdésének megfelel: .....</w:t>
            </w:r>
            <w:r>
              <w:rPr>
                <w:position w:val="6"/>
                <w:sz w:val="16"/>
              </w:rPr>
              <w:t xml:space="preserve"> *)</w:t>
            </w:r>
          </w:p>
          <w:p w:rsidR="005624E3" w:rsidRPr="00C903F8" w:rsidRDefault="005624E3" w:rsidP="00101A80">
            <w:pPr>
              <w:overflowPunct w:val="0"/>
              <w:adjustRightInd w:val="0"/>
              <w:spacing w:before="60"/>
              <w:ind w:left="57" w:right="57"/>
              <w:textAlignment w:val="baseline"/>
              <w:rPr>
                <w:rFonts w:cs="Arial"/>
                <w:sz w:val="18"/>
                <w:szCs w:val="20"/>
              </w:rPr>
            </w:pPr>
            <w:r>
              <w:rPr>
                <w:noProof/>
                <w:sz w:val="18"/>
              </w:rPr>
              <w:t>Az utasok számára biztosított egyéni életmentő felszerelések száma: ...... *)</w:t>
            </w:r>
          </w:p>
          <w:p w:rsidR="005624E3" w:rsidRPr="00C903F8" w:rsidRDefault="005624E3" w:rsidP="00101A80">
            <w:pPr>
              <w:overflowPunct w:val="0"/>
              <w:adjustRightInd w:val="0"/>
              <w:spacing w:before="60"/>
              <w:ind w:left="57" w:right="57"/>
              <w:textAlignment w:val="baseline"/>
              <w:rPr>
                <w:rFonts w:cs="Arial"/>
                <w:sz w:val="18"/>
                <w:szCs w:val="18"/>
              </w:rPr>
            </w:pPr>
            <w:r>
              <w:rPr>
                <w:sz w:val="18"/>
              </w:rPr>
              <w:t>Csoportos életmentő felszerelések, amelyek a számuk tekintetében egyenértékűek ......... egyéni életmentő felszereléssel*)</w:t>
            </w:r>
          </w:p>
          <w:p w:rsidR="005624E3" w:rsidRPr="00C903F8" w:rsidRDefault="005624E3" w:rsidP="00101A80">
            <w:pPr>
              <w:tabs>
                <w:tab w:val="left" w:leader="dot" w:pos="8505"/>
              </w:tabs>
              <w:overflowPunct w:val="0"/>
              <w:adjustRightInd w:val="0"/>
              <w:spacing w:before="60"/>
              <w:ind w:left="57" w:right="57"/>
              <w:textAlignment w:val="baseline"/>
            </w:pPr>
            <w:r>
              <w:rPr>
                <w:sz w:val="18"/>
              </w:rPr>
              <w:t>Két légzőkészülék, két felszereléscsomag, ...... db menekülőkámzsa*)</w:t>
            </w:r>
            <w:r>
              <w:t xml:space="preserve"> </w:t>
            </w:r>
          </w:p>
          <w:p w:rsidR="005624E3" w:rsidRPr="00C903F8" w:rsidRDefault="005624E3" w:rsidP="00101A80">
            <w:pPr>
              <w:tabs>
                <w:tab w:val="left" w:leader="dot" w:pos="8505"/>
              </w:tabs>
              <w:overflowPunct w:val="0"/>
              <w:adjustRightInd w:val="0"/>
              <w:spacing w:before="60"/>
              <w:ind w:left="57" w:right="57"/>
              <w:textAlignment w:val="baseline"/>
              <w:rPr>
                <w:rFonts w:cs="Arial"/>
                <w:sz w:val="18"/>
                <w:szCs w:val="18"/>
              </w:rPr>
            </w:pPr>
            <w:r>
              <w:rPr>
                <w:sz w:val="18"/>
              </w:rPr>
              <w:t>A biztonsági szolgálati beosztás és a biztonsági terv a következő hely(ek)en került kifüggesztésre:</w:t>
            </w:r>
            <w:r>
              <w:tab/>
            </w:r>
          </w:p>
          <w:p w:rsidR="005624E3" w:rsidRPr="00C903F8" w:rsidRDefault="005624E3" w:rsidP="00101A80">
            <w:pPr>
              <w:tabs>
                <w:tab w:val="left" w:leader="dot" w:pos="8505"/>
              </w:tabs>
              <w:overflowPunct w:val="0"/>
              <w:adjustRightInd w:val="0"/>
              <w:spacing w:before="60"/>
              <w:ind w:left="57" w:right="57"/>
              <w:textAlignment w:val="baseline"/>
              <w:rPr>
                <w:rFonts w:cs="Arial"/>
                <w:sz w:val="18"/>
                <w:szCs w:val="20"/>
              </w:rPr>
            </w:pPr>
            <w:r>
              <w:tab/>
            </w:r>
          </w:p>
          <w:p w:rsidR="005624E3" w:rsidRPr="00C903F8" w:rsidRDefault="005624E3" w:rsidP="00101A80">
            <w:pPr>
              <w:tabs>
                <w:tab w:val="left" w:leader="dot" w:pos="8505"/>
              </w:tabs>
              <w:overflowPunct w:val="0"/>
              <w:adjustRightInd w:val="0"/>
              <w:spacing w:before="60"/>
              <w:ind w:left="57" w:right="57"/>
              <w:textAlignment w:val="baseline"/>
              <w:rPr>
                <w:rFonts w:cs="Arial"/>
                <w:sz w:val="18"/>
                <w:szCs w:val="20"/>
              </w:rPr>
            </w:pPr>
            <w:r>
              <w:tab/>
            </w:r>
          </w:p>
          <w:p w:rsidR="005624E3" w:rsidRPr="00C903F8" w:rsidRDefault="005624E3" w:rsidP="00101A80">
            <w:pPr>
              <w:tabs>
                <w:tab w:val="left" w:pos="57"/>
                <w:tab w:val="left" w:pos="5103"/>
              </w:tabs>
              <w:overflowPunct w:val="0"/>
              <w:adjustRightInd w:val="0"/>
              <w:textAlignment w:val="baseline"/>
              <w:rPr>
                <w:rFonts w:cs="Arial"/>
                <w:sz w:val="18"/>
                <w:szCs w:val="20"/>
              </w:rPr>
            </w:pP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45.</w:t>
            </w:r>
          </w:p>
        </w:tc>
        <w:tc>
          <w:tcPr>
            <w:tcW w:w="8902" w:type="dxa"/>
            <w:gridSpan w:val="3"/>
            <w:tcBorders>
              <w:top w:val="single" w:sz="6" w:space="0" w:color="auto"/>
              <w:bottom w:val="single" w:sz="6" w:space="0" w:color="auto"/>
              <w:right w:val="single" w:sz="6" w:space="0" w:color="auto"/>
            </w:tcBorders>
          </w:tcPr>
          <w:p w:rsidR="005624E3" w:rsidRPr="00C903F8" w:rsidRDefault="005624E3" w:rsidP="00101A80">
            <w:pPr>
              <w:tabs>
                <w:tab w:val="left" w:pos="57"/>
                <w:tab w:val="left" w:leader="dot" w:pos="8505"/>
              </w:tabs>
              <w:overflowPunct w:val="0"/>
              <w:adjustRightInd w:val="0"/>
              <w:spacing w:before="120"/>
              <w:ind w:left="57" w:right="57"/>
              <w:textAlignment w:val="baseline"/>
              <w:rPr>
                <w:rFonts w:cs="Arial"/>
                <w:sz w:val="18"/>
                <w:szCs w:val="20"/>
              </w:rPr>
            </w:pPr>
            <w:r>
              <w:rPr>
                <w:sz w:val="18"/>
              </w:rPr>
              <w:t>Az egyszemélyes radarhajózásra kialakított kormányállásra vonatkozó külön rendelkezések:</w:t>
            </w:r>
          </w:p>
          <w:p w:rsidR="005624E3" w:rsidRPr="00C903F8" w:rsidRDefault="005624E3" w:rsidP="00101A80">
            <w:pPr>
              <w:tabs>
                <w:tab w:val="left" w:pos="57"/>
                <w:tab w:val="left" w:leader="dot" w:pos="8505"/>
              </w:tabs>
              <w:overflowPunct w:val="0"/>
              <w:adjustRightInd w:val="0"/>
              <w:spacing w:before="120"/>
              <w:ind w:left="57" w:right="57"/>
              <w:textAlignment w:val="baseline"/>
              <w:rPr>
                <w:rFonts w:cs="Arial"/>
                <w:sz w:val="18"/>
                <w:szCs w:val="20"/>
              </w:rPr>
            </w:pPr>
            <w:r>
              <w:rPr>
                <w:sz w:val="18"/>
              </w:rPr>
              <w:t>A vízi jármű egyszemélyes radarhajózásra kialakított kormányállással rendelkezik</w:t>
            </w:r>
            <w:r>
              <w:rPr>
                <w:position w:val="6"/>
                <w:sz w:val="16"/>
              </w:rPr>
              <w:t>*)</w:t>
            </w:r>
            <w:r>
              <w:rPr>
                <w:sz w:val="18"/>
              </w:rPr>
              <w:t>.</w:t>
            </w:r>
          </w:p>
          <w:p w:rsidR="005624E3" w:rsidRPr="00C903F8" w:rsidRDefault="005624E3" w:rsidP="00101A80">
            <w:pPr>
              <w:tabs>
                <w:tab w:val="left" w:pos="57"/>
                <w:tab w:val="left" w:pos="5103"/>
              </w:tabs>
              <w:overflowPunct w:val="0"/>
              <w:adjustRightInd w:val="0"/>
              <w:textAlignment w:val="baseline"/>
              <w:rPr>
                <w:rFonts w:cs="Arial"/>
                <w:sz w:val="18"/>
                <w:szCs w:val="20"/>
              </w:rPr>
            </w:pPr>
          </w:p>
        </w:tc>
      </w:tr>
      <w:tr w:rsidR="005624E3" w:rsidRPr="00842442"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spacing w:before="80"/>
              <w:textAlignment w:val="baseline"/>
              <w:rPr>
                <w:rFonts w:cs="Arial"/>
                <w:sz w:val="18"/>
                <w:szCs w:val="20"/>
              </w:rPr>
            </w:pPr>
            <w:r>
              <w:tab/>
            </w:r>
            <w:r>
              <w:rPr>
                <w:sz w:val="18"/>
              </w:rPr>
              <w:t>*)</w:t>
            </w:r>
            <w:r>
              <w:rPr>
                <w:rFonts w:cs="Arial"/>
                <w:sz w:val="18"/>
                <w:szCs w:val="20"/>
              </w:rPr>
              <w:br/>
            </w:r>
            <w:r>
              <w:rPr>
                <w:rFonts w:cs="Arial"/>
                <w:sz w:val="18"/>
                <w:szCs w:val="20"/>
              </w:rPr>
              <w:br/>
            </w:r>
          </w:p>
          <w:p w:rsidR="005624E3" w:rsidRPr="00C903F8" w:rsidRDefault="005624E3" w:rsidP="00101A80">
            <w:pPr>
              <w:tabs>
                <w:tab w:val="left" w:pos="57"/>
              </w:tabs>
              <w:overflowPunct w:val="0"/>
              <w:adjustRightInd w:val="0"/>
              <w:spacing w:before="80"/>
              <w:textAlignment w:val="baseline"/>
              <w:rPr>
                <w:rFonts w:cs="Arial"/>
                <w:sz w:val="18"/>
                <w:szCs w:val="20"/>
              </w:rPr>
            </w:pPr>
          </w:p>
          <w:p w:rsidR="005624E3" w:rsidRPr="00C903F8" w:rsidRDefault="005624E3" w:rsidP="00101A80">
            <w:pPr>
              <w:tabs>
                <w:tab w:val="left" w:pos="57"/>
              </w:tabs>
              <w:overflowPunct w:val="0"/>
              <w:adjustRightInd w:val="0"/>
              <w:spacing w:before="160"/>
              <w:textAlignment w:val="baseline"/>
              <w:rPr>
                <w:rFonts w:cs="Arial"/>
                <w:sz w:val="18"/>
                <w:szCs w:val="20"/>
              </w:rPr>
            </w:pPr>
            <w:r>
              <w:tab/>
            </w:r>
            <w:r>
              <w:rPr>
                <w:sz w:val="18"/>
              </w:rPr>
              <w:t>*)</w:t>
            </w:r>
          </w:p>
        </w:tc>
        <w:tc>
          <w:tcPr>
            <w:tcW w:w="8902" w:type="dxa"/>
            <w:gridSpan w:val="3"/>
            <w:tcBorders>
              <w:bottom w:val="single" w:sz="6" w:space="0" w:color="auto"/>
              <w:right w:val="single" w:sz="6" w:space="0" w:color="auto"/>
            </w:tcBorders>
          </w:tcPr>
          <w:p w:rsidR="005624E3" w:rsidRPr="00C903F8" w:rsidRDefault="005624E3" w:rsidP="00101A80">
            <w:pPr>
              <w:tabs>
                <w:tab w:val="left" w:pos="57"/>
                <w:tab w:val="left" w:leader="dot" w:pos="3686"/>
              </w:tabs>
              <w:overflowPunct w:val="0"/>
              <w:adjustRightInd w:val="0"/>
              <w:spacing w:before="80" w:after="80"/>
              <w:ind w:left="57" w:right="57"/>
              <w:textAlignment w:val="baseline"/>
              <w:rPr>
                <w:rFonts w:cs="Arial"/>
                <w:sz w:val="18"/>
                <w:szCs w:val="20"/>
              </w:rPr>
            </w:pPr>
            <w:r>
              <w:rPr>
                <w:noProof/>
                <w:sz w:val="18"/>
              </w:rPr>
              <w:t>A következő rovatok módosultak: ...........</w:t>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rPr>
                <w:noProof/>
                <w:sz w:val="18"/>
              </w:rPr>
              <w:t>Új szöveg:</w:t>
            </w: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Ez az oldal lecserélésre került.</w:t>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 xml:space="preserve">Hely, dátum </w:t>
            </w:r>
            <w:r>
              <w:tab/>
            </w:r>
            <w:r>
              <w:tab/>
            </w:r>
            <w:r>
              <w:rPr>
                <w:sz w:val="18"/>
              </w:rPr>
              <w:t>Ellenőrző szerv</w:t>
            </w:r>
          </w:p>
          <w:p w:rsidR="005624E3" w:rsidRPr="00C903F8" w:rsidRDefault="005624E3" w:rsidP="00101A80">
            <w:pPr>
              <w:tabs>
                <w:tab w:val="left" w:pos="5103"/>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1701"/>
              </w:tabs>
              <w:overflowPunct w:val="0"/>
              <w:adjustRightInd w:val="0"/>
              <w:spacing w:after="80"/>
              <w:textAlignment w:val="baseline"/>
              <w:rPr>
                <w:rFonts w:cs="Arial"/>
                <w:sz w:val="18"/>
                <w:szCs w:val="20"/>
              </w:rPr>
            </w:pPr>
            <w:r>
              <w:tab/>
            </w:r>
            <w:r>
              <w:rPr>
                <w:sz w:val="18"/>
              </w:rPr>
              <w:t>Bélyegző</w:t>
            </w:r>
          </w:p>
          <w:p w:rsidR="005624E3" w:rsidRPr="00C903F8" w:rsidRDefault="005624E3" w:rsidP="00101A80">
            <w:pPr>
              <w:tabs>
                <w:tab w:val="left" w:pos="5103"/>
                <w:tab w:val="left" w:leader="dot" w:pos="8505"/>
              </w:tabs>
              <w:overflowPunct w:val="0"/>
              <w:adjustRightInd w:val="0"/>
              <w:textAlignment w:val="baseline"/>
              <w:rPr>
                <w:rFonts w:cs="Arial"/>
                <w:szCs w:val="20"/>
              </w:rPr>
            </w:pPr>
            <w:r>
              <w:tab/>
            </w:r>
            <w:r>
              <w:tab/>
            </w:r>
          </w:p>
          <w:p w:rsidR="005624E3" w:rsidRPr="00C903F8" w:rsidRDefault="005624E3" w:rsidP="00101A80">
            <w:pPr>
              <w:tabs>
                <w:tab w:val="center" w:pos="6862"/>
              </w:tabs>
              <w:overflowPunct w:val="0"/>
              <w:adjustRightInd w:val="0"/>
              <w:textAlignment w:val="baseline"/>
              <w:rPr>
                <w:rFonts w:cs="Arial"/>
                <w:sz w:val="16"/>
                <w:szCs w:val="20"/>
              </w:rPr>
            </w:pPr>
            <w:r>
              <w:tab/>
            </w:r>
            <w:r>
              <w:rPr>
                <w:sz w:val="16"/>
              </w:rPr>
              <w:t>(Aláírás)</w:t>
            </w:r>
          </w:p>
          <w:p w:rsidR="005624E3" w:rsidRPr="00D50F76" w:rsidRDefault="005624E3" w:rsidP="00101A80">
            <w:pPr>
              <w:tabs>
                <w:tab w:val="left" w:pos="113"/>
                <w:tab w:val="left" w:pos="397"/>
                <w:tab w:val="left" w:pos="6237"/>
                <w:tab w:val="left" w:leader="dot" w:pos="9356"/>
              </w:tabs>
              <w:overflowPunct w:val="0"/>
              <w:adjustRightInd w:val="0"/>
              <w:textAlignment w:val="baseline"/>
              <w:rPr>
                <w:rFonts w:cs="Arial"/>
                <w:sz w:val="16"/>
                <w:szCs w:val="20"/>
                <w:lang w:val="pt-PT"/>
              </w:rPr>
            </w:pPr>
            <w:r w:rsidRPr="00D50F76">
              <w:rPr>
                <w:sz w:val="18"/>
                <w:lang w:val="pt-PT"/>
              </w:rPr>
              <w:t>_______________________</w:t>
            </w:r>
          </w:p>
          <w:p w:rsidR="005624E3" w:rsidRPr="00D50F76" w:rsidRDefault="005624E3" w:rsidP="00101A80">
            <w:pPr>
              <w:tabs>
                <w:tab w:val="left" w:pos="284"/>
              </w:tabs>
              <w:overflowPunct w:val="0"/>
              <w:adjustRightInd w:val="0"/>
              <w:spacing w:after="40"/>
              <w:ind w:left="57"/>
              <w:textAlignment w:val="baseline"/>
              <w:rPr>
                <w:rFonts w:cs="Arial"/>
                <w:sz w:val="18"/>
                <w:szCs w:val="20"/>
                <w:lang w:val="pt-PT"/>
              </w:rPr>
            </w:pPr>
            <w:r w:rsidRPr="00D50F76">
              <w:rPr>
                <w:position w:val="4"/>
                <w:sz w:val="16"/>
                <w:lang w:val="pt-PT"/>
              </w:rPr>
              <w:t>*)</w:t>
            </w:r>
            <w:r w:rsidRPr="00D50F76">
              <w:rPr>
                <w:lang w:val="pt-PT"/>
              </w:rPr>
              <w:tab/>
            </w:r>
            <w:r w:rsidRPr="00D50F76">
              <w:rPr>
                <w:sz w:val="16"/>
                <w:lang w:val="pt-PT"/>
              </w:rPr>
              <w:t>A nem kívánt rész törlendő.</w:t>
            </w:r>
          </w:p>
        </w:tc>
      </w:tr>
    </w:tbl>
    <w:p w:rsidR="005624E3" w:rsidRPr="00842442" w:rsidRDefault="005624E3" w:rsidP="005624E3">
      <w:pPr>
        <w:tabs>
          <w:tab w:val="left" w:leader="dot" w:pos="2835"/>
          <w:tab w:val="left" w:leader="dot" w:pos="5103"/>
        </w:tabs>
        <w:overflowPunct w:val="0"/>
        <w:adjustRightInd w:val="0"/>
        <w:textAlignment w:val="baseline"/>
        <w:rPr>
          <w:rFonts w:cs="Arial"/>
          <w:szCs w:val="20"/>
          <w:lang w:val="pt-PT"/>
        </w:rPr>
      </w:pPr>
      <w:r w:rsidRPr="00842442">
        <w:rPr>
          <w:lang w:val="pt-PT"/>
        </w:rPr>
        <w:br w:type="page"/>
        <w:t xml:space="preserve">Az ellenőrző szerv által kiadott .......... számú belvízi hajóbizonyítvány </w:t>
      </w:r>
      <w:r w:rsidRPr="00842442">
        <w:rPr>
          <w:lang w:val="pt-PT"/>
        </w:rPr>
        <w:tab/>
      </w:r>
    </w:p>
    <w:tbl>
      <w:tblPr>
        <w:tblW w:w="9188" w:type="dxa"/>
        <w:jc w:val="center"/>
        <w:tblLayout w:type="fixed"/>
        <w:tblCellMar>
          <w:left w:w="0" w:type="dxa"/>
          <w:right w:w="0" w:type="dxa"/>
        </w:tblCellMar>
        <w:tblLook w:val="0000" w:firstRow="0" w:lastRow="0" w:firstColumn="0" w:lastColumn="0" w:noHBand="0" w:noVBand="0"/>
      </w:tblPr>
      <w:tblGrid>
        <w:gridCol w:w="284"/>
        <w:gridCol w:w="4253"/>
        <w:gridCol w:w="1418"/>
        <w:gridCol w:w="1418"/>
        <w:gridCol w:w="1418"/>
        <w:gridCol w:w="397"/>
      </w:tblGrid>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46.</w:t>
            </w:r>
          </w:p>
        </w:tc>
        <w:tc>
          <w:tcPr>
            <w:tcW w:w="8904" w:type="dxa"/>
            <w:gridSpan w:val="5"/>
            <w:tcBorders>
              <w:top w:val="single" w:sz="6" w:space="0" w:color="auto"/>
              <w:bottom w:val="single" w:sz="6" w:space="0" w:color="auto"/>
              <w:right w:val="single" w:sz="6" w:space="0" w:color="auto"/>
            </w:tcBorders>
          </w:tcPr>
          <w:p w:rsidR="005624E3" w:rsidRPr="00C903F8" w:rsidRDefault="005624E3" w:rsidP="00101A80">
            <w:pPr>
              <w:tabs>
                <w:tab w:val="left" w:pos="5103"/>
              </w:tabs>
              <w:overflowPunct w:val="0"/>
              <w:adjustRightInd w:val="0"/>
              <w:spacing w:before="120"/>
              <w:ind w:left="57"/>
              <w:textAlignment w:val="baseline"/>
              <w:rPr>
                <w:rFonts w:cs="Arial"/>
                <w:sz w:val="18"/>
                <w:szCs w:val="20"/>
              </w:rPr>
            </w:pPr>
            <w:r w:rsidRPr="003D00C9">
              <w:rPr>
                <w:sz w:val="18"/>
              </w:rPr>
              <w:t>A hajó megfelel [az A1*), A2*), B*) üzemmód követelményeinek</w:t>
            </w:r>
            <w:r>
              <w:rPr>
                <w:sz w:val="18"/>
              </w:rPr>
              <w:t xml:space="preserve"> / a legénységre vonatkozó nemzeti vagy nemzetközi jogi követelményeknek </w:t>
            </w:r>
            <w:r w:rsidRPr="003D00C9">
              <w:rPr>
                <w:sz w:val="18"/>
              </w:rPr>
              <w:t>*)</w:t>
            </w:r>
            <w:r>
              <w:rPr>
                <w:sz w:val="18"/>
              </w:rPr>
              <w:t>]</w:t>
            </w:r>
          </w:p>
          <w:p w:rsidR="005624E3" w:rsidRPr="00C903F8" w:rsidRDefault="005624E3" w:rsidP="00101A80">
            <w:pPr>
              <w:tabs>
                <w:tab w:val="left" w:pos="57"/>
                <w:tab w:val="left" w:pos="5103"/>
              </w:tabs>
              <w:overflowPunct w:val="0"/>
              <w:adjustRightInd w:val="0"/>
              <w:spacing w:after="120"/>
              <w:textAlignment w:val="baseline"/>
              <w:rPr>
                <w:rFonts w:cs="Arial"/>
                <w:sz w:val="18"/>
                <w:szCs w:val="20"/>
              </w:rPr>
            </w:pPr>
          </w:p>
        </w:tc>
      </w:tr>
      <w:tr w:rsidR="005624E3" w:rsidRPr="00A0619C" w:rsidTr="00101A80">
        <w:trPr>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 w:val="left" w:pos="227"/>
              </w:tabs>
              <w:overflowPunct w:val="0"/>
              <w:adjustRightInd w:val="0"/>
              <w:textAlignment w:val="baseline"/>
              <w:rPr>
                <w:rFonts w:cs="Arial"/>
                <w:sz w:val="18"/>
                <w:szCs w:val="20"/>
              </w:rPr>
            </w:pPr>
            <w:r>
              <w:rPr>
                <w:sz w:val="18"/>
              </w:rPr>
              <w:t>47.</w:t>
            </w:r>
          </w:p>
        </w:tc>
        <w:tc>
          <w:tcPr>
            <w:tcW w:w="8904" w:type="dxa"/>
            <w:gridSpan w:val="5"/>
            <w:tcBorders>
              <w:top w:val="single" w:sz="6" w:space="0" w:color="auto"/>
              <w:right w:val="single" w:sz="6" w:space="0" w:color="auto"/>
            </w:tcBorders>
          </w:tcPr>
          <w:p w:rsidR="005624E3" w:rsidRPr="00C903F8" w:rsidRDefault="005624E3" w:rsidP="00101A80">
            <w:pPr>
              <w:tabs>
                <w:tab w:val="left" w:pos="5103"/>
              </w:tabs>
              <w:overflowPunct w:val="0"/>
              <w:adjustRightInd w:val="0"/>
              <w:ind w:left="57"/>
              <w:textAlignment w:val="baseline"/>
              <w:rPr>
                <w:rFonts w:cs="Arial"/>
                <w:sz w:val="18"/>
                <w:szCs w:val="20"/>
              </w:rPr>
            </w:pPr>
            <w:r>
              <w:rPr>
                <w:noProof/>
                <w:sz w:val="18"/>
              </w:rPr>
              <w:t>A hajó felszerelése a 31.01. cikk alapján</w:t>
            </w:r>
            <w:r>
              <w:rPr>
                <w:noProof/>
                <w:sz w:val="18"/>
                <w:szCs w:val="20"/>
              </w:rPr>
              <w:br/>
            </w:r>
            <w:r>
              <w:rPr>
                <w:noProof/>
                <w:sz w:val="18"/>
              </w:rPr>
              <w:t>A hajó megfelel</w:t>
            </w:r>
            <w:r>
              <w:rPr>
                <w:position w:val="6"/>
                <w:sz w:val="16"/>
              </w:rPr>
              <w:t>*)</w:t>
            </w:r>
            <w:r>
              <w:t xml:space="preserve"> / </w:t>
            </w:r>
            <w:r w:rsidRPr="003D00C9">
              <w:rPr>
                <w:noProof/>
                <w:sz w:val="18"/>
              </w:rPr>
              <w:t>nem felel meg</w:t>
            </w:r>
            <w:r>
              <w:rPr>
                <w:position w:val="6"/>
                <w:sz w:val="16"/>
              </w:rPr>
              <w:t>*)</w:t>
            </w:r>
            <w:r>
              <w:rPr>
                <w:sz w:val="18"/>
              </w:rPr>
              <w:t xml:space="preserve"> a 31.02. cikknek (S1 standard)</w:t>
            </w:r>
            <w:r>
              <w:rPr>
                <w:position w:val="6"/>
                <w:sz w:val="16"/>
              </w:rPr>
              <w:t>*)</w:t>
            </w:r>
            <w:r>
              <w:rPr>
                <w:sz w:val="18"/>
              </w:rPr>
              <w:t xml:space="preserve"> / 31.03. cikknek (S2 standard)</w:t>
            </w:r>
            <w:r>
              <w:rPr>
                <w:position w:val="6"/>
                <w:sz w:val="16"/>
              </w:rPr>
              <w:t>*)</w:t>
            </w:r>
            <w:r>
              <w:rPr>
                <w:sz w:val="18"/>
              </w:rPr>
              <w:t>.</w:t>
            </w:r>
            <w:r>
              <w:rPr>
                <w:rFonts w:cs="Arial"/>
                <w:sz w:val="18"/>
                <w:szCs w:val="18"/>
              </w:rPr>
              <w:br/>
            </w:r>
            <w:r>
              <w:rPr>
                <w:sz w:val="18"/>
              </w:rPr>
              <w:t>[A rajnai hajózó személyzetre vonatkozó szabályzat 3.18. cikkének megfelelően / A nemzeti vagy nemzetközi követelményeknek megfelelően] a legénység minimális létszámát az alábbiak szerint kell növelni</w:t>
            </w:r>
            <w:r>
              <w:rPr>
                <w:position w:val="6"/>
                <w:sz w:val="16"/>
              </w:rPr>
              <w:t>*)</w:t>
            </w:r>
            <w:r>
              <w:rPr>
                <w:sz w:val="18"/>
              </w:rPr>
              <w:t xml:space="preserve"> / nem kell növelni</w:t>
            </w:r>
            <w:r>
              <w:rPr>
                <w:position w:val="6"/>
                <w:sz w:val="16"/>
              </w:rPr>
              <w:t>*)</w:t>
            </w:r>
            <w:r>
              <w:rPr>
                <w:sz w:val="18"/>
              </w:rPr>
              <w:t>:</w:t>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5624E3" w:rsidRPr="00C903F8" w:rsidRDefault="005624E3" w:rsidP="00101A80">
            <w:pPr>
              <w:tabs>
                <w:tab w:val="left" w:pos="57"/>
                <w:tab w:val="left" w:leader="dot" w:pos="8505"/>
              </w:tabs>
              <w:overflowPunct w:val="0"/>
              <w:adjustRightInd w:val="0"/>
              <w:spacing w:before="20" w:after="20"/>
              <w:ind w:left="57" w:hanging="57"/>
              <w:textAlignment w:val="baseline"/>
              <w:rPr>
                <w:rFonts w:cs="Arial"/>
                <w:sz w:val="18"/>
                <w:szCs w:val="20"/>
              </w:rPr>
            </w:pPr>
          </w:p>
        </w:tc>
        <w:tc>
          <w:tcPr>
            <w:tcW w:w="4254" w:type="dxa"/>
            <w:gridSpan w:val="3"/>
            <w:tcBorders>
              <w:top w:val="single" w:sz="6" w:space="0" w:color="auto"/>
              <w:left w:val="single" w:sz="6" w:space="0" w:color="auto"/>
              <w:right w:val="single" w:sz="6" w:space="0" w:color="auto"/>
            </w:tcBorders>
          </w:tcPr>
          <w:p w:rsidR="005624E3" w:rsidRPr="00C903F8" w:rsidRDefault="005624E3" w:rsidP="00101A80">
            <w:pPr>
              <w:tabs>
                <w:tab w:val="center" w:pos="2042"/>
              </w:tabs>
              <w:overflowPunct w:val="0"/>
              <w:adjustRightInd w:val="0"/>
              <w:spacing w:before="20" w:after="20"/>
              <w:jc w:val="center"/>
              <w:textAlignment w:val="baseline"/>
              <w:rPr>
                <w:rFonts w:cs="Arial"/>
                <w:sz w:val="18"/>
                <w:szCs w:val="20"/>
              </w:rPr>
            </w:pPr>
            <w:r>
              <w:rPr>
                <w:sz w:val="18"/>
              </w:rPr>
              <w:t>Üzemmódok</w:t>
            </w:r>
            <w:r>
              <w:rPr>
                <w:sz w:val="18"/>
                <w:vertAlign w:val="superscript"/>
              </w:rPr>
              <w:footnoteReference w:id="49"/>
            </w:r>
          </w:p>
        </w:tc>
        <w:tc>
          <w:tcPr>
            <w:tcW w:w="397" w:type="dxa"/>
            <w:tcBorders>
              <w:right w:val="single" w:sz="6" w:space="0" w:color="auto"/>
            </w:tcBorders>
          </w:tcPr>
          <w:p w:rsidR="005624E3" w:rsidRPr="00C903F8" w:rsidRDefault="005624E3" w:rsidP="00101A80">
            <w:pPr>
              <w:tabs>
                <w:tab w:val="left" w:pos="57"/>
                <w:tab w:val="left" w:leader="dot" w:pos="8505"/>
              </w:tabs>
              <w:overflowPunct w:val="0"/>
              <w:adjustRightInd w:val="0"/>
              <w:spacing w:before="20" w:after="20"/>
              <w:ind w:left="57" w:hanging="57"/>
              <w:textAlignment w:val="baseline"/>
              <w:rPr>
                <w:rFonts w:cs="Arial"/>
                <w:sz w:val="18"/>
                <w:szCs w:val="20"/>
              </w:rPr>
            </w:pPr>
            <w:r>
              <w:tab/>
            </w:r>
          </w:p>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20" w:after="20"/>
              <w:ind w:left="57" w:hanging="57"/>
              <w:textAlignment w:val="baseline"/>
              <w:rPr>
                <w:rFonts w:cs="Arial"/>
                <w:sz w:val="18"/>
                <w:szCs w:val="20"/>
              </w:rPr>
            </w:pPr>
          </w:p>
        </w:tc>
        <w:tc>
          <w:tcPr>
            <w:tcW w:w="1418" w:type="dxa"/>
            <w:tcBorders>
              <w:top w:val="single" w:sz="6" w:space="0" w:color="auto"/>
              <w:bottom w:val="single" w:sz="6" w:space="0" w:color="auto"/>
              <w:right w:val="single" w:sz="6" w:space="0" w:color="auto"/>
            </w:tcBorders>
          </w:tcPr>
          <w:p w:rsidR="005624E3" w:rsidRPr="00C903F8" w:rsidRDefault="005624E3" w:rsidP="00101A80">
            <w:pPr>
              <w:tabs>
                <w:tab w:val="center" w:pos="624"/>
              </w:tabs>
              <w:overflowPunct w:val="0"/>
              <w:adjustRightInd w:val="0"/>
              <w:spacing w:before="20" w:after="20"/>
              <w:textAlignment w:val="baseline"/>
              <w:rPr>
                <w:rFonts w:cs="Arial"/>
                <w:sz w:val="18"/>
                <w:szCs w:val="20"/>
              </w:rPr>
            </w:pPr>
            <w:r>
              <w:tab/>
            </w: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center" w:pos="624"/>
              </w:tabs>
              <w:overflowPunct w:val="0"/>
              <w:adjustRightInd w:val="0"/>
              <w:spacing w:before="20" w:after="20"/>
              <w:textAlignment w:val="baseline"/>
              <w:rPr>
                <w:rFonts w:cs="Arial"/>
                <w:sz w:val="18"/>
                <w:szCs w:val="20"/>
              </w:rPr>
            </w:pPr>
            <w:r>
              <w:tab/>
            </w: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center" w:pos="624"/>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4253" w:type="dxa"/>
            <w:tcBorders>
              <w:left w:val="single" w:sz="6" w:space="0" w:color="auto"/>
              <w:right w:val="single" w:sz="6" w:space="0" w:color="auto"/>
            </w:tcBorders>
          </w:tcPr>
          <w:p w:rsidR="005624E3" w:rsidRPr="00C903F8" w:rsidRDefault="005624E3" w:rsidP="00101A80">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5624E3" w:rsidRPr="00C903F8" w:rsidRDefault="005624E3" w:rsidP="00101A80">
            <w:pPr>
              <w:tabs>
                <w:tab w:val="left" w:leader="dot" w:pos="1134"/>
                <w:tab w:val="left" w:leader="dot" w:pos="8505"/>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 w:val="left" w:leader="dot" w:pos="8505"/>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 w:val="left" w:leader="dot" w:pos="8505"/>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4253" w:type="dxa"/>
            <w:tcBorders>
              <w:left w:val="single" w:sz="6" w:space="0" w:color="auto"/>
              <w:bottom w:val="single" w:sz="6" w:space="0" w:color="auto"/>
              <w:right w:val="single" w:sz="6" w:space="0" w:color="auto"/>
            </w:tcBorders>
          </w:tcPr>
          <w:p w:rsidR="005624E3" w:rsidRPr="00C903F8" w:rsidRDefault="005624E3" w:rsidP="00101A80">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bottom w:val="single" w:sz="6" w:space="0" w:color="auto"/>
              <w:right w:val="single" w:sz="6" w:space="0" w:color="auto"/>
            </w:tcBorders>
          </w:tcPr>
          <w:p w:rsidR="005624E3" w:rsidRPr="00C903F8" w:rsidRDefault="005624E3" w:rsidP="00101A80">
            <w:pPr>
              <w:tabs>
                <w:tab w:val="left" w:leader="dot" w:pos="1134"/>
                <w:tab w:val="left" w:leader="dot" w:pos="8505"/>
              </w:tabs>
              <w:overflowPunct w:val="0"/>
              <w:adjustRightInd w:val="0"/>
              <w:spacing w:before="20" w:after="20"/>
              <w:textAlignment w:val="baseline"/>
              <w:rPr>
                <w:rFonts w:cs="Arial"/>
                <w:sz w:val="18"/>
                <w:szCs w:val="20"/>
              </w:rPr>
            </w:pPr>
            <w:r>
              <w:tab/>
            </w:r>
          </w:p>
        </w:tc>
        <w:tc>
          <w:tcPr>
            <w:tcW w:w="1418" w:type="dxa"/>
            <w:tcBorders>
              <w:left w:val="single" w:sz="6" w:space="0" w:color="auto"/>
              <w:bottom w:val="single" w:sz="6" w:space="0" w:color="auto"/>
              <w:right w:val="single" w:sz="6" w:space="0" w:color="auto"/>
            </w:tcBorders>
          </w:tcPr>
          <w:p w:rsidR="005624E3" w:rsidRPr="00C903F8" w:rsidRDefault="005624E3" w:rsidP="00101A80">
            <w:pPr>
              <w:tabs>
                <w:tab w:val="left" w:leader="dot" w:pos="1134"/>
                <w:tab w:val="left" w:leader="dot" w:pos="8505"/>
              </w:tabs>
              <w:overflowPunct w:val="0"/>
              <w:adjustRightInd w:val="0"/>
              <w:spacing w:before="20" w:after="20"/>
              <w:textAlignment w:val="baseline"/>
              <w:rPr>
                <w:rFonts w:cs="Arial"/>
                <w:sz w:val="18"/>
                <w:szCs w:val="20"/>
              </w:rPr>
            </w:pPr>
            <w:r>
              <w:tab/>
            </w:r>
          </w:p>
        </w:tc>
        <w:tc>
          <w:tcPr>
            <w:tcW w:w="1418" w:type="dxa"/>
            <w:tcBorders>
              <w:left w:val="single" w:sz="6" w:space="0" w:color="auto"/>
              <w:bottom w:val="single" w:sz="6" w:space="0" w:color="auto"/>
              <w:right w:val="single" w:sz="6" w:space="0" w:color="auto"/>
            </w:tcBorders>
          </w:tcPr>
          <w:p w:rsidR="005624E3" w:rsidRPr="00C903F8" w:rsidRDefault="005624E3" w:rsidP="00101A80">
            <w:pPr>
              <w:tabs>
                <w:tab w:val="left" w:leader="dot" w:pos="1134"/>
                <w:tab w:val="left" w:leader="dot" w:pos="8505"/>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8904" w:type="dxa"/>
            <w:gridSpan w:val="5"/>
            <w:tcBorders>
              <w:right w:val="single" w:sz="6" w:space="0" w:color="auto"/>
            </w:tcBorders>
          </w:tcPr>
          <w:p w:rsidR="005624E3" w:rsidRPr="00C903F8" w:rsidRDefault="005624E3" w:rsidP="00101A80">
            <w:pPr>
              <w:tabs>
                <w:tab w:val="left" w:leader="dot" w:pos="8505"/>
              </w:tabs>
              <w:overflowPunct w:val="0"/>
              <w:adjustRightInd w:val="0"/>
              <w:spacing w:before="80"/>
              <w:ind w:left="57"/>
              <w:textAlignment w:val="baseline"/>
              <w:rPr>
                <w:noProof/>
                <w:sz w:val="18"/>
                <w:szCs w:val="20"/>
              </w:rPr>
            </w:pPr>
            <w:r>
              <w:rPr>
                <w:noProof/>
                <w:sz w:val="18"/>
              </w:rPr>
              <w:t>Megjegyzések és különleges feltételek:</w:t>
            </w:r>
          </w:p>
          <w:p w:rsidR="005624E3" w:rsidRPr="00C903F8" w:rsidRDefault="005624E3" w:rsidP="00101A80">
            <w:pPr>
              <w:tabs>
                <w:tab w:val="left" w:leader="dot" w:pos="8505"/>
              </w:tabs>
              <w:overflowPunct w:val="0"/>
              <w:adjustRightInd w:val="0"/>
              <w:spacing w:before="80"/>
              <w:ind w:left="57"/>
              <w:textAlignment w:val="baseline"/>
              <w:rPr>
                <w:rFonts w:cs="Arial"/>
                <w:sz w:val="18"/>
                <w:szCs w:val="20"/>
              </w:rPr>
            </w:pPr>
            <w:r>
              <w:tab/>
            </w:r>
          </w:p>
          <w:p w:rsidR="005624E3" w:rsidRPr="00C903F8" w:rsidRDefault="005624E3" w:rsidP="00101A80">
            <w:pPr>
              <w:tabs>
                <w:tab w:val="left" w:leader="dot" w:pos="8505"/>
              </w:tabs>
              <w:overflowPunct w:val="0"/>
              <w:adjustRightInd w:val="0"/>
              <w:spacing w:before="80"/>
              <w:ind w:left="57"/>
              <w:textAlignment w:val="baseline"/>
              <w:rPr>
                <w:rFonts w:cs="Arial"/>
                <w:sz w:val="18"/>
                <w:szCs w:val="20"/>
              </w:rPr>
            </w:pPr>
            <w:r>
              <w:tab/>
            </w:r>
          </w:p>
          <w:p w:rsidR="005624E3" w:rsidRPr="00C903F8" w:rsidRDefault="005624E3" w:rsidP="00101A80">
            <w:pPr>
              <w:tabs>
                <w:tab w:val="left" w:leader="dot" w:pos="8505"/>
              </w:tabs>
              <w:overflowPunct w:val="0"/>
              <w:adjustRightInd w:val="0"/>
              <w:spacing w:before="80"/>
              <w:ind w:left="57"/>
              <w:textAlignment w:val="baseline"/>
              <w:rPr>
                <w:rFonts w:cs="Arial"/>
                <w:sz w:val="18"/>
                <w:szCs w:val="20"/>
              </w:rPr>
            </w:pPr>
            <w:r>
              <w:tab/>
            </w:r>
          </w:p>
        </w:tc>
      </w:tr>
      <w:tr w:rsidR="005624E3" w:rsidRPr="00A0619C" w:rsidTr="00101A80">
        <w:trPr>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48.</w:t>
            </w:r>
          </w:p>
        </w:tc>
        <w:tc>
          <w:tcPr>
            <w:tcW w:w="8904" w:type="dxa"/>
            <w:gridSpan w:val="5"/>
            <w:tcBorders>
              <w:top w:val="single" w:sz="6" w:space="0" w:color="auto"/>
              <w:right w:val="single" w:sz="6" w:space="0" w:color="auto"/>
            </w:tcBorders>
          </w:tcPr>
          <w:p w:rsidR="005624E3" w:rsidRPr="00C903F8" w:rsidRDefault="005624E3" w:rsidP="00101A80">
            <w:pPr>
              <w:tabs>
                <w:tab w:val="left" w:leader="dot" w:pos="8505"/>
              </w:tabs>
              <w:overflowPunct w:val="0"/>
              <w:adjustRightInd w:val="0"/>
              <w:spacing w:before="120"/>
              <w:ind w:left="57"/>
              <w:textAlignment w:val="baseline"/>
              <w:rPr>
                <w:rFonts w:cs="Arial"/>
                <w:sz w:val="18"/>
                <w:szCs w:val="20"/>
              </w:rPr>
            </w:pPr>
            <w:r>
              <w:rPr>
                <w:sz w:val="18"/>
              </w:rPr>
              <w:t>Minimális létszámú legénység [a rajnai hajózó személyzetre vonatkozó szabályzat 3.19. cikkének megfelelően / a nemzeti vagy nemzetközi követelményeknek megfelelően]</w:t>
            </w:r>
            <w:r>
              <w:rPr>
                <w:sz w:val="18"/>
                <w:vertAlign w:val="superscript"/>
              </w:rPr>
              <w:footnoteReference w:id="50"/>
            </w:r>
          </w:p>
          <w:p w:rsidR="005624E3" w:rsidRPr="00C903F8" w:rsidRDefault="005624E3" w:rsidP="00101A80">
            <w:pPr>
              <w:tabs>
                <w:tab w:val="left" w:pos="57"/>
                <w:tab w:val="left" w:pos="5103"/>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5624E3" w:rsidRPr="00C903F8" w:rsidRDefault="005624E3" w:rsidP="00101A80">
            <w:pPr>
              <w:tabs>
                <w:tab w:val="left" w:pos="57"/>
                <w:tab w:val="left" w:leader="dot" w:pos="8505"/>
              </w:tabs>
              <w:overflowPunct w:val="0"/>
              <w:adjustRightInd w:val="0"/>
              <w:spacing w:before="20" w:after="20"/>
              <w:ind w:left="57" w:hanging="57"/>
              <w:textAlignment w:val="baseline"/>
              <w:rPr>
                <w:rFonts w:cs="Arial"/>
                <w:sz w:val="18"/>
                <w:szCs w:val="20"/>
              </w:rPr>
            </w:pPr>
          </w:p>
        </w:tc>
        <w:tc>
          <w:tcPr>
            <w:tcW w:w="4254" w:type="dxa"/>
            <w:gridSpan w:val="3"/>
            <w:tcBorders>
              <w:top w:val="single" w:sz="6" w:space="0" w:color="auto"/>
              <w:left w:val="single" w:sz="6" w:space="0" w:color="auto"/>
              <w:right w:val="single" w:sz="6" w:space="0" w:color="auto"/>
            </w:tcBorders>
          </w:tcPr>
          <w:p w:rsidR="005624E3" w:rsidRPr="00C903F8" w:rsidRDefault="005624E3" w:rsidP="00101A80">
            <w:pPr>
              <w:tabs>
                <w:tab w:val="center" w:pos="2041"/>
              </w:tabs>
              <w:overflowPunct w:val="0"/>
              <w:adjustRightInd w:val="0"/>
              <w:spacing w:before="20" w:after="20"/>
              <w:jc w:val="center"/>
              <w:textAlignment w:val="baseline"/>
              <w:rPr>
                <w:rFonts w:cs="Arial"/>
                <w:sz w:val="18"/>
                <w:szCs w:val="20"/>
              </w:rPr>
            </w:pPr>
            <w:r>
              <w:rPr>
                <w:sz w:val="18"/>
              </w:rPr>
              <w:t>Üzemmódok</w:t>
            </w:r>
          </w:p>
        </w:tc>
        <w:tc>
          <w:tcPr>
            <w:tcW w:w="397" w:type="dxa"/>
            <w:tcBorders>
              <w:right w:val="single" w:sz="6" w:space="0" w:color="auto"/>
            </w:tcBorders>
          </w:tcPr>
          <w:p w:rsidR="005624E3" w:rsidRPr="00C903F8" w:rsidRDefault="005624E3" w:rsidP="00101A80">
            <w:pPr>
              <w:tabs>
                <w:tab w:val="left" w:pos="57"/>
                <w:tab w:val="left" w:leader="dot" w:pos="8505"/>
              </w:tabs>
              <w:overflowPunct w:val="0"/>
              <w:adjustRightInd w:val="0"/>
              <w:spacing w:before="20" w:after="20"/>
              <w:ind w:left="57" w:hanging="57"/>
              <w:textAlignment w:val="baseline"/>
              <w:rPr>
                <w:rFonts w:cs="Arial"/>
                <w:sz w:val="18"/>
                <w:szCs w:val="20"/>
              </w:rPr>
            </w:pPr>
          </w:p>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20" w:after="20"/>
              <w:ind w:left="57" w:hanging="57"/>
              <w:textAlignment w:val="baseline"/>
              <w:rPr>
                <w:rFonts w:cs="Arial"/>
                <w:sz w:val="18"/>
                <w:szCs w:val="20"/>
              </w:rPr>
            </w:pPr>
          </w:p>
        </w:tc>
        <w:tc>
          <w:tcPr>
            <w:tcW w:w="1418" w:type="dxa"/>
            <w:tcBorders>
              <w:top w:val="single" w:sz="6" w:space="0" w:color="auto"/>
              <w:bottom w:val="single" w:sz="6" w:space="0" w:color="auto"/>
              <w:right w:val="single" w:sz="6" w:space="0" w:color="auto"/>
            </w:tcBorders>
          </w:tcPr>
          <w:p w:rsidR="005624E3" w:rsidRPr="00C903F8" w:rsidRDefault="005624E3" w:rsidP="00101A80">
            <w:pPr>
              <w:tabs>
                <w:tab w:val="center" w:pos="624"/>
              </w:tabs>
              <w:overflowPunct w:val="0"/>
              <w:adjustRightInd w:val="0"/>
              <w:spacing w:before="20" w:after="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center" w:pos="624"/>
              </w:tabs>
              <w:overflowPunct w:val="0"/>
              <w:adjustRightInd w:val="0"/>
              <w:spacing w:before="20" w:after="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center" w:pos="624"/>
              </w:tabs>
              <w:overflowPunct w:val="0"/>
              <w:adjustRightInd w:val="0"/>
              <w:spacing w:before="20" w:after="20"/>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5624E3" w:rsidRPr="00C903F8" w:rsidRDefault="005624E3" w:rsidP="00101A80">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5624E3" w:rsidRPr="00C903F8" w:rsidRDefault="005624E3" w:rsidP="00101A80">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5624E3" w:rsidRPr="00C903F8" w:rsidRDefault="005624E3" w:rsidP="00101A80">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5624E3" w:rsidRPr="00C903F8" w:rsidRDefault="005624E3" w:rsidP="00101A80">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5624E3" w:rsidRPr="00C903F8" w:rsidRDefault="005624E3" w:rsidP="00101A80">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5624E3" w:rsidRPr="00C903F8" w:rsidRDefault="005624E3" w:rsidP="00101A80">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5624E3" w:rsidRPr="00C903F8" w:rsidRDefault="005624E3" w:rsidP="00101A80">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bottom w:val="single" w:sz="6" w:space="0" w:color="auto"/>
              <w:right w:val="single" w:sz="6" w:space="0" w:color="auto"/>
            </w:tcBorders>
          </w:tcPr>
          <w:p w:rsidR="005624E3" w:rsidRPr="00C903F8" w:rsidRDefault="005624E3" w:rsidP="00101A80">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bottom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bottom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1418" w:type="dxa"/>
            <w:tcBorders>
              <w:left w:val="single" w:sz="6" w:space="0" w:color="auto"/>
              <w:bottom w:val="single" w:sz="6" w:space="0" w:color="auto"/>
              <w:right w:val="single" w:sz="6" w:space="0" w:color="auto"/>
            </w:tcBorders>
          </w:tcPr>
          <w:p w:rsidR="005624E3" w:rsidRPr="00C903F8" w:rsidRDefault="005624E3" w:rsidP="00101A80">
            <w:pPr>
              <w:tabs>
                <w:tab w:val="left" w:leader="dot" w:pos="1134"/>
              </w:tabs>
              <w:overflowPunct w:val="0"/>
              <w:adjustRightInd w:val="0"/>
              <w:spacing w:before="20" w:after="20"/>
              <w:textAlignment w:val="baseline"/>
              <w:rPr>
                <w:rFonts w:cs="Arial"/>
                <w:sz w:val="18"/>
                <w:szCs w:val="20"/>
              </w:rPr>
            </w:pP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20" w:after="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p>
        </w:tc>
        <w:tc>
          <w:tcPr>
            <w:tcW w:w="8904" w:type="dxa"/>
            <w:gridSpan w:val="5"/>
            <w:tcBorders>
              <w:bottom w:val="single" w:sz="6" w:space="0" w:color="auto"/>
              <w:right w:val="single" w:sz="6" w:space="0" w:color="auto"/>
            </w:tcBorders>
          </w:tcPr>
          <w:p w:rsidR="005624E3" w:rsidRPr="00C903F8" w:rsidRDefault="005624E3" w:rsidP="00101A80">
            <w:pPr>
              <w:widowControl w:val="0"/>
              <w:tabs>
                <w:tab w:val="left" w:pos="57"/>
                <w:tab w:val="left" w:leader="dot" w:pos="8505"/>
              </w:tabs>
              <w:spacing w:before="40" w:after="40"/>
              <w:ind w:left="57" w:hanging="57"/>
              <w:rPr>
                <w:rFonts w:cs="Arial"/>
                <w:sz w:val="18"/>
                <w:szCs w:val="20"/>
              </w:rPr>
            </w:pPr>
            <w:r>
              <w:tab/>
            </w:r>
            <w:r>
              <w:rPr>
                <w:noProof/>
                <w:sz w:val="18"/>
              </w:rPr>
              <w:t>Megjegyzések és különleges feltételek:</w:t>
            </w:r>
          </w:p>
          <w:p w:rsidR="005624E3" w:rsidRPr="00C903F8" w:rsidRDefault="005624E3" w:rsidP="00101A80">
            <w:pPr>
              <w:tabs>
                <w:tab w:val="left" w:leader="dot" w:pos="8505"/>
              </w:tabs>
              <w:overflowPunct w:val="0"/>
              <w:adjustRightInd w:val="0"/>
              <w:spacing w:before="80"/>
              <w:ind w:left="57"/>
              <w:textAlignment w:val="baseline"/>
              <w:rPr>
                <w:rFonts w:cs="Arial"/>
                <w:sz w:val="18"/>
                <w:szCs w:val="20"/>
              </w:rPr>
            </w:pPr>
            <w:r>
              <w:tab/>
            </w:r>
          </w:p>
          <w:p w:rsidR="005624E3" w:rsidRPr="00C903F8" w:rsidRDefault="005624E3" w:rsidP="00101A80">
            <w:pPr>
              <w:tabs>
                <w:tab w:val="left" w:leader="dot" w:pos="8505"/>
              </w:tabs>
              <w:overflowPunct w:val="0"/>
              <w:adjustRightInd w:val="0"/>
              <w:spacing w:before="80"/>
              <w:ind w:left="57"/>
              <w:textAlignment w:val="baseline"/>
              <w:rPr>
                <w:rFonts w:cs="Arial"/>
                <w:sz w:val="18"/>
                <w:szCs w:val="20"/>
              </w:rPr>
            </w:pPr>
            <w:r>
              <w:tab/>
            </w:r>
          </w:p>
          <w:p w:rsidR="005624E3" w:rsidRPr="00C903F8" w:rsidRDefault="005624E3" w:rsidP="00101A80">
            <w:pPr>
              <w:tabs>
                <w:tab w:val="left" w:leader="dot" w:pos="8505"/>
              </w:tabs>
              <w:overflowPunct w:val="0"/>
              <w:adjustRightInd w:val="0"/>
              <w:spacing w:before="80"/>
              <w:ind w:left="57"/>
              <w:textAlignment w:val="baseline"/>
              <w:rPr>
                <w:rFonts w:cs="Arial"/>
                <w:sz w:val="18"/>
                <w:szCs w:val="20"/>
              </w:rPr>
            </w:pPr>
            <w:r>
              <w:tab/>
            </w:r>
          </w:p>
          <w:p w:rsidR="005624E3" w:rsidRPr="00C903F8" w:rsidRDefault="005624E3" w:rsidP="00101A80">
            <w:pPr>
              <w:tabs>
                <w:tab w:val="left" w:leader="dot" w:pos="8505"/>
              </w:tabs>
              <w:overflowPunct w:val="0"/>
              <w:adjustRightInd w:val="0"/>
              <w:spacing w:before="80" w:after="40"/>
              <w:ind w:left="57"/>
              <w:textAlignment w:val="baseline"/>
              <w:rPr>
                <w:rFonts w:cs="Arial"/>
                <w:sz w:val="18"/>
                <w:szCs w:val="20"/>
              </w:rPr>
            </w:pPr>
            <w:r>
              <w:tab/>
            </w:r>
          </w:p>
        </w:tc>
      </w:tr>
      <w:tr w:rsidR="005624E3" w:rsidRPr="00842442"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spacing w:before="80"/>
              <w:textAlignment w:val="baseline"/>
              <w:rPr>
                <w:rFonts w:cs="Arial"/>
                <w:sz w:val="18"/>
                <w:szCs w:val="20"/>
              </w:rPr>
            </w:pPr>
            <w:r>
              <w:tab/>
            </w:r>
            <w:r>
              <w:rPr>
                <w:sz w:val="18"/>
              </w:rPr>
              <w:t>*)</w:t>
            </w:r>
            <w:r>
              <w:rPr>
                <w:rFonts w:cs="Arial"/>
                <w:sz w:val="18"/>
                <w:szCs w:val="20"/>
              </w:rPr>
              <w:br/>
            </w:r>
            <w:r>
              <w:rPr>
                <w:rFonts w:cs="Arial"/>
                <w:sz w:val="18"/>
                <w:szCs w:val="20"/>
              </w:rPr>
              <w:br/>
            </w:r>
          </w:p>
          <w:p w:rsidR="005624E3" w:rsidRPr="00C903F8" w:rsidRDefault="005624E3" w:rsidP="00101A80">
            <w:pPr>
              <w:tabs>
                <w:tab w:val="left" w:pos="57"/>
              </w:tabs>
              <w:overflowPunct w:val="0"/>
              <w:adjustRightInd w:val="0"/>
              <w:spacing w:before="80"/>
              <w:textAlignment w:val="baseline"/>
              <w:rPr>
                <w:rFonts w:cs="Arial"/>
                <w:sz w:val="18"/>
                <w:szCs w:val="20"/>
              </w:rPr>
            </w:pPr>
          </w:p>
          <w:p w:rsidR="005624E3" w:rsidRPr="00C903F8" w:rsidRDefault="005624E3" w:rsidP="00101A80">
            <w:pPr>
              <w:tabs>
                <w:tab w:val="left" w:pos="57"/>
              </w:tabs>
              <w:overflowPunct w:val="0"/>
              <w:adjustRightInd w:val="0"/>
              <w:spacing w:before="160"/>
              <w:textAlignment w:val="baseline"/>
              <w:rPr>
                <w:rFonts w:cs="Arial"/>
                <w:sz w:val="18"/>
                <w:szCs w:val="20"/>
              </w:rPr>
            </w:pPr>
            <w:r>
              <w:tab/>
            </w:r>
            <w:r>
              <w:rPr>
                <w:sz w:val="18"/>
              </w:rPr>
              <w:t>*)</w:t>
            </w:r>
          </w:p>
        </w:tc>
        <w:tc>
          <w:tcPr>
            <w:tcW w:w="8904" w:type="dxa"/>
            <w:gridSpan w:val="5"/>
            <w:tcBorders>
              <w:bottom w:val="single" w:sz="6" w:space="0" w:color="auto"/>
              <w:right w:val="single" w:sz="6" w:space="0" w:color="auto"/>
            </w:tcBorders>
          </w:tcPr>
          <w:p w:rsidR="005624E3" w:rsidRPr="00C903F8" w:rsidRDefault="005624E3" w:rsidP="00101A80">
            <w:pPr>
              <w:tabs>
                <w:tab w:val="left" w:pos="57"/>
                <w:tab w:val="left" w:leader="dot" w:pos="3686"/>
              </w:tabs>
              <w:overflowPunct w:val="0"/>
              <w:adjustRightInd w:val="0"/>
              <w:spacing w:before="80" w:after="80"/>
              <w:ind w:left="57" w:right="57"/>
              <w:textAlignment w:val="baseline"/>
              <w:rPr>
                <w:rFonts w:cs="Arial"/>
                <w:sz w:val="18"/>
                <w:szCs w:val="20"/>
              </w:rPr>
            </w:pPr>
            <w:r>
              <w:rPr>
                <w:noProof/>
                <w:sz w:val="18"/>
              </w:rPr>
              <w:t>A következő rovatok módosultak: ...........</w:t>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rPr>
                <w:noProof/>
                <w:sz w:val="18"/>
              </w:rPr>
              <w:t>Új szöveg:</w:t>
            </w: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Ez az oldal lecserélésre került.</w:t>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 xml:space="preserve">Hely, dátum </w:t>
            </w:r>
            <w:r>
              <w:tab/>
            </w:r>
            <w:r>
              <w:tab/>
            </w:r>
            <w:r>
              <w:rPr>
                <w:sz w:val="18"/>
              </w:rPr>
              <w:t>Ellenőrző szerv</w:t>
            </w:r>
          </w:p>
          <w:p w:rsidR="005624E3" w:rsidRPr="00C903F8" w:rsidRDefault="005624E3" w:rsidP="00101A80">
            <w:pPr>
              <w:tabs>
                <w:tab w:val="left" w:pos="5103"/>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1701"/>
              </w:tabs>
              <w:overflowPunct w:val="0"/>
              <w:adjustRightInd w:val="0"/>
              <w:spacing w:after="80"/>
              <w:textAlignment w:val="baseline"/>
              <w:rPr>
                <w:rFonts w:cs="Arial"/>
                <w:sz w:val="18"/>
                <w:szCs w:val="20"/>
              </w:rPr>
            </w:pPr>
            <w:r>
              <w:tab/>
            </w:r>
            <w:r>
              <w:rPr>
                <w:sz w:val="18"/>
              </w:rPr>
              <w:t>Bélyegző</w:t>
            </w:r>
          </w:p>
          <w:p w:rsidR="005624E3" w:rsidRPr="00C903F8" w:rsidRDefault="005624E3" w:rsidP="00101A80">
            <w:pPr>
              <w:tabs>
                <w:tab w:val="left" w:pos="5103"/>
                <w:tab w:val="left" w:leader="dot" w:pos="8505"/>
              </w:tabs>
              <w:overflowPunct w:val="0"/>
              <w:adjustRightInd w:val="0"/>
              <w:textAlignment w:val="baseline"/>
              <w:rPr>
                <w:rFonts w:cs="Arial"/>
                <w:szCs w:val="20"/>
              </w:rPr>
            </w:pPr>
            <w:r>
              <w:tab/>
            </w:r>
            <w:r>
              <w:tab/>
            </w:r>
          </w:p>
          <w:p w:rsidR="005624E3" w:rsidRPr="00C903F8" w:rsidRDefault="005624E3" w:rsidP="00101A80">
            <w:pPr>
              <w:tabs>
                <w:tab w:val="center" w:pos="6862"/>
              </w:tabs>
              <w:overflowPunct w:val="0"/>
              <w:adjustRightInd w:val="0"/>
              <w:textAlignment w:val="baseline"/>
              <w:rPr>
                <w:rFonts w:cs="Arial"/>
                <w:sz w:val="16"/>
                <w:szCs w:val="20"/>
              </w:rPr>
            </w:pPr>
            <w:r>
              <w:tab/>
            </w:r>
            <w:r>
              <w:rPr>
                <w:sz w:val="16"/>
              </w:rPr>
              <w:t>(Aláírás)</w:t>
            </w:r>
          </w:p>
          <w:p w:rsidR="005624E3" w:rsidRPr="00D50F76" w:rsidRDefault="005624E3" w:rsidP="00101A80">
            <w:pPr>
              <w:tabs>
                <w:tab w:val="left" w:pos="113"/>
                <w:tab w:val="left" w:pos="397"/>
                <w:tab w:val="left" w:pos="6237"/>
                <w:tab w:val="left" w:leader="dot" w:pos="9356"/>
              </w:tabs>
              <w:overflowPunct w:val="0"/>
              <w:adjustRightInd w:val="0"/>
              <w:textAlignment w:val="baseline"/>
              <w:rPr>
                <w:rFonts w:cs="Arial"/>
                <w:sz w:val="16"/>
                <w:szCs w:val="20"/>
                <w:lang w:val="pt-PT"/>
              </w:rPr>
            </w:pPr>
            <w:r w:rsidRPr="00D50F76">
              <w:rPr>
                <w:sz w:val="18"/>
                <w:lang w:val="pt-PT"/>
              </w:rPr>
              <w:t>_______________________</w:t>
            </w:r>
          </w:p>
          <w:p w:rsidR="005624E3" w:rsidRPr="00D50F76" w:rsidRDefault="005624E3" w:rsidP="00101A80">
            <w:pPr>
              <w:tabs>
                <w:tab w:val="left" w:pos="284"/>
              </w:tabs>
              <w:overflowPunct w:val="0"/>
              <w:adjustRightInd w:val="0"/>
              <w:spacing w:after="40"/>
              <w:ind w:left="57"/>
              <w:textAlignment w:val="baseline"/>
              <w:rPr>
                <w:rFonts w:cs="Arial"/>
                <w:sz w:val="18"/>
                <w:szCs w:val="20"/>
                <w:lang w:val="pt-PT"/>
              </w:rPr>
            </w:pPr>
            <w:r w:rsidRPr="00D50F76">
              <w:rPr>
                <w:position w:val="4"/>
                <w:sz w:val="16"/>
                <w:lang w:val="pt-PT"/>
              </w:rPr>
              <w:t>*)</w:t>
            </w:r>
            <w:r w:rsidRPr="00D50F76">
              <w:rPr>
                <w:lang w:val="pt-PT"/>
              </w:rPr>
              <w:tab/>
            </w:r>
            <w:r w:rsidRPr="00D50F76">
              <w:rPr>
                <w:sz w:val="16"/>
                <w:lang w:val="pt-PT"/>
              </w:rPr>
              <w:t>A nem kívánt rész törlendő.</w:t>
            </w:r>
          </w:p>
        </w:tc>
      </w:tr>
    </w:tbl>
    <w:p w:rsidR="005624E3" w:rsidRPr="00842442" w:rsidRDefault="005624E3" w:rsidP="005624E3">
      <w:pPr>
        <w:tabs>
          <w:tab w:val="left" w:leader="dot" w:pos="2835"/>
          <w:tab w:val="left" w:leader="dot" w:pos="5103"/>
        </w:tabs>
        <w:overflowPunct w:val="0"/>
        <w:adjustRightInd w:val="0"/>
        <w:textAlignment w:val="baseline"/>
        <w:rPr>
          <w:rFonts w:cs="Arial"/>
          <w:szCs w:val="20"/>
          <w:lang w:val="pt-PT"/>
        </w:rPr>
      </w:pPr>
      <w:r w:rsidRPr="00842442">
        <w:rPr>
          <w:lang w:val="pt-PT"/>
        </w:rPr>
        <w:br w:type="page"/>
        <w:t xml:space="preserve">Az ellenőrző szerv által kiadott .......... számú belvízi hajóbizonyítvány </w:t>
      </w:r>
      <w:r w:rsidRPr="00842442">
        <w:rPr>
          <w:lang w:val="pt-PT"/>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5624E3" w:rsidRPr="00C903F8" w:rsidTr="00AA2973">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60"/>
              <w:textAlignment w:val="baseline"/>
              <w:rPr>
                <w:rFonts w:cs="Arial"/>
                <w:sz w:val="18"/>
                <w:szCs w:val="20"/>
              </w:rPr>
            </w:pPr>
            <w:r>
              <w:rPr>
                <w:sz w:val="18"/>
              </w:rPr>
              <w:t>49.</w:t>
            </w:r>
          </w:p>
        </w:tc>
        <w:tc>
          <w:tcPr>
            <w:tcW w:w="8902" w:type="dxa"/>
            <w:tcBorders>
              <w:top w:val="single" w:sz="6" w:space="0" w:color="auto"/>
              <w:bottom w:val="single" w:sz="6" w:space="0" w:color="auto"/>
              <w:right w:val="single" w:sz="6" w:space="0" w:color="auto"/>
            </w:tcBorders>
          </w:tcPr>
          <w:p w:rsidR="005624E3" w:rsidRPr="00C903F8" w:rsidRDefault="005624E3" w:rsidP="00101A80">
            <w:pPr>
              <w:tabs>
                <w:tab w:val="left" w:pos="4310"/>
                <w:tab w:val="left" w:leader="dot" w:pos="8505"/>
              </w:tabs>
              <w:overflowPunct w:val="0"/>
              <w:adjustRightInd w:val="0"/>
              <w:spacing w:before="60"/>
              <w:ind w:left="57"/>
              <w:textAlignment w:val="baseline"/>
              <w:rPr>
                <w:rFonts w:cs="Arial"/>
                <w:b/>
                <w:position w:val="6"/>
                <w:sz w:val="16"/>
                <w:szCs w:val="20"/>
              </w:rPr>
            </w:pPr>
            <w:r>
              <w:rPr>
                <w:b/>
                <w:sz w:val="18"/>
              </w:rPr>
              <w:t>A belvízi hajóbizonyítvány érvényességének</w:t>
            </w:r>
            <w:r>
              <w:rPr>
                <w:b/>
                <w:position w:val="6"/>
                <w:sz w:val="16"/>
              </w:rPr>
              <w:t>*)</w:t>
            </w:r>
            <w:r>
              <w:rPr>
                <w:b/>
                <w:sz w:val="18"/>
              </w:rPr>
              <w:t xml:space="preserve"> meghosszabbítása / megerősítése</w:t>
            </w:r>
            <w:r>
              <w:rPr>
                <w:b/>
                <w:position w:val="6"/>
                <w:sz w:val="16"/>
              </w:rPr>
              <w:t xml:space="preserve">*) </w:t>
            </w:r>
            <w:r>
              <w:rPr>
                <w:b/>
                <w:sz w:val="18"/>
              </w:rPr>
              <w:t>Időszakos/rendkívüli</w:t>
            </w:r>
            <w:r>
              <w:rPr>
                <w:b/>
                <w:position w:val="6"/>
                <w:sz w:val="16"/>
              </w:rPr>
              <w:t xml:space="preserve">*) </w:t>
            </w:r>
            <w:r w:rsidR="00AA2973">
              <w:rPr>
                <w:b/>
                <w:sz w:val="18"/>
              </w:rPr>
              <w:t>vizsgálat</w:t>
            </w:r>
          </w:p>
          <w:p w:rsidR="005624E3" w:rsidRPr="00C903F8" w:rsidRDefault="005624E3" w:rsidP="00101A80">
            <w:pPr>
              <w:tabs>
                <w:tab w:val="left" w:leader="dot" w:pos="5103"/>
                <w:tab w:val="left" w:leader="dot" w:pos="8505"/>
              </w:tabs>
              <w:overflowPunct w:val="0"/>
              <w:adjustRightInd w:val="0"/>
              <w:ind w:left="57"/>
              <w:textAlignment w:val="baseline"/>
              <w:rPr>
                <w:rFonts w:cs="Arial"/>
                <w:sz w:val="18"/>
                <w:szCs w:val="20"/>
              </w:rPr>
            </w:pPr>
            <w:r>
              <w:rPr>
                <w:sz w:val="18"/>
              </w:rPr>
              <w:t>Az ellenőrző szerv a hajót ......... -án/-én megvizsgálta</w:t>
            </w:r>
            <w:r>
              <w:tab/>
            </w:r>
            <w:r>
              <w:rPr>
                <w:position w:val="6"/>
                <w:sz w:val="16"/>
              </w:rPr>
              <w:t>*)</w:t>
            </w:r>
            <w:r>
              <w:rPr>
                <w:sz w:val="18"/>
              </w:rPr>
              <w:t>.</w:t>
            </w:r>
          </w:p>
          <w:p w:rsidR="005624E3" w:rsidRPr="00C903F8" w:rsidRDefault="005624E3" w:rsidP="00101A80">
            <w:pPr>
              <w:tabs>
                <w:tab w:val="left" w:leader="dot" w:pos="3686"/>
                <w:tab w:val="left" w:leader="dot" w:pos="8505"/>
              </w:tabs>
              <w:overflowPunct w:val="0"/>
              <w:adjustRightInd w:val="0"/>
              <w:spacing w:before="20" w:after="20"/>
              <w:ind w:left="57"/>
              <w:textAlignment w:val="baseline"/>
              <w:rPr>
                <w:rFonts w:cs="Arial"/>
                <w:sz w:val="18"/>
                <w:szCs w:val="20"/>
              </w:rPr>
            </w:pPr>
            <w:r>
              <w:rPr>
                <w:sz w:val="18"/>
              </w:rPr>
              <w:t>A(z)</w:t>
            </w:r>
            <w:r>
              <w:t xml:space="preserve"> ................................................................................................................................................................</w:t>
            </w:r>
            <w:r>
              <w:rPr>
                <w:sz w:val="18"/>
              </w:rPr>
              <w:t>elismert hajóosztályozó társaság</w:t>
            </w:r>
            <w:r>
              <w:t xml:space="preserve"> .......................................................................................................</w:t>
            </w:r>
            <w:r>
              <w:rPr>
                <w:noProof/>
                <w:sz w:val="18"/>
              </w:rPr>
              <w:t xml:space="preserve">-án/-én kelt tanúsítványát </w:t>
            </w:r>
            <w:r>
              <w:tab/>
            </w:r>
          </w:p>
          <w:p w:rsidR="005624E3" w:rsidRPr="00C903F8" w:rsidRDefault="005624E3" w:rsidP="00101A80">
            <w:pPr>
              <w:tabs>
                <w:tab w:val="left" w:leader="dot" w:pos="8505"/>
              </w:tabs>
              <w:overflowPunct w:val="0"/>
              <w:adjustRightInd w:val="0"/>
              <w:ind w:left="57"/>
              <w:textAlignment w:val="baseline"/>
              <w:rPr>
                <w:rFonts w:cs="Arial"/>
                <w:sz w:val="18"/>
                <w:szCs w:val="20"/>
              </w:rPr>
            </w:pPr>
            <w:r>
              <w:tab/>
            </w:r>
          </w:p>
          <w:p w:rsidR="005624E3" w:rsidRPr="00C903F8" w:rsidRDefault="005624E3" w:rsidP="00101A80">
            <w:pPr>
              <w:overflowPunct w:val="0"/>
              <w:adjustRightInd w:val="0"/>
              <w:spacing w:after="20"/>
              <w:ind w:left="57"/>
              <w:textAlignment w:val="baseline"/>
              <w:rPr>
                <w:rFonts w:cs="Arial"/>
                <w:sz w:val="18"/>
                <w:szCs w:val="20"/>
              </w:rPr>
            </w:pPr>
            <w:r>
              <w:rPr>
                <w:noProof/>
                <w:sz w:val="18"/>
              </w:rPr>
              <w:t>bemutatták az ellenőrző szervnek</w:t>
            </w:r>
            <w:r>
              <w:rPr>
                <w:position w:val="6"/>
                <w:sz w:val="16"/>
              </w:rPr>
              <w:t>*)</w:t>
            </w:r>
            <w:r>
              <w:rPr>
                <w:sz w:val="18"/>
              </w:rPr>
              <w:t>.</w:t>
            </w:r>
          </w:p>
          <w:p w:rsidR="005624E3" w:rsidRPr="00C903F8" w:rsidRDefault="005624E3" w:rsidP="00101A80">
            <w:pPr>
              <w:overflowPunct w:val="0"/>
              <w:adjustRightInd w:val="0"/>
              <w:spacing w:after="20"/>
              <w:ind w:left="57"/>
              <w:textAlignment w:val="baseline"/>
              <w:rPr>
                <w:rFonts w:cs="Arial"/>
                <w:sz w:val="18"/>
                <w:szCs w:val="20"/>
              </w:rPr>
            </w:pPr>
            <w:r>
              <w:rPr>
                <w:noProof/>
                <w:sz w:val="18"/>
              </w:rPr>
              <w:t xml:space="preserve">A </w:t>
            </w:r>
            <w:r w:rsidR="0092642D">
              <w:rPr>
                <w:noProof/>
                <w:sz w:val="18"/>
              </w:rPr>
              <w:t xml:space="preserve">vizsgálat </w:t>
            </w:r>
            <w:r>
              <w:rPr>
                <w:noProof/>
                <w:sz w:val="18"/>
              </w:rPr>
              <w:t>elvégzésének / a tanúsítvány bemutatásának oka</w:t>
            </w:r>
            <w:r>
              <w:rPr>
                <w:position w:val="6"/>
                <w:sz w:val="16"/>
              </w:rPr>
              <w:t>*)</w:t>
            </w:r>
            <w:r>
              <w:rPr>
                <w:sz w:val="18"/>
              </w:rPr>
              <w:t>:</w:t>
            </w:r>
          </w:p>
          <w:p w:rsidR="005624E3" w:rsidRPr="00C903F8" w:rsidRDefault="005624E3" w:rsidP="00101A80">
            <w:pPr>
              <w:tabs>
                <w:tab w:val="left" w:leader="dot" w:pos="8505"/>
              </w:tabs>
              <w:overflowPunct w:val="0"/>
              <w:adjustRightInd w:val="0"/>
              <w:spacing w:after="8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rPr>
                <w:sz w:val="18"/>
              </w:rPr>
              <w:t xml:space="preserve">A </w:t>
            </w:r>
            <w:r w:rsidR="0092642D">
              <w:rPr>
                <w:sz w:val="18"/>
              </w:rPr>
              <w:t xml:space="preserve">vizsgálat </w:t>
            </w:r>
            <w:r>
              <w:rPr>
                <w:sz w:val="18"/>
              </w:rPr>
              <w:t>eredménye / a tanúsítvány alapján a hajóbizonyítvány érvényes marad / a hajóbizonyítvány érvényessége meghosszabbításra kerül</w:t>
            </w:r>
            <w:r>
              <w:t xml:space="preserve"> </w:t>
            </w:r>
            <w:r>
              <w:rPr>
                <w:position w:val="6"/>
                <w:sz w:val="16"/>
              </w:rPr>
              <w:t>*)</w:t>
            </w:r>
          </w:p>
          <w:p w:rsidR="005624E3" w:rsidRPr="00C903F8" w:rsidRDefault="005624E3" w:rsidP="00101A80">
            <w:pPr>
              <w:tabs>
                <w:tab w:val="left" w:leader="dot" w:pos="2268"/>
                <w:tab w:val="left" w:leader="dot" w:pos="3402"/>
                <w:tab w:val="left" w:leader="dot" w:pos="8505"/>
              </w:tabs>
              <w:overflowPunct w:val="0"/>
              <w:adjustRightInd w:val="0"/>
              <w:ind w:left="57"/>
              <w:textAlignment w:val="baseline"/>
              <w:rPr>
                <w:rFonts w:cs="Arial"/>
                <w:sz w:val="18"/>
                <w:szCs w:val="20"/>
              </w:rPr>
            </w:pPr>
            <w:r>
              <w:rPr>
                <w:sz w:val="18"/>
              </w:rPr>
              <w:t xml:space="preserve">.......-ig </w:t>
            </w:r>
            <w:r>
              <w:tab/>
            </w:r>
            <w:r>
              <w:rPr>
                <w:sz w:val="18"/>
              </w:rPr>
              <w:t xml:space="preserve"> .</w:t>
            </w:r>
          </w:p>
          <w:p w:rsidR="005624E3" w:rsidRPr="00C903F8" w:rsidRDefault="005624E3" w:rsidP="00101A80">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rPr>
            </w:pPr>
            <w:r>
              <w:tab/>
            </w:r>
            <w:r>
              <w:rPr>
                <w:sz w:val="18"/>
              </w:rPr>
              <w:t xml:space="preserve">, </w:t>
            </w:r>
            <w:r>
              <w:tab/>
            </w:r>
          </w:p>
          <w:p w:rsidR="005624E3" w:rsidRPr="00C903F8" w:rsidRDefault="005624E3" w:rsidP="00101A80">
            <w:pPr>
              <w:tabs>
                <w:tab w:val="center" w:pos="2041"/>
                <w:tab w:val="center" w:pos="5216"/>
              </w:tabs>
              <w:overflowPunct w:val="0"/>
              <w:adjustRightInd w:val="0"/>
              <w:textAlignment w:val="baseline"/>
              <w:rPr>
                <w:rFonts w:cs="Arial"/>
                <w:sz w:val="18"/>
                <w:szCs w:val="20"/>
              </w:rPr>
            </w:pPr>
            <w:r>
              <w:tab/>
            </w:r>
            <w:r>
              <w:rPr>
                <w:sz w:val="16"/>
              </w:rPr>
              <w:t>(Hely)</w:t>
            </w:r>
            <w:r>
              <w:tab/>
            </w:r>
            <w:r>
              <w:rPr>
                <w:sz w:val="16"/>
              </w:rPr>
              <w:t>(Dátum)</w:t>
            </w:r>
          </w:p>
          <w:p w:rsidR="005624E3" w:rsidRPr="00C903F8" w:rsidRDefault="005624E3" w:rsidP="00101A80">
            <w:pPr>
              <w:tabs>
                <w:tab w:val="left" w:pos="4820"/>
                <w:tab w:val="left" w:leader="dot" w:pos="8505"/>
              </w:tabs>
              <w:overflowPunct w:val="0"/>
              <w:adjustRightInd w:val="0"/>
              <w:spacing w:before="120"/>
              <w:ind w:left="57"/>
              <w:textAlignment w:val="baseline"/>
              <w:rPr>
                <w:rFonts w:cs="Arial"/>
                <w:sz w:val="18"/>
                <w:szCs w:val="20"/>
              </w:rPr>
            </w:pPr>
            <w:r>
              <w:tab/>
            </w:r>
            <w:r>
              <w:tab/>
            </w:r>
          </w:p>
          <w:p w:rsidR="005624E3" w:rsidRPr="00C903F8" w:rsidRDefault="005624E3" w:rsidP="00101A80">
            <w:pPr>
              <w:tabs>
                <w:tab w:val="center" w:pos="1985"/>
                <w:tab w:val="center" w:pos="6662"/>
              </w:tabs>
              <w:overflowPunct w:val="0"/>
              <w:adjustRightInd w:val="0"/>
              <w:textAlignment w:val="baseline"/>
              <w:rPr>
                <w:rFonts w:cs="Arial"/>
                <w:sz w:val="18"/>
                <w:szCs w:val="20"/>
              </w:rPr>
            </w:pPr>
            <w:r>
              <w:tab/>
            </w:r>
            <w:r>
              <w:rPr>
                <w:sz w:val="16"/>
              </w:rPr>
              <w:t>Bélyegző</w:t>
            </w:r>
            <w:r>
              <w:tab/>
            </w:r>
            <w:r>
              <w:rPr>
                <w:sz w:val="16"/>
              </w:rPr>
              <w:t>Ellenőrző szerv</w:t>
            </w:r>
          </w:p>
          <w:p w:rsidR="005624E3" w:rsidRPr="00C903F8" w:rsidRDefault="005624E3" w:rsidP="00101A80">
            <w:pPr>
              <w:tabs>
                <w:tab w:val="left" w:pos="4820"/>
                <w:tab w:val="left" w:leader="dot" w:pos="8505"/>
              </w:tabs>
              <w:overflowPunct w:val="0"/>
              <w:adjustRightInd w:val="0"/>
              <w:textAlignment w:val="baseline"/>
              <w:rPr>
                <w:rFonts w:cs="Arial"/>
                <w:sz w:val="18"/>
                <w:szCs w:val="20"/>
              </w:rPr>
            </w:pPr>
            <w:r>
              <w:tab/>
            </w:r>
            <w:r>
              <w:tab/>
            </w:r>
          </w:p>
          <w:p w:rsidR="005624E3" w:rsidRPr="009616BC" w:rsidRDefault="005624E3" w:rsidP="00101A80">
            <w:pPr>
              <w:tabs>
                <w:tab w:val="center" w:pos="6662"/>
              </w:tabs>
              <w:overflowPunct w:val="0"/>
              <w:adjustRightInd w:val="0"/>
              <w:ind w:left="57"/>
              <w:textAlignment w:val="baseline"/>
              <w:rPr>
                <w:rFonts w:cs="Arial"/>
                <w:sz w:val="16"/>
                <w:szCs w:val="20"/>
              </w:rPr>
            </w:pPr>
            <w:r>
              <w:rPr>
                <w:sz w:val="18"/>
              </w:rPr>
              <w:t>______________________</w:t>
            </w:r>
            <w:r>
              <w:tab/>
            </w:r>
            <w:r>
              <w:rPr>
                <w:sz w:val="16"/>
              </w:rPr>
              <w:t>(Aláírás)</w:t>
            </w:r>
          </w:p>
          <w:p w:rsidR="005624E3" w:rsidRPr="00C903F8" w:rsidRDefault="005624E3" w:rsidP="00101A80">
            <w:pPr>
              <w:tabs>
                <w:tab w:val="left" w:pos="57"/>
                <w:tab w:val="left" w:pos="227"/>
                <w:tab w:val="left" w:pos="5670"/>
                <w:tab w:val="left" w:leader="dot" w:pos="8505"/>
              </w:tabs>
              <w:overflowPunct w:val="0"/>
              <w:adjustRightInd w:val="0"/>
              <w:spacing w:after="40"/>
              <w:ind w:left="57" w:hanging="57"/>
              <w:textAlignment w:val="baseline"/>
              <w:rPr>
                <w:rFonts w:cs="Arial"/>
                <w:sz w:val="18"/>
                <w:szCs w:val="20"/>
              </w:rPr>
            </w:pPr>
            <w:r>
              <w:rPr>
                <w:position w:val="4"/>
                <w:sz w:val="16"/>
                <w:vertAlign w:val="superscript"/>
              </w:rPr>
              <w:t>*)</w:t>
            </w:r>
            <w:r>
              <w:tab/>
            </w:r>
            <w:r>
              <w:rPr>
                <w:sz w:val="16"/>
              </w:rPr>
              <w:t>A nem kívánt rész törlendő.</w:t>
            </w:r>
          </w:p>
        </w:tc>
      </w:tr>
      <w:tr w:rsidR="005624E3" w:rsidRPr="00C903F8" w:rsidTr="00AA2973">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60"/>
              <w:textAlignment w:val="baseline"/>
              <w:rPr>
                <w:rFonts w:cs="Arial"/>
                <w:sz w:val="18"/>
                <w:szCs w:val="20"/>
              </w:rPr>
            </w:pPr>
            <w:r>
              <w:rPr>
                <w:sz w:val="18"/>
              </w:rPr>
              <w:t>49.</w:t>
            </w:r>
          </w:p>
        </w:tc>
        <w:tc>
          <w:tcPr>
            <w:tcW w:w="8902" w:type="dxa"/>
            <w:tcBorders>
              <w:top w:val="single" w:sz="6" w:space="0" w:color="auto"/>
              <w:bottom w:val="single" w:sz="6" w:space="0" w:color="auto"/>
              <w:right w:val="single" w:sz="6" w:space="0" w:color="auto"/>
            </w:tcBorders>
          </w:tcPr>
          <w:p w:rsidR="005624E3" w:rsidRPr="00C903F8" w:rsidRDefault="005624E3" w:rsidP="00101A80">
            <w:pPr>
              <w:tabs>
                <w:tab w:val="left" w:pos="4310"/>
                <w:tab w:val="left" w:leader="dot" w:pos="8505"/>
              </w:tabs>
              <w:overflowPunct w:val="0"/>
              <w:adjustRightInd w:val="0"/>
              <w:spacing w:before="60"/>
              <w:ind w:left="57"/>
              <w:textAlignment w:val="baseline"/>
              <w:rPr>
                <w:rFonts w:cs="Arial"/>
                <w:b/>
                <w:position w:val="6"/>
                <w:sz w:val="16"/>
                <w:szCs w:val="20"/>
              </w:rPr>
            </w:pPr>
            <w:r>
              <w:rPr>
                <w:b/>
                <w:sz w:val="18"/>
              </w:rPr>
              <w:t>A belvízi hajóbizonyítvány érvényességének</w:t>
            </w:r>
            <w:r>
              <w:rPr>
                <w:b/>
                <w:position w:val="6"/>
                <w:sz w:val="16"/>
              </w:rPr>
              <w:t>*)</w:t>
            </w:r>
            <w:r>
              <w:rPr>
                <w:b/>
                <w:sz w:val="18"/>
              </w:rPr>
              <w:t xml:space="preserve"> meghosszabbítása / megerősítése</w:t>
            </w:r>
            <w:r>
              <w:rPr>
                <w:b/>
                <w:position w:val="6"/>
                <w:sz w:val="16"/>
              </w:rPr>
              <w:t xml:space="preserve">*) </w:t>
            </w:r>
            <w:r>
              <w:rPr>
                <w:b/>
                <w:sz w:val="18"/>
              </w:rPr>
              <w:t>Időszakos/rendkívüli</w:t>
            </w:r>
            <w:r>
              <w:rPr>
                <w:b/>
                <w:position w:val="6"/>
                <w:sz w:val="16"/>
              </w:rPr>
              <w:t xml:space="preserve">*) </w:t>
            </w:r>
            <w:r w:rsidR="00AA2973">
              <w:rPr>
                <w:b/>
                <w:sz w:val="18"/>
              </w:rPr>
              <w:t>vizsgálat</w:t>
            </w:r>
          </w:p>
          <w:p w:rsidR="005624E3" w:rsidRPr="00C903F8" w:rsidRDefault="005624E3" w:rsidP="00101A80">
            <w:pPr>
              <w:tabs>
                <w:tab w:val="left" w:leader="dot" w:pos="5103"/>
                <w:tab w:val="left" w:leader="dot" w:pos="8505"/>
              </w:tabs>
              <w:overflowPunct w:val="0"/>
              <w:adjustRightInd w:val="0"/>
              <w:spacing w:before="20"/>
              <w:ind w:left="57"/>
              <w:textAlignment w:val="baseline"/>
              <w:rPr>
                <w:rFonts w:cs="Arial"/>
                <w:sz w:val="18"/>
                <w:szCs w:val="20"/>
              </w:rPr>
            </w:pPr>
            <w:r>
              <w:rPr>
                <w:sz w:val="18"/>
              </w:rPr>
              <w:t>Az ellenőrző szerv a hajót ......... -án/-én megvizsgálta</w:t>
            </w:r>
            <w:r>
              <w:tab/>
            </w:r>
            <w:r>
              <w:rPr>
                <w:position w:val="6"/>
                <w:sz w:val="16"/>
              </w:rPr>
              <w:t>*)</w:t>
            </w:r>
            <w:r>
              <w:rPr>
                <w:sz w:val="18"/>
              </w:rPr>
              <w:t>.</w:t>
            </w:r>
          </w:p>
          <w:p w:rsidR="005624E3" w:rsidRPr="00C903F8" w:rsidRDefault="005624E3" w:rsidP="00101A80">
            <w:pPr>
              <w:tabs>
                <w:tab w:val="left" w:leader="dot" w:pos="3686"/>
                <w:tab w:val="left" w:leader="dot" w:pos="8505"/>
              </w:tabs>
              <w:overflowPunct w:val="0"/>
              <w:adjustRightInd w:val="0"/>
              <w:spacing w:before="20" w:after="20"/>
              <w:ind w:left="57"/>
              <w:textAlignment w:val="baseline"/>
              <w:rPr>
                <w:rFonts w:cs="Arial"/>
                <w:sz w:val="18"/>
                <w:szCs w:val="20"/>
              </w:rPr>
            </w:pPr>
            <w:r>
              <w:rPr>
                <w:sz w:val="18"/>
              </w:rPr>
              <w:t>A(z)</w:t>
            </w:r>
            <w:r>
              <w:t xml:space="preserve"> ................................................................................................................................................................</w:t>
            </w:r>
            <w:r>
              <w:rPr>
                <w:noProof/>
                <w:sz w:val="18"/>
              </w:rPr>
              <w:t>elismert hajóosztályozó társaság</w:t>
            </w:r>
            <w:r>
              <w:t xml:space="preserve"> .......................................................................................................</w:t>
            </w:r>
            <w:r>
              <w:rPr>
                <w:noProof/>
                <w:sz w:val="18"/>
              </w:rPr>
              <w:t>-án/-én kelt tanúsítványát</w:t>
            </w:r>
          </w:p>
          <w:p w:rsidR="005624E3" w:rsidRPr="00C903F8" w:rsidRDefault="005624E3" w:rsidP="00101A80">
            <w:pPr>
              <w:tabs>
                <w:tab w:val="left" w:leader="dot" w:pos="8505"/>
              </w:tabs>
              <w:overflowPunct w:val="0"/>
              <w:adjustRightInd w:val="0"/>
              <w:ind w:left="57"/>
              <w:textAlignment w:val="baseline"/>
              <w:rPr>
                <w:rFonts w:cs="Arial"/>
                <w:sz w:val="18"/>
                <w:szCs w:val="20"/>
              </w:rPr>
            </w:pPr>
          </w:p>
          <w:p w:rsidR="005624E3" w:rsidRPr="00C903F8" w:rsidRDefault="005624E3" w:rsidP="00101A80">
            <w:pPr>
              <w:overflowPunct w:val="0"/>
              <w:adjustRightInd w:val="0"/>
              <w:spacing w:after="20"/>
              <w:ind w:left="57"/>
              <w:textAlignment w:val="baseline"/>
              <w:rPr>
                <w:rFonts w:cs="Arial"/>
                <w:sz w:val="18"/>
                <w:szCs w:val="20"/>
              </w:rPr>
            </w:pPr>
            <w:r>
              <w:rPr>
                <w:noProof/>
                <w:sz w:val="18"/>
              </w:rPr>
              <w:t>bemutatták az ellenőrző szervnek</w:t>
            </w:r>
            <w:r>
              <w:rPr>
                <w:position w:val="6"/>
                <w:sz w:val="16"/>
              </w:rPr>
              <w:t>*)</w:t>
            </w:r>
            <w:r>
              <w:rPr>
                <w:sz w:val="18"/>
              </w:rPr>
              <w:t>.</w:t>
            </w:r>
          </w:p>
          <w:p w:rsidR="005624E3" w:rsidRPr="00C903F8" w:rsidRDefault="005624E3" w:rsidP="00101A80">
            <w:pPr>
              <w:overflowPunct w:val="0"/>
              <w:adjustRightInd w:val="0"/>
              <w:spacing w:after="20"/>
              <w:ind w:left="57"/>
              <w:textAlignment w:val="baseline"/>
              <w:rPr>
                <w:rFonts w:cs="Arial"/>
                <w:sz w:val="18"/>
                <w:szCs w:val="20"/>
              </w:rPr>
            </w:pPr>
            <w:r>
              <w:rPr>
                <w:noProof/>
                <w:sz w:val="18"/>
              </w:rPr>
              <w:t xml:space="preserve">A </w:t>
            </w:r>
            <w:r w:rsidR="0092642D">
              <w:rPr>
                <w:noProof/>
                <w:sz w:val="18"/>
              </w:rPr>
              <w:t xml:space="preserve">vizsgálat </w:t>
            </w:r>
            <w:r>
              <w:rPr>
                <w:noProof/>
                <w:sz w:val="18"/>
              </w:rPr>
              <w:t>elvégzésének / a tanúsítvány bemutatásának oka</w:t>
            </w:r>
            <w:r>
              <w:rPr>
                <w:position w:val="6"/>
                <w:sz w:val="16"/>
              </w:rPr>
              <w:t>*)</w:t>
            </w:r>
            <w:r>
              <w:rPr>
                <w:sz w:val="18"/>
              </w:rPr>
              <w:t>:</w:t>
            </w:r>
          </w:p>
          <w:p w:rsidR="005624E3" w:rsidRPr="00C903F8" w:rsidRDefault="005624E3" w:rsidP="00101A80">
            <w:pPr>
              <w:tabs>
                <w:tab w:val="left" w:leader="dot" w:pos="8505"/>
              </w:tabs>
              <w:overflowPunct w:val="0"/>
              <w:adjustRightInd w:val="0"/>
              <w:spacing w:after="8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rPr>
                <w:sz w:val="18"/>
              </w:rPr>
              <w:t xml:space="preserve">A </w:t>
            </w:r>
            <w:r w:rsidR="0092642D">
              <w:rPr>
                <w:sz w:val="18"/>
              </w:rPr>
              <w:t xml:space="preserve">vizsgálat </w:t>
            </w:r>
            <w:r>
              <w:rPr>
                <w:sz w:val="18"/>
              </w:rPr>
              <w:t>eredménye / a tanúsítvány alapján a hajóbizonyítvány érvényes marad / a hajóbizonyítvány érvényessége meghosszabbításra kerül</w:t>
            </w:r>
            <w:r>
              <w:t xml:space="preserve"> </w:t>
            </w:r>
            <w:r>
              <w:rPr>
                <w:position w:val="6"/>
                <w:sz w:val="16"/>
              </w:rPr>
              <w:t>*)</w:t>
            </w:r>
          </w:p>
          <w:p w:rsidR="005624E3" w:rsidRPr="00C903F8" w:rsidRDefault="005624E3" w:rsidP="00101A80">
            <w:pPr>
              <w:tabs>
                <w:tab w:val="left" w:leader="dot" w:pos="2268"/>
                <w:tab w:val="left" w:leader="dot" w:pos="3402"/>
                <w:tab w:val="left" w:leader="dot" w:pos="8505"/>
              </w:tabs>
              <w:overflowPunct w:val="0"/>
              <w:adjustRightInd w:val="0"/>
              <w:ind w:left="57"/>
              <w:textAlignment w:val="baseline"/>
              <w:rPr>
                <w:rFonts w:cs="Arial"/>
                <w:sz w:val="18"/>
                <w:szCs w:val="20"/>
              </w:rPr>
            </w:pPr>
            <w:r>
              <w:tab/>
            </w:r>
            <w:r>
              <w:rPr>
                <w:sz w:val="18"/>
              </w:rPr>
              <w:t xml:space="preserve"> -ig.</w:t>
            </w:r>
          </w:p>
          <w:p w:rsidR="005624E3" w:rsidRPr="00C903F8" w:rsidRDefault="005624E3" w:rsidP="00101A80">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rPr>
            </w:pPr>
            <w:r>
              <w:tab/>
            </w:r>
            <w:r>
              <w:rPr>
                <w:sz w:val="18"/>
              </w:rPr>
              <w:t xml:space="preserve">, </w:t>
            </w:r>
            <w:r>
              <w:tab/>
            </w:r>
          </w:p>
          <w:p w:rsidR="005624E3" w:rsidRPr="00C903F8" w:rsidRDefault="005624E3" w:rsidP="00101A80">
            <w:pPr>
              <w:tabs>
                <w:tab w:val="center" w:pos="2041"/>
                <w:tab w:val="center" w:pos="5216"/>
              </w:tabs>
              <w:overflowPunct w:val="0"/>
              <w:adjustRightInd w:val="0"/>
              <w:textAlignment w:val="baseline"/>
              <w:rPr>
                <w:rFonts w:cs="Arial"/>
                <w:sz w:val="18"/>
                <w:szCs w:val="20"/>
              </w:rPr>
            </w:pPr>
            <w:r>
              <w:tab/>
            </w:r>
            <w:r>
              <w:rPr>
                <w:sz w:val="16"/>
              </w:rPr>
              <w:t>(Hely)</w:t>
            </w:r>
            <w:r>
              <w:tab/>
            </w:r>
            <w:r>
              <w:rPr>
                <w:sz w:val="16"/>
              </w:rPr>
              <w:t>(Dátum)</w:t>
            </w:r>
          </w:p>
          <w:p w:rsidR="005624E3" w:rsidRPr="00C903F8" w:rsidRDefault="005624E3" w:rsidP="00101A80">
            <w:pPr>
              <w:tabs>
                <w:tab w:val="left" w:pos="4820"/>
                <w:tab w:val="left" w:leader="dot" w:pos="8505"/>
              </w:tabs>
              <w:overflowPunct w:val="0"/>
              <w:adjustRightInd w:val="0"/>
              <w:spacing w:before="120"/>
              <w:ind w:left="57"/>
              <w:textAlignment w:val="baseline"/>
              <w:rPr>
                <w:rFonts w:cs="Arial"/>
                <w:sz w:val="18"/>
                <w:szCs w:val="20"/>
              </w:rPr>
            </w:pPr>
            <w:r>
              <w:tab/>
            </w:r>
            <w:r>
              <w:tab/>
            </w:r>
          </w:p>
          <w:p w:rsidR="005624E3" w:rsidRPr="00C903F8" w:rsidRDefault="005624E3" w:rsidP="00101A80">
            <w:pPr>
              <w:tabs>
                <w:tab w:val="center" w:pos="1985"/>
                <w:tab w:val="center" w:pos="6662"/>
              </w:tabs>
              <w:overflowPunct w:val="0"/>
              <w:adjustRightInd w:val="0"/>
              <w:textAlignment w:val="baseline"/>
              <w:rPr>
                <w:rFonts w:cs="Arial"/>
                <w:sz w:val="18"/>
                <w:szCs w:val="20"/>
              </w:rPr>
            </w:pPr>
            <w:r>
              <w:tab/>
            </w:r>
            <w:r>
              <w:rPr>
                <w:sz w:val="16"/>
              </w:rPr>
              <w:t>Bélyegző</w:t>
            </w:r>
            <w:r>
              <w:tab/>
            </w:r>
            <w:r>
              <w:rPr>
                <w:sz w:val="16"/>
              </w:rPr>
              <w:t>Ellenőrző szerv</w:t>
            </w:r>
          </w:p>
          <w:p w:rsidR="005624E3" w:rsidRPr="00C903F8" w:rsidRDefault="005624E3" w:rsidP="00101A80">
            <w:pPr>
              <w:tabs>
                <w:tab w:val="left" w:pos="4820"/>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6662"/>
              </w:tabs>
              <w:overflowPunct w:val="0"/>
              <w:adjustRightInd w:val="0"/>
              <w:ind w:left="57"/>
              <w:textAlignment w:val="baseline"/>
              <w:rPr>
                <w:rFonts w:cs="Arial"/>
                <w:sz w:val="16"/>
                <w:szCs w:val="20"/>
              </w:rPr>
            </w:pPr>
            <w:r>
              <w:rPr>
                <w:sz w:val="18"/>
              </w:rPr>
              <w:t>______________________</w:t>
            </w:r>
            <w:r>
              <w:tab/>
            </w:r>
            <w:r>
              <w:rPr>
                <w:sz w:val="16"/>
              </w:rPr>
              <w:t>(Aláírás)</w:t>
            </w:r>
          </w:p>
          <w:p w:rsidR="005624E3" w:rsidRPr="00C903F8" w:rsidRDefault="005624E3" w:rsidP="00101A80">
            <w:pPr>
              <w:tabs>
                <w:tab w:val="left" w:pos="57"/>
                <w:tab w:val="left" w:pos="227"/>
                <w:tab w:val="left" w:pos="5670"/>
                <w:tab w:val="left" w:leader="dot" w:pos="8505"/>
              </w:tabs>
              <w:overflowPunct w:val="0"/>
              <w:adjustRightInd w:val="0"/>
              <w:spacing w:after="40"/>
              <w:ind w:left="57" w:hanging="57"/>
              <w:textAlignment w:val="baseline"/>
              <w:rPr>
                <w:rFonts w:cs="Arial"/>
                <w:sz w:val="18"/>
                <w:szCs w:val="20"/>
              </w:rPr>
            </w:pPr>
            <w:r>
              <w:rPr>
                <w:position w:val="4"/>
                <w:sz w:val="16"/>
                <w:vertAlign w:val="superscript"/>
              </w:rPr>
              <w:t>*)</w:t>
            </w:r>
            <w:r>
              <w:tab/>
            </w:r>
            <w:r>
              <w:rPr>
                <w:sz w:val="16"/>
              </w:rPr>
              <w:t>A nem kívánt rész törlendő.</w:t>
            </w:r>
          </w:p>
        </w:tc>
      </w:tr>
      <w:tr w:rsidR="005624E3" w:rsidRPr="00C903F8" w:rsidTr="00AA2973">
        <w:trPr>
          <w:cantSplit/>
          <w:jc w:val="center"/>
        </w:trPr>
        <w:tc>
          <w:tcPr>
            <w:tcW w:w="284" w:type="dxa"/>
            <w:tcBorders>
              <w:top w:val="single" w:sz="6" w:space="0" w:color="auto"/>
              <w:left w:val="single" w:sz="6" w:space="0" w:color="auto"/>
              <w:bottom w:val="single" w:sz="4" w:space="0" w:color="auto"/>
            </w:tcBorders>
          </w:tcPr>
          <w:p w:rsidR="005624E3" w:rsidRPr="00C903F8" w:rsidRDefault="005624E3" w:rsidP="00101A80">
            <w:pPr>
              <w:tabs>
                <w:tab w:val="left" w:pos="57"/>
                <w:tab w:val="left" w:pos="227"/>
              </w:tabs>
              <w:overflowPunct w:val="0"/>
              <w:adjustRightInd w:val="0"/>
              <w:spacing w:before="60"/>
              <w:textAlignment w:val="baseline"/>
              <w:rPr>
                <w:rFonts w:cs="Arial"/>
                <w:sz w:val="18"/>
                <w:szCs w:val="20"/>
              </w:rPr>
            </w:pPr>
            <w:r>
              <w:rPr>
                <w:sz w:val="18"/>
              </w:rPr>
              <w:t>49.</w:t>
            </w:r>
          </w:p>
        </w:tc>
        <w:tc>
          <w:tcPr>
            <w:tcW w:w="8902" w:type="dxa"/>
            <w:tcBorders>
              <w:top w:val="single" w:sz="6" w:space="0" w:color="auto"/>
              <w:bottom w:val="single" w:sz="4" w:space="0" w:color="auto"/>
              <w:right w:val="single" w:sz="6" w:space="0" w:color="auto"/>
            </w:tcBorders>
          </w:tcPr>
          <w:p w:rsidR="005624E3" w:rsidRPr="00C903F8" w:rsidRDefault="005624E3" w:rsidP="00101A80">
            <w:pPr>
              <w:tabs>
                <w:tab w:val="left" w:pos="4310"/>
                <w:tab w:val="left" w:leader="dot" w:pos="8505"/>
              </w:tabs>
              <w:overflowPunct w:val="0"/>
              <w:adjustRightInd w:val="0"/>
              <w:spacing w:before="60"/>
              <w:ind w:left="57"/>
              <w:textAlignment w:val="baseline"/>
              <w:rPr>
                <w:rFonts w:cs="Arial"/>
                <w:b/>
                <w:position w:val="6"/>
                <w:sz w:val="16"/>
                <w:szCs w:val="20"/>
              </w:rPr>
            </w:pPr>
            <w:r>
              <w:rPr>
                <w:b/>
                <w:sz w:val="18"/>
              </w:rPr>
              <w:t>A belvízi hajóbizonyítvány érvényességének</w:t>
            </w:r>
            <w:r>
              <w:rPr>
                <w:b/>
                <w:position w:val="6"/>
                <w:sz w:val="16"/>
              </w:rPr>
              <w:t>*)</w:t>
            </w:r>
            <w:r>
              <w:rPr>
                <w:b/>
                <w:sz w:val="18"/>
              </w:rPr>
              <w:t xml:space="preserve"> meghosszabbítása / megerősítése</w:t>
            </w:r>
            <w:r>
              <w:rPr>
                <w:b/>
                <w:position w:val="6"/>
                <w:sz w:val="16"/>
              </w:rPr>
              <w:t xml:space="preserve">*) </w:t>
            </w:r>
            <w:r>
              <w:rPr>
                <w:b/>
                <w:sz w:val="18"/>
              </w:rPr>
              <w:t>Időszakos/rendkívüli</w:t>
            </w:r>
            <w:r>
              <w:rPr>
                <w:b/>
                <w:position w:val="6"/>
                <w:sz w:val="16"/>
              </w:rPr>
              <w:t xml:space="preserve">*) </w:t>
            </w:r>
            <w:r w:rsidR="00AA2973">
              <w:rPr>
                <w:b/>
                <w:sz w:val="18"/>
              </w:rPr>
              <w:t>vizsgálat</w:t>
            </w:r>
          </w:p>
          <w:p w:rsidR="005624E3" w:rsidRPr="00C903F8" w:rsidRDefault="005624E3" w:rsidP="00101A80">
            <w:pPr>
              <w:tabs>
                <w:tab w:val="left" w:leader="dot" w:pos="5103"/>
                <w:tab w:val="left" w:leader="dot" w:pos="8505"/>
              </w:tabs>
              <w:overflowPunct w:val="0"/>
              <w:adjustRightInd w:val="0"/>
              <w:spacing w:before="20" w:after="20"/>
              <w:ind w:left="57"/>
              <w:textAlignment w:val="baseline"/>
              <w:rPr>
                <w:rFonts w:cs="Arial"/>
                <w:sz w:val="18"/>
                <w:szCs w:val="20"/>
              </w:rPr>
            </w:pPr>
            <w:r>
              <w:rPr>
                <w:sz w:val="18"/>
              </w:rPr>
              <w:t>Az ellenőrző szerv a hajót ......... -án/-én megvizsgálta</w:t>
            </w:r>
            <w:r>
              <w:tab/>
            </w:r>
            <w:r>
              <w:rPr>
                <w:position w:val="6"/>
                <w:sz w:val="16"/>
              </w:rPr>
              <w:t>*)</w:t>
            </w:r>
            <w:r>
              <w:rPr>
                <w:sz w:val="18"/>
              </w:rPr>
              <w:t>.</w:t>
            </w:r>
          </w:p>
          <w:p w:rsidR="005624E3" w:rsidRPr="00C903F8" w:rsidRDefault="005624E3" w:rsidP="00101A80">
            <w:pPr>
              <w:tabs>
                <w:tab w:val="left" w:leader="dot" w:pos="3686"/>
                <w:tab w:val="left" w:leader="dot" w:pos="8505"/>
              </w:tabs>
              <w:overflowPunct w:val="0"/>
              <w:adjustRightInd w:val="0"/>
              <w:spacing w:before="20" w:after="20"/>
              <w:ind w:left="57"/>
              <w:textAlignment w:val="baseline"/>
              <w:rPr>
                <w:rFonts w:cs="Arial"/>
                <w:sz w:val="18"/>
                <w:szCs w:val="20"/>
              </w:rPr>
            </w:pPr>
            <w:r>
              <w:rPr>
                <w:sz w:val="18"/>
              </w:rPr>
              <w:t>A(z)</w:t>
            </w:r>
            <w:r>
              <w:t xml:space="preserve"> ................................................................................................................................................................</w:t>
            </w:r>
            <w:r>
              <w:rPr>
                <w:noProof/>
                <w:sz w:val="18"/>
              </w:rPr>
              <w:t>elismert hajóosztályozó társaság</w:t>
            </w:r>
            <w:r>
              <w:t xml:space="preserve"> .......................................................................................................</w:t>
            </w:r>
            <w:r>
              <w:rPr>
                <w:noProof/>
                <w:sz w:val="18"/>
              </w:rPr>
              <w:t>-án/-én kelt tanúsítványát</w:t>
            </w:r>
          </w:p>
          <w:p w:rsidR="005624E3" w:rsidRPr="00C903F8" w:rsidRDefault="005624E3" w:rsidP="00101A80">
            <w:pPr>
              <w:tabs>
                <w:tab w:val="left" w:leader="dot" w:pos="8505"/>
              </w:tabs>
              <w:overflowPunct w:val="0"/>
              <w:adjustRightInd w:val="0"/>
              <w:ind w:left="57"/>
              <w:textAlignment w:val="baseline"/>
              <w:rPr>
                <w:rFonts w:cs="Arial"/>
                <w:sz w:val="18"/>
                <w:szCs w:val="20"/>
              </w:rPr>
            </w:pPr>
          </w:p>
          <w:p w:rsidR="005624E3" w:rsidRPr="00C903F8" w:rsidRDefault="005624E3" w:rsidP="00101A80">
            <w:pPr>
              <w:overflowPunct w:val="0"/>
              <w:adjustRightInd w:val="0"/>
              <w:spacing w:after="20"/>
              <w:ind w:left="57"/>
              <w:textAlignment w:val="baseline"/>
              <w:rPr>
                <w:rFonts w:cs="Arial"/>
                <w:sz w:val="18"/>
                <w:szCs w:val="20"/>
              </w:rPr>
            </w:pPr>
            <w:r>
              <w:rPr>
                <w:noProof/>
                <w:sz w:val="18"/>
              </w:rPr>
              <w:t>bemutatták az ellenőrző szervnek</w:t>
            </w:r>
            <w:r>
              <w:rPr>
                <w:position w:val="6"/>
                <w:sz w:val="16"/>
              </w:rPr>
              <w:t>*)</w:t>
            </w:r>
            <w:r>
              <w:rPr>
                <w:sz w:val="18"/>
              </w:rPr>
              <w:t>.</w:t>
            </w:r>
          </w:p>
          <w:p w:rsidR="005624E3" w:rsidRPr="00C903F8" w:rsidRDefault="005624E3" w:rsidP="00101A80">
            <w:pPr>
              <w:overflowPunct w:val="0"/>
              <w:adjustRightInd w:val="0"/>
              <w:spacing w:after="20"/>
              <w:ind w:left="57"/>
              <w:textAlignment w:val="baseline"/>
              <w:rPr>
                <w:rFonts w:cs="Arial"/>
                <w:sz w:val="18"/>
                <w:szCs w:val="20"/>
              </w:rPr>
            </w:pPr>
            <w:r>
              <w:rPr>
                <w:noProof/>
                <w:sz w:val="18"/>
              </w:rPr>
              <w:t xml:space="preserve">A </w:t>
            </w:r>
            <w:r w:rsidR="0092642D">
              <w:rPr>
                <w:noProof/>
                <w:sz w:val="18"/>
              </w:rPr>
              <w:t xml:space="preserve">vizsgálat </w:t>
            </w:r>
            <w:r>
              <w:rPr>
                <w:noProof/>
                <w:sz w:val="18"/>
              </w:rPr>
              <w:t>elvégzésének / a tanúsítvány bemutatásának oka</w:t>
            </w:r>
            <w:r>
              <w:rPr>
                <w:position w:val="6"/>
                <w:sz w:val="16"/>
              </w:rPr>
              <w:t>*)</w:t>
            </w:r>
            <w:r>
              <w:rPr>
                <w:sz w:val="18"/>
              </w:rPr>
              <w:t>:</w:t>
            </w:r>
          </w:p>
          <w:p w:rsidR="005624E3" w:rsidRPr="00C903F8" w:rsidRDefault="005624E3" w:rsidP="00101A80">
            <w:pPr>
              <w:tabs>
                <w:tab w:val="left" w:leader="dot" w:pos="8505"/>
              </w:tabs>
              <w:overflowPunct w:val="0"/>
              <w:adjustRightInd w:val="0"/>
              <w:spacing w:after="8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rPr>
                <w:sz w:val="18"/>
              </w:rPr>
              <w:t xml:space="preserve">A </w:t>
            </w:r>
            <w:r w:rsidR="0092642D">
              <w:rPr>
                <w:sz w:val="18"/>
              </w:rPr>
              <w:t xml:space="preserve">vizsgálat </w:t>
            </w:r>
            <w:r>
              <w:rPr>
                <w:sz w:val="18"/>
              </w:rPr>
              <w:t>eredménye / a tanúsítvány alapján a hajóbizonyítvány érvényes marad / a hajóbizonyítvány érvényessége meghosszabbításra kerül</w:t>
            </w:r>
            <w:r>
              <w:t xml:space="preserve"> </w:t>
            </w:r>
            <w:r>
              <w:rPr>
                <w:position w:val="6"/>
                <w:sz w:val="16"/>
              </w:rPr>
              <w:t>*)</w:t>
            </w:r>
          </w:p>
          <w:p w:rsidR="005624E3" w:rsidRPr="00C903F8" w:rsidRDefault="005624E3" w:rsidP="00101A80">
            <w:pPr>
              <w:tabs>
                <w:tab w:val="left" w:leader="dot" w:pos="2268"/>
                <w:tab w:val="left" w:leader="dot" w:pos="3402"/>
                <w:tab w:val="left" w:leader="dot" w:pos="8505"/>
              </w:tabs>
              <w:overflowPunct w:val="0"/>
              <w:adjustRightInd w:val="0"/>
              <w:ind w:left="57"/>
              <w:textAlignment w:val="baseline"/>
              <w:rPr>
                <w:rFonts w:cs="Arial"/>
                <w:sz w:val="18"/>
                <w:szCs w:val="20"/>
              </w:rPr>
            </w:pPr>
            <w:r>
              <w:tab/>
            </w:r>
            <w:r>
              <w:rPr>
                <w:sz w:val="18"/>
              </w:rPr>
              <w:t xml:space="preserve"> -ig.</w:t>
            </w:r>
          </w:p>
          <w:p w:rsidR="005624E3" w:rsidRPr="00C903F8" w:rsidRDefault="005624E3" w:rsidP="00101A80">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rPr>
            </w:pPr>
            <w:r>
              <w:tab/>
            </w:r>
            <w:r>
              <w:rPr>
                <w:sz w:val="18"/>
              </w:rPr>
              <w:t xml:space="preserve">, </w:t>
            </w:r>
            <w:r>
              <w:tab/>
            </w:r>
          </w:p>
          <w:p w:rsidR="005624E3" w:rsidRPr="00C903F8" w:rsidRDefault="005624E3" w:rsidP="00101A80">
            <w:pPr>
              <w:tabs>
                <w:tab w:val="center" w:pos="2041"/>
                <w:tab w:val="center" w:pos="5216"/>
              </w:tabs>
              <w:overflowPunct w:val="0"/>
              <w:adjustRightInd w:val="0"/>
              <w:textAlignment w:val="baseline"/>
              <w:rPr>
                <w:rFonts w:cs="Arial"/>
                <w:sz w:val="18"/>
                <w:szCs w:val="20"/>
              </w:rPr>
            </w:pPr>
            <w:r>
              <w:tab/>
            </w:r>
            <w:r>
              <w:rPr>
                <w:sz w:val="16"/>
              </w:rPr>
              <w:t>(Hely)</w:t>
            </w:r>
            <w:r>
              <w:tab/>
            </w:r>
            <w:r>
              <w:rPr>
                <w:sz w:val="16"/>
              </w:rPr>
              <w:t>(Dátum)</w:t>
            </w:r>
          </w:p>
          <w:p w:rsidR="005624E3" w:rsidRPr="00C903F8" w:rsidRDefault="005624E3" w:rsidP="00101A80">
            <w:pPr>
              <w:tabs>
                <w:tab w:val="left" w:pos="4820"/>
                <w:tab w:val="left" w:leader="dot" w:pos="8505"/>
              </w:tabs>
              <w:overflowPunct w:val="0"/>
              <w:adjustRightInd w:val="0"/>
              <w:spacing w:before="120"/>
              <w:ind w:left="57"/>
              <w:textAlignment w:val="baseline"/>
              <w:rPr>
                <w:rFonts w:cs="Arial"/>
                <w:sz w:val="18"/>
                <w:szCs w:val="20"/>
              </w:rPr>
            </w:pPr>
            <w:r>
              <w:tab/>
            </w:r>
            <w:r>
              <w:tab/>
            </w:r>
          </w:p>
          <w:p w:rsidR="005624E3" w:rsidRPr="00C903F8" w:rsidRDefault="005624E3" w:rsidP="00101A80">
            <w:pPr>
              <w:tabs>
                <w:tab w:val="center" w:pos="1985"/>
                <w:tab w:val="center" w:pos="6662"/>
              </w:tabs>
              <w:overflowPunct w:val="0"/>
              <w:adjustRightInd w:val="0"/>
              <w:textAlignment w:val="baseline"/>
              <w:rPr>
                <w:rFonts w:cs="Arial"/>
                <w:sz w:val="18"/>
                <w:szCs w:val="20"/>
              </w:rPr>
            </w:pPr>
            <w:r>
              <w:tab/>
            </w:r>
            <w:r>
              <w:rPr>
                <w:sz w:val="16"/>
              </w:rPr>
              <w:t>Bélyegző</w:t>
            </w:r>
            <w:r>
              <w:tab/>
            </w:r>
            <w:r>
              <w:rPr>
                <w:sz w:val="16"/>
              </w:rPr>
              <w:t>Ellenőrző szerv</w:t>
            </w:r>
          </w:p>
          <w:p w:rsidR="005624E3" w:rsidRPr="00C903F8" w:rsidRDefault="005624E3" w:rsidP="00101A80">
            <w:pPr>
              <w:tabs>
                <w:tab w:val="left" w:pos="4820"/>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6662"/>
              </w:tabs>
              <w:overflowPunct w:val="0"/>
              <w:adjustRightInd w:val="0"/>
              <w:ind w:left="57"/>
              <w:textAlignment w:val="baseline"/>
              <w:rPr>
                <w:rFonts w:cs="Arial"/>
                <w:sz w:val="16"/>
                <w:szCs w:val="20"/>
              </w:rPr>
            </w:pPr>
            <w:r>
              <w:rPr>
                <w:sz w:val="18"/>
              </w:rPr>
              <w:t>______________________</w:t>
            </w:r>
            <w:r>
              <w:tab/>
            </w:r>
            <w:r>
              <w:rPr>
                <w:sz w:val="16"/>
              </w:rPr>
              <w:t>(Aláírás)</w:t>
            </w:r>
          </w:p>
          <w:p w:rsidR="005624E3" w:rsidRPr="00C903F8" w:rsidRDefault="005624E3" w:rsidP="00101A80">
            <w:pPr>
              <w:tabs>
                <w:tab w:val="left" w:pos="57"/>
                <w:tab w:val="left" w:pos="227"/>
                <w:tab w:val="left" w:pos="5670"/>
                <w:tab w:val="left" w:leader="dot" w:pos="8505"/>
              </w:tabs>
              <w:overflowPunct w:val="0"/>
              <w:adjustRightInd w:val="0"/>
              <w:spacing w:after="40"/>
              <w:ind w:left="57" w:hanging="57"/>
              <w:textAlignment w:val="baseline"/>
              <w:rPr>
                <w:rFonts w:cs="Arial"/>
                <w:sz w:val="18"/>
                <w:szCs w:val="20"/>
              </w:rPr>
            </w:pPr>
            <w:r>
              <w:rPr>
                <w:position w:val="4"/>
                <w:sz w:val="16"/>
                <w:vertAlign w:val="superscript"/>
              </w:rPr>
              <w:t>*)</w:t>
            </w:r>
            <w:r>
              <w:tab/>
            </w:r>
            <w:r>
              <w:rPr>
                <w:sz w:val="16"/>
              </w:rPr>
              <w:t>A nem kívánt rész törlendő.</w:t>
            </w:r>
          </w:p>
        </w:tc>
      </w:tr>
      <w:tr w:rsidR="005624E3" w:rsidRPr="00A0619C" w:rsidTr="00AA2973">
        <w:trPr>
          <w:cantSplit/>
          <w:jc w:val="center"/>
        </w:trPr>
        <w:tc>
          <w:tcPr>
            <w:tcW w:w="284" w:type="dxa"/>
            <w:tcBorders>
              <w:top w:val="single" w:sz="4" w:space="0" w:color="auto"/>
              <w:bottom w:val="single" w:sz="4"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8902" w:type="dxa"/>
            <w:tcBorders>
              <w:top w:val="single" w:sz="4" w:space="0" w:color="auto"/>
              <w:bottom w:val="single" w:sz="4" w:space="0" w:color="auto"/>
            </w:tcBorders>
          </w:tcPr>
          <w:p w:rsidR="005624E3" w:rsidRPr="00C903F8" w:rsidRDefault="005624E3" w:rsidP="00101A80">
            <w:pPr>
              <w:tabs>
                <w:tab w:val="left" w:pos="4310"/>
                <w:tab w:val="left" w:leader="dot" w:pos="8505"/>
              </w:tabs>
              <w:overflowPunct w:val="0"/>
              <w:adjustRightInd w:val="0"/>
              <w:spacing w:before="60"/>
              <w:ind w:left="57"/>
              <w:textAlignment w:val="baseline"/>
              <w:rPr>
                <w:rFonts w:cs="Arial"/>
                <w:b/>
                <w:sz w:val="18"/>
                <w:szCs w:val="20"/>
              </w:rPr>
            </w:pPr>
            <w:r>
              <w:t xml:space="preserve">Az ellenőrző szerv által kiadott .......... számú belvízi hajóbizonyítvány </w:t>
            </w:r>
            <w:r>
              <w:tab/>
            </w:r>
          </w:p>
        </w:tc>
      </w:tr>
      <w:tr w:rsidR="005624E3" w:rsidRPr="00A0619C" w:rsidTr="00AA2973">
        <w:trPr>
          <w:cantSplit/>
          <w:jc w:val="center"/>
        </w:trPr>
        <w:tc>
          <w:tcPr>
            <w:tcW w:w="284" w:type="dxa"/>
            <w:tcBorders>
              <w:top w:val="single" w:sz="4" w:space="0" w:color="auto"/>
              <w:left w:val="single" w:sz="4" w:space="0" w:color="auto"/>
              <w:bottom w:val="single" w:sz="4" w:space="0" w:color="auto"/>
            </w:tcBorders>
          </w:tcPr>
          <w:p w:rsidR="005624E3" w:rsidRPr="00C903F8" w:rsidRDefault="005624E3" w:rsidP="00101A80">
            <w:pPr>
              <w:tabs>
                <w:tab w:val="left" w:pos="57"/>
                <w:tab w:val="left" w:pos="227"/>
              </w:tabs>
              <w:overflowPunct w:val="0"/>
              <w:adjustRightInd w:val="0"/>
              <w:spacing w:before="60"/>
              <w:textAlignment w:val="baseline"/>
              <w:rPr>
                <w:rFonts w:cs="Arial"/>
                <w:sz w:val="18"/>
                <w:szCs w:val="20"/>
              </w:rPr>
            </w:pPr>
            <w:r>
              <w:rPr>
                <w:sz w:val="18"/>
              </w:rPr>
              <w:t>49.</w:t>
            </w:r>
          </w:p>
        </w:tc>
        <w:tc>
          <w:tcPr>
            <w:tcW w:w="8902" w:type="dxa"/>
            <w:tcBorders>
              <w:top w:val="single" w:sz="4" w:space="0" w:color="auto"/>
              <w:bottom w:val="single" w:sz="4" w:space="0" w:color="auto"/>
              <w:right w:val="single" w:sz="4" w:space="0" w:color="auto"/>
            </w:tcBorders>
          </w:tcPr>
          <w:p w:rsidR="005624E3" w:rsidRPr="00C903F8" w:rsidRDefault="005624E3" w:rsidP="00101A80">
            <w:pPr>
              <w:tabs>
                <w:tab w:val="left" w:pos="4310"/>
                <w:tab w:val="left" w:leader="dot" w:pos="8505"/>
              </w:tabs>
              <w:overflowPunct w:val="0"/>
              <w:adjustRightInd w:val="0"/>
              <w:spacing w:before="60"/>
              <w:ind w:left="57"/>
              <w:textAlignment w:val="baseline"/>
              <w:rPr>
                <w:rFonts w:cs="Arial"/>
                <w:b/>
                <w:position w:val="6"/>
                <w:sz w:val="16"/>
                <w:szCs w:val="20"/>
              </w:rPr>
            </w:pPr>
            <w:r>
              <w:rPr>
                <w:b/>
                <w:sz w:val="18"/>
              </w:rPr>
              <w:t>A belvízi hajóbizonyítvány érvényességének</w:t>
            </w:r>
            <w:r>
              <w:rPr>
                <w:b/>
                <w:position w:val="6"/>
                <w:sz w:val="16"/>
              </w:rPr>
              <w:t>*)</w:t>
            </w:r>
            <w:r>
              <w:rPr>
                <w:b/>
                <w:sz w:val="18"/>
              </w:rPr>
              <w:t xml:space="preserve"> meghosszabbítása / megerősítése</w:t>
            </w:r>
            <w:r>
              <w:rPr>
                <w:b/>
                <w:position w:val="6"/>
                <w:sz w:val="16"/>
              </w:rPr>
              <w:t xml:space="preserve">*) </w:t>
            </w:r>
            <w:r>
              <w:rPr>
                <w:b/>
                <w:sz w:val="18"/>
              </w:rPr>
              <w:t>Időszakos/rendkívüli</w:t>
            </w:r>
            <w:r>
              <w:rPr>
                <w:b/>
                <w:position w:val="6"/>
                <w:sz w:val="16"/>
              </w:rPr>
              <w:t xml:space="preserve">*) </w:t>
            </w:r>
            <w:r w:rsidR="00AA2973">
              <w:rPr>
                <w:b/>
                <w:sz w:val="18"/>
              </w:rPr>
              <w:t>vizsgálat</w:t>
            </w:r>
          </w:p>
          <w:p w:rsidR="005624E3" w:rsidRPr="00C903F8" w:rsidRDefault="005624E3" w:rsidP="00101A80">
            <w:pPr>
              <w:tabs>
                <w:tab w:val="left" w:leader="dot" w:pos="5103"/>
                <w:tab w:val="left" w:leader="dot" w:pos="8505"/>
              </w:tabs>
              <w:overflowPunct w:val="0"/>
              <w:adjustRightInd w:val="0"/>
              <w:spacing w:before="20"/>
              <w:ind w:left="57"/>
              <w:textAlignment w:val="baseline"/>
              <w:rPr>
                <w:rFonts w:cs="Arial"/>
                <w:sz w:val="18"/>
                <w:szCs w:val="20"/>
              </w:rPr>
            </w:pPr>
            <w:r>
              <w:rPr>
                <w:sz w:val="18"/>
              </w:rPr>
              <w:t>Az ellenőrző szerv a hajót ......... -án/-én megvizsgálta</w:t>
            </w:r>
            <w:r>
              <w:tab/>
            </w:r>
            <w:r>
              <w:rPr>
                <w:position w:val="6"/>
                <w:sz w:val="16"/>
              </w:rPr>
              <w:t>*)</w:t>
            </w:r>
            <w:r>
              <w:rPr>
                <w:sz w:val="18"/>
              </w:rPr>
              <w:t>.</w:t>
            </w:r>
          </w:p>
          <w:p w:rsidR="005624E3" w:rsidRPr="00C903F8" w:rsidRDefault="005624E3" w:rsidP="00101A80">
            <w:pPr>
              <w:tabs>
                <w:tab w:val="left" w:leader="dot" w:pos="3686"/>
                <w:tab w:val="left" w:leader="dot" w:pos="8505"/>
              </w:tabs>
              <w:overflowPunct w:val="0"/>
              <w:adjustRightInd w:val="0"/>
              <w:spacing w:after="20"/>
              <w:ind w:left="57"/>
              <w:textAlignment w:val="baseline"/>
              <w:rPr>
                <w:rFonts w:cs="Arial"/>
                <w:sz w:val="18"/>
                <w:szCs w:val="20"/>
              </w:rPr>
            </w:pPr>
            <w:r>
              <w:rPr>
                <w:sz w:val="18"/>
              </w:rPr>
              <w:t>A(z)</w:t>
            </w:r>
            <w:r>
              <w:t xml:space="preserve"> ................................................................................................................................................................</w:t>
            </w:r>
            <w:r w:rsidRPr="003D00C9">
              <w:rPr>
                <w:sz w:val="18"/>
                <w:szCs w:val="18"/>
              </w:rPr>
              <w:t>elismert hajóosztályozó társaság</w:t>
            </w:r>
            <w:r>
              <w:t xml:space="preserve"> .......................................................................................................</w:t>
            </w:r>
            <w:r>
              <w:rPr>
                <w:noProof/>
                <w:sz w:val="18"/>
              </w:rPr>
              <w:t>-án/-én kelt tanúsítványát</w:t>
            </w:r>
          </w:p>
          <w:p w:rsidR="005624E3" w:rsidRPr="00C903F8" w:rsidRDefault="005624E3" w:rsidP="00101A80">
            <w:pPr>
              <w:overflowPunct w:val="0"/>
              <w:adjustRightInd w:val="0"/>
              <w:spacing w:after="20"/>
              <w:ind w:left="57"/>
              <w:textAlignment w:val="baseline"/>
              <w:rPr>
                <w:rFonts w:cs="Arial"/>
                <w:sz w:val="18"/>
                <w:szCs w:val="20"/>
              </w:rPr>
            </w:pPr>
            <w:r>
              <w:rPr>
                <w:noProof/>
                <w:sz w:val="18"/>
              </w:rPr>
              <w:t>bemutatták az ellenőrző szervnek</w:t>
            </w:r>
            <w:r>
              <w:rPr>
                <w:position w:val="6"/>
                <w:sz w:val="16"/>
              </w:rPr>
              <w:t>*)</w:t>
            </w:r>
            <w:r>
              <w:rPr>
                <w:sz w:val="18"/>
              </w:rPr>
              <w:t>.</w:t>
            </w:r>
          </w:p>
          <w:p w:rsidR="005624E3" w:rsidRPr="00C903F8" w:rsidRDefault="005624E3" w:rsidP="00101A80">
            <w:pPr>
              <w:overflowPunct w:val="0"/>
              <w:adjustRightInd w:val="0"/>
              <w:spacing w:after="20"/>
              <w:ind w:left="57"/>
              <w:textAlignment w:val="baseline"/>
              <w:rPr>
                <w:rFonts w:cs="Arial"/>
                <w:sz w:val="18"/>
                <w:szCs w:val="20"/>
              </w:rPr>
            </w:pPr>
            <w:r>
              <w:rPr>
                <w:noProof/>
                <w:sz w:val="18"/>
              </w:rPr>
              <w:t xml:space="preserve">A </w:t>
            </w:r>
            <w:r w:rsidR="0092642D">
              <w:rPr>
                <w:noProof/>
                <w:sz w:val="18"/>
              </w:rPr>
              <w:t xml:space="preserve">vizsgálat </w:t>
            </w:r>
            <w:r>
              <w:rPr>
                <w:noProof/>
                <w:sz w:val="18"/>
              </w:rPr>
              <w:t>elvégzésének / a tanúsítvány bemutatásának oka</w:t>
            </w:r>
            <w:r>
              <w:rPr>
                <w:position w:val="6"/>
                <w:sz w:val="16"/>
              </w:rPr>
              <w:t>*)</w:t>
            </w:r>
            <w:r>
              <w:rPr>
                <w:sz w:val="18"/>
              </w:rPr>
              <w:t>:</w:t>
            </w:r>
          </w:p>
          <w:p w:rsidR="005624E3" w:rsidRPr="00C903F8" w:rsidRDefault="005624E3" w:rsidP="00101A80">
            <w:pPr>
              <w:tabs>
                <w:tab w:val="left" w:leader="dot" w:pos="8505"/>
              </w:tabs>
              <w:overflowPunct w:val="0"/>
              <w:adjustRightInd w:val="0"/>
              <w:spacing w:after="8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rPr>
                <w:sz w:val="18"/>
              </w:rPr>
              <w:t xml:space="preserve">A </w:t>
            </w:r>
            <w:r w:rsidR="0092642D">
              <w:rPr>
                <w:sz w:val="18"/>
              </w:rPr>
              <w:t xml:space="preserve">vizsgálat </w:t>
            </w:r>
            <w:r>
              <w:rPr>
                <w:sz w:val="18"/>
              </w:rPr>
              <w:t>eredménye / a tanúsítvány alapján a hajóbizonyítvány érvényes marad / a hajóbizonyítvány érvényessége meghosszabbításra kerül</w:t>
            </w:r>
            <w:r>
              <w:t xml:space="preserve"> </w:t>
            </w:r>
            <w:r>
              <w:rPr>
                <w:position w:val="6"/>
                <w:sz w:val="16"/>
              </w:rPr>
              <w:t>*)</w:t>
            </w:r>
          </w:p>
          <w:p w:rsidR="005624E3" w:rsidRPr="00C903F8" w:rsidRDefault="005624E3" w:rsidP="00101A80">
            <w:pPr>
              <w:tabs>
                <w:tab w:val="left" w:leader="dot" w:pos="2268"/>
                <w:tab w:val="left" w:leader="dot" w:pos="3402"/>
                <w:tab w:val="left" w:leader="dot" w:pos="8505"/>
              </w:tabs>
              <w:overflowPunct w:val="0"/>
              <w:adjustRightInd w:val="0"/>
              <w:ind w:left="57"/>
              <w:textAlignment w:val="baseline"/>
              <w:rPr>
                <w:rFonts w:cs="Arial"/>
                <w:sz w:val="18"/>
                <w:szCs w:val="20"/>
              </w:rPr>
            </w:pPr>
            <w:r>
              <w:tab/>
            </w:r>
            <w:r>
              <w:rPr>
                <w:sz w:val="18"/>
              </w:rPr>
              <w:t xml:space="preserve"> -ig.</w:t>
            </w:r>
          </w:p>
          <w:p w:rsidR="005624E3" w:rsidRPr="00C903F8" w:rsidRDefault="005624E3" w:rsidP="00101A80">
            <w:pPr>
              <w:tabs>
                <w:tab w:val="left" w:pos="57"/>
                <w:tab w:val="left" w:leader="dot" w:pos="3969"/>
                <w:tab w:val="left" w:leader="dot" w:pos="6237"/>
                <w:tab w:val="left" w:leader="dot" w:pos="8505"/>
              </w:tabs>
              <w:overflowPunct w:val="0"/>
              <w:adjustRightInd w:val="0"/>
              <w:spacing w:before="80"/>
              <w:ind w:left="57"/>
              <w:textAlignment w:val="baseline"/>
              <w:rPr>
                <w:rFonts w:cs="Arial"/>
                <w:sz w:val="18"/>
                <w:szCs w:val="20"/>
              </w:rPr>
            </w:pPr>
            <w:r>
              <w:tab/>
            </w:r>
            <w:r>
              <w:rPr>
                <w:sz w:val="18"/>
              </w:rPr>
              <w:t xml:space="preserve">.... </w:t>
            </w:r>
            <w:r>
              <w:tab/>
            </w:r>
          </w:p>
          <w:p w:rsidR="005624E3" w:rsidRPr="00C903F8" w:rsidRDefault="005624E3" w:rsidP="00101A80">
            <w:pPr>
              <w:tabs>
                <w:tab w:val="center" w:pos="2041"/>
                <w:tab w:val="center" w:pos="5216"/>
              </w:tabs>
              <w:overflowPunct w:val="0"/>
              <w:adjustRightInd w:val="0"/>
              <w:textAlignment w:val="baseline"/>
              <w:rPr>
                <w:rFonts w:cs="Arial"/>
                <w:sz w:val="18"/>
                <w:szCs w:val="20"/>
              </w:rPr>
            </w:pPr>
            <w:r>
              <w:tab/>
            </w:r>
            <w:r>
              <w:rPr>
                <w:sz w:val="16"/>
              </w:rPr>
              <w:t>(Hely)</w:t>
            </w:r>
            <w:r>
              <w:tab/>
            </w:r>
            <w:r>
              <w:rPr>
                <w:sz w:val="16"/>
              </w:rPr>
              <w:t>(Dátum)</w:t>
            </w:r>
          </w:p>
          <w:p w:rsidR="005624E3" w:rsidRPr="00C903F8" w:rsidRDefault="005624E3" w:rsidP="00101A80">
            <w:pPr>
              <w:tabs>
                <w:tab w:val="left" w:pos="4820"/>
                <w:tab w:val="left" w:leader="dot" w:pos="8505"/>
              </w:tabs>
              <w:overflowPunct w:val="0"/>
              <w:adjustRightInd w:val="0"/>
              <w:spacing w:before="120"/>
              <w:ind w:left="57"/>
              <w:textAlignment w:val="baseline"/>
              <w:rPr>
                <w:rFonts w:cs="Arial"/>
                <w:sz w:val="18"/>
                <w:szCs w:val="20"/>
              </w:rPr>
            </w:pPr>
            <w:r>
              <w:tab/>
            </w:r>
            <w:r>
              <w:tab/>
            </w:r>
          </w:p>
          <w:p w:rsidR="005624E3" w:rsidRPr="00C903F8" w:rsidRDefault="005624E3" w:rsidP="00101A80">
            <w:pPr>
              <w:tabs>
                <w:tab w:val="center" w:pos="1985"/>
                <w:tab w:val="center" w:pos="6662"/>
              </w:tabs>
              <w:overflowPunct w:val="0"/>
              <w:adjustRightInd w:val="0"/>
              <w:textAlignment w:val="baseline"/>
              <w:rPr>
                <w:rFonts w:cs="Arial"/>
                <w:sz w:val="18"/>
                <w:szCs w:val="20"/>
              </w:rPr>
            </w:pPr>
            <w:r>
              <w:tab/>
            </w:r>
            <w:r>
              <w:rPr>
                <w:sz w:val="16"/>
              </w:rPr>
              <w:t>Bélyegző</w:t>
            </w:r>
            <w:r>
              <w:tab/>
            </w:r>
            <w:r>
              <w:rPr>
                <w:sz w:val="16"/>
              </w:rPr>
              <w:t>Ellenőrző szerv</w:t>
            </w:r>
          </w:p>
          <w:p w:rsidR="005624E3" w:rsidRPr="00C903F8" w:rsidRDefault="005624E3" w:rsidP="00101A80">
            <w:pPr>
              <w:tabs>
                <w:tab w:val="left" w:pos="4820"/>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6662"/>
              </w:tabs>
              <w:overflowPunct w:val="0"/>
              <w:adjustRightInd w:val="0"/>
              <w:ind w:left="57"/>
              <w:textAlignment w:val="baseline"/>
              <w:rPr>
                <w:rFonts w:cs="Arial"/>
                <w:sz w:val="16"/>
                <w:szCs w:val="20"/>
              </w:rPr>
            </w:pPr>
            <w:r>
              <w:rPr>
                <w:sz w:val="18"/>
              </w:rPr>
              <w:t>______________________</w:t>
            </w:r>
            <w:r>
              <w:tab/>
            </w:r>
            <w:r>
              <w:rPr>
                <w:sz w:val="16"/>
              </w:rPr>
              <w:t>(Aláírás)</w:t>
            </w:r>
          </w:p>
          <w:p w:rsidR="005624E3" w:rsidRPr="009879C7" w:rsidRDefault="005624E3" w:rsidP="00101A80">
            <w:pPr>
              <w:tabs>
                <w:tab w:val="left" w:pos="227"/>
              </w:tabs>
              <w:overflowPunct w:val="0"/>
              <w:adjustRightInd w:val="0"/>
              <w:spacing w:after="40"/>
              <w:ind w:left="57"/>
              <w:textAlignment w:val="baseline"/>
              <w:rPr>
                <w:rFonts w:cs="Arial"/>
                <w:sz w:val="18"/>
                <w:szCs w:val="20"/>
              </w:rPr>
            </w:pPr>
            <w:r>
              <w:rPr>
                <w:position w:val="4"/>
                <w:sz w:val="16"/>
                <w:vertAlign w:val="superscript"/>
              </w:rPr>
              <w:t>*)</w:t>
            </w:r>
            <w:r>
              <w:tab/>
            </w:r>
            <w:r>
              <w:rPr>
                <w:sz w:val="16"/>
              </w:rPr>
              <w:t>A nem kívánt rész törlendő.</w:t>
            </w:r>
          </w:p>
        </w:tc>
      </w:tr>
      <w:tr w:rsidR="005624E3" w:rsidRPr="00C903F8" w:rsidTr="00AA2973">
        <w:trPr>
          <w:cantSplit/>
          <w:jc w:val="center"/>
        </w:trPr>
        <w:tc>
          <w:tcPr>
            <w:tcW w:w="284" w:type="dxa"/>
            <w:tcBorders>
              <w:top w:val="single" w:sz="4"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60"/>
              <w:textAlignment w:val="baseline"/>
              <w:rPr>
                <w:rFonts w:cs="Arial"/>
                <w:sz w:val="18"/>
                <w:szCs w:val="20"/>
              </w:rPr>
            </w:pPr>
            <w:r>
              <w:rPr>
                <w:sz w:val="18"/>
              </w:rPr>
              <w:t>49.</w:t>
            </w:r>
          </w:p>
        </w:tc>
        <w:tc>
          <w:tcPr>
            <w:tcW w:w="8902" w:type="dxa"/>
            <w:tcBorders>
              <w:top w:val="single" w:sz="4" w:space="0" w:color="auto"/>
              <w:bottom w:val="single" w:sz="6" w:space="0" w:color="auto"/>
              <w:right w:val="single" w:sz="6" w:space="0" w:color="auto"/>
            </w:tcBorders>
          </w:tcPr>
          <w:p w:rsidR="005624E3" w:rsidRPr="00C903F8" w:rsidRDefault="005624E3" w:rsidP="00101A80">
            <w:pPr>
              <w:tabs>
                <w:tab w:val="left" w:pos="4452"/>
                <w:tab w:val="left" w:leader="dot" w:pos="8505"/>
              </w:tabs>
              <w:overflowPunct w:val="0"/>
              <w:adjustRightInd w:val="0"/>
              <w:spacing w:before="60"/>
              <w:ind w:left="57"/>
              <w:textAlignment w:val="baseline"/>
              <w:rPr>
                <w:rFonts w:cs="Arial"/>
                <w:b/>
                <w:position w:val="6"/>
                <w:sz w:val="16"/>
                <w:szCs w:val="20"/>
              </w:rPr>
            </w:pPr>
            <w:r>
              <w:rPr>
                <w:b/>
                <w:sz w:val="18"/>
              </w:rPr>
              <w:t>A belvízi hajóbizonyítvány érvényességének</w:t>
            </w:r>
            <w:r>
              <w:rPr>
                <w:b/>
                <w:position w:val="6"/>
                <w:sz w:val="16"/>
              </w:rPr>
              <w:t>*)</w:t>
            </w:r>
            <w:r>
              <w:rPr>
                <w:b/>
                <w:sz w:val="18"/>
              </w:rPr>
              <w:t xml:space="preserve"> meghosszabbítása / megerősítése</w:t>
            </w:r>
            <w:r>
              <w:rPr>
                <w:b/>
                <w:position w:val="6"/>
                <w:sz w:val="16"/>
              </w:rPr>
              <w:t xml:space="preserve">*) </w:t>
            </w:r>
            <w:r>
              <w:rPr>
                <w:b/>
                <w:sz w:val="18"/>
              </w:rPr>
              <w:t>Időszakos/rendkívüli</w:t>
            </w:r>
            <w:r>
              <w:rPr>
                <w:b/>
                <w:position w:val="6"/>
                <w:sz w:val="16"/>
              </w:rPr>
              <w:t xml:space="preserve">*) </w:t>
            </w:r>
            <w:r w:rsidR="00AA2973">
              <w:rPr>
                <w:b/>
                <w:sz w:val="18"/>
              </w:rPr>
              <w:t>vizsgálat</w:t>
            </w:r>
          </w:p>
          <w:p w:rsidR="005624E3" w:rsidRPr="00C903F8" w:rsidRDefault="005624E3" w:rsidP="00101A80">
            <w:pPr>
              <w:tabs>
                <w:tab w:val="left" w:leader="dot" w:pos="5103"/>
                <w:tab w:val="left" w:leader="dot" w:pos="8505"/>
              </w:tabs>
              <w:overflowPunct w:val="0"/>
              <w:adjustRightInd w:val="0"/>
              <w:spacing w:before="20"/>
              <w:ind w:left="57"/>
              <w:textAlignment w:val="baseline"/>
              <w:rPr>
                <w:rFonts w:cs="Arial"/>
                <w:sz w:val="18"/>
                <w:szCs w:val="20"/>
              </w:rPr>
            </w:pPr>
            <w:r>
              <w:rPr>
                <w:sz w:val="18"/>
              </w:rPr>
              <w:t>Az ellenőrző szerv a hajót ......... -án/-én megvizsgálta</w:t>
            </w:r>
            <w:r>
              <w:tab/>
            </w:r>
            <w:r>
              <w:rPr>
                <w:position w:val="6"/>
                <w:sz w:val="16"/>
              </w:rPr>
              <w:t>*)</w:t>
            </w:r>
            <w:r>
              <w:rPr>
                <w:sz w:val="18"/>
              </w:rPr>
              <w:t>.</w:t>
            </w:r>
          </w:p>
          <w:p w:rsidR="005624E3" w:rsidRPr="00C903F8" w:rsidRDefault="005624E3" w:rsidP="00101A80">
            <w:pPr>
              <w:tabs>
                <w:tab w:val="left" w:leader="dot" w:pos="3686"/>
                <w:tab w:val="left" w:leader="dot" w:pos="8505"/>
              </w:tabs>
              <w:overflowPunct w:val="0"/>
              <w:adjustRightInd w:val="0"/>
              <w:spacing w:after="20"/>
              <w:ind w:left="57"/>
              <w:textAlignment w:val="baseline"/>
              <w:rPr>
                <w:rFonts w:cs="Arial"/>
                <w:sz w:val="18"/>
                <w:szCs w:val="20"/>
              </w:rPr>
            </w:pPr>
            <w:r>
              <w:rPr>
                <w:sz w:val="18"/>
              </w:rPr>
              <w:t>A(z)</w:t>
            </w:r>
            <w:r>
              <w:t xml:space="preserve"> ................................................................................................................................................................</w:t>
            </w:r>
            <w:r w:rsidRPr="003D00C9">
              <w:rPr>
                <w:sz w:val="18"/>
                <w:szCs w:val="18"/>
              </w:rPr>
              <w:t>elismert hajóosztályozó társaság</w:t>
            </w:r>
            <w:r>
              <w:t xml:space="preserve"> .......................................................................................................</w:t>
            </w:r>
            <w:r>
              <w:rPr>
                <w:noProof/>
                <w:sz w:val="18"/>
              </w:rPr>
              <w:t>-án/-én kelt tanúsítványát</w:t>
            </w:r>
          </w:p>
          <w:p w:rsidR="005624E3" w:rsidRPr="00C903F8" w:rsidRDefault="005624E3" w:rsidP="00101A80">
            <w:pPr>
              <w:overflowPunct w:val="0"/>
              <w:adjustRightInd w:val="0"/>
              <w:spacing w:after="20"/>
              <w:ind w:left="57"/>
              <w:textAlignment w:val="baseline"/>
              <w:rPr>
                <w:rFonts w:cs="Arial"/>
                <w:sz w:val="18"/>
                <w:szCs w:val="20"/>
              </w:rPr>
            </w:pPr>
            <w:r>
              <w:rPr>
                <w:noProof/>
                <w:sz w:val="18"/>
              </w:rPr>
              <w:t>bemutatták az ellenőrző szervnek</w:t>
            </w:r>
            <w:r>
              <w:rPr>
                <w:position w:val="6"/>
                <w:sz w:val="16"/>
              </w:rPr>
              <w:t>*)</w:t>
            </w:r>
            <w:r>
              <w:rPr>
                <w:sz w:val="18"/>
              </w:rPr>
              <w:t>.</w:t>
            </w:r>
          </w:p>
          <w:p w:rsidR="005624E3" w:rsidRPr="00C903F8" w:rsidRDefault="005624E3" w:rsidP="00101A80">
            <w:pPr>
              <w:overflowPunct w:val="0"/>
              <w:adjustRightInd w:val="0"/>
              <w:spacing w:after="20"/>
              <w:ind w:left="57"/>
              <w:textAlignment w:val="baseline"/>
              <w:rPr>
                <w:rFonts w:cs="Arial"/>
                <w:sz w:val="18"/>
                <w:szCs w:val="20"/>
              </w:rPr>
            </w:pPr>
            <w:r>
              <w:rPr>
                <w:noProof/>
                <w:sz w:val="18"/>
              </w:rPr>
              <w:t xml:space="preserve">A </w:t>
            </w:r>
            <w:r w:rsidR="0092642D">
              <w:rPr>
                <w:noProof/>
                <w:sz w:val="18"/>
              </w:rPr>
              <w:t xml:space="preserve">vizsgálat </w:t>
            </w:r>
            <w:r>
              <w:rPr>
                <w:noProof/>
                <w:sz w:val="18"/>
              </w:rPr>
              <w:t>elvégzésének / a tanúsítvány bemutatásának oka</w:t>
            </w:r>
            <w:r>
              <w:rPr>
                <w:position w:val="6"/>
                <w:sz w:val="16"/>
              </w:rPr>
              <w:t>*)</w:t>
            </w:r>
            <w:r>
              <w:rPr>
                <w:sz w:val="18"/>
              </w:rPr>
              <w:t>:</w:t>
            </w:r>
          </w:p>
          <w:p w:rsidR="005624E3" w:rsidRPr="00C903F8" w:rsidRDefault="005624E3" w:rsidP="00101A80">
            <w:pPr>
              <w:tabs>
                <w:tab w:val="left" w:leader="dot" w:pos="8505"/>
              </w:tabs>
              <w:overflowPunct w:val="0"/>
              <w:adjustRightInd w:val="0"/>
              <w:spacing w:after="8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rPr>
                <w:sz w:val="18"/>
              </w:rPr>
              <w:t xml:space="preserve">A </w:t>
            </w:r>
            <w:r w:rsidR="0092642D">
              <w:rPr>
                <w:sz w:val="18"/>
              </w:rPr>
              <w:t xml:space="preserve">vizsgálat </w:t>
            </w:r>
            <w:r>
              <w:rPr>
                <w:sz w:val="18"/>
              </w:rPr>
              <w:t>eredménye / a tanúsítvány alapján a hajóbizonyítvány érvényes marad / a hajóbizonyítvány érvényessége meghosszabbításra kerül</w:t>
            </w:r>
            <w:r>
              <w:t xml:space="preserve"> </w:t>
            </w:r>
            <w:r>
              <w:rPr>
                <w:position w:val="6"/>
                <w:sz w:val="16"/>
              </w:rPr>
              <w:t>*)</w:t>
            </w:r>
          </w:p>
          <w:p w:rsidR="005624E3" w:rsidRPr="00C903F8" w:rsidRDefault="005624E3" w:rsidP="00101A80">
            <w:pPr>
              <w:tabs>
                <w:tab w:val="left" w:leader="dot" w:pos="2268"/>
                <w:tab w:val="left" w:leader="dot" w:pos="3402"/>
                <w:tab w:val="left" w:leader="dot" w:pos="8505"/>
              </w:tabs>
              <w:overflowPunct w:val="0"/>
              <w:adjustRightInd w:val="0"/>
              <w:ind w:left="57"/>
              <w:textAlignment w:val="baseline"/>
              <w:rPr>
                <w:rFonts w:cs="Arial"/>
                <w:sz w:val="18"/>
                <w:szCs w:val="20"/>
              </w:rPr>
            </w:pPr>
            <w:r>
              <w:tab/>
            </w:r>
            <w:r>
              <w:rPr>
                <w:sz w:val="18"/>
              </w:rPr>
              <w:t>-ig.</w:t>
            </w:r>
          </w:p>
          <w:p w:rsidR="005624E3" w:rsidRPr="00C903F8" w:rsidRDefault="005624E3" w:rsidP="00101A80">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rPr>
            </w:pPr>
            <w:r>
              <w:tab/>
            </w:r>
            <w:r>
              <w:rPr>
                <w:sz w:val="18"/>
              </w:rPr>
              <w:t xml:space="preserve">, </w:t>
            </w:r>
            <w:r>
              <w:tab/>
            </w:r>
          </w:p>
          <w:p w:rsidR="005624E3" w:rsidRPr="00C903F8" w:rsidRDefault="005624E3" w:rsidP="00101A80">
            <w:pPr>
              <w:tabs>
                <w:tab w:val="center" w:pos="2041"/>
                <w:tab w:val="center" w:pos="5216"/>
              </w:tabs>
              <w:overflowPunct w:val="0"/>
              <w:adjustRightInd w:val="0"/>
              <w:textAlignment w:val="baseline"/>
              <w:rPr>
                <w:rFonts w:cs="Arial"/>
                <w:sz w:val="18"/>
                <w:szCs w:val="20"/>
              </w:rPr>
            </w:pPr>
            <w:r>
              <w:tab/>
            </w:r>
            <w:r>
              <w:rPr>
                <w:sz w:val="16"/>
              </w:rPr>
              <w:t>(Hely)</w:t>
            </w:r>
            <w:r>
              <w:tab/>
            </w:r>
            <w:r>
              <w:rPr>
                <w:sz w:val="16"/>
              </w:rPr>
              <w:t>(Dátum)</w:t>
            </w:r>
          </w:p>
          <w:p w:rsidR="005624E3" w:rsidRPr="00C903F8" w:rsidRDefault="005624E3" w:rsidP="00101A80">
            <w:pPr>
              <w:tabs>
                <w:tab w:val="left" w:pos="4820"/>
                <w:tab w:val="left" w:leader="dot" w:pos="8505"/>
              </w:tabs>
              <w:overflowPunct w:val="0"/>
              <w:adjustRightInd w:val="0"/>
              <w:spacing w:before="120"/>
              <w:ind w:left="57"/>
              <w:textAlignment w:val="baseline"/>
              <w:rPr>
                <w:rFonts w:cs="Arial"/>
                <w:sz w:val="18"/>
                <w:szCs w:val="20"/>
              </w:rPr>
            </w:pPr>
            <w:r>
              <w:tab/>
            </w:r>
            <w:r>
              <w:tab/>
            </w:r>
          </w:p>
          <w:p w:rsidR="005624E3" w:rsidRPr="00C903F8" w:rsidRDefault="005624E3" w:rsidP="00101A80">
            <w:pPr>
              <w:tabs>
                <w:tab w:val="center" w:pos="1985"/>
                <w:tab w:val="center" w:pos="6662"/>
              </w:tabs>
              <w:overflowPunct w:val="0"/>
              <w:adjustRightInd w:val="0"/>
              <w:textAlignment w:val="baseline"/>
              <w:rPr>
                <w:rFonts w:cs="Arial"/>
                <w:sz w:val="18"/>
                <w:szCs w:val="20"/>
              </w:rPr>
            </w:pPr>
            <w:r>
              <w:tab/>
            </w:r>
            <w:r>
              <w:rPr>
                <w:sz w:val="16"/>
              </w:rPr>
              <w:t>Bélyegző</w:t>
            </w:r>
            <w:r>
              <w:tab/>
            </w:r>
            <w:r>
              <w:rPr>
                <w:sz w:val="16"/>
              </w:rPr>
              <w:t>Ellenőrző szerv</w:t>
            </w:r>
          </w:p>
          <w:p w:rsidR="005624E3" w:rsidRPr="00C903F8" w:rsidRDefault="005624E3" w:rsidP="00101A80">
            <w:pPr>
              <w:tabs>
                <w:tab w:val="left" w:pos="4820"/>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6662"/>
              </w:tabs>
              <w:overflowPunct w:val="0"/>
              <w:adjustRightInd w:val="0"/>
              <w:ind w:left="57"/>
              <w:textAlignment w:val="baseline"/>
              <w:rPr>
                <w:rFonts w:cs="Arial"/>
                <w:sz w:val="16"/>
                <w:szCs w:val="20"/>
              </w:rPr>
            </w:pPr>
            <w:r>
              <w:rPr>
                <w:sz w:val="18"/>
              </w:rPr>
              <w:t>______________________</w:t>
            </w:r>
            <w:r>
              <w:tab/>
            </w:r>
            <w:r>
              <w:rPr>
                <w:sz w:val="16"/>
              </w:rPr>
              <w:t>(Aláírás)</w:t>
            </w:r>
          </w:p>
          <w:p w:rsidR="005624E3" w:rsidRPr="00C903F8" w:rsidRDefault="005624E3" w:rsidP="00101A80">
            <w:pPr>
              <w:tabs>
                <w:tab w:val="left" w:pos="57"/>
                <w:tab w:val="left" w:pos="227"/>
                <w:tab w:val="left" w:pos="5670"/>
                <w:tab w:val="left" w:leader="dot" w:pos="8505"/>
              </w:tabs>
              <w:overflowPunct w:val="0"/>
              <w:adjustRightInd w:val="0"/>
              <w:spacing w:after="40"/>
              <w:ind w:left="57" w:hanging="57"/>
              <w:textAlignment w:val="baseline"/>
              <w:rPr>
                <w:rFonts w:cs="Arial"/>
                <w:sz w:val="18"/>
                <w:szCs w:val="20"/>
              </w:rPr>
            </w:pPr>
            <w:r>
              <w:rPr>
                <w:position w:val="4"/>
                <w:sz w:val="16"/>
                <w:vertAlign w:val="superscript"/>
              </w:rPr>
              <w:t>*)</w:t>
            </w:r>
            <w:r>
              <w:tab/>
            </w:r>
            <w:r>
              <w:rPr>
                <w:sz w:val="16"/>
              </w:rPr>
              <w:t>A nem kívánt rész törlendő.</w:t>
            </w:r>
          </w:p>
        </w:tc>
      </w:tr>
      <w:tr w:rsidR="005624E3" w:rsidRPr="00C903F8" w:rsidTr="00AA2973">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60"/>
              <w:textAlignment w:val="baseline"/>
              <w:rPr>
                <w:rFonts w:cs="Arial"/>
                <w:sz w:val="18"/>
                <w:szCs w:val="20"/>
              </w:rPr>
            </w:pPr>
            <w:r>
              <w:rPr>
                <w:sz w:val="18"/>
              </w:rPr>
              <w:t>49.</w:t>
            </w:r>
          </w:p>
        </w:tc>
        <w:tc>
          <w:tcPr>
            <w:tcW w:w="8902" w:type="dxa"/>
            <w:tcBorders>
              <w:top w:val="single" w:sz="6" w:space="0" w:color="auto"/>
              <w:bottom w:val="single" w:sz="6" w:space="0" w:color="auto"/>
              <w:right w:val="single" w:sz="6" w:space="0" w:color="auto"/>
            </w:tcBorders>
          </w:tcPr>
          <w:p w:rsidR="005624E3" w:rsidRPr="00C903F8" w:rsidRDefault="005624E3" w:rsidP="00101A80">
            <w:pPr>
              <w:tabs>
                <w:tab w:val="left" w:pos="4310"/>
                <w:tab w:val="left" w:leader="dot" w:pos="8505"/>
              </w:tabs>
              <w:overflowPunct w:val="0"/>
              <w:adjustRightInd w:val="0"/>
              <w:spacing w:before="60"/>
              <w:ind w:left="57"/>
              <w:textAlignment w:val="baseline"/>
              <w:rPr>
                <w:rFonts w:cs="Arial"/>
                <w:b/>
                <w:position w:val="6"/>
                <w:sz w:val="16"/>
                <w:szCs w:val="20"/>
              </w:rPr>
            </w:pPr>
            <w:r>
              <w:rPr>
                <w:b/>
                <w:sz w:val="18"/>
              </w:rPr>
              <w:t>A belvízi hajóbizonyítvány érvényességének</w:t>
            </w:r>
            <w:r>
              <w:rPr>
                <w:b/>
                <w:position w:val="6"/>
                <w:sz w:val="16"/>
              </w:rPr>
              <w:t>*)</w:t>
            </w:r>
            <w:r>
              <w:rPr>
                <w:b/>
                <w:sz w:val="18"/>
              </w:rPr>
              <w:t xml:space="preserve"> meghosszabbítása / megerősítése</w:t>
            </w:r>
            <w:r>
              <w:rPr>
                <w:b/>
                <w:position w:val="6"/>
                <w:sz w:val="16"/>
              </w:rPr>
              <w:t xml:space="preserve">*) </w:t>
            </w:r>
            <w:r>
              <w:rPr>
                <w:b/>
                <w:sz w:val="18"/>
              </w:rPr>
              <w:t>Időszakos/rendkívüli</w:t>
            </w:r>
            <w:r>
              <w:rPr>
                <w:b/>
                <w:position w:val="6"/>
                <w:sz w:val="16"/>
              </w:rPr>
              <w:t xml:space="preserve">*) </w:t>
            </w:r>
            <w:r w:rsidR="00AA2973">
              <w:rPr>
                <w:b/>
                <w:sz w:val="18"/>
              </w:rPr>
              <w:t>vizsgálat</w:t>
            </w:r>
          </w:p>
          <w:p w:rsidR="005624E3" w:rsidRPr="00C903F8" w:rsidRDefault="005624E3" w:rsidP="00101A80">
            <w:pPr>
              <w:tabs>
                <w:tab w:val="left" w:leader="dot" w:pos="5103"/>
                <w:tab w:val="left" w:leader="dot" w:pos="8505"/>
              </w:tabs>
              <w:overflowPunct w:val="0"/>
              <w:adjustRightInd w:val="0"/>
              <w:spacing w:before="20"/>
              <w:ind w:left="57"/>
              <w:textAlignment w:val="baseline"/>
              <w:rPr>
                <w:rFonts w:cs="Arial"/>
                <w:sz w:val="18"/>
                <w:szCs w:val="20"/>
              </w:rPr>
            </w:pPr>
            <w:r>
              <w:rPr>
                <w:sz w:val="18"/>
              </w:rPr>
              <w:t>Az ellenőrző szerv a hajót ......... -án/-én megvizsgálta</w:t>
            </w:r>
            <w:r>
              <w:tab/>
            </w:r>
            <w:r>
              <w:rPr>
                <w:position w:val="6"/>
                <w:sz w:val="16"/>
              </w:rPr>
              <w:t>*)</w:t>
            </w:r>
            <w:r>
              <w:rPr>
                <w:sz w:val="18"/>
              </w:rPr>
              <w:t>.</w:t>
            </w:r>
          </w:p>
          <w:p w:rsidR="005624E3" w:rsidRPr="00C903F8" w:rsidRDefault="005624E3" w:rsidP="00101A80">
            <w:pPr>
              <w:tabs>
                <w:tab w:val="left" w:leader="dot" w:pos="3686"/>
                <w:tab w:val="left" w:leader="dot" w:pos="8505"/>
              </w:tabs>
              <w:overflowPunct w:val="0"/>
              <w:adjustRightInd w:val="0"/>
              <w:spacing w:after="20"/>
              <w:ind w:left="57"/>
              <w:textAlignment w:val="baseline"/>
              <w:rPr>
                <w:rFonts w:cs="Arial"/>
                <w:sz w:val="18"/>
                <w:szCs w:val="20"/>
              </w:rPr>
            </w:pPr>
            <w:r>
              <w:rPr>
                <w:sz w:val="18"/>
              </w:rPr>
              <w:t>A(z)</w:t>
            </w:r>
            <w:r>
              <w:t xml:space="preserve"> ................................................................................................................................................................</w:t>
            </w:r>
            <w:r>
              <w:rPr>
                <w:noProof/>
                <w:sz w:val="18"/>
              </w:rPr>
              <w:t>elismert hajóosztályozó társaság</w:t>
            </w:r>
            <w:r>
              <w:t xml:space="preserve"> .......................................................................................................</w:t>
            </w:r>
            <w:r>
              <w:rPr>
                <w:noProof/>
                <w:sz w:val="18"/>
              </w:rPr>
              <w:t>-án/-én kelt tanúsítványát</w:t>
            </w:r>
            <w:r>
              <w:tab/>
            </w:r>
          </w:p>
          <w:p w:rsidR="005624E3" w:rsidRPr="00C903F8" w:rsidRDefault="005624E3" w:rsidP="00101A80">
            <w:pPr>
              <w:tabs>
                <w:tab w:val="left" w:leader="dot" w:pos="8505"/>
              </w:tabs>
              <w:overflowPunct w:val="0"/>
              <w:adjustRightInd w:val="0"/>
              <w:ind w:left="57"/>
              <w:textAlignment w:val="baseline"/>
              <w:rPr>
                <w:rFonts w:cs="Arial"/>
                <w:sz w:val="18"/>
                <w:szCs w:val="20"/>
              </w:rPr>
            </w:pPr>
            <w:r>
              <w:tab/>
            </w:r>
          </w:p>
          <w:p w:rsidR="005624E3" w:rsidRPr="00C903F8" w:rsidRDefault="005624E3" w:rsidP="00101A80">
            <w:pPr>
              <w:overflowPunct w:val="0"/>
              <w:adjustRightInd w:val="0"/>
              <w:spacing w:after="20"/>
              <w:ind w:left="57"/>
              <w:textAlignment w:val="baseline"/>
              <w:rPr>
                <w:rFonts w:cs="Arial"/>
                <w:sz w:val="18"/>
                <w:szCs w:val="20"/>
              </w:rPr>
            </w:pPr>
            <w:r>
              <w:rPr>
                <w:noProof/>
                <w:sz w:val="18"/>
              </w:rPr>
              <w:t>bemutatták az ellenőrző szervnek</w:t>
            </w:r>
            <w:r>
              <w:rPr>
                <w:position w:val="6"/>
                <w:sz w:val="16"/>
              </w:rPr>
              <w:t>*)</w:t>
            </w:r>
            <w:r>
              <w:rPr>
                <w:sz w:val="18"/>
              </w:rPr>
              <w:t>.</w:t>
            </w:r>
          </w:p>
          <w:p w:rsidR="005624E3" w:rsidRPr="00C903F8" w:rsidRDefault="005624E3" w:rsidP="00101A80">
            <w:pPr>
              <w:overflowPunct w:val="0"/>
              <w:adjustRightInd w:val="0"/>
              <w:spacing w:after="20"/>
              <w:ind w:left="57"/>
              <w:textAlignment w:val="baseline"/>
              <w:rPr>
                <w:rFonts w:cs="Arial"/>
                <w:sz w:val="18"/>
                <w:szCs w:val="20"/>
              </w:rPr>
            </w:pPr>
            <w:r>
              <w:rPr>
                <w:noProof/>
                <w:sz w:val="18"/>
              </w:rPr>
              <w:t xml:space="preserve">A </w:t>
            </w:r>
            <w:r w:rsidR="0092642D">
              <w:rPr>
                <w:noProof/>
                <w:sz w:val="18"/>
              </w:rPr>
              <w:t xml:space="preserve">vizsgálat </w:t>
            </w:r>
            <w:r>
              <w:rPr>
                <w:noProof/>
                <w:sz w:val="18"/>
              </w:rPr>
              <w:t>elvégzésének / a tanúsítvány bemutatásának oka</w:t>
            </w:r>
            <w:r>
              <w:rPr>
                <w:position w:val="6"/>
                <w:sz w:val="16"/>
              </w:rPr>
              <w:t>*)</w:t>
            </w:r>
            <w:r>
              <w:rPr>
                <w:sz w:val="18"/>
              </w:rPr>
              <w:t>:</w:t>
            </w:r>
          </w:p>
          <w:p w:rsidR="005624E3" w:rsidRPr="00C903F8" w:rsidRDefault="005624E3" w:rsidP="00101A80">
            <w:pPr>
              <w:tabs>
                <w:tab w:val="left" w:leader="dot" w:pos="8505"/>
              </w:tabs>
              <w:overflowPunct w:val="0"/>
              <w:adjustRightInd w:val="0"/>
              <w:spacing w:after="8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tab/>
            </w:r>
          </w:p>
          <w:p w:rsidR="005624E3" w:rsidRPr="00C903F8" w:rsidRDefault="005624E3" w:rsidP="00101A80">
            <w:pPr>
              <w:tabs>
                <w:tab w:val="left" w:leader="dot" w:pos="8505"/>
              </w:tabs>
              <w:overflowPunct w:val="0"/>
              <w:adjustRightInd w:val="0"/>
              <w:ind w:left="57"/>
              <w:textAlignment w:val="baseline"/>
              <w:rPr>
                <w:rFonts w:cs="Arial"/>
                <w:position w:val="6"/>
                <w:sz w:val="16"/>
                <w:szCs w:val="20"/>
              </w:rPr>
            </w:pPr>
            <w:r>
              <w:rPr>
                <w:sz w:val="18"/>
              </w:rPr>
              <w:t xml:space="preserve">A </w:t>
            </w:r>
            <w:r w:rsidR="0092642D">
              <w:rPr>
                <w:sz w:val="18"/>
              </w:rPr>
              <w:t xml:space="preserve">vizsgálat </w:t>
            </w:r>
            <w:r>
              <w:rPr>
                <w:sz w:val="18"/>
              </w:rPr>
              <w:t>eredménye / a tanúsítvány alapján a hajóbizonyítvány érvényes marad / a hajóbizonyítvány érvényessége meghosszabbításra kerül</w:t>
            </w:r>
            <w:r>
              <w:t xml:space="preserve"> </w:t>
            </w:r>
            <w:r>
              <w:rPr>
                <w:position w:val="6"/>
                <w:sz w:val="16"/>
              </w:rPr>
              <w:t>*)</w:t>
            </w:r>
          </w:p>
          <w:p w:rsidR="005624E3" w:rsidRPr="00C903F8" w:rsidRDefault="005624E3" w:rsidP="00101A80">
            <w:pPr>
              <w:tabs>
                <w:tab w:val="left" w:leader="dot" w:pos="2268"/>
                <w:tab w:val="left" w:leader="dot" w:pos="3402"/>
                <w:tab w:val="left" w:leader="dot" w:pos="8505"/>
              </w:tabs>
              <w:overflowPunct w:val="0"/>
              <w:adjustRightInd w:val="0"/>
              <w:ind w:left="57"/>
              <w:textAlignment w:val="baseline"/>
              <w:rPr>
                <w:rFonts w:cs="Arial"/>
                <w:sz w:val="18"/>
                <w:szCs w:val="20"/>
              </w:rPr>
            </w:pPr>
            <w:r>
              <w:tab/>
            </w:r>
            <w:r>
              <w:rPr>
                <w:sz w:val="18"/>
              </w:rPr>
              <w:t xml:space="preserve"> -ig.</w:t>
            </w:r>
          </w:p>
          <w:p w:rsidR="005624E3" w:rsidRPr="00C903F8" w:rsidRDefault="005624E3" w:rsidP="00101A80">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rPr>
            </w:pPr>
            <w:r>
              <w:tab/>
            </w:r>
            <w:r>
              <w:rPr>
                <w:sz w:val="18"/>
              </w:rPr>
              <w:t xml:space="preserve">, </w:t>
            </w:r>
            <w:r>
              <w:tab/>
            </w:r>
          </w:p>
          <w:p w:rsidR="005624E3" w:rsidRPr="00C903F8" w:rsidRDefault="005624E3" w:rsidP="00101A80">
            <w:pPr>
              <w:tabs>
                <w:tab w:val="center" w:pos="2041"/>
                <w:tab w:val="center" w:pos="5216"/>
              </w:tabs>
              <w:overflowPunct w:val="0"/>
              <w:adjustRightInd w:val="0"/>
              <w:textAlignment w:val="baseline"/>
              <w:rPr>
                <w:rFonts w:cs="Arial"/>
                <w:sz w:val="18"/>
                <w:szCs w:val="20"/>
              </w:rPr>
            </w:pPr>
            <w:r>
              <w:tab/>
            </w:r>
            <w:r>
              <w:rPr>
                <w:sz w:val="16"/>
              </w:rPr>
              <w:t>(Hely)</w:t>
            </w:r>
            <w:r>
              <w:tab/>
            </w:r>
            <w:r>
              <w:rPr>
                <w:sz w:val="16"/>
              </w:rPr>
              <w:t>(Dátum)</w:t>
            </w:r>
          </w:p>
          <w:p w:rsidR="005624E3" w:rsidRPr="00C903F8" w:rsidRDefault="005624E3" w:rsidP="00101A80">
            <w:pPr>
              <w:tabs>
                <w:tab w:val="left" w:pos="4820"/>
                <w:tab w:val="left" w:leader="dot" w:pos="8505"/>
              </w:tabs>
              <w:overflowPunct w:val="0"/>
              <w:adjustRightInd w:val="0"/>
              <w:spacing w:before="120"/>
              <w:ind w:left="57"/>
              <w:textAlignment w:val="baseline"/>
              <w:rPr>
                <w:rFonts w:cs="Arial"/>
                <w:sz w:val="18"/>
                <w:szCs w:val="20"/>
              </w:rPr>
            </w:pPr>
            <w:r>
              <w:tab/>
            </w:r>
            <w:r>
              <w:tab/>
            </w:r>
          </w:p>
          <w:p w:rsidR="005624E3" w:rsidRPr="00C903F8" w:rsidRDefault="005624E3" w:rsidP="00101A80">
            <w:pPr>
              <w:tabs>
                <w:tab w:val="center" w:pos="1985"/>
                <w:tab w:val="center" w:pos="6662"/>
              </w:tabs>
              <w:overflowPunct w:val="0"/>
              <w:adjustRightInd w:val="0"/>
              <w:textAlignment w:val="baseline"/>
              <w:rPr>
                <w:rFonts w:cs="Arial"/>
                <w:sz w:val="18"/>
                <w:szCs w:val="20"/>
              </w:rPr>
            </w:pPr>
            <w:r>
              <w:tab/>
            </w:r>
            <w:r>
              <w:rPr>
                <w:sz w:val="16"/>
              </w:rPr>
              <w:t>Bélyegző</w:t>
            </w:r>
            <w:r>
              <w:tab/>
            </w:r>
            <w:r>
              <w:rPr>
                <w:sz w:val="16"/>
              </w:rPr>
              <w:t>Ellenőrző szerv</w:t>
            </w:r>
          </w:p>
          <w:p w:rsidR="005624E3" w:rsidRPr="00C903F8" w:rsidRDefault="005624E3" w:rsidP="00101A80">
            <w:pPr>
              <w:tabs>
                <w:tab w:val="left" w:pos="4820"/>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6662"/>
              </w:tabs>
              <w:overflowPunct w:val="0"/>
              <w:adjustRightInd w:val="0"/>
              <w:ind w:left="57"/>
              <w:textAlignment w:val="baseline"/>
              <w:rPr>
                <w:rFonts w:cs="Arial"/>
                <w:sz w:val="16"/>
                <w:szCs w:val="20"/>
              </w:rPr>
            </w:pPr>
            <w:r>
              <w:rPr>
                <w:sz w:val="18"/>
              </w:rPr>
              <w:t>______________________</w:t>
            </w:r>
            <w:r>
              <w:tab/>
            </w:r>
            <w:r>
              <w:rPr>
                <w:sz w:val="16"/>
              </w:rPr>
              <w:t>(Aláírás)</w:t>
            </w:r>
          </w:p>
          <w:p w:rsidR="005624E3" w:rsidRPr="00C903F8" w:rsidRDefault="005624E3" w:rsidP="00101A80">
            <w:pPr>
              <w:tabs>
                <w:tab w:val="left" w:pos="57"/>
                <w:tab w:val="left" w:pos="227"/>
                <w:tab w:val="left" w:pos="5670"/>
                <w:tab w:val="left" w:leader="dot" w:pos="8505"/>
              </w:tabs>
              <w:overflowPunct w:val="0"/>
              <w:adjustRightInd w:val="0"/>
              <w:spacing w:after="40"/>
              <w:ind w:left="57" w:hanging="57"/>
              <w:textAlignment w:val="baseline"/>
              <w:rPr>
                <w:rFonts w:cs="Arial"/>
                <w:sz w:val="18"/>
                <w:szCs w:val="20"/>
              </w:rPr>
            </w:pPr>
            <w:r>
              <w:rPr>
                <w:position w:val="4"/>
                <w:sz w:val="16"/>
                <w:vertAlign w:val="superscript"/>
              </w:rPr>
              <w:t>*)</w:t>
            </w:r>
            <w:r>
              <w:tab/>
            </w:r>
            <w:r>
              <w:rPr>
                <w:sz w:val="16"/>
              </w:rPr>
              <w:t>A nem kívánt rész törlendő.</w:t>
            </w:r>
          </w:p>
        </w:tc>
      </w:tr>
    </w:tbl>
    <w:p w:rsidR="005624E3" w:rsidRPr="00C903F8" w:rsidRDefault="005624E3" w:rsidP="005624E3">
      <w:pPr>
        <w:tabs>
          <w:tab w:val="left" w:leader="dot" w:pos="2835"/>
          <w:tab w:val="left" w:leader="dot" w:pos="7371"/>
        </w:tabs>
        <w:overflowPunct w:val="0"/>
        <w:adjustRightInd w:val="0"/>
        <w:jc w:val="center"/>
        <w:textAlignment w:val="baseline"/>
        <w:rPr>
          <w:rFonts w:cs="Arial"/>
          <w:szCs w:val="20"/>
        </w:rPr>
        <w:sectPr w:rsidR="005624E3" w:rsidRPr="00C903F8" w:rsidSect="00A50F11">
          <w:headerReference w:type="default" r:id="rId46"/>
          <w:footerReference w:type="default" r:id="rId47"/>
          <w:footnotePr>
            <w:numRestart w:val="eachPage"/>
          </w:footnotePr>
          <w:pgSz w:w="11907" w:h="16840"/>
          <w:pgMar w:top="1191" w:right="1418" w:bottom="1077" w:left="1418" w:header="720" w:footer="720" w:gutter="0"/>
          <w:cols w:space="720"/>
        </w:sectPr>
      </w:pPr>
    </w:p>
    <w:p w:rsidR="005624E3" w:rsidRPr="00C903F8" w:rsidRDefault="005624E3" w:rsidP="005624E3">
      <w:pPr>
        <w:tabs>
          <w:tab w:val="left" w:leader="dot" w:pos="2835"/>
          <w:tab w:val="left" w:leader="dot" w:pos="5103"/>
        </w:tabs>
        <w:overflowPunct w:val="0"/>
        <w:adjustRightInd w:val="0"/>
        <w:textAlignment w:val="baseline"/>
        <w:rPr>
          <w:rFonts w:cs="Arial"/>
          <w:szCs w:val="20"/>
        </w:rPr>
      </w:pPr>
      <w:r>
        <w:t xml:space="preserve">Az ellenőrző szerv által kiadott .......... számú belvízi hajóbizonyítvány </w:t>
      </w:r>
      <w:r>
        <w:tab/>
      </w:r>
    </w:p>
    <w:tbl>
      <w:tblPr>
        <w:tblW w:w="9187" w:type="dxa"/>
        <w:jc w:val="center"/>
        <w:tblLayout w:type="fixed"/>
        <w:tblCellMar>
          <w:left w:w="0" w:type="dxa"/>
          <w:right w:w="0" w:type="dxa"/>
        </w:tblCellMar>
        <w:tblLook w:val="0000" w:firstRow="0" w:lastRow="0" w:firstColumn="0" w:lastColumn="0" w:noHBand="0" w:noVBand="0"/>
      </w:tblPr>
      <w:tblGrid>
        <w:gridCol w:w="284"/>
        <w:gridCol w:w="1418"/>
        <w:gridCol w:w="1191"/>
        <w:gridCol w:w="1247"/>
        <w:gridCol w:w="1758"/>
        <w:gridCol w:w="1134"/>
        <w:gridCol w:w="1758"/>
        <w:gridCol w:w="397"/>
      </w:tblGrid>
      <w:tr w:rsidR="005624E3" w:rsidRPr="00A0619C" w:rsidTr="00101A80">
        <w:trPr>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50.</w:t>
            </w:r>
          </w:p>
        </w:tc>
        <w:tc>
          <w:tcPr>
            <w:tcW w:w="8903" w:type="dxa"/>
            <w:gridSpan w:val="7"/>
            <w:tcBorders>
              <w:top w:val="single" w:sz="6" w:space="0" w:color="auto"/>
              <w:right w:val="single" w:sz="6" w:space="0" w:color="auto"/>
            </w:tcBorders>
          </w:tcPr>
          <w:p w:rsidR="005624E3" w:rsidRPr="00C903F8" w:rsidRDefault="005624E3" w:rsidP="00101A80">
            <w:pPr>
              <w:tabs>
                <w:tab w:val="left" w:pos="57"/>
                <w:tab w:val="left" w:leader="dot" w:pos="8505"/>
              </w:tabs>
              <w:overflowPunct w:val="0"/>
              <w:adjustRightInd w:val="0"/>
              <w:spacing w:before="120"/>
              <w:textAlignment w:val="baseline"/>
              <w:rPr>
                <w:rFonts w:cs="Arial"/>
                <w:b/>
                <w:sz w:val="18"/>
                <w:szCs w:val="20"/>
              </w:rPr>
            </w:pPr>
            <w:r>
              <w:rPr>
                <w:b/>
                <w:sz w:val="18"/>
              </w:rPr>
              <w:t>Cseppfolyósított gázzal üzemelő berendezés(ek) tanúsítása</w:t>
            </w:r>
          </w:p>
          <w:p w:rsidR="005624E3" w:rsidRPr="00C903F8" w:rsidRDefault="005624E3" w:rsidP="00101A80">
            <w:pPr>
              <w:tabs>
                <w:tab w:val="left" w:pos="57"/>
                <w:tab w:val="left" w:leader="dot" w:pos="8505"/>
              </w:tabs>
              <w:overflowPunct w:val="0"/>
              <w:adjustRightInd w:val="0"/>
              <w:spacing w:before="120"/>
              <w:textAlignment w:val="baseline"/>
              <w:rPr>
                <w:rFonts w:cs="Arial"/>
                <w:sz w:val="18"/>
                <w:szCs w:val="20"/>
              </w:rPr>
            </w:pPr>
            <w:r>
              <w:t>A vízi jármű fedélzetén lévő, cseppfolyósított gázzal üzemelő berendezés(eke)t a következő szakértő ellenőrizte:</w:t>
            </w:r>
            <w:r>
              <w:rPr>
                <w:sz w:val="18"/>
              </w:rPr>
              <w:t xml:space="preserve"> </w:t>
            </w:r>
            <w:r>
              <w:tab/>
            </w:r>
          </w:p>
          <w:p w:rsidR="005624E3" w:rsidRPr="00C903F8" w:rsidRDefault="005624E3" w:rsidP="00101A80">
            <w:pPr>
              <w:tabs>
                <w:tab w:val="left" w:leader="dot" w:pos="8505"/>
              </w:tabs>
              <w:overflowPunct w:val="0"/>
              <w:adjustRightInd w:val="0"/>
              <w:spacing w:before="120"/>
              <w:textAlignment w:val="baseline"/>
              <w:rPr>
                <w:rFonts w:cs="Arial"/>
                <w:sz w:val="18"/>
                <w:szCs w:val="20"/>
              </w:rPr>
            </w:pPr>
            <w:r>
              <w:tab/>
            </w:r>
          </w:p>
          <w:p w:rsidR="005624E3" w:rsidRPr="00C903F8" w:rsidRDefault="005624E3" w:rsidP="00101A80">
            <w:pPr>
              <w:tabs>
                <w:tab w:val="left" w:pos="57"/>
                <w:tab w:val="left" w:leader="dot" w:pos="5103"/>
                <w:tab w:val="left" w:leader="dot" w:pos="5670"/>
                <w:tab w:val="left" w:leader="dot" w:pos="8505"/>
              </w:tabs>
              <w:overflowPunct w:val="0"/>
              <w:adjustRightInd w:val="0"/>
              <w:spacing w:before="120"/>
              <w:textAlignment w:val="baseline"/>
              <w:rPr>
                <w:rFonts w:cs="Arial"/>
                <w:sz w:val="18"/>
                <w:szCs w:val="20"/>
              </w:rPr>
            </w:pPr>
            <w:r>
              <w:rPr>
                <w:sz w:val="18"/>
              </w:rPr>
              <w:t>A berendezés(ek) a szakértő ..........................................-án/-én</w:t>
            </w:r>
            <w:r>
              <w:rPr>
                <w:position w:val="6"/>
                <w:sz w:val="16"/>
              </w:rPr>
              <w:t xml:space="preserve">*) </w:t>
            </w:r>
            <w:r>
              <w:rPr>
                <w:sz w:val="18"/>
              </w:rPr>
              <w:t>kelt ellenőrzési igazolása szerint megfelel(nek) az előírt feltételeknek.</w:t>
            </w:r>
          </w:p>
          <w:p w:rsidR="005624E3" w:rsidRPr="00C903F8" w:rsidRDefault="005624E3" w:rsidP="00101A80">
            <w:pPr>
              <w:tabs>
                <w:tab w:val="left" w:pos="57"/>
                <w:tab w:val="left" w:leader="dot" w:pos="5103"/>
                <w:tab w:val="left" w:leader="dot" w:pos="5670"/>
                <w:tab w:val="left" w:leader="dot" w:pos="8505"/>
              </w:tabs>
              <w:overflowPunct w:val="0"/>
              <w:adjustRightInd w:val="0"/>
              <w:spacing w:before="120" w:after="40"/>
              <w:textAlignment w:val="baseline"/>
              <w:rPr>
                <w:rFonts w:cs="Arial"/>
                <w:sz w:val="18"/>
                <w:szCs w:val="20"/>
              </w:rPr>
            </w:pPr>
            <w:r>
              <w:rPr>
                <w:sz w:val="18"/>
              </w:rPr>
              <w:t xml:space="preserve">A berendezés(ek) az alábbi gázfogyasztó készülékeket foglalja/foglalják magában/magukban: </w:t>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right w:val="single" w:sz="6" w:space="0" w:color="auto"/>
            </w:tcBorders>
            <w:vAlign w:val="center"/>
          </w:tcPr>
          <w:p w:rsidR="005624E3" w:rsidRPr="00C903F8" w:rsidRDefault="005624E3" w:rsidP="00101A80">
            <w:pPr>
              <w:jc w:val="center"/>
              <w:rPr>
                <w:sz w:val="18"/>
              </w:rPr>
            </w:pPr>
            <w:r>
              <w:rPr>
                <w:sz w:val="18"/>
              </w:rPr>
              <w:t>Berendezés</w:t>
            </w:r>
          </w:p>
        </w:tc>
        <w:tc>
          <w:tcPr>
            <w:tcW w:w="1191" w:type="dxa"/>
            <w:tcBorders>
              <w:top w:val="single" w:sz="6" w:space="0" w:color="auto"/>
              <w:left w:val="single" w:sz="6" w:space="0" w:color="auto"/>
              <w:right w:val="single" w:sz="6" w:space="0" w:color="auto"/>
            </w:tcBorders>
            <w:vAlign w:val="center"/>
          </w:tcPr>
          <w:p w:rsidR="005624E3" w:rsidRPr="00C903F8" w:rsidRDefault="005624E3" w:rsidP="00101A80">
            <w:pPr>
              <w:jc w:val="center"/>
              <w:rPr>
                <w:sz w:val="18"/>
              </w:rPr>
            </w:pPr>
            <w:r>
              <w:rPr>
                <w:sz w:val="18"/>
              </w:rPr>
              <w:t>Sorozatszám</w:t>
            </w:r>
          </w:p>
        </w:tc>
        <w:tc>
          <w:tcPr>
            <w:tcW w:w="1247" w:type="dxa"/>
            <w:tcBorders>
              <w:top w:val="single" w:sz="6" w:space="0" w:color="auto"/>
              <w:left w:val="single" w:sz="6" w:space="0" w:color="auto"/>
              <w:right w:val="single" w:sz="6" w:space="0" w:color="auto"/>
            </w:tcBorders>
            <w:vAlign w:val="center"/>
          </w:tcPr>
          <w:p w:rsidR="005624E3" w:rsidRPr="00C903F8" w:rsidRDefault="005624E3" w:rsidP="00101A80">
            <w:pPr>
              <w:jc w:val="center"/>
              <w:rPr>
                <w:sz w:val="18"/>
              </w:rPr>
            </w:pPr>
            <w:r>
              <w:rPr>
                <w:sz w:val="18"/>
              </w:rPr>
              <w:t>Modell</w:t>
            </w:r>
          </w:p>
        </w:tc>
        <w:tc>
          <w:tcPr>
            <w:tcW w:w="1758" w:type="dxa"/>
            <w:tcBorders>
              <w:top w:val="single" w:sz="6" w:space="0" w:color="auto"/>
              <w:left w:val="single" w:sz="6" w:space="0" w:color="auto"/>
              <w:right w:val="single" w:sz="6" w:space="0" w:color="auto"/>
            </w:tcBorders>
            <w:vAlign w:val="center"/>
          </w:tcPr>
          <w:p w:rsidR="005624E3" w:rsidRPr="00C903F8" w:rsidRDefault="005624E3" w:rsidP="00101A80">
            <w:pPr>
              <w:jc w:val="center"/>
              <w:rPr>
                <w:sz w:val="18"/>
              </w:rPr>
            </w:pPr>
            <w:r>
              <w:rPr>
                <w:sz w:val="18"/>
              </w:rPr>
              <w:t>Gyártmány</w:t>
            </w:r>
          </w:p>
        </w:tc>
        <w:tc>
          <w:tcPr>
            <w:tcW w:w="1134" w:type="dxa"/>
            <w:tcBorders>
              <w:top w:val="single" w:sz="6" w:space="0" w:color="auto"/>
              <w:left w:val="single" w:sz="6" w:space="0" w:color="auto"/>
              <w:right w:val="single" w:sz="6" w:space="0" w:color="auto"/>
            </w:tcBorders>
            <w:vAlign w:val="center"/>
          </w:tcPr>
          <w:p w:rsidR="005624E3" w:rsidRPr="00C903F8" w:rsidRDefault="005624E3" w:rsidP="00101A80">
            <w:pPr>
              <w:jc w:val="center"/>
              <w:rPr>
                <w:sz w:val="18"/>
              </w:rPr>
            </w:pPr>
            <w:r>
              <w:rPr>
                <w:sz w:val="18"/>
              </w:rPr>
              <w:t>Típus</w:t>
            </w:r>
          </w:p>
        </w:tc>
        <w:tc>
          <w:tcPr>
            <w:tcW w:w="1758" w:type="dxa"/>
            <w:tcBorders>
              <w:top w:val="single" w:sz="6" w:space="0" w:color="auto"/>
              <w:left w:val="single" w:sz="6" w:space="0" w:color="auto"/>
              <w:right w:val="single" w:sz="6" w:space="0" w:color="auto"/>
            </w:tcBorders>
            <w:vAlign w:val="center"/>
          </w:tcPr>
          <w:p w:rsidR="005624E3" w:rsidRPr="00C903F8" w:rsidRDefault="005624E3" w:rsidP="00101A80">
            <w:pPr>
              <w:jc w:val="center"/>
              <w:rPr>
                <w:sz w:val="18"/>
              </w:rPr>
            </w:pPr>
            <w:r>
              <w:rPr>
                <w:sz w:val="18"/>
              </w:rPr>
              <w:t>Elhelyezés</w:t>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1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1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1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1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1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1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8903" w:type="dxa"/>
            <w:gridSpan w:val="7"/>
            <w:tcBorders>
              <w:bottom w:val="single" w:sz="6" w:space="0" w:color="auto"/>
              <w:right w:val="single" w:sz="6" w:space="0" w:color="auto"/>
            </w:tcBorders>
          </w:tcPr>
          <w:p w:rsidR="005624E3" w:rsidRPr="00C903F8" w:rsidRDefault="005624E3" w:rsidP="00101A80">
            <w:pPr>
              <w:tabs>
                <w:tab w:val="left" w:pos="57"/>
                <w:tab w:val="left" w:leader="dot" w:pos="8505"/>
              </w:tabs>
              <w:overflowPunct w:val="0"/>
              <w:adjustRightInd w:val="0"/>
              <w:textAlignment w:val="baseline"/>
              <w:rPr>
                <w:rFonts w:cs="Arial"/>
                <w:sz w:val="18"/>
                <w:szCs w:val="20"/>
              </w:rPr>
            </w:pPr>
          </w:p>
          <w:p w:rsidR="005624E3" w:rsidRPr="00C903F8" w:rsidRDefault="005624E3" w:rsidP="00101A80">
            <w:pPr>
              <w:tabs>
                <w:tab w:val="left" w:pos="57"/>
                <w:tab w:val="left" w:leader="dot" w:pos="8505"/>
              </w:tabs>
              <w:overflowPunct w:val="0"/>
              <w:adjustRightInd w:val="0"/>
              <w:textAlignment w:val="baseline"/>
              <w:rPr>
                <w:rFonts w:cs="Arial"/>
                <w:sz w:val="18"/>
                <w:szCs w:val="20"/>
              </w:rPr>
            </w:pPr>
            <w:r>
              <w:rPr>
                <w:sz w:val="18"/>
              </w:rPr>
              <w:t>Ez a tanúsítás ............ -ig érvényes.</w:t>
            </w:r>
          </w:p>
          <w:p w:rsidR="005624E3" w:rsidRPr="00C903F8" w:rsidRDefault="005624E3" w:rsidP="00101A80">
            <w:pPr>
              <w:tabs>
                <w:tab w:val="left" w:pos="57"/>
                <w:tab w:val="left" w:leader="dot" w:pos="3969"/>
                <w:tab w:val="left" w:leader="dot" w:pos="6237"/>
                <w:tab w:val="left" w:leader="dot" w:pos="8505"/>
              </w:tabs>
              <w:overflowPunct w:val="0"/>
              <w:adjustRightInd w:val="0"/>
              <w:spacing w:before="120"/>
              <w:ind w:left="57" w:hanging="57"/>
              <w:textAlignment w:val="baseline"/>
              <w:rPr>
                <w:rFonts w:cs="Arial"/>
                <w:sz w:val="18"/>
                <w:szCs w:val="20"/>
              </w:rPr>
            </w:pPr>
          </w:p>
          <w:p w:rsidR="005624E3" w:rsidRPr="00C903F8" w:rsidRDefault="005624E3" w:rsidP="00101A80">
            <w:pPr>
              <w:tabs>
                <w:tab w:val="left" w:leader="dot" w:pos="3969"/>
                <w:tab w:val="left" w:leader="dot" w:pos="6237"/>
                <w:tab w:val="left" w:leader="dot" w:pos="8505"/>
              </w:tabs>
              <w:overflowPunct w:val="0"/>
              <w:adjustRightInd w:val="0"/>
              <w:spacing w:before="120"/>
              <w:textAlignment w:val="baseline"/>
              <w:rPr>
                <w:rFonts w:cs="Arial"/>
                <w:sz w:val="18"/>
                <w:szCs w:val="20"/>
              </w:rPr>
            </w:pPr>
            <w:r>
              <w:tab/>
            </w:r>
            <w:r>
              <w:rPr>
                <w:sz w:val="18"/>
              </w:rPr>
              <w:t xml:space="preserve">, </w:t>
            </w:r>
            <w:r>
              <w:tab/>
            </w:r>
          </w:p>
          <w:p w:rsidR="005624E3" w:rsidRPr="00C903F8" w:rsidRDefault="005624E3" w:rsidP="00101A80">
            <w:pPr>
              <w:tabs>
                <w:tab w:val="left" w:pos="57"/>
                <w:tab w:val="center" w:pos="5302"/>
                <w:tab w:val="left" w:leader="dot" w:pos="6237"/>
                <w:tab w:val="left" w:leader="dot" w:pos="8505"/>
              </w:tabs>
              <w:overflowPunct w:val="0"/>
              <w:adjustRightInd w:val="0"/>
              <w:textAlignment w:val="baseline"/>
              <w:rPr>
                <w:rFonts w:cs="Arial"/>
                <w:sz w:val="18"/>
                <w:szCs w:val="20"/>
              </w:rPr>
            </w:pPr>
            <w:r>
              <w:rPr>
                <w:sz w:val="16"/>
              </w:rPr>
              <w:t>(Hely)</w:t>
            </w:r>
            <w:r>
              <w:tab/>
            </w:r>
            <w:r>
              <w:rPr>
                <w:sz w:val="16"/>
              </w:rPr>
              <w:t>(Dátum)</w:t>
            </w:r>
          </w:p>
          <w:p w:rsidR="005624E3" w:rsidRPr="00C903F8" w:rsidRDefault="005624E3" w:rsidP="00101A80">
            <w:pPr>
              <w:tabs>
                <w:tab w:val="left" w:pos="57"/>
                <w:tab w:val="left" w:leader="dot" w:pos="8505"/>
              </w:tabs>
              <w:overflowPunct w:val="0"/>
              <w:adjustRightInd w:val="0"/>
              <w:ind w:left="57" w:hanging="57"/>
              <w:textAlignment w:val="baseline"/>
              <w:rPr>
                <w:rFonts w:cs="Arial"/>
                <w:sz w:val="18"/>
                <w:szCs w:val="20"/>
              </w:rPr>
            </w:pPr>
          </w:p>
          <w:p w:rsidR="005624E3" w:rsidRPr="00C903F8" w:rsidRDefault="005624E3" w:rsidP="00101A80">
            <w:pPr>
              <w:tabs>
                <w:tab w:val="left" w:pos="3402"/>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5869"/>
                <w:tab w:val="left" w:leader="dot" w:pos="8505"/>
              </w:tabs>
              <w:overflowPunct w:val="0"/>
              <w:adjustRightInd w:val="0"/>
              <w:textAlignment w:val="baseline"/>
              <w:rPr>
                <w:rFonts w:cs="Arial"/>
                <w:sz w:val="18"/>
                <w:szCs w:val="20"/>
              </w:rPr>
            </w:pPr>
            <w:r>
              <w:tab/>
            </w:r>
            <w:r>
              <w:rPr>
                <w:sz w:val="16"/>
              </w:rPr>
              <w:t>Ellenőrző szerv</w:t>
            </w:r>
          </w:p>
          <w:p w:rsidR="005624E3" w:rsidRPr="00C903F8" w:rsidRDefault="005624E3" w:rsidP="00101A80">
            <w:pPr>
              <w:tabs>
                <w:tab w:val="left" w:pos="57"/>
                <w:tab w:val="left" w:pos="3402"/>
                <w:tab w:val="left" w:leader="dot" w:pos="8505"/>
              </w:tabs>
              <w:overflowPunct w:val="0"/>
              <w:adjustRightInd w:val="0"/>
              <w:spacing w:before="120"/>
              <w:ind w:left="57" w:hanging="57"/>
              <w:textAlignment w:val="baseline"/>
              <w:rPr>
                <w:rFonts w:cs="Arial"/>
                <w:sz w:val="18"/>
                <w:szCs w:val="20"/>
              </w:rPr>
            </w:pPr>
          </w:p>
          <w:p w:rsidR="005624E3" w:rsidRPr="00C903F8" w:rsidRDefault="005624E3" w:rsidP="00101A80">
            <w:pPr>
              <w:tabs>
                <w:tab w:val="left" w:pos="57"/>
                <w:tab w:val="center" w:pos="2326"/>
                <w:tab w:val="left" w:pos="3402"/>
                <w:tab w:val="left" w:leader="dot" w:pos="8505"/>
              </w:tabs>
              <w:overflowPunct w:val="0"/>
              <w:adjustRightInd w:val="0"/>
              <w:spacing w:before="120"/>
              <w:ind w:left="57" w:hanging="57"/>
              <w:textAlignment w:val="baseline"/>
              <w:rPr>
                <w:rFonts w:cs="Arial"/>
                <w:sz w:val="16"/>
                <w:szCs w:val="16"/>
              </w:rPr>
            </w:pPr>
            <w:r>
              <w:tab/>
            </w:r>
            <w:r>
              <w:tab/>
            </w:r>
            <w:r>
              <w:rPr>
                <w:sz w:val="16"/>
              </w:rPr>
              <w:t>Bélyegző</w:t>
            </w:r>
            <w:r>
              <w:tab/>
            </w:r>
            <w:r>
              <w:tab/>
            </w:r>
          </w:p>
          <w:p w:rsidR="005624E3" w:rsidRPr="00C903F8" w:rsidRDefault="005624E3" w:rsidP="00101A80">
            <w:pPr>
              <w:tabs>
                <w:tab w:val="left" w:pos="57"/>
                <w:tab w:val="left" w:pos="5670"/>
                <w:tab w:val="left" w:leader="dot" w:pos="8505"/>
              </w:tabs>
              <w:overflowPunct w:val="0"/>
              <w:adjustRightInd w:val="0"/>
              <w:ind w:left="57" w:hanging="57"/>
              <w:textAlignment w:val="baseline"/>
              <w:rPr>
                <w:rFonts w:cs="Arial"/>
                <w:sz w:val="18"/>
                <w:szCs w:val="20"/>
              </w:rPr>
            </w:pPr>
            <w:r>
              <w:tab/>
            </w:r>
            <w:r>
              <w:tab/>
            </w:r>
            <w:r>
              <w:rPr>
                <w:sz w:val="16"/>
              </w:rPr>
              <w:t>(Aláírás)</w:t>
            </w:r>
          </w:p>
          <w:p w:rsidR="005624E3" w:rsidRPr="00C903F8" w:rsidRDefault="005624E3" w:rsidP="00101A80">
            <w:pPr>
              <w:tabs>
                <w:tab w:val="left" w:pos="57"/>
                <w:tab w:val="left" w:pos="5103"/>
              </w:tabs>
              <w:overflowPunct w:val="0"/>
              <w:adjustRightInd w:val="0"/>
              <w:textAlignment w:val="baseline"/>
              <w:rPr>
                <w:rFonts w:cs="Arial"/>
                <w:sz w:val="18"/>
                <w:szCs w:val="20"/>
              </w:rPr>
            </w:pPr>
          </w:p>
          <w:p w:rsidR="005624E3" w:rsidRPr="00C903F8" w:rsidRDefault="005624E3" w:rsidP="00101A80">
            <w:pPr>
              <w:tabs>
                <w:tab w:val="left" w:pos="57"/>
                <w:tab w:val="left" w:pos="5103"/>
              </w:tabs>
              <w:overflowPunct w:val="0"/>
              <w:adjustRightInd w:val="0"/>
              <w:spacing w:after="120"/>
              <w:textAlignment w:val="baseline"/>
              <w:rPr>
                <w:rFonts w:cs="Arial"/>
                <w:sz w:val="18"/>
                <w:szCs w:val="20"/>
              </w:rPr>
            </w:pPr>
          </w:p>
        </w:tc>
      </w:tr>
      <w:tr w:rsidR="005624E3" w:rsidRPr="00842442"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spacing w:before="80"/>
              <w:textAlignment w:val="baseline"/>
              <w:rPr>
                <w:rFonts w:cs="Arial"/>
                <w:sz w:val="18"/>
                <w:szCs w:val="20"/>
              </w:rPr>
            </w:pPr>
            <w:r>
              <w:tab/>
            </w:r>
            <w:r>
              <w:rPr>
                <w:sz w:val="18"/>
              </w:rPr>
              <w:t>*)</w:t>
            </w:r>
            <w:r>
              <w:rPr>
                <w:rFonts w:cs="Arial"/>
                <w:sz w:val="18"/>
                <w:szCs w:val="20"/>
              </w:rPr>
              <w:br/>
            </w:r>
            <w:r>
              <w:rPr>
                <w:rFonts w:cs="Arial"/>
                <w:sz w:val="18"/>
                <w:szCs w:val="20"/>
              </w:rPr>
              <w:br/>
            </w:r>
          </w:p>
          <w:p w:rsidR="005624E3" w:rsidRPr="00C903F8" w:rsidRDefault="005624E3" w:rsidP="00101A80">
            <w:pPr>
              <w:tabs>
                <w:tab w:val="left" w:pos="57"/>
              </w:tabs>
              <w:overflowPunct w:val="0"/>
              <w:adjustRightInd w:val="0"/>
              <w:spacing w:before="80"/>
              <w:textAlignment w:val="baseline"/>
              <w:rPr>
                <w:rFonts w:cs="Arial"/>
                <w:sz w:val="18"/>
                <w:szCs w:val="20"/>
              </w:rPr>
            </w:pPr>
          </w:p>
          <w:p w:rsidR="005624E3" w:rsidRPr="00C903F8" w:rsidRDefault="005624E3" w:rsidP="00101A80">
            <w:pPr>
              <w:tabs>
                <w:tab w:val="left" w:pos="57"/>
              </w:tabs>
              <w:overflowPunct w:val="0"/>
              <w:adjustRightInd w:val="0"/>
              <w:spacing w:before="160"/>
              <w:textAlignment w:val="baseline"/>
              <w:rPr>
                <w:rFonts w:cs="Arial"/>
                <w:sz w:val="18"/>
                <w:szCs w:val="20"/>
              </w:rPr>
            </w:pPr>
            <w:r>
              <w:tab/>
            </w:r>
            <w:r>
              <w:rPr>
                <w:sz w:val="18"/>
              </w:rPr>
              <w:t>*)</w:t>
            </w:r>
          </w:p>
        </w:tc>
        <w:tc>
          <w:tcPr>
            <w:tcW w:w="8903" w:type="dxa"/>
            <w:gridSpan w:val="7"/>
            <w:tcBorders>
              <w:bottom w:val="single" w:sz="6" w:space="0" w:color="auto"/>
              <w:right w:val="single" w:sz="6" w:space="0" w:color="auto"/>
            </w:tcBorders>
          </w:tcPr>
          <w:p w:rsidR="005624E3" w:rsidRPr="00C903F8" w:rsidRDefault="005624E3" w:rsidP="00101A80">
            <w:pPr>
              <w:tabs>
                <w:tab w:val="left" w:pos="57"/>
                <w:tab w:val="left" w:leader="dot" w:pos="3686"/>
              </w:tabs>
              <w:overflowPunct w:val="0"/>
              <w:adjustRightInd w:val="0"/>
              <w:spacing w:before="80" w:after="80"/>
              <w:ind w:left="57" w:right="57"/>
              <w:textAlignment w:val="baseline"/>
              <w:rPr>
                <w:rFonts w:cs="Arial"/>
                <w:sz w:val="18"/>
                <w:szCs w:val="20"/>
              </w:rPr>
            </w:pPr>
            <w:r>
              <w:rPr>
                <w:noProof/>
                <w:sz w:val="18"/>
              </w:rPr>
              <w:t>A következő rovatok módosultak: ...........</w:t>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rPr>
                <w:noProof/>
                <w:sz w:val="18"/>
              </w:rPr>
              <w:t>Új szöveg:</w:t>
            </w: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Ez az oldal lecserélésre került.</w:t>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 xml:space="preserve">Hely, dátum </w:t>
            </w:r>
            <w:r>
              <w:tab/>
            </w:r>
            <w:r>
              <w:tab/>
            </w:r>
            <w:r>
              <w:rPr>
                <w:sz w:val="18"/>
              </w:rPr>
              <w:t>Ellenőrző szerv</w:t>
            </w:r>
          </w:p>
          <w:p w:rsidR="005624E3" w:rsidRPr="00C903F8" w:rsidRDefault="005624E3" w:rsidP="00101A80">
            <w:pPr>
              <w:tabs>
                <w:tab w:val="left" w:pos="5103"/>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1701"/>
              </w:tabs>
              <w:overflowPunct w:val="0"/>
              <w:adjustRightInd w:val="0"/>
              <w:spacing w:after="80"/>
              <w:textAlignment w:val="baseline"/>
              <w:rPr>
                <w:rFonts w:cs="Arial"/>
                <w:sz w:val="18"/>
                <w:szCs w:val="20"/>
              </w:rPr>
            </w:pPr>
            <w:r>
              <w:tab/>
            </w:r>
            <w:r>
              <w:rPr>
                <w:sz w:val="18"/>
              </w:rPr>
              <w:t>Bélyegző</w:t>
            </w:r>
          </w:p>
          <w:p w:rsidR="005624E3" w:rsidRPr="00C903F8" w:rsidRDefault="005624E3" w:rsidP="00101A80">
            <w:pPr>
              <w:tabs>
                <w:tab w:val="left" w:pos="5103"/>
                <w:tab w:val="left" w:leader="dot" w:pos="8505"/>
              </w:tabs>
              <w:overflowPunct w:val="0"/>
              <w:adjustRightInd w:val="0"/>
              <w:textAlignment w:val="baseline"/>
              <w:rPr>
                <w:rFonts w:cs="Arial"/>
                <w:szCs w:val="20"/>
              </w:rPr>
            </w:pPr>
            <w:r>
              <w:tab/>
            </w:r>
            <w:r>
              <w:tab/>
            </w:r>
          </w:p>
          <w:p w:rsidR="005624E3" w:rsidRPr="00C903F8" w:rsidRDefault="005624E3" w:rsidP="00101A80">
            <w:pPr>
              <w:tabs>
                <w:tab w:val="center" w:pos="6862"/>
              </w:tabs>
              <w:overflowPunct w:val="0"/>
              <w:adjustRightInd w:val="0"/>
              <w:textAlignment w:val="baseline"/>
              <w:rPr>
                <w:rFonts w:cs="Arial"/>
                <w:sz w:val="16"/>
                <w:szCs w:val="20"/>
              </w:rPr>
            </w:pPr>
            <w:r>
              <w:tab/>
            </w:r>
            <w:r>
              <w:rPr>
                <w:sz w:val="16"/>
              </w:rPr>
              <w:t>(Aláírás)</w:t>
            </w:r>
          </w:p>
          <w:p w:rsidR="005624E3" w:rsidRPr="00D50F76" w:rsidRDefault="005624E3" w:rsidP="00101A80">
            <w:pPr>
              <w:tabs>
                <w:tab w:val="left" w:pos="113"/>
                <w:tab w:val="left" w:pos="397"/>
                <w:tab w:val="left" w:pos="6237"/>
                <w:tab w:val="left" w:leader="dot" w:pos="9356"/>
              </w:tabs>
              <w:overflowPunct w:val="0"/>
              <w:adjustRightInd w:val="0"/>
              <w:textAlignment w:val="baseline"/>
              <w:rPr>
                <w:rFonts w:cs="Arial"/>
                <w:sz w:val="16"/>
                <w:szCs w:val="20"/>
                <w:lang w:val="pt-PT"/>
              </w:rPr>
            </w:pPr>
            <w:r w:rsidRPr="00D50F76">
              <w:rPr>
                <w:sz w:val="18"/>
                <w:lang w:val="pt-PT"/>
              </w:rPr>
              <w:t>_______________________</w:t>
            </w:r>
          </w:p>
          <w:p w:rsidR="005624E3" w:rsidRPr="00D50F76" w:rsidRDefault="005624E3" w:rsidP="00101A80">
            <w:pPr>
              <w:tabs>
                <w:tab w:val="left" w:pos="284"/>
              </w:tabs>
              <w:overflowPunct w:val="0"/>
              <w:adjustRightInd w:val="0"/>
              <w:spacing w:after="40"/>
              <w:ind w:left="57"/>
              <w:textAlignment w:val="baseline"/>
              <w:rPr>
                <w:rFonts w:cs="Arial"/>
                <w:sz w:val="18"/>
                <w:szCs w:val="20"/>
                <w:lang w:val="pt-PT"/>
              </w:rPr>
            </w:pPr>
            <w:r w:rsidRPr="00D50F76">
              <w:rPr>
                <w:position w:val="4"/>
                <w:sz w:val="16"/>
                <w:lang w:val="pt-PT"/>
              </w:rPr>
              <w:t>*)</w:t>
            </w:r>
            <w:r w:rsidRPr="00D50F76">
              <w:rPr>
                <w:lang w:val="pt-PT"/>
              </w:rPr>
              <w:tab/>
            </w:r>
            <w:r w:rsidRPr="00D50F76">
              <w:rPr>
                <w:sz w:val="16"/>
                <w:lang w:val="pt-PT"/>
              </w:rPr>
              <w:t>A nem kívánt rész törlendő.</w:t>
            </w:r>
          </w:p>
        </w:tc>
      </w:tr>
    </w:tbl>
    <w:p w:rsidR="005624E3" w:rsidRPr="00D50F76" w:rsidRDefault="005624E3" w:rsidP="005624E3">
      <w:pPr>
        <w:overflowPunct w:val="0"/>
        <w:adjustRightInd w:val="0"/>
        <w:textAlignment w:val="baseline"/>
        <w:rPr>
          <w:rFonts w:cs="Arial"/>
          <w:szCs w:val="20"/>
          <w:lang w:val="pt-PT"/>
        </w:rPr>
      </w:pPr>
    </w:p>
    <w:p w:rsidR="005624E3" w:rsidRPr="00D50F76" w:rsidRDefault="005624E3" w:rsidP="005624E3">
      <w:pPr>
        <w:tabs>
          <w:tab w:val="left" w:leader="dot" w:pos="2835"/>
          <w:tab w:val="left" w:leader="dot" w:pos="5103"/>
        </w:tabs>
        <w:overflowPunct w:val="0"/>
        <w:adjustRightInd w:val="0"/>
        <w:textAlignment w:val="baseline"/>
        <w:rPr>
          <w:rFonts w:cs="Arial"/>
          <w:szCs w:val="20"/>
          <w:lang w:val="pt-PT"/>
        </w:rPr>
      </w:pPr>
      <w:r w:rsidRPr="00D50F76">
        <w:rPr>
          <w:lang w:val="pt-PT"/>
        </w:rPr>
        <w:br w:type="page"/>
        <w:t xml:space="preserve">Az ellenőrző szerv által kiadott .......... számú belvízi hajóbizonyítvány </w:t>
      </w:r>
      <w:r w:rsidRPr="00D50F76">
        <w:rPr>
          <w:lang w:val="pt-PT"/>
        </w:rPr>
        <w:tab/>
      </w:r>
    </w:p>
    <w:tbl>
      <w:tblPr>
        <w:tblW w:w="0" w:type="auto"/>
        <w:jc w:val="center"/>
        <w:tblLayout w:type="fixed"/>
        <w:tblCellMar>
          <w:left w:w="0" w:type="dxa"/>
          <w:right w:w="0" w:type="dxa"/>
        </w:tblCellMar>
        <w:tblLook w:val="0000" w:firstRow="0" w:lastRow="0" w:firstColumn="0" w:lastColumn="0" w:noHBand="0" w:noVBand="0"/>
      </w:tblPr>
      <w:tblGrid>
        <w:gridCol w:w="284"/>
        <w:gridCol w:w="8902"/>
      </w:tblGrid>
      <w:tr w:rsidR="005624E3" w:rsidRPr="00C903F8" w:rsidTr="0092642D">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51.</w:t>
            </w:r>
          </w:p>
        </w:tc>
        <w:tc>
          <w:tcPr>
            <w:tcW w:w="8902" w:type="dxa"/>
            <w:tcBorders>
              <w:top w:val="single" w:sz="6" w:space="0" w:color="auto"/>
              <w:bottom w:val="single" w:sz="6" w:space="0" w:color="auto"/>
              <w:right w:val="single" w:sz="6" w:space="0" w:color="auto"/>
            </w:tcBorders>
          </w:tcPr>
          <w:p w:rsidR="005624E3" w:rsidRPr="00C903F8" w:rsidRDefault="005624E3" w:rsidP="00101A80">
            <w:pPr>
              <w:tabs>
                <w:tab w:val="left" w:leader="dot" w:pos="8505"/>
              </w:tabs>
              <w:overflowPunct w:val="0"/>
              <w:adjustRightInd w:val="0"/>
              <w:spacing w:before="120"/>
              <w:ind w:left="114" w:hanging="57"/>
              <w:textAlignment w:val="baseline"/>
              <w:rPr>
                <w:rFonts w:cs="Arial"/>
                <w:b/>
                <w:position w:val="6"/>
                <w:sz w:val="16"/>
                <w:szCs w:val="20"/>
              </w:rPr>
            </w:pPr>
            <w:r>
              <w:rPr>
                <w:b/>
                <w:noProof/>
                <w:sz w:val="18"/>
              </w:rPr>
              <w:t>Cseppfolyósított gázzal üzemelő berendezés(ek) tanúsításának meghosszabbítása</w:t>
            </w:r>
          </w:p>
          <w:p w:rsidR="005624E3" w:rsidRPr="00C903F8" w:rsidRDefault="005624E3" w:rsidP="00101A80">
            <w:pPr>
              <w:tabs>
                <w:tab w:val="left" w:leader="dot" w:pos="4453"/>
                <w:tab w:val="left" w:leader="dot" w:pos="8505"/>
              </w:tabs>
              <w:overflowPunct w:val="0"/>
              <w:adjustRightInd w:val="0"/>
              <w:spacing w:after="120"/>
              <w:ind w:left="114" w:hanging="57"/>
              <w:textAlignment w:val="baseline"/>
              <w:rPr>
                <w:rFonts w:cs="Arial"/>
                <w:noProof/>
                <w:sz w:val="18"/>
                <w:szCs w:val="20"/>
              </w:rPr>
            </w:pPr>
            <w:r>
              <w:rPr>
                <w:noProof/>
                <w:sz w:val="18"/>
              </w:rPr>
              <w:t>A cseppfolyósított gázzal üzemelő berendezés(ek)re vonatkozó</w:t>
            </w:r>
          </w:p>
          <w:p w:rsidR="005624E3" w:rsidRPr="004538DD" w:rsidRDefault="005624E3" w:rsidP="00101A80">
            <w:pPr>
              <w:tabs>
                <w:tab w:val="left" w:leader="dot" w:pos="4453"/>
                <w:tab w:val="left" w:leader="dot" w:pos="8505"/>
              </w:tabs>
              <w:overflowPunct w:val="0"/>
              <w:adjustRightInd w:val="0"/>
              <w:spacing w:after="120"/>
              <w:ind w:left="114" w:hanging="57"/>
              <w:textAlignment w:val="baseline"/>
              <w:rPr>
                <w:rFonts w:cs="Arial"/>
                <w:sz w:val="18"/>
                <w:szCs w:val="18"/>
              </w:rPr>
            </w:pPr>
            <w:r w:rsidRPr="004538DD">
              <w:rPr>
                <w:sz w:val="18"/>
                <w:szCs w:val="18"/>
              </w:rPr>
              <w:t xml:space="preserve">..................... -án/-én kelt és ..................... -ig érvényes tanúsítvány </w:t>
            </w:r>
          </w:p>
          <w:p w:rsidR="005624E3" w:rsidRPr="00C903F8" w:rsidRDefault="005624E3" w:rsidP="00101A80">
            <w:pPr>
              <w:tabs>
                <w:tab w:val="left" w:pos="227"/>
                <w:tab w:val="left" w:leader="dot" w:pos="8505"/>
              </w:tabs>
              <w:overflowPunct w:val="0"/>
              <w:adjustRightInd w:val="0"/>
              <w:spacing w:after="120"/>
              <w:ind w:left="114" w:hanging="57"/>
              <w:textAlignment w:val="baseline"/>
              <w:rPr>
                <w:rFonts w:cs="Arial"/>
                <w:sz w:val="18"/>
                <w:szCs w:val="20"/>
              </w:rPr>
            </w:pPr>
            <w:r>
              <w:rPr>
                <w:noProof/>
                <w:sz w:val="18"/>
              </w:rPr>
              <w:t>érvényességi ideje</w:t>
            </w:r>
          </w:p>
          <w:p w:rsidR="005624E3" w:rsidRPr="00C903F8" w:rsidRDefault="005624E3" w:rsidP="00101A80">
            <w:pPr>
              <w:tabs>
                <w:tab w:val="left" w:pos="227"/>
                <w:tab w:val="left" w:leader="dot" w:pos="8505"/>
              </w:tabs>
              <w:overflowPunct w:val="0"/>
              <w:adjustRightInd w:val="0"/>
              <w:spacing w:after="100"/>
              <w:ind w:left="114" w:hanging="57"/>
              <w:textAlignment w:val="baseline"/>
              <w:rPr>
                <w:rFonts w:cs="Arial"/>
                <w:sz w:val="18"/>
                <w:szCs w:val="20"/>
              </w:rPr>
            </w:pPr>
            <w:r>
              <w:rPr>
                <w:sz w:val="18"/>
              </w:rPr>
              <w:t>-</w:t>
            </w:r>
            <w:r>
              <w:tab/>
            </w:r>
            <w:r>
              <w:rPr>
                <w:noProof/>
                <w:sz w:val="18"/>
              </w:rPr>
              <w:t xml:space="preserve">a(z) ..................... által végzett időszakos </w:t>
            </w:r>
            <w:r w:rsidR="0092642D">
              <w:rPr>
                <w:noProof/>
                <w:sz w:val="18"/>
              </w:rPr>
              <w:t>vizsgálatot</w:t>
            </w:r>
            <w:r>
              <w:rPr>
                <w:noProof/>
                <w:sz w:val="18"/>
              </w:rPr>
              <w:t xml:space="preserve"> követően</w:t>
            </w:r>
          </w:p>
          <w:p w:rsidR="005624E3" w:rsidRPr="00C903F8" w:rsidRDefault="005624E3" w:rsidP="00101A80">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rPr>
            </w:pPr>
            <w:r>
              <w:rPr>
                <w:sz w:val="18"/>
              </w:rPr>
              <w:t>-</w:t>
            </w:r>
            <w:r>
              <w:tab/>
            </w:r>
            <w:r>
              <w:rPr>
                <w:noProof/>
                <w:sz w:val="18"/>
              </w:rPr>
              <w:t>a(z) ......................-án/-én kelt ellenőrzési igazolás bemutatása alapján</w:t>
            </w:r>
          </w:p>
          <w:p w:rsidR="005624E3" w:rsidRPr="00C903F8" w:rsidRDefault="005624E3" w:rsidP="00101A80">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rPr>
            </w:pPr>
            <w:r>
              <w:rPr>
                <w:noProof/>
                <w:sz w:val="18"/>
              </w:rPr>
              <w:t>......................-ig meghosszabításra kerül.</w:t>
            </w:r>
          </w:p>
          <w:p w:rsidR="005624E3" w:rsidRPr="00C903F8" w:rsidRDefault="005624E3" w:rsidP="00101A80">
            <w:pPr>
              <w:tabs>
                <w:tab w:val="left" w:pos="57"/>
                <w:tab w:val="left" w:leader="dot" w:pos="8505"/>
              </w:tabs>
              <w:overflowPunct w:val="0"/>
              <w:adjustRightInd w:val="0"/>
              <w:ind w:left="57" w:hanging="57"/>
              <w:textAlignment w:val="baseline"/>
              <w:rPr>
                <w:rFonts w:cs="Arial"/>
                <w:sz w:val="18"/>
                <w:szCs w:val="20"/>
              </w:rPr>
            </w:pPr>
          </w:p>
          <w:p w:rsidR="005624E3" w:rsidRPr="00C903F8" w:rsidRDefault="005624E3" w:rsidP="00101A80">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rPr>
            </w:pPr>
            <w:r>
              <w:tab/>
            </w:r>
            <w:r>
              <w:tab/>
            </w:r>
            <w:r>
              <w:rPr>
                <w:noProof/>
                <w:sz w:val="18"/>
              </w:rPr>
              <w:t xml:space="preserve">, </w:t>
            </w:r>
            <w:r>
              <w:tab/>
            </w:r>
          </w:p>
          <w:p w:rsidR="005624E3" w:rsidRPr="00C903F8" w:rsidRDefault="005624E3" w:rsidP="00101A80">
            <w:pPr>
              <w:tabs>
                <w:tab w:val="center" w:pos="2041"/>
                <w:tab w:val="center" w:pos="5216"/>
              </w:tabs>
              <w:overflowPunct w:val="0"/>
              <w:adjustRightInd w:val="0"/>
              <w:textAlignment w:val="baseline"/>
              <w:rPr>
                <w:rFonts w:cs="Arial"/>
                <w:sz w:val="18"/>
                <w:szCs w:val="20"/>
              </w:rPr>
            </w:pPr>
            <w:r>
              <w:tab/>
            </w:r>
            <w:r>
              <w:rPr>
                <w:noProof/>
                <w:sz w:val="16"/>
              </w:rPr>
              <w:t>(Hely)</w:t>
            </w:r>
            <w:r>
              <w:tab/>
            </w:r>
            <w:r>
              <w:rPr>
                <w:noProof/>
                <w:sz w:val="16"/>
              </w:rPr>
              <w:t>(Dátum)</w:t>
            </w:r>
          </w:p>
          <w:p w:rsidR="005624E3" w:rsidRPr="00C903F8" w:rsidRDefault="005624E3" w:rsidP="00101A80">
            <w:pPr>
              <w:tabs>
                <w:tab w:val="left" w:pos="4820"/>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6719"/>
              </w:tabs>
              <w:overflowPunct w:val="0"/>
              <w:adjustRightInd w:val="0"/>
              <w:textAlignment w:val="baseline"/>
              <w:rPr>
                <w:rFonts w:cs="Arial"/>
                <w:sz w:val="18"/>
                <w:szCs w:val="20"/>
              </w:rPr>
            </w:pPr>
            <w:r>
              <w:tab/>
            </w:r>
            <w:r>
              <w:rPr>
                <w:noProof/>
                <w:sz w:val="16"/>
              </w:rPr>
              <w:t>Ellenőrző szerv</w:t>
            </w:r>
          </w:p>
          <w:p w:rsidR="005624E3" w:rsidRPr="00C903F8" w:rsidRDefault="005624E3" w:rsidP="00101A80">
            <w:pPr>
              <w:tabs>
                <w:tab w:val="center" w:pos="1985"/>
              </w:tabs>
              <w:overflowPunct w:val="0"/>
              <w:adjustRightInd w:val="0"/>
              <w:spacing w:before="120"/>
              <w:textAlignment w:val="baseline"/>
              <w:rPr>
                <w:rFonts w:cs="Arial"/>
                <w:sz w:val="18"/>
                <w:szCs w:val="20"/>
              </w:rPr>
            </w:pPr>
            <w:r>
              <w:tab/>
            </w:r>
            <w:r>
              <w:rPr>
                <w:noProof/>
                <w:sz w:val="16"/>
              </w:rPr>
              <w:t>Bélyegző</w:t>
            </w:r>
          </w:p>
          <w:p w:rsidR="005624E3" w:rsidRPr="00C903F8" w:rsidRDefault="005624E3" w:rsidP="00101A80">
            <w:pPr>
              <w:tabs>
                <w:tab w:val="left" w:pos="4820"/>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6719"/>
              </w:tabs>
              <w:overflowPunct w:val="0"/>
              <w:adjustRightInd w:val="0"/>
              <w:textAlignment w:val="baseline"/>
              <w:rPr>
                <w:rFonts w:cs="Arial"/>
                <w:sz w:val="18"/>
                <w:szCs w:val="20"/>
              </w:rPr>
            </w:pPr>
            <w:r>
              <w:tab/>
            </w:r>
            <w:r>
              <w:rPr>
                <w:noProof/>
                <w:sz w:val="16"/>
              </w:rPr>
              <w:t>(Aláírás)</w:t>
            </w:r>
          </w:p>
          <w:p w:rsidR="005624E3" w:rsidRPr="00C903F8" w:rsidRDefault="005624E3" w:rsidP="00101A80">
            <w:pPr>
              <w:tabs>
                <w:tab w:val="left" w:pos="57"/>
                <w:tab w:val="left" w:pos="5670"/>
                <w:tab w:val="left" w:leader="dot" w:pos="8505"/>
              </w:tabs>
              <w:overflowPunct w:val="0"/>
              <w:adjustRightInd w:val="0"/>
              <w:ind w:left="57" w:hanging="57"/>
              <w:textAlignment w:val="baseline"/>
              <w:rPr>
                <w:rFonts w:cs="Arial"/>
                <w:sz w:val="18"/>
                <w:szCs w:val="20"/>
              </w:rPr>
            </w:pPr>
          </w:p>
        </w:tc>
      </w:tr>
      <w:tr w:rsidR="005624E3" w:rsidRPr="00C903F8" w:rsidTr="0092642D">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51.</w:t>
            </w:r>
          </w:p>
        </w:tc>
        <w:tc>
          <w:tcPr>
            <w:tcW w:w="8902" w:type="dxa"/>
            <w:tcBorders>
              <w:top w:val="single" w:sz="6" w:space="0" w:color="auto"/>
              <w:bottom w:val="single" w:sz="6" w:space="0" w:color="auto"/>
              <w:right w:val="single" w:sz="6" w:space="0" w:color="auto"/>
            </w:tcBorders>
          </w:tcPr>
          <w:p w:rsidR="005624E3" w:rsidRPr="00C903F8" w:rsidRDefault="005624E3" w:rsidP="00101A80">
            <w:pPr>
              <w:tabs>
                <w:tab w:val="left" w:leader="dot" w:pos="8505"/>
              </w:tabs>
              <w:overflowPunct w:val="0"/>
              <w:adjustRightInd w:val="0"/>
              <w:spacing w:before="120"/>
              <w:ind w:left="114" w:hanging="57"/>
              <w:textAlignment w:val="baseline"/>
              <w:rPr>
                <w:rFonts w:cs="Arial"/>
                <w:b/>
                <w:position w:val="6"/>
                <w:sz w:val="16"/>
                <w:szCs w:val="20"/>
              </w:rPr>
            </w:pPr>
            <w:r>
              <w:rPr>
                <w:b/>
                <w:noProof/>
                <w:sz w:val="18"/>
              </w:rPr>
              <w:t>Cseppfolyósított gázzal üzemelő berendezés(ek) tanúsításának meghosszabbítása</w:t>
            </w:r>
          </w:p>
          <w:p w:rsidR="005624E3" w:rsidRPr="00C903F8" w:rsidRDefault="005624E3" w:rsidP="00101A80">
            <w:pPr>
              <w:tabs>
                <w:tab w:val="left" w:leader="dot" w:pos="4453"/>
                <w:tab w:val="left" w:leader="dot" w:pos="8505"/>
              </w:tabs>
              <w:overflowPunct w:val="0"/>
              <w:adjustRightInd w:val="0"/>
              <w:spacing w:after="120"/>
              <w:ind w:left="114" w:hanging="57"/>
              <w:textAlignment w:val="baseline"/>
              <w:rPr>
                <w:rFonts w:cs="Arial"/>
                <w:noProof/>
                <w:sz w:val="18"/>
                <w:szCs w:val="20"/>
              </w:rPr>
            </w:pPr>
            <w:r>
              <w:rPr>
                <w:noProof/>
                <w:sz w:val="18"/>
              </w:rPr>
              <w:t>A cseppfolyósított gázzal üzemelő berendezés(ek)re vonatkozó</w:t>
            </w:r>
          </w:p>
          <w:p w:rsidR="005624E3" w:rsidRPr="00C903F8" w:rsidRDefault="005624E3" w:rsidP="00101A80">
            <w:pPr>
              <w:tabs>
                <w:tab w:val="left" w:leader="dot" w:pos="4453"/>
                <w:tab w:val="left" w:leader="dot" w:pos="8505"/>
              </w:tabs>
              <w:overflowPunct w:val="0"/>
              <w:adjustRightInd w:val="0"/>
              <w:spacing w:after="120"/>
              <w:ind w:left="114" w:hanging="57"/>
              <w:textAlignment w:val="baseline"/>
              <w:rPr>
                <w:rFonts w:cs="Arial"/>
                <w:sz w:val="18"/>
                <w:szCs w:val="20"/>
              </w:rPr>
            </w:pPr>
            <w:r>
              <w:t>..................... -án/-én kelt és ..................... -ig érvényes tanúsítvány</w:t>
            </w:r>
            <w:r>
              <w:rPr>
                <w:sz w:val="18"/>
              </w:rPr>
              <w:t xml:space="preserve"> </w:t>
            </w:r>
          </w:p>
          <w:p w:rsidR="005624E3" w:rsidRPr="00C903F8" w:rsidRDefault="005624E3" w:rsidP="00101A80">
            <w:pPr>
              <w:tabs>
                <w:tab w:val="left" w:pos="227"/>
                <w:tab w:val="left" w:leader="dot" w:pos="8505"/>
              </w:tabs>
              <w:overflowPunct w:val="0"/>
              <w:adjustRightInd w:val="0"/>
              <w:spacing w:after="120"/>
              <w:ind w:left="114" w:hanging="57"/>
              <w:textAlignment w:val="baseline"/>
              <w:rPr>
                <w:rFonts w:cs="Arial"/>
                <w:sz w:val="18"/>
                <w:szCs w:val="20"/>
              </w:rPr>
            </w:pPr>
            <w:r>
              <w:rPr>
                <w:noProof/>
                <w:sz w:val="18"/>
              </w:rPr>
              <w:t>érvényességi ideje</w:t>
            </w:r>
          </w:p>
          <w:p w:rsidR="005624E3" w:rsidRPr="00C903F8" w:rsidRDefault="005624E3" w:rsidP="00101A80">
            <w:pPr>
              <w:tabs>
                <w:tab w:val="left" w:pos="227"/>
                <w:tab w:val="left" w:leader="dot" w:pos="8505"/>
              </w:tabs>
              <w:overflowPunct w:val="0"/>
              <w:adjustRightInd w:val="0"/>
              <w:spacing w:after="100"/>
              <w:ind w:left="114" w:hanging="57"/>
              <w:textAlignment w:val="baseline"/>
              <w:rPr>
                <w:rFonts w:cs="Arial"/>
                <w:sz w:val="18"/>
                <w:szCs w:val="20"/>
              </w:rPr>
            </w:pPr>
            <w:r>
              <w:rPr>
                <w:sz w:val="18"/>
              </w:rPr>
              <w:t>-</w:t>
            </w:r>
            <w:r>
              <w:tab/>
            </w:r>
            <w:r>
              <w:rPr>
                <w:noProof/>
                <w:sz w:val="18"/>
              </w:rPr>
              <w:t xml:space="preserve">a(z) ..................... által végzett időszakos </w:t>
            </w:r>
            <w:r w:rsidR="0092642D">
              <w:rPr>
                <w:noProof/>
                <w:sz w:val="18"/>
              </w:rPr>
              <w:t>vizsgálatot</w:t>
            </w:r>
            <w:r>
              <w:rPr>
                <w:noProof/>
                <w:sz w:val="18"/>
              </w:rPr>
              <w:t xml:space="preserve"> követően</w:t>
            </w:r>
          </w:p>
          <w:p w:rsidR="005624E3" w:rsidRPr="00C903F8" w:rsidRDefault="005624E3" w:rsidP="00101A80">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rPr>
            </w:pPr>
            <w:r>
              <w:rPr>
                <w:sz w:val="18"/>
              </w:rPr>
              <w:t>-</w:t>
            </w:r>
            <w:r>
              <w:tab/>
            </w:r>
            <w:r>
              <w:rPr>
                <w:noProof/>
                <w:sz w:val="18"/>
              </w:rPr>
              <w:t>a(z) ......................-án/-én kelt ellenőrzési igazolás bemutatása alapján</w:t>
            </w:r>
          </w:p>
          <w:p w:rsidR="005624E3" w:rsidRPr="00C903F8" w:rsidRDefault="005624E3" w:rsidP="00101A80">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rPr>
            </w:pPr>
            <w:r>
              <w:rPr>
                <w:noProof/>
                <w:sz w:val="18"/>
              </w:rPr>
              <w:t>......................-ig meghosszabításra kerül.</w:t>
            </w:r>
          </w:p>
          <w:p w:rsidR="005624E3" w:rsidRPr="00C903F8" w:rsidRDefault="005624E3" w:rsidP="00101A80">
            <w:pPr>
              <w:tabs>
                <w:tab w:val="left" w:pos="57"/>
                <w:tab w:val="left" w:leader="dot" w:pos="8505"/>
              </w:tabs>
              <w:overflowPunct w:val="0"/>
              <w:adjustRightInd w:val="0"/>
              <w:ind w:left="57" w:hanging="57"/>
              <w:textAlignment w:val="baseline"/>
              <w:rPr>
                <w:rFonts w:cs="Arial"/>
                <w:sz w:val="18"/>
                <w:szCs w:val="20"/>
              </w:rPr>
            </w:pPr>
          </w:p>
          <w:p w:rsidR="005624E3" w:rsidRPr="00C903F8" w:rsidRDefault="005624E3" w:rsidP="00101A80">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rPr>
            </w:pPr>
            <w:r>
              <w:tab/>
            </w:r>
            <w:r>
              <w:tab/>
            </w:r>
            <w:r>
              <w:rPr>
                <w:noProof/>
                <w:sz w:val="18"/>
              </w:rPr>
              <w:t xml:space="preserve">, </w:t>
            </w:r>
            <w:r>
              <w:tab/>
            </w:r>
          </w:p>
          <w:p w:rsidR="005624E3" w:rsidRPr="00C903F8" w:rsidRDefault="005624E3" w:rsidP="00101A80">
            <w:pPr>
              <w:tabs>
                <w:tab w:val="center" w:pos="2041"/>
                <w:tab w:val="center" w:pos="5216"/>
              </w:tabs>
              <w:overflowPunct w:val="0"/>
              <w:adjustRightInd w:val="0"/>
              <w:textAlignment w:val="baseline"/>
              <w:rPr>
                <w:rFonts w:cs="Arial"/>
                <w:sz w:val="18"/>
                <w:szCs w:val="20"/>
              </w:rPr>
            </w:pPr>
            <w:r>
              <w:tab/>
            </w:r>
            <w:r>
              <w:rPr>
                <w:noProof/>
                <w:sz w:val="16"/>
              </w:rPr>
              <w:t>(Hely)</w:t>
            </w:r>
            <w:r>
              <w:tab/>
            </w:r>
            <w:r>
              <w:rPr>
                <w:noProof/>
                <w:sz w:val="16"/>
              </w:rPr>
              <w:t>(Dátum)</w:t>
            </w:r>
          </w:p>
          <w:p w:rsidR="005624E3" w:rsidRPr="00C903F8" w:rsidRDefault="005624E3" w:rsidP="00101A80">
            <w:pPr>
              <w:tabs>
                <w:tab w:val="left" w:pos="4820"/>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6719"/>
              </w:tabs>
              <w:overflowPunct w:val="0"/>
              <w:adjustRightInd w:val="0"/>
              <w:textAlignment w:val="baseline"/>
              <w:rPr>
                <w:rFonts w:cs="Arial"/>
                <w:sz w:val="18"/>
                <w:szCs w:val="20"/>
              </w:rPr>
            </w:pPr>
            <w:r>
              <w:tab/>
            </w:r>
            <w:r>
              <w:rPr>
                <w:noProof/>
                <w:sz w:val="16"/>
              </w:rPr>
              <w:t>Ellenőrző szerv</w:t>
            </w:r>
          </w:p>
          <w:p w:rsidR="005624E3" w:rsidRPr="00C903F8" w:rsidRDefault="005624E3" w:rsidP="00101A80">
            <w:pPr>
              <w:tabs>
                <w:tab w:val="center" w:pos="1985"/>
              </w:tabs>
              <w:overflowPunct w:val="0"/>
              <w:adjustRightInd w:val="0"/>
              <w:spacing w:before="120"/>
              <w:textAlignment w:val="baseline"/>
              <w:rPr>
                <w:rFonts w:cs="Arial"/>
                <w:sz w:val="18"/>
                <w:szCs w:val="20"/>
              </w:rPr>
            </w:pPr>
            <w:r>
              <w:tab/>
            </w:r>
            <w:r>
              <w:rPr>
                <w:noProof/>
                <w:sz w:val="16"/>
              </w:rPr>
              <w:t>Bélyegző</w:t>
            </w:r>
          </w:p>
          <w:p w:rsidR="005624E3" w:rsidRPr="00C903F8" w:rsidRDefault="005624E3" w:rsidP="00101A80">
            <w:pPr>
              <w:tabs>
                <w:tab w:val="left" w:pos="4820"/>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6719"/>
              </w:tabs>
              <w:overflowPunct w:val="0"/>
              <w:adjustRightInd w:val="0"/>
              <w:textAlignment w:val="baseline"/>
              <w:rPr>
                <w:rFonts w:cs="Arial"/>
                <w:sz w:val="18"/>
                <w:szCs w:val="20"/>
              </w:rPr>
            </w:pPr>
            <w:r>
              <w:tab/>
            </w:r>
            <w:r>
              <w:rPr>
                <w:noProof/>
                <w:sz w:val="16"/>
              </w:rPr>
              <w:t>(Aláírás)</w:t>
            </w:r>
          </w:p>
          <w:p w:rsidR="005624E3" w:rsidRPr="00C903F8" w:rsidRDefault="005624E3" w:rsidP="00101A80">
            <w:pPr>
              <w:tabs>
                <w:tab w:val="center" w:pos="6719"/>
              </w:tabs>
              <w:overflowPunct w:val="0"/>
              <w:adjustRightInd w:val="0"/>
              <w:textAlignment w:val="baseline"/>
              <w:rPr>
                <w:rFonts w:cs="Arial"/>
                <w:sz w:val="18"/>
                <w:szCs w:val="20"/>
              </w:rPr>
            </w:pPr>
          </w:p>
          <w:p w:rsidR="005624E3" w:rsidRPr="00C903F8" w:rsidRDefault="005624E3" w:rsidP="00101A80">
            <w:pPr>
              <w:tabs>
                <w:tab w:val="left" w:pos="57"/>
                <w:tab w:val="left" w:pos="5670"/>
                <w:tab w:val="left" w:leader="dot" w:pos="8505"/>
              </w:tabs>
              <w:overflowPunct w:val="0"/>
              <w:adjustRightInd w:val="0"/>
              <w:ind w:left="57" w:hanging="57"/>
              <w:textAlignment w:val="baseline"/>
              <w:rPr>
                <w:rFonts w:cs="Arial"/>
                <w:sz w:val="18"/>
                <w:szCs w:val="20"/>
              </w:rPr>
            </w:pPr>
          </w:p>
        </w:tc>
      </w:tr>
      <w:tr w:rsidR="005624E3" w:rsidRPr="00C903F8" w:rsidTr="0092642D">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51.</w:t>
            </w:r>
          </w:p>
        </w:tc>
        <w:tc>
          <w:tcPr>
            <w:tcW w:w="8902" w:type="dxa"/>
            <w:tcBorders>
              <w:top w:val="single" w:sz="6" w:space="0" w:color="auto"/>
              <w:bottom w:val="single" w:sz="6" w:space="0" w:color="auto"/>
              <w:right w:val="single" w:sz="6" w:space="0" w:color="auto"/>
            </w:tcBorders>
          </w:tcPr>
          <w:p w:rsidR="005624E3" w:rsidRPr="00C903F8" w:rsidRDefault="005624E3" w:rsidP="00101A80">
            <w:pPr>
              <w:tabs>
                <w:tab w:val="left" w:leader="dot" w:pos="8505"/>
              </w:tabs>
              <w:overflowPunct w:val="0"/>
              <w:adjustRightInd w:val="0"/>
              <w:spacing w:before="120"/>
              <w:ind w:left="114" w:hanging="57"/>
              <w:textAlignment w:val="baseline"/>
              <w:rPr>
                <w:rFonts w:cs="Arial"/>
                <w:b/>
                <w:position w:val="6"/>
                <w:sz w:val="16"/>
                <w:szCs w:val="20"/>
              </w:rPr>
            </w:pPr>
            <w:r>
              <w:rPr>
                <w:b/>
                <w:noProof/>
                <w:sz w:val="18"/>
              </w:rPr>
              <w:t>Cseppfolyósított gázzal üzemelő berendezés(ek) tanúsításának meghosszabbítása</w:t>
            </w:r>
          </w:p>
          <w:p w:rsidR="005624E3" w:rsidRPr="00C903F8" w:rsidRDefault="005624E3" w:rsidP="00101A80">
            <w:pPr>
              <w:tabs>
                <w:tab w:val="left" w:leader="dot" w:pos="4453"/>
                <w:tab w:val="left" w:leader="dot" w:pos="8505"/>
              </w:tabs>
              <w:overflowPunct w:val="0"/>
              <w:adjustRightInd w:val="0"/>
              <w:spacing w:after="120"/>
              <w:ind w:left="114" w:hanging="57"/>
              <w:textAlignment w:val="baseline"/>
              <w:rPr>
                <w:rFonts w:cs="Arial"/>
                <w:noProof/>
                <w:sz w:val="18"/>
                <w:szCs w:val="20"/>
              </w:rPr>
            </w:pPr>
            <w:r>
              <w:rPr>
                <w:noProof/>
                <w:sz w:val="18"/>
              </w:rPr>
              <w:t>A cseppfolyósított gázzal üzemelő berendezés(ek)re vonatkozó</w:t>
            </w:r>
          </w:p>
          <w:p w:rsidR="005624E3" w:rsidRPr="00C903F8" w:rsidRDefault="005624E3" w:rsidP="00101A80">
            <w:pPr>
              <w:tabs>
                <w:tab w:val="left" w:leader="dot" w:pos="4453"/>
                <w:tab w:val="left" w:leader="dot" w:pos="8505"/>
              </w:tabs>
              <w:overflowPunct w:val="0"/>
              <w:adjustRightInd w:val="0"/>
              <w:spacing w:after="120"/>
              <w:ind w:left="114" w:hanging="57"/>
              <w:textAlignment w:val="baseline"/>
              <w:rPr>
                <w:rFonts w:cs="Arial"/>
                <w:sz w:val="18"/>
                <w:szCs w:val="20"/>
              </w:rPr>
            </w:pPr>
            <w:r>
              <w:t>..................... -án/-én kelt és ..................... -ig érvényes tanúsítvány</w:t>
            </w:r>
            <w:r>
              <w:tab/>
            </w:r>
            <w:r>
              <w:rPr>
                <w:sz w:val="18"/>
              </w:rPr>
              <w:t xml:space="preserve"> </w:t>
            </w:r>
          </w:p>
          <w:p w:rsidR="005624E3" w:rsidRPr="00C903F8" w:rsidRDefault="005624E3" w:rsidP="00101A80">
            <w:pPr>
              <w:tabs>
                <w:tab w:val="left" w:pos="227"/>
                <w:tab w:val="left" w:leader="dot" w:pos="8505"/>
              </w:tabs>
              <w:overflowPunct w:val="0"/>
              <w:adjustRightInd w:val="0"/>
              <w:spacing w:after="120"/>
              <w:ind w:left="114" w:hanging="57"/>
              <w:textAlignment w:val="baseline"/>
              <w:rPr>
                <w:rFonts w:cs="Arial"/>
                <w:sz w:val="18"/>
                <w:szCs w:val="20"/>
              </w:rPr>
            </w:pPr>
            <w:r>
              <w:rPr>
                <w:noProof/>
                <w:sz w:val="18"/>
              </w:rPr>
              <w:t>érvényességi ideje</w:t>
            </w:r>
          </w:p>
          <w:p w:rsidR="005624E3" w:rsidRPr="00C903F8" w:rsidRDefault="005624E3" w:rsidP="00101A80">
            <w:pPr>
              <w:tabs>
                <w:tab w:val="left" w:pos="227"/>
                <w:tab w:val="left" w:leader="dot" w:pos="8505"/>
              </w:tabs>
              <w:overflowPunct w:val="0"/>
              <w:adjustRightInd w:val="0"/>
              <w:spacing w:after="100"/>
              <w:ind w:left="114" w:hanging="57"/>
              <w:textAlignment w:val="baseline"/>
              <w:rPr>
                <w:rFonts w:cs="Arial"/>
                <w:sz w:val="18"/>
                <w:szCs w:val="20"/>
              </w:rPr>
            </w:pPr>
            <w:r>
              <w:rPr>
                <w:sz w:val="18"/>
              </w:rPr>
              <w:t>-</w:t>
            </w:r>
            <w:r>
              <w:tab/>
            </w:r>
            <w:r>
              <w:rPr>
                <w:noProof/>
                <w:sz w:val="18"/>
              </w:rPr>
              <w:t xml:space="preserve">a(z) ..................... által végzett időszakos </w:t>
            </w:r>
            <w:r w:rsidR="0092642D">
              <w:rPr>
                <w:noProof/>
                <w:sz w:val="18"/>
              </w:rPr>
              <w:t>vizsgálatot</w:t>
            </w:r>
            <w:r>
              <w:rPr>
                <w:noProof/>
                <w:sz w:val="18"/>
              </w:rPr>
              <w:t xml:space="preserve"> követően</w:t>
            </w:r>
            <w:r>
              <w:tab/>
            </w:r>
          </w:p>
          <w:p w:rsidR="005624E3" w:rsidRPr="00C903F8" w:rsidRDefault="005624E3" w:rsidP="00101A80">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rPr>
            </w:pPr>
            <w:r>
              <w:rPr>
                <w:sz w:val="18"/>
              </w:rPr>
              <w:t>-</w:t>
            </w:r>
            <w:r>
              <w:tab/>
            </w:r>
            <w:r>
              <w:rPr>
                <w:noProof/>
                <w:sz w:val="18"/>
              </w:rPr>
              <w:t>a(z) ......................-án/-én kelt ellenőrzési igazolás bemutatása alapján</w:t>
            </w:r>
          </w:p>
          <w:p w:rsidR="005624E3" w:rsidRPr="00C903F8" w:rsidRDefault="005624E3" w:rsidP="00101A80">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rPr>
            </w:pPr>
            <w:r>
              <w:rPr>
                <w:noProof/>
                <w:sz w:val="18"/>
              </w:rPr>
              <w:t>......................-ig meghosszabításra kerül.</w:t>
            </w:r>
          </w:p>
          <w:p w:rsidR="005624E3" w:rsidRPr="00C903F8" w:rsidRDefault="005624E3" w:rsidP="00101A80">
            <w:pPr>
              <w:tabs>
                <w:tab w:val="left" w:pos="57"/>
                <w:tab w:val="left" w:leader="dot" w:pos="8505"/>
              </w:tabs>
              <w:overflowPunct w:val="0"/>
              <w:adjustRightInd w:val="0"/>
              <w:ind w:left="57" w:hanging="57"/>
              <w:textAlignment w:val="baseline"/>
              <w:rPr>
                <w:rFonts w:cs="Arial"/>
                <w:sz w:val="18"/>
                <w:szCs w:val="20"/>
              </w:rPr>
            </w:pPr>
          </w:p>
          <w:p w:rsidR="005624E3" w:rsidRPr="00C903F8" w:rsidRDefault="005624E3" w:rsidP="00101A80">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rPr>
            </w:pPr>
            <w:r>
              <w:tab/>
            </w:r>
            <w:r>
              <w:tab/>
            </w:r>
            <w:r>
              <w:rPr>
                <w:noProof/>
                <w:sz w:val="18"/>
              </w:rPr>
              <w:t xml:space="preserve">, </w:t>
            </w:r>
            <w:r>
              <w:tab/>
            </w:r>
          </w:p>
          <w:p w:rsidR="005624E3" w:rsidRPr="00C903F8" w:rsidRDefault="005624E3" w:rsidP="00101A80">
            <w:pPr>
              <w:tabs>
                <w:tab w:val="center" w:pos="2041"/>
                <w:tab w:val="center" w:pos="5216"/>
              </w:tabs>
              <w:overflowPunct w:val="0"/>
              <w:adjustRightInd w:val="0"/>
              <w:textAlignment w:val="baseline"/>
              <w:rPr>
                <w:rFonts w:cs="Arial"/>
                <w:sz w:val="18"/>
                <w:szCs w:val="20"/>
              </w:rPr>
            </w:pPr>
            <w:r>
              <w:tab/>
            </w:r>
            <w:r>
              <w:rPr>
                <w:noProof/>
                <w:sz w:val="16"/>
              </w:rPr>
              <w:t>(Hely)</w:t>
            </w:r>
            <w:r>
              <w:tab/>
            </w:r>
            <w:r>
              <w:rPr>
                <w:noProof/>
                <w:sz w:val="16"/>
              </w:rPr>
              <w:t>(Dátum)</w:t>
            </w:r>
          </w:p>
          <w:p w:rsidR="005624E3" w:rsidRPr="00C903F8" w:rsidRDefault="005624E3" w:rsidP="00101A80">
            <w:pPr>
              <w:tabs>
                <w:tab w:val="left" w:pos="4820"/>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6719"/>
              </w:tabs>
              <w:overflowPunct w:val="0"/>
              <w:adjustRightInd w:val="0"/>
              <w:textAlignment w:val="baseline"/>
              <w:rPr>
                <w:rFonts w:cs="Arial"/>
                <w:sz w:val="18"/>
                <w:szCs w:val="20"/>
              </w:rPr>
            </w:pPr>
            <w:r>
              <w:tab/>
            </w:r>
            <w:r>
              <w:rPr>
                <w:noProof/>
                <w:sz w:val="16"/>
              </w:rPr>
              <w:t>Ellenőrző szerv</w:t>
            </w:r>
          </w:p>
          <w:p w:rsidR="005624E3" w:rsidRPr="00C903F8" w:rsidRDefault="005624E3" w:rsidP="00101A80">
            <w:pPr>
              <w:tabs>
                <w:tab w:val="center" w:pos="1985"/>
              </w:tabs>
              <w:overflowPunct w:val="0"/>
              <w:adjustRightInd w:val="0"/>
              <w:spacing w:before="120"/>
              <w:textAlignment w:val="baseline"/>
              <w:rPr>
                <w:rFonts w:cs="Arial"/>
                <w:sz w:val="18"/>
                <w:szCs w:val="20"/>
              </w:rPr>
            </w:pPr>
            <w:r>
              <w:tab/>
            </w:r>
            <w:r>
              <w:rPr>
                <w:noProof/>
                <w:sz w:val="16"/>
              </w:rPr>
              <w:t>Bélyegző</w:t>
            </w:r>
          </w:p>
          <w:p w:rsidR="005624E3" w:rsidRPr="00C903F8" w:rsidRDefault="005624E3" w:rsidP="00101A80">
            <w:pPr>
              <w:tabs>
                <w:tab w:val="left" w:pos="4820"/>
                <w:tab w:val="left" w:leader="dot" w:pos="8505"/>
              </w:tabs>
              <w:overflowPunct w:val="0"/>
              <w:adjustRightInd w:val="0"/>
              <w:spacing w:before="120"/>
              <w:textAlignment w:val="baseline"/>
              <w:rPr>
                <w:rFonts w:cs="Arial"/>
                <w:sz w:val="18"/>
                <w:szCs w:val="20"/>
              </w:rPr>
            </w:pPr>
            <w:r>
              <w:tab/>
            </w:r>
            <w:r>
              <w:tab/>
            </w:r>
          </w:p>
          <w:p w:rsidR="005624E3" w:rsidRPr="00C903F8" w:rsidRDefault="005624E3" w:rsidP="00101A80">
            <w:pPr>
              <w:tabs>
                <w:tab w:val="center" w:pos="6719"/>
              </w:tabs>
              <w:overflowPunct w:val="0"/>
              <w:adjustRightInd w:val="0"/>
              <w:textAlignment w:val="baseline"/>
              <w:rPr>
                <w:rFonts w:cs="Arial"/>
                <w:sz w:val="18"/>
                <w:szCs w:val="20"/>
              </w:rPr>
            </w:pPr>
            <w:r>
              <w:tab/>
            </w:r>
            <w:r>
              <w:rPr>
                <w:noProof/>
                <w:sz w:val="16"/>
              </w:rPr>
              <w:t>(Aláírás)</w:t>
            </w:r>
          </w:p>
          <w:p w:rsidR="005624E3" w:rsidRPr="00C903F8" w:rsidRDefault="005624E3" w:rsidP="00101A80">
            <w:pPr>
              <w:tabs>
                <w:tab w:val="left" w:pos="57"/>
                <w:tab w:val="left" w:pos="5103"/>
              </w:tabs>
              <w:overflowPunct w:val="0"/>
              <w:adjustRightInd w:val="0"/>
              <w:spacing w:after="120"/>
              <w:textAlignment w:val="baseline"/>
              <w:rPr>
                <w:rFonts w:cs="Arial"/>
                <w:sz w:val="18"/>
                <w:szCs w:val="20"/>
              </w:rPr>
            </w:pPr>
          </w:p>
        </w:tc>
      </w:tr>
    </w:tbl>
    <w:p w:rsidR="005624E3" w:rsidRPr="00C903F8" w:rsidRDefault="005624E3" w:rsidP="005624E3">
      <w:pPr>
        <w:overflowPunct w:val="0"/>
        <w:adjustRightInd w:val="0"/>
        <w:textAlignment w:val="baseline"/>
        <w:rPr>
          <w:rFonts w:cs="Arial"/>
          <w:sz w:val="16"/>
          <w:szCs w:val="20"/>
        </w:rPr>
        <w:sectPr w:rsidR="005624E3" w:rsidRPr="00C903F8" w:rsidSect="009C13A9">
          <w:footnotePr>
            <w:numRestart w:val="eachPage"/>
          </w:footnotePr>
          <w:pgSz w:w="11907" w:h="16840"/>
          <w:pgMar w:top="851" w:right="1418" w:bottom="851" w:left="1418" w:header="720" w:footer="720" w:gutter="0"/>
          <w:cols w:space="720"/>
        </w:sectPr>
      </w:pPr>
    </w:p>
    <w:p w:rsidR="005624E3" w:rsidRPr="00C903F8" w:rsidRDefault="005624E3" w:rsidP="005624E3">
      <w:pPr>
        <w:tabs>
          <w:tab w:val="left" w:leader="dot" w:pos="2835"/>
          <w:tab w:val="left" w:leader="dot" w:pos="5103"/>
        </w:tabs>
        <w:overflowPunct w:val="0"/>
        <w:adjustRightInd w:val="0"/>
        <w:textAlignment w:val="baseline"/>
        <w:rPr>
          <w:rFonts w:cs="Arial"/>
          <w:szCs w:val="20"/>
        </w:rPr>
      </w:pPr>
      <w:r>
        <w:br w:type="page"/>
        <w:t xml:space="preserve">Az ellenőrző szerv által kiadott .......... számú belvízi hajóbizonyítvány </w:t>
      </w:r>
      <w: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5624E3" w:rsidRPr="00946CF6"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52.</w:t>
            </w:r>
          </w:p>
        </w:tc>
        <w:tc>
          <w:tcPr>
            <w:tcW w:w="8902" w:type="dxa"/>
            <w:tcBorders>
              <w:top w:val="single" w:sz="6" w:space="0" w:color="auto"/>
              <w:bottom w:val="single" w:sz="6" w:space="0" w:color="auto"/>
              <w:right w:val="single" w:sz="6" w:space="0" w:color="auto"/>
            </w:tcBorders>
          </w:tcPr>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rPr>
                <w:sz w:val="18"/>
              </w:rPr>
              <w:t xml:space="preserve">Melléklet a(z) ..... számú belvízi hajóbizonyítványhoz </w:t>
            </w:r>
            <w:r>
              <w:tab/>
            </w:r>
          </w:p>
          <w:p w:rsidR="005624E3" w:rsidRPr="00E3172D" w:rsidRDefault="005624E3" w:rsidP="00101A80">
            <w:pPr>
              <w:tabs>
                <w:tab w:val="left" w:leader="dot" w:pos="8505"/>
              </w:tabs>
              <w:overflowPunct w:val="0"/>
              <w:adjustRightInd w:val="0"/>
              <w:spacing w:before="8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0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ind w:left="57"/>
              <w:textAlignment w:val="baseline"/>
              <w:rPr>
                <w:rFonts w:cs="Arial"/>
                <w:sz w:val="18"/>
                <w:szCs w:val="20"/>
              </w:rPr>
            </w:pPr>
            <w:r>
              <w:tab/>
            </w:r>
          </w:p>
          <w:p w:rsidR="005624E3" w:rsidRPr="00E3172D" w:rsidRDefault="005624E3" w:rsidP="00101A80">
            <w:pPr>
              <w:tabs>
                <w:tab w:val="left" w:leader="dot" w:pos="8505"/>
              </w:tabs>
              <w:overflowPunct w:val="0"/>
              <w:adjustRightInd w:val="0"/>
              <w:spacing w:before="120" w:after="40"/>
              <w:ind w:left="57"/>
              <w:textAlignment w:val="baseline"/>
              <w:rPr>
                <w:rFonts w:cs="Arial"/>
                <w:sz w:val="18"/>
                <w:szCs w:val="20"/>
              </w:rPr>
            </w:pPr>
            <w:r>
              <w:tab/>
            </w:r>
          </w:p>
        </w:tc>
      </w:tr>
      <w:tr w:rsidR="005624E3" w:rsidRPr="00842442" w:rsidTr="00101A80">
        <w:trPr>
          <w:cantSplit/>
          <w:jc w:val="center"/>
        </w:trPr>
        <w:tc>
          <w:tcPr>
            <w:tcW w:w="284" w:type="dxa"/>
            <w:tcBorders>
              <w:left w:val="single" w:sz="6" w:space="0" w:color="auto"/>
              <w:bottom w:val="single" w:sz="6" w:space="0" w:color="auto"/>
            </w:tcBorders>
          </w:tcPr>
          <w:p w:rsidR="005624E3" w:rsidRPr="00C903F8" w:rsidRDefault="005624E3" w:rsidP="00101A80">
            <w:pPr>
              <w:tabs>
                <w:tab w:val="left" w:pos="57"/>
              </w:tabs>
              <w:overflowPunct w:val="0"/>
              <w:adjustRightInd w:val="0"/>
              <w:spacing w:before="80"/>
              <w:textAlignment w:val="baseline"/>
              <w:rPr>
                <w:rFonts w:cs="Arial"/>
                <w:sz w:val="18"/>
                <w:szCs w:val="20"/>
              </w:rPr>
            </w:pPr>
            <w:r>
              <w:tab/>
            </w:r>
            <w:r>
              <w:rPr>
                <w:sz w:val="18"/>
              </w:rPr>
              <w:t>*)</w:t>
            </w:r>
            <w:r>
              <w:rPr>
                <w:rFonts w:cs="Arial"/>
                <w:sz w:val="18"/>
                <w:szCs w:val="20"/>
              </w:rPr>
              <w:br/>
            </w:r>
            <w:r>
              <w:rPr>
                <w:rFonts w:cs="Arial"/>
                <w:sz w:val="18"/>
                <w:szCs w:val="20"/>
              </w:rPr>
              <w:br/>
            </w:r>
          </w:p>
          <w:p w:rsidR="005624E3" w:rsidRPr="00C903F8" w:rsidRDefault="005624E3" w:rsidP="00101A80">
            <w:pPr>
              <w:tabs>
                <w:tab w:val="left" w:pos="57"/>
              </w:tabs>
              <w:overflowPunct w:val="0"/>
              <w:adjustRightInd w:val="0"/>
              <w:spacing w:before="80"/>
              <w:textAlignment w:val="baseline"/>
              <w:rPr>
                <w:rFonts w:cs="Arial"/>
                <w:sz w:val="18"/>
                <w:szCs w:val="20"/>
              </w:rPr>
            </w:pPr>
          </w:p>
          <w:p w:rsidR="005624E3" w:rsidRPr="00C903F8" w:rsidRDefault="005624E3" w:rsidP="00101A80">
            <w:pPr>
              <w:tabs>
                <w:tab w:val="left" w:pos="57"/>
              </w:tabs>
              <w:overflowPunct w:val="0"/>
              <w:adjustRightInd w:val="0"/>
              <w:spacing w:before="160"/>
              <w:textAlignment w:val="baseline"/>
              <w:rPr>
                <w:rFonts w:cs="Arial"/>
                <w:sz w:val="18"/>
                <w:szCs w:val="20"/>
              </w:rPr>
            </w:pPr>
            <w:r>
              <w:tab/>
            </w:r>
            <w:r>
              <w:rPr>
                <w:sz w:val="18"/>
              </w:rPr>
              <w:t>*)</w:t>
            </w:r>
          </w:p>
        </w:tc>
        <w:tc>
          <w:tcPr>
            <w:tcW w:w="8902" w:type="dxa"/>
            <w:tcBorders>
              <w:bottom w:val="single" w:sz="6" w:space="0" w:color="auto"/>
              <w:right w:val="single" w:sz="6" w:space="0" w:color="auto"/>
            </w:tcBorders>
          </w:tcPr>
          <w:p w:rsidR="005624E3" w:rsidRPr="00C903F8" w:rsidRDefault="005624E3" w:rsidP="00101A80">
            <w:pPr>
              <w:tabs>
                <w:tab w:val="left" w:pos="57"/>
                <w:tab w:val="left" w:leader="dot" w:pos="3686"/>
              </w:tabs>
              <w:overflowPunct w:val="0"/>
              <w:adjustRightInd w:val="0"/>
              <w:spacing w:before="80" w:after="80"/>
              <w:ind w:left="57" w:right="57"/>
              <w:textAlignment w:val="baseline"/>
              <w:rPr>
                <w:rFonts w:cs="Arial"/>
                <w:sz w:val="18"/>
                <w:szCs w:val="20"/>
              </w:rPr>
            </w:pPr>
            <w:r>
              <w:rPr>
                <w:noProof/>
                <w:sz w:val="18"/>
              </w:rPr>
              <w:t>A következő rovatok módosultak: ...........</w:t>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rPr>
                <w:noProof/>
                <w:sz w:val="18"/>
              </w:rPr>
              <w:t>Új szöveg:</w:t>
            </w: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pos="57"/>
                <w:tab w:val="left" w:leader="dot" w:pos="8505"/>
              </w:tabs>
              <w:overflowPunct w:val="0"/>
              <w:adjustRightInd w:val="0"/>
              <w:spacing w:after="60"/>
              <w:ind w:left="57" w:right="57"/>
              <w:textAlignment w:val="baseline"/>
              <w:rPr>
                <w:rFonts w:cs="Arial"/>
                <w:sz w:val="18"/>
                <w:szCs w:val="20"/>
              </w:rPr>
            </w:pPr>
            <w:r>
              <w:tab/>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Ez az oldal lecserélésre került.</w:t>
            </w:r>
          </w:p>
          <w:p w:rsidR="005624E3" w:rsidRPr="00C903F8" w:rsidRDefault="005624E3" w:rsidP="00101A80">
            <w:pPr>
              <w:tabs>
                <w:tab w:val="left" w:leader="dot" w:pos="4536"/>
                <w:tab w:val="center" w:pos="6862"/>
              </w:tabs>
              <w:overflowPunct w:val="0"/>
              <w:adjustRightInd w:val="0"/>
              <w:spacing w:after="80"/>
              <w:ind w:left="57" w:right="57"/>
              <w:textAlignment w:val="baseline"/>
              <w:rPr>
                <w:rFonts w:cs="Arial"/>
                <w:sz w:val="18"/>
                <w:szCs w:val="20"/>
              </w:rPr>
            </w:pPr>
            <w:r>
              <w:rPr>
                <w:sz w:val="18"/>
              </w:rPr>
              <w:t xml:space="preserve">Hely, dátum </w:t>
            </w:r>
            <w:r>
              <w:tab/>
            </w:r>
            <w:r>
              <w:tab/>
            </w:r>
            <w:r>
              <w:rPr>
                <w:sz w:val="18"/>
              </w:rPr>
              <w:t>Ellenőrző szerv</w:t>
            </w:r>
          </w:p>
          <w:p w:rsidR="005624E3" w:rsidRPr="00C903F8" w:rsidRDefault="005624E3" w:rsidP="00101A80">
            <w:pPr>
              <w:tabs>
                <w:tab w:val="left" w:pos="5103"/>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1701"/>
              </w:tabs>
              <w:overflowPunct w:val="0"/>
              <w:adjustRightInd w:val="0"/>
              <w:spacing w:after="80"/>
              <w:textAlignment w:val="baseline"/>
              <w:rPr>
                <w:rFonts w:cs="Arial"/>
                <w:sz w:val="18"/>
                <w:szCs w:val="20"/>
              </w:rPr>
            </w:pPr>
            <w:r>
              <w:tab/>
            </w:r>
            <w:r>
              <w:rPr>
                <w:sz w:val="18"/>
              </w:rPr>
              <w:t>Bélyegző</w:t>
            </w:r>
          </w:p>
          <w:p w:rsidR="005624E3" w:rsidRPr="00C903F8" w:rsidRDefault="005624E3" w:rsidP="00101A80">
            <w:pPr>
              <w:tabs>
                <w:tab w:val="left" w:pos="5103"/>
                <w:tab w:val="left" w:leader="dot" w:pos="8505"/>
              </w:tabs>
              <w:overflowPunct w:val="0"/>
              <w:adjustRightInd w:val="0"/>
              <w:textAlignment w:val="baseline"/>
              <w:rPr>
                <w:rFonts w:cs="Arial"/>
                <w:szCs w:val="20"/>
              </w:rPr>
            </w:pPr>
            <w:r>
              <w:tab/>
            </w:r>
            <w:r>
              <w:tab/>
            </w:r>
          </w:p>
          <w:p w:rsidR="005624E3" w:rsidRPr="00C903F8" w:rsidRDefault="005624E3" w:rsidP="00101A80">
            <w:pPr>
              <w:tabs>
                <w:tab w:val="center" w:pos="6862"/>
              </w:tabs>
              <w:overflowPunct w:val="0"/>
              <w:adjustRightInd w:val="0"/>
              <w:textAlignment w:val="baseline"/>
              <w:rPr>
                <w:rFonts w:cs="Arial"/>
                <w:sz w:val="16"/>
                <w:szCs w:val="20"/>
              </w:rPr>
            </w:pPr>
            <w:r>
              <w:tab/>
            </w:r>
            <w:r>
              <w:rPr>
                <w:sz w:val="16"/>
              </w:rPr>
              <w:t>(Aláírás)</w:t>
            </w:r>
          </w:p>
          <w:p w:rsidR="005624E3" w:rsidRPr="00D50F76" w:rsidRDefault="005624E3" w:rsidP="00101A80">
            <w:pPr>
              <w:tabs>
                <w:tab w:val="left" w:pos="113"/>
                <w:tab w:val="left" w:pos="397"/>
                <w:tab w:val="left" w:pos="6237"/>
                <w:tab w:val="left" w:leader="dot" w:pos="9356"/>
              </w:tabs>
              <w:overflowPunct w:val="0"/>
              <w:adjustRightInd w:val="0"/>
              <w:textAlignment w:val="baseline"/>
              <w:rPr>
                <w:rFonts w:cs="Arial"/>
                <w:sz w:val="16"/>
                <w:szCs w:val="20"/>
                <w:lang w:val="pt-PT"/>
              </w:rPr>
            </w:pPr>
            <w:r w:rsidRPr="00D50F76">
              <w:rPr>
                <w:sz w:val="18"/>
                <w:lang w:val="pt-PT"/>
              </w:rPr>
              <w:t>_______________________</w:t>
            </w:r>
          </w:p>
          <w:p w:rsidR="005624E3" w:rsidRPr="00D50F76" w:rsidRDefault="005624E3" w:rsidP="00101A80">
            <w:pPr>
              <w:tabs>
                <w:tab w:val="left" w:pos="284"/>
              </w:tabs>
              <w:overflowPunct w:val="0"/>
              <w:adjustRightInd w:val="0"/>
              <w:spacing w:after="40"/>
              <w:ind w:left="57"/>
              <w:textAlignment w:val="baseline"/>
              <w:rPr>
                <w:rFonts w:cs="Arial"/>
                <w:sz w:val="18"/>
                <w:szCs w:val="20"/>
                <w:lang w:val="pt-PT"/>
              </w:rPr>
            </w:pPr>
            <w:r w:rsidRPr="00D50F76">
              <w:rPr>
                <w:position w:val="4"/>
                <w:sz w:val="16"/>
                <w:lang w:val="pt-PT"/>
              </w:rPr>
              <w:t>*)</w:t>
            </w:r>
            <w:r w:rsidRPr="00D50F76">
              <w:rPr>
                <w:lang w:val="pt-PT"/>
              </w:rPr>
              <w:tab/>
            </w:r>
            <w:r w:rsidRPr="00D50F76">
              <w:rPr>
                <w:sz w:val="16"/>
                <w:lang w:val="pt-PT"/>
              </w:rPr>
              <w:t>A nem kívánt rész törlendő.</w:t>
            </w:r>
          </w:p>
        </w:tc>
      </w:tr>
      <w:tr w:rsidR="005624E3" w:rsidRPr="00842442" w:rsidTr="00101A80">
        <w:trPr>
          <w:cantSplit/>
          <w:jc w:val="center"/>
        </w:trPr>
        <w:tc>
          <w:tcPr>
            <w:tcW w:w="284" w:type="dxa"/>
            <w:tcBorders>
              <w:top w:val="single" w:sz="6" w:space="0" w:color="auto"/>
              <w:left w:val="single" w:sz="6" w:space="0" w:color="auto"/>
              <w:bottom w:val="single" w:sz="6" w:space="0" w:color="auto"/>
            </w:tcBorders>
          </w:tcPr>
          <w:p w:rsidR="005624E3" w:rsidRPr="00D50F76" w:rsidRDefault="005624E3" w:rsidP="00101A80">
            <w:pPr>
              <w:tabs>
                <w:tab w:val="left" w:pos="57"/>
                <w:tab w:val="left" w:pos="227"/>
              </w:tabs>
              <w:overflowPunct w:val="0"/>
              <w:adjustRightInd w:val="0"/>
              <w:spacing w:before="120"/>
              <w:textAlignment w:val="baseline"/>
              <w:rPr>
                <w:rFonts w:cs="Arial"/>
                <w:sz w:val="18"/>
                <w:szCs w:val="20"/>
                <w:lang w:val="pt-PT"/>
              </w:rPr>
            </w:pPr>
            <w:r w:rsidRPr="00D50F76">
              <w:rPr>
                <w:sz w:val="18"/>
                <w:lang w:val="pt-PT"/>
              </w:rPr>
              <w:t xml:space="preserve"> </w:t>
            </w:r>
          </w:p>
        </w:tc>
        <w:tc>
          <w:tcPr>
            <w:tcW w:w="8902" w:type="dxa"/>
            <w:tcBorders>
              <w:top w:val="single" w:sz="6" w:space="0" w:color="auto"/>
              <w:bottom w:val="single" w:sz="6" w:space="0" w:color="auto"/>
              <w:right w:val="single" w:sz="6" w:space="0" w:color="auto"/>
            </w:tcBorders>
          </w:tcPr>
          <w:p w:rsidR="005624E3" w:rsidRPr="00D50F76" w:rsidRDefault="005624E3" w:rsidP="00101A80">
            <w:pPr>
              <w:tabs>
                <w:tab w:val="left" w:pos="57"/>
                <w:tab w:val="left" w:pos="6295"/>
                <w:tab w:val="left" w:leader="dot" w:pos="8505"/>
              </w:tabs>
              <w:overflowPunct w:val="0"/>
              <w:adjustRightInd w:val="0"/>
              <w:spacing w:before="120" w:after="40"/>
              <w:textAlignment w:val="baseline"/>
              <w:rPr>
                <w:rFonts w:cs="Arial"/>
                <w:sz w:val="18"/>
                <w:szCs w:val="20"/>
                <w:lang w:val="pt-PT"/>
              </w:rPr>
            </w:pPr>
            <w:r w:rsidRPr="00D50F76">
              <w:rPr>
                <w:lang w:val="pt-PT"/>
              </w:rPr>
              <w:tab/>
            </w:r>
            <w:r w:rsidRPr="00D50F76">
              <w:rPr>
                <w:lang w:val="pt-PT"/>
              </w:rPr>
              <w:tab/>
            </w:r>
            <w:r w:rsidRPr="00D50F76">
              <w:rPr>
                <w:sz w:val="18"/>
                <w:lang w:val="pt-PT"/>
              </w:rPr>
              <w:t>Folytatás a(z) ............ oldalon</w:t>
            </w:r>
            <w:r w:rsidRPr="00D50F76">
              <w:rPr>
                <w:position w:val="4"/>
                <w:sz w:val="16"/>
                <w:vertAlign w:val="superscript"/>
                <w:lang w:val="pt-PT"/>
              </w:rPr>
              <w:t>*)</w:t>
            </w:r>
            <w:r w:rsidRPr="00D50F76">
              <w:rPr>
                <w:lang w:val="pt-PT"/>
              </w:rPr>
              <w:tab/>
            </w:r>
            <w:r w:rsidRPr="00D50F76">
              <w:rPr>
                <w:rFonts w:cs="Arial"/>
                <w:position w:val="4"/>
                <w:sz w:val="16"/>
                <w:szCs w:val="20"/>
                <w:lang w:val="pt-PT"/>
              </w:rPr>
              <w:br/>
            </w:r>
            <w:r w:rsidRPr="00D50F76">
              <w:rPr>
                <w:lang w:val="pt-PT"/>
              </w:rPr>
              <w:tab/>
            </w:r>
            <w:r w:rsidRPr="00D50F76">
              <w:rPr>
                <w:lang w:val="pt-PT"/>
              </w:rPr>
              <w:tab/>
            </w:r>
            <w:r w:rsidRPr="00D50F76">
              <w:rPr>
                <w:position w:val="4"/>
                <w:sz w:val="18"/>
                <w:lang w:val="pt-PT"/>
              </w:rPr>
              <w:t>A bizonyítvány vége</w:t>
            </w:r>
            <w:r w:rsidRPr="00D50F76">
              <w:rPr>
                <w:position w:val="4"/>
                <w:sz w:val="16"/>
                <w:vertAlign w:val="superscript"/>
                <w:lang w:val="pt-PT"/>
              </w:rPr>
              <w:t>*)</w:t>
            </w:r>
          </w:p>
        </w:tc>
      </w:tr>
    </w:tbl>
    <w:p w:rsidR="005624E3" w:rsidRPr="00D50F76" w:rsidRDefault="005624E3" w:rsidP="005624E3">
      <w:pPr>
        <w:overflowPunct w:val="0"/>
        <w:adjustRightInd w:val="0"/>
        <w:textAlignment w:val="baseline"/>
        <w:rPr>
          <w:rFonts w:cs="Arial"/>
          <w:sz w:val="16"/>
          <w:szCs w:val="16"/>
          <w:lang w:val="pt-PT"/>
        </w:rPr>
      </w:pPr>
    </w:p>
    <w:p w:rsidR="005624E3" w:rsidRPr="00D50F76" w:rsidRDefault="005624E3" w:rsidP="005624E3">
      <w:pPr>
        <w:overflowPunct w:val="0"/>
        <w:adjustRightInd w:val="0"/>
        <w:textAlignment w:val="baseline"/>
        <w:rPr>
          <w:rFonts w:cs="Arial"/>
          <w:sz w:val="16"/>
          <w:szCs w:val="16"/>
          <w:lang w:val="pt-PT"/>
        </w:rPr>
      </w:pPr>
      <w:r w:rsidRPr="00D50F76">
        <w:rPr>
          <w:lang w:val="pt-PT"/>
        </w:rPr>
        <w:br w:type="page"/>
      </w:r>
    </w:p>
    <w:p w:rsidR="005624E3" w:rsidRPr="00D50F76" w:rsidRDefault="005624E3" w:rsidP="005624E3">
      <w:pPr>
        <w:overflowPunct w:val="0"/>
        <w:adjustRightInd w:val="0"/>
        <w:textAlignment w:val="baseline"/>
        <w:rPr>
          <w:rFonts w:cs="Arial"/>
          <w:sz w:val="16"/>
          <w:szCs w:val="16"/>
          <w:lang w:val="pt-PT"/>
        </w:rPr>
      </w:pPr>
    </w:p>
    <w:p w:rsidR="005624E3" w:rsidRPr="00D50F76" w:rsidRDefault="005624E3" w:rsidP="005624E3">
      <w:pPr>
        <w:overflowPunct w:val="0"/>
        <w:adjustRightInd w:val="0"/>
        <w:textAlignment w:val="baseline"/>
        <w:rPr>
          <w:rFonts w:cs="Arial"/>
          <w:sz w:val="16"/>
          <w:szCs w:val="16"/>
          <w:lang w:val="pt-PT"/>
        </w:rPr>
      </w:pPr>
    </w:p>
    <w:p w:rsidR="005624E3" w:rsidRPr="00D50F76" w:rsidRDefault="005624E3" w:rsidP="005624E3">
      <w:pPr>
        <w:overflowPunct w:val="0"/>
        <w:adjustRightInd w:val="0"/>
        <w:textAlignment w:val="baseline"/>
        <w:rPr>
          <w:rFonts w:cs="Arial"/>
          <w:sz w:val="16"/>
          <w:szCs w:val="16"/>
          <w:lang w:val="pt-PT"/>
        </w:rPr>
      </w:pPr>
    </w:p>
    <w:p w:rsidR="005624E3" w:rsidRPr="00D50F76" w:rsidRDefault="005624E3" w:rsidP="005624E3">
      <w:pPr>
        <w:pStyle w:val="ESgauche"/>
        <w:rPr>
          <w:lang w:val="pt-PT"/>
        </w:rPr>
      </w:pPr>
      <w:r w:rsidRPr="00D50F76">
        <w:rPr>
          <w:lang w:val="pt-PT"/>
        </w:rPr>
        <w:br w:type="page"/>
      </w:r>
    </w:p>
    <w:p w:rsidR="005624E3" w:rsidRPr="00D50F76" w:rsidRDefault="005624E3" w:rsidP="005624E3">
      <w:pPr>
        <w:pStyle w:val="ES-Titre3"/>
        <w:rPr>
          <w:noProof/>
          <w:lang w:val="pt-PT"/>
        </w:rPr>
      </w:pPr>
      <w:bookmarkStart w:id="612" w:name="_Toc491854297"/>
      <w:bookmarkStart w:id="613" w:name="_Toc535854078"/>
      <w:r w:rsidRPr="00D50F76">
        <w:rPr>
          <w:lang w:val="pt-PT"/>
        </w:rPr>
        <w:t>II. szakasz</w:t>
      </w:r>
      <w:bookmarkEnd w:id="612"/>
      <w:bookmarkEnd w:id="613"/>
    </w:p>
    <w:p w:rsidR="005624E3" w:rsidRPr="00D50F76" w:rsidRDefault="005624E3" w:rsidP="005624E3">
      <w:pPr>
        <w:pStyle w:val="ES-Titre3a"/>
        <w:rPr>
          <w:noProof/>
          <w:lang w:val="pt-PT"/>
        </w:rPr>
      </w:pPr>
      <w:bookmarkStart w:id="614" w:name="_Toc491854298"/>
      <w:bookmarkStart w:id="615" w:name="_Toc535854079"/>
      <w:r w:rsidRPr="00D50F76">
        <w:rPr>
          <w:lang w:val="pt-PT"/>
        </w:rPr>
        <w:t>Ideiglenes belvízi hajóbizonyítvány mintája</w:t>
      </w:r>
      <w:bookmarkEnd w:id="614"/>
      <w:bookmarkEnd w:id="615"/>
    </w:p>
    <w:p w:rsidR="005624E3" w:rsidRPr="00D50F76" w:rsidRDefault="005624E3" w:rsidP="005624E3">
      <w:pPr>
        <w:tabs>
          <w:tab w:val="center" w:pos="8080"/>
        </w:tabs>
        <w:overflowPunct w:val="0"/>
        <w:adjustRightInd w:val="0"/>
        <w:textAlignment w:val="baseline"/>
        <w:rPr>
          <w:rFonts w:cs="Arial"/>
          <w:szCs w:val="20"/>
          <w:lang w:val="pt-PT"/>
        </w:rPr>
      </w:pPr>
    </w:p>
    <w:p w:rsidR="005624E3" w:rsidRPr="00D50F76" w:rsidRDefault="005624E3" w:rsidP="005624E3">
      <w:pPr>
        <w:tabs>
          <w:tab w:val="left" w:pos="284"/>
          <w:tab w:val="left" w:leader="dot" w:pos="9356"/>
        </w:tabs>
        <w:overflowPunct w:val="0"/>
        <w:adjustRightInd w:val="0"/>
        <w:jc w:val="center"/>
        <w:textAlignment w:val="baseline"/>
        <w:rPr>
          <w:rFonts w:cs="Arial"/>
          <w:b/>
          <w:lang w:val="pt-PT"/>
        </w:rPr>
      </w:pPr>
      <w:r w:rsidRPr="00D50F76">
        <w:rPr>
          <w:b/>
          <w:lang w:val="pt-PT"/>
        </w:rPr>
        <w:t>Az állam neve / Bélyegző</w:t>
      </w:r>
    </w:p>
    <w:p w:rsidR="005624E3" w:rsidRPr="00D50F76" w:rsidRDefault="005624E3" w:rsidP="005624E3">
      <w:pPr>
        <w:tabs>
          <w:tab w:val="center" w:pos="8080"/>
        </w:tabs>
        <w:overflowPunct w:val="0"/>
        <w:adjustRightInd w:val="0"/>
        <w:textAlignment w:val="baseline"/>
        <w:rPr>
          <w:rFonts w:cs="Arial"/>
          <w:szCs w:val="20"/>
          <w:lang w:val="pt-PT"/>
        </w:rPr>
      </w:pPr>
    </w:p>
    <w:p w:rsidR="005624E3" w:rsidRPr="00D50F76" w:rsidRDefault="005624E3" w:rsidP="005624E3">
      <w:pPr>
        <w:tabs>
          <w:tab w:val="left" w:pos="284"/>
          <w:tab w:val="left" w:leader="dot" w:pos="9356"/>
        </w:tabs>
        <w:overflowPunct w:val="0"/>
        <w:adjustRightInd w:val="0"/>
        <w:jc w:val="center"/>
        <w:textAlignment w:val="baseline"/>
        <w:rPr>
          <w:rFonts w:cs="Arial"/>
          <w:b/>
          <w:lang w:val="pt-PT"/>
        </w:rPr>
      </w:pPr>
      <w:r w:rsidRPr="00D50F76">
        <w:rPr>
          <w:b/>
          <w:lang w:val="pt-PT"/>
        </w:rPr>
        <w:t>Ideiglenes belvízi hajóbizonyítvány</w:t>
      </w:r>
    </w:p>
    <w:p w:rsidR="005624E3" w:rsidRPr="00D50F76" w:rsidRDefault="005624E3" w:rsidP="005624E3">
      <w:pPr>
        <w:overflowPunct w:val="0"/>
        <w:adjustRightInd w:val="0"/>
        <w:jc w:val="center"/>
        <w:textAlignment w:val="baseline"/>
        <w:rPr>
          <w:rFonts w:cs="Arial"/>
          <w:lang w:val="pt-PT"/>
        </w:rPr>
      </w:pPr>
    </w:p>
    <w:p w:rsidR="005624E3" w:rsidRPr="00C903F8" w:rsidRDefault="005624E3" w:rsidP="005624E3">
      <w:pPr>
        <w:overflowPunct w:val="0"/>
        <w:adjustRightInd w:val="0"/>
        <w:jc w:val="center"/>
        <w:textAlignment w:val="baseline"/>
        <w:rPr>
          <w:rFonts w:cs="Arial"/>
        </w:rPr>
      </w:pPr>
      <w:r>
        <w:rPr>
          <w:b/>
        </w:rPr>
        <w:t>Szám: …..............</w:t>
      </w:r>
    </w:p>
    <w:tbl>
      <w:tblPr>
        <w:tblW w:w="9188" w:type="dxa"/>
        <w:jc w:val="center"/>
        <w:tblLayout w:type="fixed"/>
        <w:tblCellMar>
          <w:left w:w="0" w:type="dxa"/>
          <w:right w:w="0" w:type="dxa"/>
        </w:tblCellMar>
        <w:tblLook w:val="0000" w:firstRow="0" w:lastRow="0" w:firstColumn="0" w:lastColumn="0" w:noHBand="0" w:noVBand="0"/>
      </w:tblPr>
      <w:tblGrid>
        <w:gridCol w:w="284"/>
        <w:gridCol w:w="2778"/>
        <w:gridCol w:w="1475"/>
        <w:gridCol w:w="1418"/>
        <w:gridCol w:w="169"/>
        <w:gridCol w:w="1249"/>
        <w:gridCol w:w="1418"/>
        <w:gridCol w:w="397"/>
      </w:tblGrid>
      <w:tr w:rsidR="005624E3" w:rsidRPr="002F672B" w:rsidTr="00101A80">
        <w:trPr>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s>
              <w:overflowPunct w:val="0"/>
              <w:adjustRightInd w:val="0"/>
              <w:spacing w:before="40"/>
              <w:textAlignment w:val="baseline"/>
              <w:rPr>
                <w:rFonts w:cs="Arial"/>
                <w:sz w:val="18"/>
                <w:szCs w:val="20"/>
              </w:rPr>
            </w:pPr>
            <w:r>
              <w:tab/>
            </w:r>
            <w:r>
              <w:rPr>
                <w:sz w:val="18"/>
              </w:rPr>
              <w:t>1.</w:t>
            </w:r>
          </w:p>
        </w:tc>
        <w:tc>
          <w:tcPr>
            <w:tcW w:w="2778" w:type="dxa"/>
            <w:tcBorders>
              <w:top w:val="single" w:sz="6" w:space="0" w:color="auto"/>
              <w:bottom w:val="single" w:sz="6" w:space="0" w:color="auto"/>
              <w:right w:val="single" w:sz="6" w:space="0" w:color="auto"/>
            </w:tcBorders>
          </w:tcPr>
          <w:p w:rsidR="005624E3" w:rsidRPr="00C903F8" w:rsidRDefault="005624E3" w:rsidP="00101A80">
            <w:pPr>
              <w:tabs>
                <w:tab w:val="left" w:pos="57"/>
              </w:tabs>
              <w:overflowPunct w:val="0"/>
              <w:adjustRightInd w:val="0"/>
              <w:spacing w:before="40"/>
              <w:textAlignment w:val="baseline"/>
              <w:rPr>
                <w:rFonts w:cs="Arial"/>
                <w:sz w:val="18"/>
                <w:szCs w:val="20"/>
              </w:rPr>
            </w:pPr>
            <w:r>
              <w:rPr>
                <w:sz w:val="18"/>
              </w:rPr>
              <w:t>A vízi jármű neve</w:t>
            </w:r>
            <w:r>
              <w:rPr>
                <w:rFonts w:cs="Arial"/>
                <w:sz w:val="18"/>
                <w:szCs w:val="20"/>
              </w:rPr>
              <w:br/>
            </w:r>
            <w:r>
              <w:rPr>
                <w:rFonts w:cs="Arial"/>
                <w:sz w:val="18"/>
                <w:szCs w:val="20"/>
              </w:rPr>
              <w:br/>
            </w:r>
            <w:r>
              <w:rPr>
                <w:rFonts w:cs="Arial"/>
                <w:sz w:val="18"/>
                <w:szCs w:val="20"/>
              </w:rPr>
              <w:br/>
            </w:r>
          </w:p>
        </w:tc>
        <w:tc>
          <w:tcPr>
            <w:tcW w:w="3062" w:type="dxa"/>
            <w:gridSpan w:val="3"/>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57"/>
                <w:tab w:val="left" w:pos="227"/>
              </w:tabs>
              <w:overflowPunct w:val="0"/>
              <w:adjustRightInd w:val="0"/>
              <w:spacing w:before="40"/>
              <w:textAlignment w:val="baseline"/>
              <w:rPr>
                <w:rFonts w:cs="Arial"/>
                <w:sz w:val="18"/>
                <w:szCs w:val="20"/>
              </w:rPr>
            </w:pPr>
            <w:r>
              <w:tab/>
            </w:r>
            <w:r>
              <w:rPr>
                <w:sz w:val="18"/>
              </w:rPr>
              <w:t>2.</w:t>
            </w:r>
            <w:r>
              <w:tab/>
            </w:r>
            <w:r>
              <w:rPr>
                <w:sz w:val="18"/>
              </w:rPr>
              <w:t>A vízi jármű típusa</w:t>
            </w:r>
          </w:p>
        </w:tc>
        <w:tc>
          <w:tcPr>
            <w:tcW w:w="3064" w:type="dxa"/>
            <w:gridSpan w:val="3"/>
            <w:tcBorders>
              <w:top w:val="single" w:sz="6" w:space="0" w:color="auto"/>
              <w:bottom w:val="single" w:sz="6" w:space="0" w:color="auto"/>
              <w:right w:val="single" w:sz="6" w:space="0" w:color="auto"/>
            </w:tcBorders>
          </w:tcPr>
          <w:p w:rsidR="005624E3" w:rsidRPr="002F672B" w:rsidRDefault="005624E3" w:rsidP="00101A80">
            <w:pPr>
              <w:tabs>
                <w:tab w:val="left" w:pos="57"/>
                <w:tab w:val="left" w:pos="284"/>
              </w:tabs>
              <w:overflowPunct w:val="0"/>
              <w:adjustRightInd w:val="0"/>
              <w:spacing w:before="40"/>
              <w:ind w:left="284" w:hanging="284"/>
              <w:textAlignment w:val="baseline"/>
              <w:rPr>
                <w:rFonts w:cs="Arial"/>
                <w:sz w:val="18"/>
                <w:szCs w:val="20"/>
              </w:rPr>
            </w:pPr>
            <w:r>
              <w:tab/>
            </w:r>
            <w:r>
              <w:rPr>
                <w:sz w:val="18"/>
              </w:rPr>
              <w:t>3.</w:t>
            </w:r>
            <w:r>
              <w:tab/>
            </w:r>
            <w:r>
              <w:rPr>
                <w:noProof/>
                <w:sz w:val="18"/>
              </w:rPr>
              <w:t>Egyedi európai hajóazonosító szám</w:t>
            </w:r>
          </w:p>
        </w:tc>
      </w:tr>
      <w:tr w:rsidR="005624E3" w:rsidRPr="00842442"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40"/>
              <w:textAlignment w:val="baseline"/>
              <w:rPr>
                <w:rFonts w:cs="Arial"/>
                <w:sz w:val="18"/>
                <w:szCs w:val="20"/>
              </w:rPr>
            </w:pPr>
            <w:r>
              <w:tab/>
            </w:r>
            <w:r>
              <w:rPr>
                <w:sz w:val="18"/>
              </w:rPr>
              <w:t>4.</w:t>
            </w:r>
          </w:p>
        </w:tc>
        <w:tc>
          <w:tcPr>
            <w:tcW w:w="8904" w:type="dxa"/>
            <w:gridSpan w:val="7"/>
            <w:tcBorders>
              <w:top w:val="single" w:sz="6" w:space="0" w:color="auto"/>
              <w:bottom w:val="single" w:sz="6" w:space="0" w:color="auto"/>
              <w:right w:val="single" w:sz="6" w:space="0" w:color="auto"/>
            </w:tcBorders>
          </w:tcPr>
          <w:p w:rsidR="005624E3" w:rsidRPr="00D50F76" w:rsidRDefault="005624E3" w:rsidP="00101A80">
            <w:pPr>
              <w:tabs>
                <w:tab w:val="left" w:pos="57"/>
                <w:tab w:val="left" w:pos="227"/>
              </w:tabs>
              <w:overflowPunct w:val="0"/>
              <w:adjustRightInd w:val="0"/>
              <w:spacing w:before="40"/>
              <w:ind w:left="57"/>
              <w:textAlignment w:val="baseline"/>
              <w:rPr>
                <w:rFonts w:cs="Arial"/>
                <w:sz w:val="18"/>
                <w:szCs w:val="20"/>
                <w:lang w:val="pt-PT"/>
              </w:rPr>
            </w:pPr>
            <w:r w:rsidRPr="00D50F76">
              <w:rPr>
                <w:sz w:val="18"/>
                <w:lang w:val="pt-PT"/>
              </w:rPr>
              <w:t>A tulajdonos neve és címe</w:t>
            </w:r>
            <w:r w:rsidRPr="00D50F76">
              <w:rPr>
                <w:rFonts w:cs="Arial"/>
                <w:sz w:val="18"/>
                <w:szCs w:val="20"/>
                <w:lang w:val="pt-PT"/>
              </w:rPr>
              <w:br/>
            </w:r>
            <w:r w:rsidRPr="00D50F76">
              <w:rPr>
                <w:rFonts w:cs="Arial"/>
                <w:sz w:val="18"/>
                <w:szCs w:val="20"/>
                <w:lang w:val="pt-PT"/>
              </w:rPr>
              <w:br/>
            </w:r>
            <w:r w:rsidRPr="00D50F76">
              <w:rPr>
                <w:rFonts w:cs="Arial"/>
                <w:sz w:val="18"/>
                <w:szCs w:val="20"/>
                <w:lang w:val="pt-PT"/>
              </w:rPr>
              <w:br/>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s>
              <w:overflowPunct w:val="0"/>
              <w:adjustRightInd w:val="0"/>
              <w:spacing w:before="40"/>
              <w:textAlignment w:val="baseline"/>
              <w:rPr>
                <w:rFonts w:cs="Arial"/>
                <w:sz w:val="18"/>
                <w:szCs w:val="20"/>
              </w:rPr>
            </w:pPr>
            <w:r w:rsidRPr="00D50F76">
              <w:rPr>
                <w:lang w:val="pt-PT"/>
              </w:rPr>
              <w:tab/>
            </w:r>
            <w:r>
              <w:rPr>
                <w:sz w:val="18"/>
              </w:rPr>
              <w:t>5.</w:t>
            </w:r>
          </w:p>
        </w:tc>
        <w:tc>
          <w:tcPr>
            <w:tcW w:w="8904" w:type="dxa"/>
            <w:gridSpan w:val="7"/>
            <w:tcBorders>
              <w:top w:val="single" w:sz="6" w:space="0" w:color="auto"/>
              <w:bottom w:val="single" w:sz="6" w:space="0" w:color="auto"/>
              <w:right w:val="single" w:sz="6" w:space="0" w:color="auto"/>
            </w:tcBorders>
          </w:tcPr>
          <w:p w:rsidR="005624E3" w:rsidRPr="00C903F8" w:rsidRDefault="005624E3" w:rsidP="00101A80">
            <w:pPr>
              <w:tabs>
                <w:tab w:val="left" w:pos="57"/>
                <w:tab w:val="left" w:pos="227"/>
                <w:tab w:val="left" w:leader="dot" w:pos="2835"/>
                <w:tab w:val="left" w:pos="3686"/>
                <w:tab w:val="left" w:leader="dot" w:pos="5670"/>
                <w:tab w:val="left" w:leader="dot" w:pos="8505"/>
              </w:tabs>
              <w:overflowPunct w:val="0"/>
              <w:adjustRightInd w:val="0"/>
              <w:spacing w:before="40"/>
              <w:ind w:left="57"/>
              <w:textAlignment w:val="baseline"/>
              <w:rPr>
                <w:rFonts w:cs="Arial"/>
                <w:sz w:val="18"/>
                <w:szCs w:val="20"/>
              </w:rPr>
            </w:pPr>
            <w:r>
              <w:rPr>
                <w:sz w:val="18"/>
              </w:rPr>
              <w:t>Hosszúság (</w:t>
            </w:r>
            <m:oMath>
              <m:r>
                <w:rPr>
                  <w:rFonts w:ascii="Cambria Math" w:hAnsi="Cambria Math" w:cs="Arial"/>
                  <w:sz w:val="18"/>
                  <w:szCs w:val="20"/>
                </w:rPr>
                <m:t>L</m:t>
              </m:r>
            </m:oMath>
            <w:r>
              <w:rPr>
                <w:sz w:val="18"/>
              </w:rPr>
              <w:t xml:space="preserve">/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sz w:val="18"/>
              </w:rPr>
              <w:t>)</w:t>
            </w:r>
            <w:r>
              <w:rPr>
                <w:sz w:val="16"/>
                <w:vertAlign w:val="superscript"/>
              </w:rPr>
              <w:t>*)</w:t>
            </w:r>
            <w:r>
              <w:rPr>
                <w:sz w:val="18"/>
              </w:rPr>
              <w:t>:</w:t>
            </w:r>
            <w:r>
              <w:tab/>
            </w:r>
            <w:r>
              <w:rPr>
                <w:sz w:val="16"/>
                <w:vertAlign w:val="superscript"/>
              </w:rPr>
              <w:t xml:space="preserve"> </w:t>
            </w:r>
            <w:r>
              <w:rPr>
                <w:sz w:val="18"/>
              </w:rPr>
              <w:t>Az utasok létszáma:</w:t>
            </w:r>
            <w:r>
              <w:tab/>
            </w:r>
          </w:p>
          <w:p w:rsidR="005624E3" w:rsidRPr="00C903F8" w:rsidRDefault="005624E3" w:rsidP="00101A80">
            <w:pPr>
              <w:tabs>
                <w:tab w:val="left" w:pos="57"/>
                <w:tab w:val="left" w:pos="227"/>
                <w:tab w:val="left" w:leader="dot" w:pos="2835"/>
                <w:tab w:val="left" w:pos="3686"/>
                <w:tab w:val="left" w:leader="dot" w:pos="5670"/>
                <w:tab w:val="left" w:leader="dot" w:pos="8505"/>
              </w:tabs>
              <w:overflowPunct w:val="0"/>
              <w:adjustRightInd w:val="0"/>
              <w:spacing w:before="40" w:after="80"/>
              <w:ind w:left="57"/>
              <w:textAlignment w:val="baseline"/>
              <w:rPr>
                <w:rFonts w:cs="Arial"/>
                <w:sz w:val="18"/>
                <w:szCs w:val="20"/>
              </w:rPr>
            </w:pPr>
            <w:r>
              <w:rPr>
                <w:sz w:val="18"/>
              </w:rPr>
              <w:t>Fekhelyek száma</w:t>
            </w:r>
            <w:r>
              <w:rPr>
                <w:sz w:val="16"/>
                <w:vertAlign w:val="superscript"/>
              </w:rPr>
              <w:t>*)</w:t>
            </w:r>
            <w:r>
              <w:rPr>
                <w:sz w:val="18"/>
              </w:rPr>
              <w:t xml:space="preserve">: </w:t>
            </w:r>
            <w:r>
              <w:tab/>
            </w:r>
          </w:p>
        </w:tc>
      </w:tr>
      <w:tr w:rsidR="005624E3" w:rsidRPr="00C903F8"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40"/>
              <w:textAlignment w:val="baseline"/>
              <w:rPr>
                <w:rFonts w:cs="Arial"/>
                <w:sz w:val="18"/>
                <w:szCs w:val="20"/>
              </w:rPr>
            </w:pPr>
            <w:r>
              <w:tab/>
            </w:r>
            <w:r>
              <w:rPr>
                <w:sz w:val="18"/>
              </w:rPr>
              <w:t>6.</w:t>
            </w:r>
          </w:p>
        </w:tc>
        <w:tc>
          <w:tcPr>
            <w:tcW w:w="8904" w:type="dxa"/>
            <w:gridSpan w:val="7"/>
            <w:tcBorders>
              <w:top w:val="single" w:sz="6" w:space="0" w:color="auto"/>
              <w:bottom w:val="single" w:sz="6" w:space="0" w:color="auto"/>
              <w:right w:val="single" w:sz="6" w:space="0" w:color="auto"/>
            </w:tcBorders>
          </w:tcPr>
          <w:p w:rsidR="005624E3" w:rsidRPr="00C903F8" w:rsidRDefault="005624E3" w:rsidP="00101A80">
            <w:pPr>
              <w:tabs>
                <w:tab w:val="left" w:pos="57"/>
                <w:tab w:val="left" w:pos="227"/>
                <w:tab w:val="left" w:leader="dot" w:pos="8505"/>
              </w:tabs>
              <w:overflowPunct w:val="0"/>
              <w:adjustRightInd w:val="0"/>
              <w:spacing w:before="40"/>
              <w:ind w:left="57"/>
              <w:textAlignment w:val="baseline"/>
              <w:rPr>
                <w:rFonts w:cs="Arial"/>
                <w:sz w:val="18"/>
                <w:szCs w:val="20"/>
              </w:rPr>
            </w:pPr>
            <w:r>
              <w:rPr>
                <w:sz w:val="18"/>
              </w:rPr>
              <w:t xml:space="preserve">Legénység: </w:t>
            </w:r>
            <w:r>
              <w:tab/>
            </w:r>
            <w:r>
              <w:rPr>
                <w:rFonts w:cs="Arial"/>
                <w:sz w:val="18"/>
                <w:szCs w:val="20"/>
              </w:rPr>
              <w:br/>
            </w: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6.1.</w:t>
            </w:r>
          </w:p>
        </w:tc>
        <w:tc>
          <w:tcPr>
            <w:tcW w:w="8904" w:type="dxa"/>
            <w:gridSpan w:val="7"/>
            <w:tcBorders>
              <w:top w:val="single" w:sz="6" w:space="0" w:color="auto"/>
              <w:bottom w:val="single" w:sz="6" w:space="0" w:color="auto"/>
              <w:right w:val="single" w:sz="6" w:space="0" w:color="auto"/>
            </w:tcBorders>
          </w:tcPr>
          <w:p w:rsidR="005624E3" w:rsidRPr="00C903F8" w:rsidRDefault="005624E3" w:rsidP="00101A80">
            <w:pPr>
              <w:ind w:left="57" w:right="57"/>
              <w:rPr>
                <w:sz w:val="18"/>
              </w:rPr>
            </w:pPr>
          </w:p>
          <w:p w:rsidR="005624E3" w:rsidRPr="00C903F8" w:rsidRDefault="005624E3" w:rsidP="00101A80">
            <w:pPr>
              <w:ind w:left="57" w:right="57"/>
              <w:rPr>
                <w:rFonts w:cs="Arial"/>
                <w:sz w:val="18"/>
                <w:szCs w:val="18"/>
              </w:rPr>
            </w:pPr>
            <w:r>
              <w:rPr>
                <w:sz w:val="18"/>
              </w:rPr>
              <w:t>A hajó [A1</w:t>
            </w:r>
            <w:r>
              <w:rPr>
                <w:sz w:val="16"/>
                <w:vertAlign w:val="superscript"/>
              </w:rPr>
              <w:t>*)</w:t>
            </w:r>
            <w:r>
              <w:rPr>
                <w:sz w:val="18"/>
              </w:rPr>
              <w:t>, A2</w:t>
            </w:r>
            <w:r>
              <w:rPr>
                <w:sz w:val="16"/>
                <w:vertAlign w:val="superscript"/>
              </w:rPr>
              <w:t>*)</w:t>
            </w:r>
            <w:r>
              <w:rPr>
                <w:sz w:val="18"/>
              </w:rPr>
              <w:t>, B</w:t>
            </w:r>
            <w:r>
              <w:rPr>
                <w:sz w:val="16"/>
                <w:vertAlign w:val="superscript"/>
              </w:rPr>
              <w:t>*)</w:t>
            </w:r>
            <w:r>
              <w:rPr>
                <w:sz w:val="18"/>
              </w:rPr>
              <w:t xml:space="preserve"> / Az üzemmódokra vonatkozó szakasz, a nemzeti és nemzetközi követelményeknek megfelelően] üzemmódban üzemelhet.</w:t>
            </w: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6.2.</w:t>
            </w:r>
          </w:p>
        </w:tc>
        <w:tc>
          <w:tcPr>
            <w:tcW w:w="8904" w:type="dxa"/>
            <w:gridSpan w:val="7"/>
            <w:tcBorders>
              <w:top w:val="single" w:sz="6" w:space="0" w:color="auto"/>
              <w:bottom w:val="single" w:sz="6" w:space="0" w:color="auto"/>
              <w:right w:val="single" w:sz="6" w:space="0" w:color="auto"/>
            </w:tcBorders>
          </w:tcPr>
          <w:p w:rsidR="005624E3" w:rsidRPr="00C903F8" w:rsidRDefault="005624E3" w:rsidP="00101A80">
            <w:pPr>
              <w:ind w:left="57" w:right="57"/>
              <w:rPr>
                <w:rFonts w:cs="Arial"/>
                <w:sz w:val="18"/>
                <w:szCs w:val="18"/>
              </w:rPr>
            </w:pPr>
            <w:r>
              <w:rPr>
                <w:noProof/>
                <w:sz w:val="18"/>
              </w:rPr>
              <w:t>A hajó felszerelése a 31.01. cikk alapján</w:t>
            </w:r>
            <w:r>
              <w:rPr>
                <w:noProof/>
                <w:sz w:val="18"/>
                <w:szCs w:val="20"/>
              </w:rPr>
              <w:br/>
            </w:r>
            <w:r>
              <w:rPr>
                <w:noProof/>
                <w:sz w:val="18"/>
              </w:rPr>
              <w:t>A hajó megfelel</w:t>
            </w:r>
            <w:r>
              <w:rPr>
                <w:position w:val="6"/>
                <w:sz w:val="16"/>
              </w:rPr>
              <w:t>*)</w:t>
            </w:r>
            <w:r>
              <w:rPr>
                <w:sz w:val="18"/>
              </w:rPr>
              <w:t xml:space="preserve"> / nem felel meg</w:t>
            </w:r>
            <w:r>
              <w:rPr>
                <w:position w:val="6"/>
                <w:sz w:val="16"/>
              </w:rPr>
              <w:t>*)</w:t>
            </w:r>
            <w:r>
              <w:rPr>
                <w:sz w:val="18"/>
              </w:rPr>
              <w:t xml:space="preserve"> a 31.02. cikknek (S1 standard)</w:t>
            </w:r>
            <w:r>
              <w:rPr>
                <w:position w:val="6"/>
                <w:sz w:val="16"/>
              </w:rPr>
              <w:t>*)</w:t>
            </w:r>
            <w:r>
              <w:rPr>
                <w:sz w:val="18"/>
              </w:rPr>
              <w:t xml:space="preserve"> / 31.03. cikknek (S2 standard)</w:t>
            </w:r>
            <w:r>
              <w:rPr>
                <w:position w:val="6"/>
                <w:sz w:val="16"/>
              </w:rPr>
              <w:t>*)</w:t>
            </w:r>
            <w:r>
              <w:rPr>
                <w:sz w:val="18"/>
              </w:rPr>
              <w:t>.</w:t>
            </w:r>
            <w:r>
              <w:rPr>
                <w:rFonts w:cs="Arial"/>
                <w:sz w:val="18"/>
                <w:szCs w:val="18"/>
              </w:rPr>
              <w:br/>
            </w:r>
            <w:r>
              <w:rPr>
                <w:sz w:val="18"/>
              </w:rPr>
              <w:t>[A rajnai hajózó személyzetre vonatkozó szabályzat 3.18. cikkének megfelelően / A nemzeti vagy nemzetközi követelményeknek megfelelően] a legénység minimális létszámát az alábbiak szerint kell növelni</w:t>
            </w:r>
            <w:r>
              <w:rPr>
                <w:position w:val="6"/>
                <w:sz w:val="16"/>
              </w:rPr>
              <w:t>*)</w:t>
            </w:r>
            <w:r>
              <w:rPr>
                <w:sz w:val="18"/>
              </w:rPr>
              <w:t xml:space="preserve"> / nem kell növelni</w:t>
            </w:r>
            <w:r>
              <w:rPr>
                <w:position w:val="6"/>
                <w:sz w:val="16"/>
              </w:rPr>
              <w:t>*)</w:t>
            </w:r>
            <w:r>
              <w:rPr>
                <w:sz w:val="18"/>
              </w:rPr>
              <w:t>:</w:t>
            </w:r>
            <w:r>
              <w:rPr>
                <w:sz w:val="18"/>
                <w:vertAlign w:val="superscript"/>
              </w:rPr>
              <w:footnoteReference w:id="51"/>
            </w:r>
          </w:p>
        </w:tc>
      </w:tr>
      <w:tr w:rsidR="005624E3" w:rsidRPr="00A0619C"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4253" w:type="dxa"/>
            <w:gridSpan w:val="2"/>
            <w:tcBorders>
              <w:top w:val="single" w:sz="6" w:space="0" w:color="auto"/>
              <w:bottom w:val="single" w:sz="4" w:space="0" w:color="auto"/>
            </w:tcBorders>
          </w:tcPr>
          <w:p w:rsidR="005624E3" w:rsidRPr="00C903F8" w:rsidRDefault="005624E3" w:rsidP="00101A80">
            <w:pPr>
              <w:tabs>
                <w:tab w:val="left" w:pos="57"/>
                <w:tab w:val="left" w:leader="dot" w:pos="8505"/>
              </w:tabs>
              <w:overflowPunct w:val="0"/>
              <w:adjustRightInd w:val="0"/>
              <w:spacing w:before="120"/>
              <w:ind w:left="57" w:hanging="57"/>
              <w:textAlignment w:val="baseline"/>
              <w:rPr>
                <w:rFonts w:cs="Arial"/>
                <w:sz w:val="18"/>
                <w:szCs w:val="20"/>
              </w:rPr>
            </w:pPr>
          </w:p>
        </w:tc>
        <w:tc>
          <w:tcPr>
            <w:tcW w:w="4254" w:type="dxa"/>
            <w:gridSpan w:val="4"/>
            <w:tcBorders>
              <w:top w:val="single" w:sz="6" w:space="0" w:color="auto"/>
              <w:bottom w:val="single" w:sz="4" w:space="0" w:color="auto"/>
            </w:tcBorders>
          </w:tcPr>
          <w:p w:rsidR="005624E3" w:rsidRPr="00C903F8" w:rsidRDefault="005624E3" w:rsidP="00101A80">
            <w:pPr>
              <w:tabs>
                <w:tab w:val="left" w:pos="1134"/>
              </w:tabs>
              <w:overflowPunct w:val="0"/>
              <w:adjustRightInd w:val="0"/>
              <w:spacing w:before="120"/>
              <w:ind w:left="57" w:hanging="57"/>
              <w:textAlignment w:val="baseline"/>
              <w:rPr>
                <w:rFonts w:cs="Arial"/>
                <w:sz w:val="18"/>
                <w:szCs w:val="20"/>
              </w:rPr>
            </w:pPr>
          </w:p>
        </w:tc>
        <w:tc>
          <w:tcPr>
            <w:tcW w:w="397" w:type="dxa"/>
            <w:tcBorders>
              <w:left w:val="nil"/>
              <w:right w:val="single" w:sz="6" w:space="0" w:color="auto"/>
            </w:tcBorders>
          </w:tcPr>
          <w:p w:rsidR="005624E3" w:rsidRPr="00C903F8" w:rsidRDefault="005624E3" w:rsidP="00101A80">
            <w:pPr>
              <w:tabs>
                <w:tab w:val="left" w:pos="57"/>
                <w:tab w:val="left" w:pos="5103"/>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4253" w:type="dxa"/>
            <w:gridSpan w:val="2"/>
            <w:tcBorders>
              <w:top w:val="single" w:sz="4" w:space="0" w:color="auto"/>
              <w:left w:val="single" w:sz="6" w:space="0" w:color="auto"/>
              <w:right w:val="single" w:sz="6" w:space="0" w:color="auto"/>
            </w:tcBorders>
          </w:tcPr>
          <w:p w:rsidR="005624E3" w:rsidRPr="00C903F8" w:rsidRDefault="005624E3" w:rsidP="00101A80">
            <w:pPr>
              <w:tabs>
                <w:tab w:val="left" w:pos="57"/>
                <w:tab w:val="left" w:leader="dot" w:pos="8505"/>
              </w:tabs>
              <w:overflowPunct w:val="0"/>
              <w:adjustRightInd w:val="0"/>
              <w:spacing w:before="120"/>
              <w:ind w:left="57" w:hanging="57"/>
              <w:textAlignment w:val="baseline"/>
              <w:rPr>
                <w:rFonts w:cs="Arial"/>
                <w:sz w:val="18"/>
                <w:szCs w:val="20"/>
              </w:rPr>
            </w:pPr>
          </w:p>
        </w:tc>
        <w:tc>
          <w:tcPr>
            <w:tcW w:w="4254" w:type="dxa"/>
            <w:gridSpan w:val="4"/>
            <w:tcBorders>
              <w:top w:val="single" w:sz="4" w:space="0" w:color="auto"/>
              <w:left w:val="single" w:sz="6" w:space="0" w:color="auto"/>
              <w:right w:val="single" w:sz="6" w:space="0" w:color="auto"/>
            </w:tcBorders>
          </w:tcPr>
          <w:p w:rsidR="005624E3" w:rsidRPr="00C903F8" w:rsidRDefault="005624E3" w:rsidP="00101A80">
            <w:pPr>
              <w:tabs>
                <w:tab w:val="left" w:pos="1134"/>
              </w:tabs>
              <w:overflowPunct w:val="0"/>
              <w:adjustRightInd w:val="0"/>
              <w:spacing w:before="120"/>
              <w:ind w:left="57" w:hanging="57"/>
              <w:textAlignment w:val="baseline"/>
              <w:rPr>
                <w:rFonts w:cs="Arial"/>
                <w:sz w:val="18"/>
                <w:szCs w:val="20"/>
              </w:rPr>
            </w:pPr>
            <w:r>
              <w:tab/>
            </w:r>
            <w:r>
              <w:tab/>
            </w:r>
            <w:r>
              <w:rPr>
                <w:sz w:val="18"/>
              </w:rPr>
              <w:t>Üzemmódok</w:t>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textAlignment w:val="baseline"/>
              <w:rPr>
                <w:rFonts w:cs="Arial"/>
                <w:sz w:val="18"/>
                <w:szCs w:val="20"/>
              </w:rPr>
            </w:pP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40" w:after="40"/>
              <w:textAlignment w:val="baseline"/>
              <w:rPr>
                <w:rFonts w:cs="Arial"/>
                <w:sz w:val="18"/>
                <w:szCs w:val="20"/>
              </w:rPr>
            </w:pPr>
          </w:p>
        </w:tc>
        <w:tc>
          <w:tcPr>
            <w:tcW w:w="4253" w:type="dxa"/>
            <w:gridSpan w:val="2"/>
            <w:tcBorders>
              <w:top w:val="single" w:sz="6" w:space="0" w:color="auto"/>
              <w:left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40" w:after="40"/>
              <w:ind w:left="57" w:hanging="57"/>
              <w:textAlignment w:val="baseline"/>
              <w:rPr>
                <w:rFonts w:cs="Arial"/>
                <w:sz w:val="18"/>
                <w:szCs w:val="20"/>
              </w:rPr>
            </w:pPr>
          </w:p>
        </w:tc>
        <w:tc>
          <w:tcPr>
            <w:tcW w:w="1418" w:type="dxa"/>
            <w:tcBorders>
              <w:top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spacing w:before="40" w:after="40"/>
              <w:ind w:left="57" w:hanging="57"/>
              <w:textAlignment w:val="baseline"/>
              <w:rPr>
                <w:rFonts w:cs="Arial"/>
                <w:sz w:val="18"/>
                <w:szCs w:val="20"/>
              </w:rPr>
            </w:pPr>
          </w:p>
        </w:tc>
        <w:tc>
          <w:tcPr>
            <w:tcW w:w="1418" w:type="dxa"/>
            <w:gridSpan w:val="2"/>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spacing w:before="40" w:after="40"/>
              <w:ind w:left="57" w:hanging="57"/>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tabs>
                <w:tab w:val="left" w:pos="454"/>
              </w:tabs>
              <w:overflowPunct w:val="0"/>
              <w:adjustRightInd w:val="0"/>
              <w:spacing w:before="40" w:after="40"/>
              <w:ind w:left="57" w:hanging="57"/>
              <w:textAlignment w:val="baseline"/>
              <w:rPr>
                <w:rFonts w:cs="Arial"/>
                <w:sz w:val="18"/>
                <w:szCs w:val="20"/>
              </w:rPr>
            </w:pP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40" w:after="4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4253" w:type="dxa"/>
            <w:gridSpan w:val="2"/>
            <w:tcBorders>
              <w:left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120"/>
              <w:ind w:left="114" w:hanging="57"/>
              <w:textAlignment w:val="baseline"/>
              <w:rPr>
                <w:rFonts w:cs="Arial"/>
                <w:sz w:val="18"/>
                <w:szCs w:val="20"/>
              </w:rPr>
            </w:pPr>
          </w:p>
        </w:tc>
        <w:tc>
          <w:tcPr>
            <w:tcW w:w="1418" w:type="dxa"/>
            <w:tcBorders>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tab/>
            </w:r>
            <w:r>
              <w:tab/>
            </w:r>
          </w:p>
        </w:tc>
        <w:tc>
          <w:tcPr>
            <w:tcW w:w="1418" w:type="dxa"/>
            <w:gridSpan w:val="2"/>
            <w:tcBorders>
              <w:left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tab/>
            </w:r>
            <w:r>
              <w:tab/>
            </w:r>
          </w:p>
        </w:tc>
        <w:tc>
          <w:tcPr>
            <w:tcW w:w="1418" w:type="dxa"/>
            <w:tcBorders>
              <w:left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tab/>
            </w: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1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p>
        </w:tc>
        <w:tc>
          <w:tcPr>
            <w:tcW w:w="4253"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leader="dot" w:pos="3969"/>
                <w:tab w:val="left" w:leader="dot" w:pos="8505"/>
              </w:tabs>
              <w:overflowPunct w:val="0"/>
              <w:adjustRightInd w:val="0"/>
              <w:spacing w:before="120"/>
              <w:ind w:left="114" w:hanging="57"/>
              <w:textAlignment w:val="baseline"/>
              <w:rPr>
                <w:rFonts w:cs="Arial"/>
                <w:sz w:val="18"/>
                <w:szCs w:val="20"/>
              </w:rPr>
            </w:pPr>
          </w:p>
        </w:tc>
        <w:tc>
          <w:tcPr>
            <w:tcW w:w="1418" w:type="dxa"/>
            <w:tcBorders>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tab/>
            </w:r>
            <w:r>
              <w:tab/>
            </w:r>
          </w:p>
        </w:tc>
        <w:tc>
          <w:tcPr>
            <w:tcW w:w="1418" w:type="dxa"/>
            <w:gridSpan w:val="2"/>
            <w:tcBorders>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tab/>
            </w:r>
            <w:r>
              <w:tab/>
            </w:r>
          </w:p>
        </w:tc>
        <w:tc>
          <w:tcPr>
            <w:tcW w:w="1418" w:type="dxa"/>
            <w:tcBorders>
              <w:left w:val="single" w:sz="6" w:space="0" w:color="auto"/>
              <w:bottom w:val="single" w:sz="6" w:space="0" w:color="auto"/>
              <w:right w:val="single" w:sz="6" w:space="0" w:color="auto"/>
            </w:tcBorders>
          </w:tcPr>
          <w:p w:rsidR="005624E3" w:rsidRPr="00C903F8" w:rsidRDefault="005624E3" w:rsidP="00101A80">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tab/>
            </w:r>
            <w:r>
              <w:tab/>
            </w:r>
          </w:p>
        </w:tc>
        <w:tc>
          <w:tcPr>
            <w:tcW w:w="397" w:type="dxa"/>
            <w:tcBorders>
              <w:right w:val="single" w:sz="6" w:space="0" w:color="auto"/>
            </w:tcBorders>
          </w:tcPr>
          <w:p w:rsidR="005624E3" w:rsidRPr="00C903F8" w:rsidRDefault="005624E3" w:rsidP="00101A80">
            <w:pPr>
              <w:tabs>
                <w:tab w:val="left" w:pos="57"/>
                <w:tab w:val="left" w:pos="5103"/>
              </w:tabs>
              <w:overflowPunct w:val="0"/>
              <w:adjustRightInd w:val="0"/>
              <w:spacing w:before="120"/>
              <w:textAlignment w:val="baseline"/>
              <w:rPr>
                <w:rFonts w:cs="Arial"/>
                <w:sz w:val="18"/>
                <w:szCs w:val="20"/>
              </w:rPr>
            </w:pPr>
            <w:r>
              <w:tab/>
            </w:r>
          </w:p>
        </w:tc>
      </w:tr>
      <w:tr w:rsidR="005624E3" w:rsidRPr="00C903F8" w:rsidTr="00101A80">
        <w:trPr>
          <w:cantSplit/>
          <w:jc w:val="center"/>
        </w:trPr>
        <w:tc>
          <w:tcPr>
            <w:tcW w:w="284" w:type="dxa"/>
            <w:tcBorders>
              <w:left w:val="single" w:sz="6" w:space="0" w:color="auto"/>
            </w:tcBorders>
          </w:tcPr>
          <w:p w:rsidR="005624E3" w:rsidRPr="00C903F8" w:rsidRDefault="005624E3" w:rsidP="00101A80">
            <w:pPr>
              <w:tabs>
                <w:tab w:val="left" w:pos="57"/>
                <w:tab w:val="left" w:pos="227"/>
              </w:tabs>
              <w:overflowPunct w:val="0"/>
              <w:adjustRightInd w:val="0"/>
              <w:spacing w:before="40"/>
              <w:textAlignment w:val="baseline"/>
              <w:rPr>
                <w:rFonts w:cs="Arial"/>
                <w:sz w:val="18"/>
                <w:szCs w:val="20"/>
              </w:rPr>
            </w:pPr>
          </w:p>
        </w:tc>
        <w:tc>
          <w:tcPr>
            <w:tcW w:w="8904" w:type="dxa"/>
            <w:gridSpan w:val="7"/>
            <w:tcBorders>
              <w:right w:val="single" w:sz="6" w:space="0" w:color="auto"/>
            </w:tcBorders>
          </w:tcPr>
          <w:p w:rsidR="005624E3" w:rsidRPr="00C903F8" w:rsidRDefault="005624E3" w:rsidP="00101A80">
            <w:pPr>
              <w:tabs>
                <w:tab w:val="left" w:leader="dot" w:pos="8505"/>
              </w:tabs>
              <w:overflowPunct w:val="0"/>
              <w:adjustRightInd w:val="0"/>
              <w:spacing w:before="80"/>
              <w:ind w:left="57"/>
              <w:textAlignment w:val="baseline"/>
              <w:rPr>
                <w:rFonts w:cs="Arial"/>
                <w:sz w:val="18"/>
                <w:szCs w:val="20"/>
              </w:rPr>
            </w:pPr>
            <w:r>
              <w:rPr>
                <w:noProof/>
                <w:sz w:val="18"/>
              </w:rPr>
              <w:t>Megjegyzések és különleges feltételek:</w:t>
            </w:r>
            <w:r>
              <w:rPr>
                <w:noProof/>
                <w:sz w:val="18"/>
                <w:szCs w:val="20"/>
              </w:rPr>
              <w:br/>
            </w:r>
            <w:r>
              <w:tab/>
            </w:r>
            <w:r>
              <w:rPr>
                <w:rFonts w:cs="Arial"/>
                <w:sz w:val="18"/>
                <w:szCs w:val="20"/>
              </w:rPr>
              <w:br/>
            </w:r>
            <w:r>
              <w:tab/>
            </w:r>
          </w:p>
        </w:tc>
      </w:tr>
      <w:tr w:rsidR="005624E3" w:rsidRPr="00A0619C" w:rsidTr="00101A80">
        <w:trPr>
          <w:cantSplit/>
          <w:jc w:val="center"/>
        </w:trPr>
        <w:tc>
          <w:tcPr>
            <w:tcW w:w="284" w:type="dxa"/>
            <w:tcBorders>
              <w:top w:val="single" w:sz="6" w:space="0" w:color="auto"/>
              <w:left w:val="single" w:sz="6" w:space="0" w:color="auto"/>
            </w:tcBorders>
          </w:tcPr>
          <w:p w:rsidR="005624E3" w:rsidRPr="00C903F8" w:rsidRDefault="005624E3" w:rsidP="00101A80">
            <w:pPr>
              <w:tabs>
                <w:tab w:val="left" w:pos="57"/>
                <w:tab w:val="left" w:pos="227"/>
              </w:tabs>
              <w:overflowPunct w:val="0"/>
              <w:adjustRightInd w:val="0"/>
              <w:spacing w:before="120"/>
              <w:textAlignment w:val="baseline"/>
              <w:rPr>
                <w:rFonts w:cs="Arial"/>
                <w:sz w:val="18"/>
                <w:szCs w:val="20"/>
              </w:rPr>
            </w:pPr>
            <w:r>
              <w:rPr>
                <w:sz w:val="18"/>
              </w:rPr>
              <w:t>6.3.</w:t>
            </w:r>
          </w:p>
        </w:tc>
        <w:tc>
          <w:tcPr>
            <w:tcW w:w="8904" w:type="dxa"/>
            <w:gridSpan w:val="7"/>
            <w:tcBorders>
              <w:top w:val="single" w:sz="6" w:space="0" w:color="auto"/>
              <w:right w:val="single" w:sz="6" w:space="0" w:color="auto"/>
            </w:tcBorders>
          </w:tcPr>
          <w:p w:rsidR="005624E3" w:rsidRPr="00C903F8" w:rsidRDefault="005624E3" w:rsidP="00101A80">
            <w:pPr>
              <w:tabs>
                <w:tab w:val="left" w:pos="57"/>
                <w:tab w:val="left" w:leader="dot" w:pos="8505"/>
              </w:tabs>
              <w:overflowPunct w:val="0"/>
              <w:adjustRightInd w:val="0"/>
              <w:spacing w:before="120" w:after="120"/>
              <w:ind w:left="57"/>
              <w:textAlignment w:val="baseline"/>
              <w:rPr>
                <w:rFonts w:cs="Arial"/>
                <w:sz w:val="18"/>
                <w:szCs w:val="20"/>
              </w:rPr>
            </w:pPr>
            <w:r>
              <w:rPr>
                <w:sz w:val="18"/>
              </w:rPr>
              <w:t xml:space="preserve">Minimális létszámú legénység [a rajnai hajózó személyzetre vonatkozó szabályzat 3.19. cikkének megfelelően / a nemzeti vagy nemzetközi követelményeknek megfelelően]: </w:t>
            </w:r>
            <w:r>
              <w:tab/>
            </w:r>
            <w:r>
              <w:rPr>
                <w:rFonts w:cs="Arial"/>
                <w:sz w:val="18"/>
                <w:szCs w:val="20"/>
              </w:rPr>
              <w:br/>
            </w:r>
            <w:r>
              <w:tab/>
            </w: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r>
              <w:rPr>
                <w:sz w:val="18"/>
              </w:rPr>
              <w:t xml:space="preserve"> 7.</w:t>
            </w:r>
          </w:p>
        </w:tc>
        <w:tc>
          <w:tcPr>
            <w:tcW w:w="8904" w:type="dxa"/>
            <w:gridSpan w:val="7"/>
            <w:tcBorders>
              <w:top w:val="single" w:sz="6" w:space="0" w:color="auto"/>
              <w:bottom w:val="single" w:sz="6" w:space="0" w:color="auto"/>
              <w:right w:val="single" w:sz="6" w:space="0" w:color="auto"/>
            </w:tcBorders>
          </w:tcPr>
          <w:p w:rsidR="005624E3" w:rsidRPr="00C903F8" w:rsidRDefault="005624E3" w:rsidP="00101A80">
            <w:pPr>
              <w:tabs>
                <w:tab w:val="left" w:pos="57"/>
                <w:tab w:val="left" w:leader="dot" w:pos="4536"/>
                <w:tab w:val="left" w:pos="5103"/>
              </w:tabs>
              <w:overflowPunct w:val="0"/>
              <w:adjustRightInd w:val="0"/>
              <w:spacing w:before="80" w:after="120"/>
              <w:ind w:left="57"/>
              <w:textAlignment w:val="baseline"/>
              <w:rPr>
                <w:rFonts w:cs="Arial"/>
                <w:sz w:val="18"/>
                <w:szCs w:val="20"/>
              </w:rPr>
            </w:pPr>
            <w:r>
              <w:rPr>
                <w:noProof/>
                <w:sz w:val="18"/>
              </w:rPr>
              <w:t>Cseppfolyósított gázzal üzemelő berendezés(ek)</w:t>
            </w:r>
            <w:r>
              <w:rPr>
                <w:noProof/>
                <w:sz w:val="18"/>
                <w:szCs w:val="20"/>
              </w:rPr>
              <w:br/>
            </w:r>
            <w:r>
              <w:rPr>
                <w:noProof/>
                <w:sz w:val="18"/>
              </w:rPr>
              <w:t>A tanúsítás ............ -ig érvényes.</w:t>
            </w:r>
          </w:p>
        </w:tc>
      </w:tr>
      <w:tr w:rsidR="005624E3" w:rsidRPr="00C903F8"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40"/>
              <w:textAlignment w:val="baseline"/>
              <w:rPr>
                <w:rFonts w:cs="Arial"/>
                <w:sz w:val="18"/>
                <w:szCs w:val="20"/>
              </w:rPr>
            </w:pPr>
            <w:r>
              <w:rPr>
                <w:sz w:val="18"/>
              </w:rPr>
              <w:t xml:space="preserve"> 8.</w:t>
            </w:r>
          </w:p>
        </w:tc>
        <w:tc>
          <w:tcPr>
            <w:tcW w:w="8904" w:type="dxa"/>
            <w:gridSpan w:val="7"/>
            <w:tcBorders>
              <w:top w:val="single" w:sz="6" w:space="0" w:color="auto"/>
              <w:bottom w:val="single" w:sz="6" w:space="0" w:color="auto"/>
              <w:right w:val="single" w:sz="6" w:space="0" w:color="auto"/>
            </w:tcBorders>
          </w:tcPr>
          <w:p w:rsidR="005624E3" w:rsidRPr="00C903F8" w:rsidRDefault="005624E3" w:rsidP="00101A80">
            <w:pPr>
              <w:tabs>
                <w:tab w:val="left" w:pos="57"/>
                <w:tab w:val="left" w:pos="5103"/>
              </w:tabs>
              <w:overflowPunct w:val="0"/>
              <w:adjustRightInd w:val="0"/>
              <w:spacing w:before="40" w:after="120"/>
              <w:ind w:left="57"/>
              <w:textAlignment w:val="baseline"/>
              <w:rPr>
                <w:rFonts w:cs="Arial"/>
                <w:sz w:val="18"/>
                <w:szCs w:val="20"/>
              </w:rPr>
            </w:pPr>
            <w:r>
              <w:rPr>
                <w:sz w:val="18"/>
              </w:rPr>
              <w:t>Különleges feltételek</w:t>
            </w:r>
            <w:r>
              <w:rPr>
                <w:rFonts w:cs="Arial"/>
                <w:sz w:val="18"/>
                <w:szCs w:val="20"/>
              </w:rPr>
              <w:br/>
            </w: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r>
              <w:rPr>
                <w:sz w:val="18"/>
              </w:rPr>
              <w:t xml:space="preserve"> [9.</w:t>
            </w:r>
          </w:p>
        </w:tc>
        <w:tc>
          <w:tcPr>
            <w:tcW w:w="8904" w:type="dxa"/>
            <w:gridSpan w:val="7"/>
            <w:tcBorders>
              <w:top w:val="single" w:sz="6" w:space="0" w:color="auto"/>
              <w:bottom w:val="single" w:sz="6" w:space="0" w:color="auto"/>
              <w:right w:val="single" w:sz="6" w:space="0" w:color="auto"/>
            </w:tcBorders>
          </w:tcPr>
          <w:p w:rsidR="005624E3" w:rsidRPr="00C903F8" w:rsidRDefault="005624E3" w:rsidP="00101A80">
            <w:pPr>
              <w:tabs>
                <w:tab w:val="left" w:pos="57"/>
                <w:tab w:val="left" w:pos="5103"/>
              </w:tabs>
              <w:overflowPunct w:val="0"/>
              <w:adjustRightInd w:val="0"/>
              <w:spacing w:before="80" w:after="120"/>
              <w:ind w:left="57"/>
              <w:textAlignment w:val="baseline"/>
              <w:rPr>
                <w:rFonts w:cs="Arial"/>
                <w:sz w:val="18"/>
                <w:szCs w:val="20"/>
              </w:rPr>
            </w:pPr>
            <w:r>
              <w:rPr>
                <w:sz w:val="18"/>
              </w:rPr>
              <w:t>A veszélyes áruk szállítására vonatkozóan lásd az ideiglenes jóváhagyási igazolást</w:t>
            </w:r>
            <w:r>
              <w:rPr>
                <w:sz w:val="16"/>
                <w:vertAlign w:val="superscript"/>
              </w:rPr>
              <w:t xml:space="preserve"> *)</w:t>
            </w:r>
            <w:r>
              <w:rPr>
                <w:sz w:val="18"/>
              </w:rPr>
              <w:t>].</w:t>
            </w:r>
          </w:p>
        </w:tc>
      </w:tr>
      <w:tr w:rsidR="005624E3" w:rsidRPr="00A0619C" w:rsidTr="00101A80">
        <w:trPr>
          <w:cantSplit/>
          <w:jc w:val="center"/>
        </w:trPr>
        <w:tc>
          <w:tcPr>
            <w:tcW w:w="284" w:type="dxa"/>
            <w:tcBorders>
              <w:top w:val="single" w:sz="6" w:space="0" w:color="auto"/>
              <w:left w:val="single" w:sz="6" w:space="0" w:color="auto"/>
              <w:bottom w:val="single" w:sz="6" w:space="0" w:color="auto"/>
            </w:tcBorders>
          </w:tcPr>
          <w:p w:rsidR="005624E3" w:rsidRPr="00C903F8" w:rsidRDefault="005624E3" w:rsidP="00101A80">
            <w:pPr>
              <w:tabs>
                <w:tab w:val="left" w:pos="57"/>
                <w:tab w:val="left" w:pos="227"/>
              </w:tabs>
              <w:overflowPunct w:val="0"/>
              <w:adjustRightInd w:val="0"/>
              <w:spacing w:before="80"/>
              <w:textAlignment w:val="baseline"/>
              <w:rPr>
                <w:rFonts w:cs="Arial"/>
                <w:sz w:val="18"/>
                <w:szCs w:val="20"/>
              </w:rPr>
            </w:pPr>
            <w:r>
              <w:rPr>
                <w:sz w:val="18"/>
              </w:rPr>
              <w:t>10.</w:t>
            </w:r>
          </w:p>
        </w:tc>
        <w:tc>
          <w:tcPr>
            <w:tcW w:w="8904" w:type="dxa"/>
            <w:gridSpan w:val="7"/>
            <w:tcBorders>
              <w:top w:val="single" w:sz="6" w:space="0" w:color="auto"/>
              <w:bottom w:val="single" w:sz="6" w:space="0" w:color="auto"/>
              <w:right w:val="single" w:sz="6" w:space="0" w:color="auto"/>
            </w:tcBorders>
          </w:tcPr>
          <w:p w:rsidR="005624E3" w:rsidRPr="00C903F8" w:rsidRDefault="005624E3" w:rsidP="00101A80">
            <w:pPr>
              <w:tabs>
                <w:tab w:val="left" w:pos="57"/>
                <w:tab w:val="left" w:leader="dot" w:pos="2835"/>
                <w:tab w:val="left" w:pos="6296"/>
                <w:tab w:val="left" w:leader="dot" w:pos="8564"/>
              </w:tabs>
              <w:overflowPunct w:val="0"/>
              <w:adjustRightInd w:val="0"/>
              <w:spacing w:before="80" w:after="20"/>
              <w:ind w:left="57"/>
              <w:textAlignment w:val="baseline"/>
              <w:rPr>
                <w:rFonts w:cs="Arial"/>
                <w:sz w:val="16"/>
                <w:szCs w:val="20"/>
              </w:rPr>
            </w:pPr>
            <w:r>
              <w:rPr>
                <w:sz w:val="18"/>
              </w:rPr>
              <w:t>Érvényesség</w:t>
            </w:r>
            <w:r>
              <w:rPr>
                <w:rFonts w:cs="Arial"/>
                <w:sz w:val="18"/>
                <w:szCs w:val="20"/>
              </w:rPr>
              <w:br/>
            </w:r>
            <w:r>
              <w:rPr>
                <w:sz w:val="18"/>
              </w:rPr>
              <w:t>Az ideiglenes belvízi hajóbizonyítvány ..............................................................................................-ig érvényes</w:t>
            </w:r>
            <w:r>
              <w:rPr>
                <w:rFonts w:cs="Arial"/>
                <w:sz w:val="18"/>
                <w:szCs w:val="20"/>
              </w:rPr>
              <w:br/>
            </w:r>
            <w:r>
              <w:rPr>
                <w:sz w:val="18"/>
              </w:rPr>
              <w:t>hajózásra</w:t>
            </w:r>
            <w:r>
              <w:rPr>
                <w:sz w:val="16"/>
                <w:vertAlign w:val="superscript"/>
              </w:rPr>
              <w:t>*)</w:t>
            </w:r>
            <w:r>
              <w:rPr>
                <w:sz w:val="18"/>
              </w:rPr>
              <w:t>/egy útra</w:t>
            </w:r>
            <w:r>
              <w:rPr>
                <w:sz w:val="16"/>
                <w:vertAlign w:val="superscript"/>
              </w:rPr>
              <w:t>*)</w:t>
            </w:r>
            <w:r>
              <w:tab/>
            </w:r>
            <w:r>
              <w:rPr>
                <w:sz w:val="18"/>
              </w:rPr>
              <w:t xml:space="preserve"> </w:t>
            </w:r>
            <w:r>
              <w:rPr>
                <w:sz w:val="16"/>
              </w:rPr>
              <w:t>(Dátum)</w:t>
            </w:r>
          </w:p>
          <w:p w:rsidR="005624E3" w:rsidRPr="00C903F8" w:rsidRDefault="005624E3" w:rsidP="00101A80">
            <w:pPr>
              <w:tabs>
                <w:tab w:val="left" w:pos="342"/>
                <w:tab w:val="left" w:leader="dot" w:pos="3969"/>
                <w:tab w:val="left" w:pos="4253"/>
                <w:tab w:val="left" w:leader="dot" w:pos="8505"/>
              </w:tabs>
              <w:overflowPunct w:val="0"/>
              <w:adjustRightInd w:val="0"/>
              <w:textAlignment w:val="baseline"/>
              <w:rPr>
                <w:noProof/>
                <w:position w:val="6"/>
                <w:sz w:val="16"/>
              </w:rPr>
            </w:pPr>
            <w:r>
              <w:rPr>
                <w:noProof/>
                <w:sz w:val="18"/>
              </w:rPr>
              <w:t>-</w:t>
            </w:r>
            <w:r>
              <w:tab/>
            </w:r>
            <w:r>
              <w:rPr>
                <w:noProof/>
                <w:sz w:val="18"/>
              </w:rPr>
              <w:t>a Rajnán </w:t>
            </w:r>
            <w:r>
              <w:rPr>
                <w:noProof/>
                <w:position w:val="6"/>
                <w:sz w:val="16"/>
              </w:rPr>
              <w:t>(*)</w:t>
            </w:r>
          </w:p>
          <w:p w:rsidR="005624E3" w:rsidRPr="00C903F8" w:rsidRDefault="005624E3" w:rsidP="00101A80">
            <w:pPr>
              <w:tabs>
                <w:tab w:val="left" w:pos="57"/>
                <w:tab w:val="left" w:leader="dot" w:pos="3969"/>
                <w:tab w:val="left" w:pos="4253"/>
                <w:tab w:val="left" w:leader="dot" w:pos="8505"/>
              </w:tabs>
              <w:overflowPunct w:val="0"/>
              <w:adjustRightInd w:val="0"/>
              <w:textAlignment w:val="baseline"/>
              <w:rPr>
                <w:rFonts w:cs="Arial"/>
                <w:position w:val="6"/>
                <w:sz w:val="16"/>
                <w:szCs w:val="20"/>
              </w:rPr>
            </w:pPr>
            <w:r>
              <w:tab/>
            </w:r>
            <w:r>
              <w:tab/>
            </w:r>
            <w:r>
              <w:rPr>
                <w:sz w:val="18"/>
              </w:rPr>
              <w:t xml:space="preserve">és .................................. között </w:t>
            </w:r>
            <w:r>
              <w:rPr>
                <w:position w:val="6"/>
                <w:sz w:val="16"/>
              </w:rPr>
              <w:t>*)</w:t>
            </w:r>
          </w:p>
          <w:p w:rsidR="005624E3" w:rsidRPr="007F42A0" w:rsidRDefault="005624E3" w:rsidP="00101A80">
            <w:pPr>
              <w:tabs>
                <w:tab w:val="left" w:pos="57"/>
                <w:tab w:val="left" w:leader="dot" w:pos="3969"/>
                <w:tab w:val="left" w:pos="4253"/>
                <w:tab w:val="left" w:leader="dot" w:pos="8505"/>
              </w:tabs>
              <w:overflowPunct w:val="0"/>
              <w:adjustRightInd w:val="0"/>
              <w:textAlignment w:val="baseline"/>
              <w:rPr>
                <w:rFonts w:cs="Arial"/>
                <w:sz w:val="18"/>
                <w:szCs w:val="18"/>
              </w:rPr>
            </w:pPr>
          </w:p>
          <w:p w:rsidR="005624E3" w:rsidRPr="007F42A0" w:rsidRDefault="005624E3" w:rsidP="00101A80">
            <w:pPr>
              <w:tabs>
                <w:tab w:val="left" w:pos="340"/>
                <w:tab w:val="left" w:leader="dot" w:pos="8564"/>
                <w:tab w:val="left" w:leader="dot" w:pos="8789"/>
              </w:tabs>
              <w:overflowPunct w:val="0"/>
              <w:adjustRightInd w:val="0"/>
              <w:textAlignment w:val="baseline"/>
              <w:rPr>
                <w:noProof/>
                <w:position w:val="6"/>
                <w:sz w:val="18"/>
                <w:szCs w:val="18"/>
              </w:rPr>
            </w:pPr>
            <w:r w:rsidRPr="007F42A0">
              <w:rPr>
                <w:noProof/>
                <w:sz w:val="18"/>
                <w:szCs w:val="18"/>
              </w:rPr>
              <w:t>-</w:t>
            </w:r>
            <w:r w:rsidRPr="007F42A0">
              <w:rPr>
                <w:sz w:val="18"/>
                <w:szCs w:val="18"/>
              </w:rPr>
              <w:tab/>
              <w:t>a(z) ....................... zóná(k)ba*) sorolt uniós vízi utakon</w:t>
            </w:r>
            <w:r w:rsidRPr="007F42A0">
              <w:rPr>
                <w:noProof/>
                <w:position w:val="6"/>
                <w:sz w:val="18"/>
                <w:szCs w:val="18"/>
              </w:rPr>
              <w:t xml:space="preserve"> </w:t>
            </w:r>
            <w:r w:rsidRPr="007F42A0">
              <w:rPr>
                <w:sz w:val="18"/>
                <w:szCs w:val="18"/>
              </w:rPr>
              <w:tab/>
            </w:r>
          </w:p>
          <w:p w:rsidR="005624E3" w:rsidRPr="007F42A0" w:rsidRDefault="005624E3" w:rsidP="00101A80">
            <w:pPr>
              <w:tabs>
                <w:tab w:val="left" w:leader="dot" w:pos="8564"/>
                <w:tab w:val="left" w:leader="dot" w:pos="8789"/>
              </w:tabs>
              <w:overflowPunct w:val="0"/>
              <w:adjustRightInd w:val="0"/>
              <w:ind w:left="342" w:hanging="342"/>
              <w:textAlignment w:val="baseline"/>
              <w:rPr>
                <w:noProof/>
                <w:sz w:val="18"/>
                <w:szCs w:val="18"/>
              </w:rPr>
            </w:pPr>
            <w:r w:rsidRPr="007F42A0">
              <w:rPr>
                <w:sz w:val="18"/>
                <w:szCs w:val="18"/>
              </w:rPr>
              <w:tab/>
            </w:r>
            <w:r w:rsidRPr="007F42A0">
              <w:rPr>
                <w:sz w:val="18"/>
                <w:szCs w:val="18"/>
              </w:rPr>
              <w:tab/>
            </w:r>
          </w:p>
          <w:p w:rsidR="005624E3" w:rsidRPr="007F42A0" w:rsidRDefault="005624E3" w:rsidP="00101A80">
            <w:pPr>
              <w:tabs>
                <w:tab w:val="left" w:leader="dot" w:pos="8564"/>
                <w:tab w:val="left" w:leader="dot" w:pos="8789"/>
              </w:tabs>
              <w:overflowPunct w:val="0"/>
              <w:adjustRightInd w:val="0"/>
              <w:ind w:left="342" w:hanging="342"/>
              <w:textAlignment w:val="baseline"/>
              <w:rPr>
                <w:noProof/>
                <w:sz w:val="18"/>
                <w:szCs w:val="18"/>
              </w:rPr>
            </w:pPr>
          </w:p>
          <w:p w:rsidR="005624E3" w:rsidRPr="00C903F8" w:rsidRDefault="005624E3" w:rsidP="00101A80">
            <w:pPr>
              <w:tabs>
                <w:tab w:val="left" w:leader="dot" w:pos="8564"/>
                <w:tab w:val="left" w:leader="dot" w:pos="8789"/>
              </w:tabs>
              <w:overflowPunct w:val="0"/>
              <w:adjustRightInd w:val="0"/>
              <w:ind w:left="342" w:hanging="342"/>
              <w:textAlignment w:val="baseline"/>
              <w:rPr>
                <w:noProof/>
                <w:sz w:val="18"/>
              </w:rPr>
            </w:pPr>
            <w:r w:rsidRPr="007F42A0">
              <w:rPr>
                <w:noProof/>
                <w:sz w:val="18"/>
                <w:szCs w:val="18"/>
              </w:rPr>
              <w:t>-</w:t>
            </w:r>
            <w:r w:rsidRPr="007F42A0">
              <w:rPr>
                <w:sz w:val="18"/>
                <w:szCs w:val="18"/>
              </w:rPr>
              <w:tab/>
              <w:t>a(z) ....................... zóná(k)ba*) sorolt vízi utakon</w:t>
            </w:r>
            <w:r>
              <w:rPr>
                <w:noProof/>
                <w:position w:val="6"/>
                <w:sz w:val="16"/>
              </w:rPr>
              <w:t xml:space="preserve"> </w:t>
            </w:r>
            <w:r>
              <w:tab/>
            </w:r>
          </w:p>
          <w:p w:rsidR="005624E3" w:rsidRPr="00C903F8" w:rsidRDefault="005624E3" w:rsidP="00101A80">
            <w:pPr>
              <w:tabs>
                <w:tab w:val="right" w:pos="342"/>
                <w:tab w:val="left" w:leader="dot" w:pos="8564"/>
              </w:tabs>
              <w:overflowPunct w:val="0"/>
              <w:adjustRightInd w:val="0"/>
              <w:textAlignment w:val="baseline"/>
              <w:rPr>
                <w:noProof/>
                <w:sz w:val="18"/>
              </w:rPr>
            </w:pPr>
            <w:r>
              <w:tab/>
            </w:r>
            <w:r>
              <w:rPr>
                <w:noProof/>
                <w:sz w:val="18"/>
              </w:rPr>
              <w:t>.</w:t>
            </w:r>
            <w:r>
              <w:tab/>
            </w:r>
          </w:p>
          <w:p w:rsidR="005624E3" w:rsidRPr="00C903F8" w:rsidRDefault="005624E3" w:rsidP="00101A80">
            <w:pPr>
              <w:tabs>
                <w:tab w:val="left" w:leader="dot" w:pos="8564"/>
                <w:tab w:val="left" w:leader="dot" w:pos="8789"/>
              </w:tabs>
              <w:overflowPunct w:val="0"/>
              <w:adjustRightInd w:val="0"/>
              <w:spacing w:before="120"/>
              <w:textAlignment w:val="baseline"/>
              <w:rPr>
                <w:noProof/>
                <w:sz w:val="18"/>
              </w:rPr>
            </w:pPr>
            <w:r>
              <w:rPr>
                <w:noProof/>
                <w:sz w:val="18"/>
              </w:rPr>
              <w:t>[államok nevei</w:t>
            </w:r>
            <w:r>
              <w:rPr>
                <w:noProof/>
                <w:position w:val="6"/>
                <w:sz w:val="16"/>
              </w:rPr>
              <w:t>(*)</w:t>
            </w:r>
            <w:r>
              <w:rPr>
                <w:noProof/>
                <w:sz w:val="18"/>
              </w:rPr>
              <w:t xml:space="preserve">]-ban/-ben, a következők kivételével: </w:t>
            </w:r>
            <w:r>
              <w:tab/>
            </w:r>
            <w:r>
              <w:rPr>
                <w:noProof/>
                <w:sz w:val="18"/>
                <w:szCs w:val="20"/>
              </w:rPr>
              <w:br/>
            </w:r>
            <w:r>
              <w:tab/>
            </w:r>
          </w:p>
          <w:p w:rsidR="005624E3" w:rsidRPr="00C903F8" w:rsidRDefault="005624E3" w:rsidP="00101A80">
            <w:pPr>
              <w:tabs>
                <w:tab w:val="left" w:leader="dot" w:pos="8564"/>
                <w:tab w:val="left" w:leader="dot" w:pos="8789"/>
              </w:tabs>
              <w:overflowPunct w:val="0"/>
              <w:adjustRightInd w:val="0"/>
              <w:textAlignment w:val="baseline"/>
              <w:rPr>
                <w:noProof/>
                <w:sz w:val="18"/>
              </w:rPr>
            </w:pPr>
            <w:r>
              <w:tab/>
            </w:r>
          </w:p>
          <w:p w:rsidR="005624E3" w:rsidRPr="00C903F8" w:rsidRDefault="005624E3" w:rsidP="00101A80">
            <w:pPr>
              <w:tabs>
                <w:tab w:val="left" w:pos="57"/>
                <w:tab w:val="left" w:pos="345"/>
                <w:tab w:val="left" w:leader="dot" w:pos="8505"/>
              </w:tabs>
              <w:overflowPunct w:val="0"/>
              <w:adjustRightInd w:val="0"/>
              <w:spacing w:before="120" w:after="120"/>
              <w:textAlignment w:val="baseline"/>
              <w:rPr>
                <w:noProof/>
                <w:sz w:val="18"/>
              </w:rPr>
            </w:pPr>
            <w:r>
              <w:rPr>
                <w:noProof/>
                <w:sz w:val="18"/>
              </w:rPr>
              <w:t>-</w:t>
            </w:r>
            <w:r>
              <w:tab/>
            </w:r>
            <w:r>
              <w:rPr>
                <w:noProof/>
                <w:sz w:val="18"/>
              </w:rPr>
              <w:t xml:space="preserve"> a következő államok vízi útjain [államok nevei </w:t>
            </w:r>
            <w:r>
              <w:rPr>
                <w:noProof/>
                <w:position w:val="6"/>
                <w:sz w:val="16"/>
              </w:rPr>
              <w:t>(*)</w:t>
            </w:r>
            <w:r>
              <w:rPr>
                <w:noProof/>
                <w:sz w:val="18"/>
              </w:rPr>
              <w:t>]:</w:t>
            </w:r>
            <w:r>
              <w:tab/>
            </w:r>
          </w:p>
          <w:p w:rsidR="005624E3" w:rsidRPr="00C903F8" w:rsidRDefault="005624E3" w:rsidP="00101A80">
            <w:pPr>
              <w:tabs>
                <w:tab w:val="left" w:leader="dot" w:pos="8505"/>
              </w:tabs>
              <w:overflowPunct w:val="0"/>
              <w:adjustRightInd w:val="0"/>
              <w:spacing w:after="120"/>
              <w:ind w:left="342"/>
              <w:textAlignment w:val="baseline"/>
              <w:rPr>
                <w:rFonts w:cs="Arial"/>
                <w:sz w:val="18"/>
                <w:szCs w:val="20"/>
              </w:rPr>
            </w:pPr>
            <w:r>
              <w:tab/>
            </w:r>
            <w:r>
              <w:rPr>
                <w:noProof/>
                <w:sz w:val="18"/>
                <w:szCs w:val="20"/>
              </w:rPr>
              <w:br/>
            </w:r>
            <w:r>
              <w:tab/>
            </w:r>
            <w:r>
              <w:rPr>
                <w:noProof/>
                <w:sz w:val="18"/>
                <w:szCs w:val="20"/>
              </w:rPr>
              <w:br/>
            </w:r>
            <w:r>
              <w:tab/>
            </w:r>
          </w:p>
        </w:tc>
      </w:tr>
      <w:tr w:rsidR="005624E3" w:rsidRPr="00842442" w:rsidTr="00101A80">
        <w:trPr>
          <w:cantSplit/>
          <w:jc w:val="center"/>
        </w:trPr>
        <w:tc>
          <w:tcPr>
            <w:tcW w:w="284" w:type="dxa"/>
            <w:tcBorders>
              <w:top w:val="single" w:sz="6" w:space="0" w:color="auto"/>
              <w:left w:val="single" w:sz="6" w:space="0" w:color="auto"/>
              <w:bottom w:val="single" w:sz="6" w:space="0" w:color="auto"/>
            </w:tcBorders>
          </w:tcPr>
          <w:p w:rsidR="005624E3" w:rsidRPr="00E3172D" w:rsidRDefault="005624E3" w:rsidP="00101A80">
            <w:pPr>
              <w:tabs>
                <w:tab w:val="left" w:pos="57"/>
                <w:tab w:val="left" w:pos="227"/>
              </w:tabs>
              <w:overflowPunct w:val="0"/>
              <w:adjustRightInd w:val="0"/>
              <w:spacing w:before="100"/>
              <w:textAlignment w:val="baseline"/>
              <w:rPr>
                <w:rFonts w:cs="Arial"/>
                <w:sz w:val="18"/>
                <w:szCs w:val="20"/>
              </w:rPr>
            </w:pPr>
            <w:r>
              <w:rPr>
                <w:sz w:val="18"/>
              </w:rPr>
              <w:t>11.</w:t>
            </w:r>
          </w:p>
        </w:tc>
        <w:tc>
          <w:tcPr>
            <w:tcW w:w="8904" w:type="dxa"/>
            <w:gridSpan w:val="7"/>
            <w:tcBorders>
              <w:top w:val="single" w:sz="6" w:space="0" w:color="auto"/>
              <w:bottom w:val="single" w:sz="6" w:space="0" w:color="auto"/>
              <w:right w:val="single" w:sz="6" w:space="0" w:color="auto"/>
            </w:tcBorders>
          </w:tcPr>
          <w:p w:rsidR="005624E3" w:rsidRPr="00C903F8" w:rsidRDefault="005624E3" w:rsidP="00101A80">
            <w:pPr>
              <w:tabs>
                <w:tab w:val="left" w:leader="dot" w:pos="4536"/>
                <w:tab w:val="center" w:pos="6862"/>
              </w:tabs>
              <w:overflowPunct w:val="0"/>
              <w:adjustRightInd w:val="0"/>
              <w:spacing w:before="100" w:after="80"/>
              <w:ind w:left="57" w:right="57"/>
              <w:textAlignment w:val="baseline"/>
              <w:rPr>
                <w:rFonts w:cs="Arial"/>
                <w:sz w:val="18"/>
                <w:szCs w:val="20"/>
              </w:rPr>
            </w:pPr>
            <w:r>
              <w:rPr>
                <w:sz w:val="18"/>
              </w:rPr>
              <w:t xml:space="preserve">Hely, dátum </w:t>
            </w:r>
            <w:r>
              <w:tab/>
            </w:r>
            <w:r>
              <w:tab/>
            </w:r>
            <w:r>
              <w:rPr>
                <w:sz w:val="18"/>
              </w:rPr>
              <w:t>Ellenőrző szerv</w:t>
            </w:r>
          </w:p>
          <w:p w:rsidR="005624E3" w:rsidRPr="00C903F8" w:rsidRDefault="005624E3" w:rsidP="00101A80">
            <w:pPr>
              <w:tabs>
                <w:tab w:val="left" w:pos="5103"/>
                <w:tab w:val="left" w:leader="dot" w:pos="8505"/>
              </w:tabs>
              <w:overflowPunct w:val="0"/>
              <w:adjustRightInd w:val="0"/>
              <w:textAlignment w:val="baseline"/>
              <w:rPr>
                <w:rFonts w:cs="Arial"/>
                <w:sz w:val="18"/>
                <w:szCs w:val="20"/>
              </w:rPr>
            </w:pPr>
            <w:r>
              <w:tab/>
            </w:r>
            <w:r>
              <w:tab/>
            </w:r>
          </w:p>
          <w:p w:rsidR="005624E3" w:rsidRPr="00C903F8" w:rsidRDefault="005624E3" w:rsidP="00101A80">
            <w:pPr>
              <w:tabs>
                <w:tab w:val="center" w:pos="1701"/>
              </w:tabs>
              <w:overflowPunct w:val="0"/>
              <w:adjustRightInd w:val="0"/>
              <w:spacing w:after="80"/>
              <w:textAlignment w:val="baseline"/>
              <w:rPr>
                <w:rFonts w:cs="Arial"/>
                <w:sz w:val="18"/>
                <w:szCs w:val="20"/>
              </w:rPr>
            </w:pPr>
            <w:r>
              <w:tab/>
            </w:r>
            <w:r>
              <w:rPr>
                <w:sz w:val="18"/>
              </w:rPr>
              <w:t>Bélyegző</w:t>
            </w:r>
          </w:p>
          <w:p w:rsidR="005624E3" w:rsidRPr="00C903F8" w:rsidRDefault="005624E3" w:rsidP="00101A80">
            <w:pPr>
              <w:tabs>
                <w:tab w:val="left" w:pos="5103"/>
                <w:tab w:val="left" w:leader="dot" w:pos="8505"/>
              </w:tabs>
              <w:overflowPunct w:val="0"/>
              <w:adjustRightInd w:val="0"/>
              <w:textAlignment w:val="baseline"/>
              <w:rPr>
                <w:rFonts w:cs="Arial"/>
                <w:szCs w:val="20"/>
              </w:rPr>
            </w:pPr>
            <w:r>
              <w:tab/>
            </w:r>
            <w:r>
              <w:tab/>
            </w:r>
          </w:p>
          <w:p w:rsidR="005624E3" w:rsidRPr="00C903F8" w:rsidRDefault="005624E3" w:rsidP="00101A80">
            <w:pPr>
              <w:tabs>
                <w:tab w:val="center" w:pos="6862"/>
              </w:tabs>
              <w:overflowPunct w:val="0"/>
              <w:adjustRightInd w:val="0"/>
              <w:textAlignment w:val="baseline"/>
              <w:rPr>
                <w:rFonts w:cs="Arial"/>
                <w:sz w:val="16"/>
                <w:szCs w:val="20"/>
              </w:rPr>
            </w:pPr>
            <w:r>
              <w:tab/>
            </w:r>
            <w:r>
              <w:rPr>
                <w:sz w:val="16"/>
              </w:rPr>
              <w:t>(Aláírás)</w:t>
            </w:r>
          </w:p>
          <w:p w:rsidR="005624E3" w:rsidRPr="00D50F76" w:rsidRDefault="005624E3" w:rsidP="00101A80">
            <w:pPr>
              <w:tabs>
                <w:tab w:val="left" w:pos="113"/>
                <w:tab w:val="left" w:pos="397"/>
                <w:tab w:val="left" w:pos="6237"/>
                <w:tab w:val="left" w:leader="dot" w:pos="9356"/>
              </w:tabs>
              <w:overflowPunct w:val="0"/>
              <w:adjustRightInd w:val="0"/>
              <w:textAlignment w:val="baseline"/>
              <w:rPr>
                <w:rFonts w:cs="Arial"/>
                <w:sz w:val="16"/>
                <w:szCs w:val="20"/>
                <w:lang w:val="pt-PT"/>
              </w:rPr>
            </w:pPr>
            <w:r w:rsidRPr="00D50F76">
              <w:rPr>
                <w:sz w:val="18"/>
                <w:lang w:val="pt-PT"/>
              </w:rPr>
              <w:t>_______________________</w:t>
            </w:r>
          </w:p>
          <w:p w:rsidR="005624E3" w:rsidRPr="00D50F76" w:rsidRDefault="005624E3" w:rsidP="00101A80">
            <w:pPr>
              <w:tabs>
                <w:tab w:val="left" w:pos="284"/>
              </w:tabs>
              <w:overflowPunct w:val="0"/>
              <w:adjustRightInd w:val="0"/>
              <w:spacing w:before="80"/>
              <w:textAlignment w:val="baseline"/>
              <w:rPr>
                <w:rFonts w:cs="Arial"/>
                <w:sz w:val="18"/>
                <w:szCs w:val="20"/>
                <w:lang w:val="pt-PT"/>
              </w:rPr>
            </w:pPr>
            <w:r w:rsidRPr="00D50F76">
              <w:rPr>
                <w:position w:val="4"/>
                <w:sz w:val="16"/>
                <w:lang w:val="pt-PT"/>
              </w:rPr>
              <w:t>*)</w:t>
            </w:r>
            <w:r w:rsidRPr="00D50F76">
              <w:rPr>
                <w:lang w:val="pt-PT"/>
              </w:rPr>
              <w:tab/>
            </w:r>
            <w:r w:rsidRPr="00D50F76">
              <w:rPr>
                <w:sz w:val="16"/>
                <w:lang w:val="pt-PT"/>
              </w:rPr>
              <w:t>A nem kívánt rész törlendő.</w:t>
            </w:r>
          </w:p>
        </w:tc>
      </w:tr>
    </w:tbl>
    <w:p w:rsidR="005624E3" w:rsidRPr="00D50F76" w:rsidRDefault="005624E3" w:rsidP="005624E3">
      <w:pPr>
        <w:overflowPunct w:val="0"/>
        <w:adjustRightInd w:val="0"/>
        <w:textAlignment w:val="baseline"/>
        <w:rPr>
          <w:rFonts w:cs="Arial"/>
          <w:szCs w:val="20"/>
          <w:lang w:val="pt-PT"/>
        </w:rPr>
      </w:pPr>
    </w:p>
    <w:p w:rsidR="005624E3" w:rsidRPr="00D50F76" w:rsidRDefault="005624E3" w:rsidP="005624E3">
      <w:pPr>
        <w:overflowPunct w:val="0"/>
        <w:adjustRightInd w:val="0"/>
        <w:textAlignment w:val="baseline"/>
        <w:rPr>
          <w:rFonts w:cs="Arial"/>
          <w:szCs w:val="20"/>
          <w:lang w:val="pt-PT"/>
        </w:rPr>
      </w:pPr>
    </w:p>
    <w:p w:rsidR="005624E3" w:rsidRPr="00D50F76" w:rsidRDefault="005624E3" w:rsidP="005624E3">
      <w:pPr>
        <w:spacing w:line="240" w:lineRule="atLeast"/>
        <w:ind w:left="567" w:hanging="567"/>
        <w:rPr>
          <w:noProof/>
          <w:lang w:val="pt-PT"/>
        </w:rPr>
      </w:pPr>
      <w:r w:rsidRPr="00D50F76">
        <w:rPr>
          <w:lang w:val="pt-PT"/>
        </w:rPr>
        <w:br w:type="page"/>
      </w:r>
    </w:p>
    <w:p w:rsidR="005624E3" w:rsidRPr="00D50F76" w:rsidRDefault="005624E3" w:rsidP="005624E3">
      <w:pPr>
        <w:pStyle w:val="ES-Titre3"/>
        <w:rPr>
          <w:noProof/>
          <w:lang w:val="pt-PT"/>
        </w:rPr>
      </w:pPr>
      <w:bookmarkStart w:id="616" w:name="_Toc491854299"/>
      <w:bookmarkStart w:id="617" w:name="_Toc535854080"/>
      <w:r w:rsidRPr="00D50F76">
        <w:rPr>
          <w:lang w:val="pt-PT"/>
        </w:rPr>
        <w:t>III. szakasz</w:t>
      </w:r>
      <w:bookmarkEnd w:id="616"/>
      <w:bookmarkEnd w:id="617"/>
    </w:p>
    <w:p w:rsidR="005624E3" w:rsidRPr="00D50F76" w:rsidRDefault="005624E3" w:rsidP="005624E3">
      <w:pPr>
        <w:pStyle w:val="ES-Titre3a"/>
        <w:rPr>
          <w:noProof/>
          <w:lang w:val="pt-PT"/>
        </w:rPr>
      </w:pPr>
      <w:bookmarkStart w:id="618" w:name="_Toc491854300"/>
      <w:bookmarkStart w:id="619" w:name="_Toc535854081"/>
      <w:r w:rsidRPr="00D50F76">
        <w:rPr>
          <w:lang w:val="pt-PT"/>
        </w:rPr>
        <w:t>Kiegészítő uniós belvízi hajóbizonyítvány mintája</w:t>
      </w:r>
      <w:bookmarkEnd w:id="618"/>
      <w:bookmarkEnd w:id="619"/>
    </w:p>
    <w:p w:rsidR="005624E3" w:rsidRPr="00D50F76" w:rsidRDefault="005624E3" w:rsidP="005624E3">
      <w:pPr>
        <w:widowControl w:val="0"/>
        <w:spacing w:line="240" w:lineRule="atLeast"/>
        <w:jc w:val="center"/>
        <w:rPr>
          <w:noProof/>
          <w:szCs w:val="20"/>
          <w:lang w:val="pt-P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5624E3" w:rsidRPr="00842442" w:rsidTr="00101A80">
        <w:tc>
          <w:tcPr>
            <w:tcW w:w="9286" w:type="dxa"/>
            <w:vAlign w:val="center"/>
          </w:tcPr>
          <w:p w:rsidR="005624E3" w:rsidRPr="00D50F76" w:rsidRDefault="005624E3" w:rsidP="00101A80">
            <w:pPr>
              <w:widowControl w:val="0"/>
              <w:tabs>
                <w:tab w:val="left" w:leader="dot" w:pos="7655"/>
              </w:tabs>
              <w:spacing w:before="80" w:after="80" w:line="240" w:lineRule="atLeast"/>
              <w:rPr>
                <w:noProof/>
                <w:szCs w:val="20"/>
                <w:lang w:val="pt-PT"/>
              </w:rPr>
            </w:pPr>
            <w:r w:rsidRPr="00D50F76">
              <w:rPr>
                <w:lang w:val="pt-PT"/>
              </w:rPr>
              <w:t xml:space="preserve">Melléklet a(z) ..... számú belvízi hajóbizonyítványhoz </w:t>
            </w:r>
            <w:r w:rsidRPr="00D50F76">
              <w:rPr>
                <w:lang w:val="pt-PT"/>
              </w:rPr>
              <w:tab/>
            </w:r>
          </w:p>
        </w:tc>
      </w:tr>
      <w:tr w:rsidR="005624E3" w:rsidRPr="00842442" w:rsidTr="00101A80">
        <w:tc>
          <w:tcPr>
            <w:tcW w:w="9286" w:type="dxa"/>
          </w:tcPr>
          <w:p w:rsidR="005624E3" w:rsidRPr="00842442" w:rsidRDefault="005624E3" w:rsidP="00101A80">
            <w:pPr>
              <w:widowControl w:val="0"/>
              <w:spacing w:before="120" w:line="240" w:lineRule="atLeast"/>
              <w:jc w:val="center"/>
              <w:rPr>
                <w:b/>
                <w:noProof/>
                <w:szCs w:val="20"/>
                <w:lang w:val="pt-PT"/>
              </w:rPr>
            </w:pPr>
            <w:r w:rsidRPr="00842442">
              <w:rPr>
                <w:b/>
                <w:noProof/>
                <w:lang w:val="pt-PT"/>
              </w:rPr>
              <w:t>Kiegészítő uniós belvízi hajóbizonyítvány</w:t>
            </w:r>
          </w:p>
          <w:p w:rsidR="005624E3" w:rsidRPr="00842442" w:rsidRDefault="005624E3" w:rsidP="00101A80">
            <w:pPr>
              <w:widowControl w:val="0"/>
              <w:spacing w:line="240" w:lineRule="atLeast"/>
              <w:jc w:val="center"/>
              <w:rPr>
                <w:noProof/>
                <w:szCs w:val="20"/>
                <w:lang w:val="pt-PT"/>
              </w:rPr>
            </w:pPr>
          </w:p>
          <w:p w:rsidR="005624E3" w:rsidRPr="00842442" w:rsidRDefault="005624E3" w:rsidP="00101A80">
            <w:pPr>
              <w:widowControl w:val="0"/>
              <w:spacing w:line="240" w:lineRule="atLeast"/>
              <w:jc w:val="center"/>
              <w:rPr>
                <w:noProof/>
                <w:szCs w:val="20"/>
                <w:lang w:val="pt-PT"/>
              </w:rPr>
            </w:pPr>
          </w:p>
          <w:p w:rsidR="005624E3" w:rsidRPr="00842442" w:rsidRDefault="005624E3" w:rsidP="00101A80">
            <w:pPr>
              <w:widowControl w:val="0"/>
              <w:spacing w:line="240" w:lineRule="atLeast"/>
              <w:jc w:val="center"/>
              <w:rPr>
                <w:b/>
                <w:noProof/>
                <w:szCs w:val="20"/>
                <w:lang w:val="pt-PT"/>
              </w:rPr>
            </w:pPr>
            <w:r w:rsidRPr="00842442">
              <w:rPr>
                <w:b/>
                <w:noProof/>
                <w:lang w:val="pt-PT"/>
              </w:rPr>
              <w:t>Az állam neve / Bélyegző</w:t>
            </w:r>
          </w:p>
          <w:p w:rsidR="005624E3" w:rsidRPr="00842442" w:rsidRDefault="005624E3" w:rsidP="00101A80">
            <w:pPr>
              <w:widowControl w:val="0"/>
              <w:spacing w:line="240" w:lineRule="atLeast"/>
              <w:jc w:val="center"/>
              <w:rPr>
                <w:noProof/>
                <w:szCs w:val="20"/>
                <w:lang w:val="pt-PT"/>
              </w:rPr>
            </w:pPr>
          </w:p>
          <w:p w:rsidR="005624E3" w:rsidRPr="00842442" w:rsidRDefault="005624E3" w:rsidP="00101A80">
            <w:pPr>
              <w:widowControl w:val="0"/>
              <w:spacing w:line="240" w:lineRule="atLeast"/>
              <w:jc w:val="center"/>
              <w:rPr>
                <w:noProof/>
                <w:szCs w:val="20"/>
                <w:lang w:val="pt-PT"/>
              </w:rPr>
            </w:pPr>
          </w:p>
          <w:p w:rsidR="005624E3" w:rsidRPr="00842442" w:rsidRDefault="005624E3" w:rsidP="00101A80">
            <w:pPr>
              <w:widowControl w:val="0"/>
              <w:spacing w:line="240" w:lineRule="atLeast"/>
              <w:jc w:val="center"/>
              <w:rPr>
                <w:noProof/>
                <w:szCs w:val="20"/>
                <w:lang w:val="pt-PT"/>
              </w:rPr>
            </w:pPr>
            <w:r w:rsidRPr="00842442">
              <w:rPr>
                <w:lang w:val="pt-PT"/>
              </w:rPr>
              <w:t>A kiegészítő hajóbizonyítványt kiállító illetékes hatóság neve és címe</w:t>
            </w:r>
          </w:p>
          <w:p w:rsidR="005624E3" w:rsidRPr="00842442" w:rsidRDefault="005624E3" w:rsidP="00101A80">
            <w:pPr>
              <w:widowControl w:val="0"/>
              <w:spacing w:line="240" w:lineRule="atLeast"/>
              <w:jc w:val="center"/>
              <w:rPr>
                <w:noProof/>
                <w:lang w:val="pt-PT"/>
              </w:rPr>
            </w:pPr>
          </w:p>
          <w:p w:rsidR="005624E3" w:rsidRPr="00842442" w:rsidRDefault="005624E3" w:rsidP="00101A80">
            <w:pPr>
              <w:widowControl w:val="0"/>
              <w:tabs>
                <w:tab w:val="left" w:pos="851"/>
                <w:tab w:val="right" w:leader="dot" w:pos="8931"/>
              </w:tabs>
              <w:spacing w:line="360" w:lineRule="auto"/>
              <w:rPr>
                <w:noProof/>
                <w:szCs w:val="20"/>
                <w:lang w:val="pt-PT"/>
              </w:rPr>
            </w:pPr>
            <w:r w:rsidRPr="00842442">
              <w:rPr>
                <w:lang w:val="pt-PT"/>
              </w:rPr>
              <w:t>1.</w:t>
            </w:r>
            <w:r w:rsidRPr="00842442">
              <w:rPr>
                <w:lang w:val="pt-PT"/>
              </w:rPr>
              <w:tab/>
              <w:t xml:space="preserve">Hajó neve: </w:t>
            </w:r>
            <w:r w:rsidRPr="00842442">
              <w:rPr>
                <w:lang w:val="pt-PT"/>
              </w:rPr>
              <w:tab/>
            </w:r>
          </w:p>
          <w:p w:rsidR="005624E3" w:rsidRPr="00842442" w:rsidRDefault="005624E3" w:rsidP="00101A80">
            <w:pPr>
              <w:widowControl w:val="0"/>
              <w:tabs>
                <w:tab w:val="left" w:pos="851"/>
                <w:tab w:val="right" w:leader="dot" w:pos="8931"/>
              </w:tabs>
              <w:spacing w:line="360" w:lineRule="auto"/>
              <w:rPr>
                <w:noProof/>
                <w:lang w:val="pt-PT"/>
              </w:rPr>
            </w:pPr>
            <w:r w:rsidRPr="00842442">
              <w:rPr>
                <w:lang w:val="pt-PT"/>
              </w:rPr>
              <w:t>2.</w:t>
            </w:r>
            <w:r w:rsidRPr="00842442">
              <w:rPr>
                <w:lang w:val="pt-PT"/>
              </w:rPr>
              <w:tab/>
              <w:t xml:space="preserve">Egyedi európai hajóazonosító szám: </w:t>
            </w:r>
            <w:r w:rsidRPr="00842442">
              <w:rPr>
                <w:lang w:val="pt-PT"/>
              </w:rPr>
              <w:tab/>
            </w:r>
          </w:p>
          <w:p w:rsidR="005624E3" w:rsidRPr="00842442" w:rsidRDefault="005624E3" w:rsidP="00101A80">
            <w:pPr>
              <w:widowControl w:val="0"/>
              <w:tabs>
                <w:tab w:val="left" w:pos="851"/>
                <w:tab w:val="right" w:leader="dot" w:pos="8931"/>
              </w:tabs>
              <w:spacing w:line="360" w:lineRule="auto"/>
              <w:rPr>
                <w:noProof/>
                <w:lang w:val="pt-PT"/>
              </w:rPr>
            </w:pPr>
            <w:r w:rsidRPr="00842442">
              <w:rPr>
                <w:lang w:val="pt-PT"/>
              </w:rPr>
              <w:t>3.</w:t>
            </w:r>
            <w:r w:rsidRPr="00842442">
              <w:rPr>
                <w:lang w:val="pt-PT"/>
              </w:rPr>
              <w:tab/>
              <w:t xml:space="preserve">Lajstromozás helye és lajstromszám: </w:t>
            </w:r>
            <w:r w:rsidRPr="00842442">
              <w:rPr>
                <w:lang w:val="pt-PT"/>
              </w:rPr>
              <w:tab/>
            </w:r>
          </w:p>
          <w:p w:rsidR="005624E3" w:rsidRPr="00842442" w:rsidRDefault="005624E3" w:rsidP="00101A80">
            <w:pPr>
              <w:widowControl w:val="0"/>
              <w:tabs>
                <w:tab w:val="left" w:pos="851"/>
                <w:tab w:val="right" w:leader="dot" w:pos="8931"/>
              </w:tabs>
              <w:spacing w:line="360" w:lineRule="auto"/>
              <w:rPr>
                <w:noProof/>
                <w:szCs w:val="20"/>
                <w:lang w:val="pt-PT"/>
              </w:rPr>
            </w:pPr>
            <w:r w:rsidRPr="00842442">
              <w:rPr>
                <w:lang w:val="pt-PT"/>
              </w:rPr>
              <w:t>4.</w:t>
            </w:r>
            <w:r w:rsidRPr="00842442">
              <w:rPr>
                <w:lang w:val="pt-PT"/>
              </w:rPr>
              <w:tab/>
              <w:t xml:space="preserve">Lajstromozás és/vagy anyakikötő szerinti ország: </w:t>
            </w:r>
            <w:r w:rsidRPr="00842442">
              <w:rPr>
                <w:noProof/>
                <w:vertAlign w:val="superscript"/>
                <w:lang w:val="pt-PT"/>
              </w:rPr>
              <w:t xml:space="preserve">(1) </w:t>
            </w:r>
            <w:r w:rsidRPr="00842442">
              <w:rPr>
                <w:lang w:val="pt-PT"/>
              </w:rPr>
              <w:tab/>
            </w:r>
          </w:p>
          <w:p w:rsidR="005624E3" w:rsidRPr="00842442" w:rsidRDefault="005624E3" w:rsidP="00101A80">
            <w:pPr>
              <w:widowControl w:val="0"/>
              <w:tabs>
                <w:tab w:val="left" w:pos="851"/>
                <w:tab w:val="right" w:leader="dot" w:pos="7230"/>
              </w:tabs>
              <w:spacing w:line="360" w:lineRule="auto"/>
              <w:rPr>
                <w:noProof/>
                <w:szCs w:val="20"/>
                <w:lang w:val="pt-PT"/>
              </w:rPr>
            </w:pPr>
            <w:r w:rsidRPr="00842442">
              <w:rPr>
                <w:lang w:val="pt-PT"/>
              </w:rPr>
              <w:t>5.</w:t>
            </w:r>
            <w:r w:rsidRPr="00842442">
              <w:rPr>
                <w:lang w:val="pt-PT"/>
              </w:rPr>
              <w:tab/>
              <w:t xml:space="preserve">Tekintettel a(z) ..... számú belvízi hajóbizonyítványra, mely </w:t>
            </w:r>
            <w:r w:rsidRPr="00842442">
              <w:rPr>
                <w:lang w:val="pt-PT"/>
              </w:rPr>
              <w:tab/>
            </w:r>
          </w:p>
          <w:p w:rsidR="005624E3" w:rsidRPr="00842442" w:rsidRDefault="005624E3" w:rsidP="00101A80">
            <w:pPr>
              <w:widowControl w:val="0"/>
              <w:tabs>
                <w:tab w:val="left" w:pos="851"/>
                <w:tab w:val="right" w:leader="dot" w:pos="8931"/>
              </w:tabs>
              <w:spacing w:line="360" w:lineRule="auto"/>
              <w:ind w:firstLine="1"/>
              <w:rPr>
                <w:noProof/>
                <w:szCs w:val="20"/>
                <w:lang w:val="pt-PT"/>
              </w:rPr>
            </w:pPr>
            <w:r w:rsidRPr="00842442">
              <w:rPr>
                <w:lang w:val="pt-PT"/>
              </w:rPr>
              <w:t>..................... -án/-én kelt és ..................... -ig érvényes</w:t>
            </w:r>
          </w:p>
          <w:p w:rsidR="005624E3" w:rsidRPr="00842442" w:rsidRDefault="005624E3" w:rsidP="00101A80">
            <w:pPr>
              <w:widowControl w:val="0"/>
              <w:tabs>
                <w:tab w:val="left" w:pos="851"/>
                <w:tab w:val="right" w:leader="dot" w:pos="8931"/>
              </w:tabs>
              <w:spacing w:line="360" w:lineRule="auto"/>
              <w:rPr>
                <w:lang w:val="pt-PT"/>
              </w:rPr>
            </w:pPr>
            <w:r w:rsidRPr="00842442">
              <w:rPr>
                <w:lang w:val="pt-PT"/>
              </w:rPr>
              <w:t>6.</w:t>
            </w:r>
            <w:r w:rsidRPr="00842442">
              <w:rPr>
                <w:lang w:val="pt-PT"/>
              </w:rPr>
              <w:tab/>
              <w:t>Tekintettel a(z) ............... -án/-én</w:t>
            </w:r>
          </w:p>
          <w:p w:rsidR="005624E3" w:rsidRPr="00842442" w:rsidRDefault="005624E3" w:rsidP="00101A80">
            <w:pPr>
              <w:widowControl w:val="0"/>
              <w:tabs>
                <w:tab w:val="left" w:leader="dot" w:pos="3686"/>
                <w:tab w:val="left" w:pos="3969"/>
                <w:tab w:val="right" w:leader="dot" w:pos="8931"/>
              </w:tabs>
              <w:spacing w:line="360" w:lineRule="auto"/>
              <w:rPr>
                <w:noProof/>
                <w:szCs w:val="20"/>
                <w:lang w:val="pt-PT"/>
              </w:rPr>
            </w:pPr>
            <w:r w:rsidRPr="00842442">
              <w:rPr>
                <w:lang w:val="pt-PT"/>
              </w:rPr>
              <w:t xml:space="preserve"> végzett ...................... vizsgálat eredményére</w:t>
            </w:r>
          </w:p>
          <w:p w:rsidR="005624E3" w:rsidRPr="00842442" w:rsidRDefault="005624E3" w:rsidP="00101A80">
            <w:pPr>
              <w:widowControl w:val="0"/>
              <w:tabs>
                <w:tab w:val="left" w:pos="851"/>
                <w:tab w:val="right" w:leader="dot" w:pos="8789"/>
              </w:tabs>
              <w:spacing w:line="360" w:lineRule="auto"/>
              <w:rPr>
                <w:noProof/>
                <w:szCs w:val="20"/>
                <w:lang w:val="pt-PT"/>
              </w:rPr>
            </w:pPr>
            <w:r w:rsidRPr="00842442">
              <w:rPr>
                <w:lang w:val="pt-PT"/>
              </w:rPr>
              <w:t>7.</w:t>
            </w:r>
            <w:r w:rsidRPr="00842442">
              <w:rPr>
                <w:lang w:val="pt-PT"/>
              </w:rPr>
              <w:tab/>
              <w:t>A fent említett hajó üzemelésre alkalmasnak minősül az EU vízi útjain az alábbi zóná(k)ban: ...........................</w:t>
            </w:r>
          </w:p>
          <w:p w:rsidR="005624E3" w:rsidRPr="00842442" w:rsidRDefault="005624E3" w:rsidP="00101A80">
            <w:pPr>
              <w:widowControl w:val="0"/>
              <w:tabs>
                <w:tab w:val="left" w:pos="426"/>
                <w:tab w:val="right" w:leader="dot" w:pos="8931"/>
              </w:tabs>
              <w:spacing w:line="360" w:lineRule="auto"/>
              <w:ind w:firstLine="1"/>
              <w:rPr>
                <w:noProof/>
                <w:lang w:val="pt-PT"/>
              </w:rPr>
            </w:pPr>
            <w:r w:rsidRPr="00842442">
              <w:rPr>
                <w:lang w:val="pt-PT"/>
              </w:rPr>
              <w:tab/>
            </w:r>
          </w:p>
          <w:p w:rsidR="005624E3" w:rsidRPr="00842442" w:rsidRDefault="005624E3" w:rsidP="00101A80">
            <w:pPr>
              <w:widowControl w:val="0"/>
              <w:tabs>
                <w:tab w:val="left" w:pos="426"/>
                <w:tab w:val="right" w:leader="dot" w:pos="8931"/>
              </w:tabs>
              <w:spacing w:line="360" w:lineRule="auto"/>
              <w:rPr>
                <w:noProof/>
                <w:szCs w:val="20"/>
                <w:lang w:val="pt-PT"/>
              </w:rPr>
            </w:pPr>
            <w:r w:rsidRPr="00842442">
              <w:rPr>
                <w:lang w:val="pt-PT"/>
              </w:rPr>
              <w:t>8.</w:t>
            </w:r>
            <w:r w:rsidRPr="00842442">
              <w:rPr>
                <w:lang w:val="pt-PT"/>
              </w:rPr>
              <w:tab/>
              <w:t>A kiegészítő hajóbizonyítvány érvényessége lejár .......... -án/-én.</w:t>
            </w:r>
          </w:p>
          <w:p w:rsidR="005624E3" w:rsidRPr="00842442" w:rsidRDefault="005624E3" w:rsidP="00101A80">
            <w:pPr>
              <w:widowControl w:val="0"/>
              <w:tabs>
                <w:tab w:val="left" w:pos="851"/>
                <w:tab w:val="left" w:leader="dot" w:pos="3969"/>
                <w:tab w:val="right" w:leader="dot" w:pos="8931"/>
              </w:tabs>
              <w:spacing w:line="360" w:lineRule="auto"/>
              <w:rPr>
                <w:noProof/>
                <w:szCs w:val="20"/>
                <w:lang w:val="pt-PT"/>
              </w:rPr>
            </w:pPr>
            <w:r w:rsidRPr="00842442">
              <w:rPr>
                <w:lang w:val="pt-PT"/>
              </w:rPr>
              <w:t>9.</w:t>
            </w:r>
            <w:r w:rsidRPr="00842442">
              <w:rPr>
                <w:lang w:val="pt-PT"/>
              </w:rPr>
              <w:tab/>
              <w:t xml:space="preserve">Kibocsátás helye: </w:t>
            </w:r>
            <w:r w:rsidRPr="00842442">
              <w:rPr>
                <w:lang w:val="pt-PT"/>
              </w:rPr>
              <w:tab/>
              <w:t xml:space="preserve">dátuma: </w:t>
            </w:r>
            <w:r w:rsidRPr="00842442">
              <w:rPr>
                <w:lang w:val="pt-PT"/>
              </w:rPr>
              <w:tab/>
            </w:r>
          </w:p>
          <w:p w:rsidR="005624E3" w:rsidRPr="00842442" w:rsidRDefault="005624E3" w:rsidP="00101A80">
            <w:pPr>
              <w:widowControl w:val="0"/>
              <w:tabs>
                <w:tab w:val="left" w:pos="5954"/>
                <w:tab w:val="left" w:leader="dot" w:pos="8789"/>
              </w:tabs>
              <w:spacing w:line="360" w:lineRule="auto"/>
              <w:rPr>
                <w:lang w:val="pt-PT"/>
              </w:rPr>
            </w:pPr>
            <w:r w:rsidRPr="00842442">
              <w:rPr>
                <w:lang w:val="pt-PT"/>
              </w:rPr>
              <w:t>10.</w:t>
            </w:r>
          </w:p>
          <w:p w:rsidR="005624E3" w:rsidRPr="00842442" w:rsidRDefault="005624E3" w:rsidP="00101A80">
            <w:pPr>
              <w:widowControl w:val="0"/>
              <w:tabs>
                <w:tab w:val="center" w:pos="6804"/>
                <w:tab w:val="left" w:leader="dot" w:pos="8789"/>
              </w:tabs>
              <w:spacing w:line="360" w:lineRule="auto"/>
              <w:rPr>
                <w:noProof/>
                <w:szCs w:val="20"/>
                <w:lang w:val="pt-PT"/>
              </w:rPr>
            </w:pPr>
            <w:r w:rsidRPr="00842442">
              <w:rPr>
                <w:lang w:val="pt-PT"/>
              </w:rPr>
              <w:tab/>
              <w:t>…………………………………….</w:t>
            </w:r>
          </w:p>
          <w:p w:rsidR="005624E3" w:rsidRPr="00842442" w:rsidRDefault="005624E3" w:rsidP="00101A80">
            <w:pPr>
              <w:widowControl w:val="0"/>
              <w:tabs>
                <w:tab w:val="center" w:pos="6804"/>
                <w:tab w:val="left" w:leader="dot" w:pos="8789"/>
              </w:tabs>
              <w:spacing w:after="240" w:line="360" w:lineRule="auto"/>
              <w:rPr>
                <w:noProof/>
                <w:lang w:val="pt-PT"/>
              </w:rPr>
            </w:pPr>
            <w:r w:rsidRPr="00842442">
              <w:rPr>
                <w:lang w:val="pt-PT"/>
              </w:rPr>
              <w:tab/>
              <w:t>(ellenőrző szerv)</w:t>
            </w:r>
          </w:p>
          <w:p w:rsidR="005624E3" w:rsidRPr="00842442" w:rsidRDefault="005624E3" w:rsidP="00101A80">
            <w:pPr>
              <w:widowControl w:val="0"/>
              <w:tabs>
                <w:tab w:val="center" w:pos="6804"/>
                <w:tab w:val="left" w:leader="dot" w:pos="8789"/>
              </w:tabs>
              <w:spacing w:line="240" w:lineRule="atLeast"/>
              <w:ind w:left="1134"/>
              <w:rPr>
                <w:noProof/>
                <w:szCs w:val="20"/>
                <w:lang w:val="pt-PT"/>
              </w:rPr>
            </w:pPr>
            <w:r w:rsidRPr="00842442">
              <w:rPr>
                <w:lang w:val="pt-PT"/>
              </w:rPr>
              <w:t>Bélyegző</w:t>
            </w:r>
          </w:p>
          <w:p w:rsidR="005624E3" w:rsidRPr="00842442" w:rsidRDefault="005624E3" w:rsidP="00101A80">
            <w:pPr>
              <w:widowControl w:val="0"/>
              <w:tabs>
                <w:tab w:val="center" w:pos="6804"/>
                <w:tab w:val="left" w:leader="dot" w:pos="8789"/>
              </w:tabs>
              <w:spacing w:line="360" w:lineRule="auto"/>
              <w:rPr>
                <w:noProof/>
                <w:szCs w:val="20"/>
                <w:lang w:val="pt-PT"/>
              </w:rPr>
            </w:pPr>
            <w:r w:rsidRPr="00842442">
              <w:rPr>
                <w:lang w:val="pt-PT"/>
              </w:rPr>
              <w:tab/>
              <w:t>…………………………………….</w:t>
            </w:r>
          </w:p>
          <w:p w:rsidR="005624E3" w:rsidRPr="00842442" w:rsidRDefault="005624E3" w:rsidP="00101A80">
            <w:pPr>
              <w:widowControl w:val="0"/>
              <w:tabs>
                <w:tab w:val="center" w:pos="6804"/>
                <w:tab w:val="left" w:leader="dot" w:pos="8789"/>
              </w:tabs>
              <w:spacing w:after="240" w:line="360" w:lineRule="auto"/>
              <w:rPr>
                <w:noProof/>
                <w:sz w:val="16"/>
                <w:szCs w:val="20"/>
                <w:lang w:val="pt-PT"/>
              </w:rPr>
            </w:pPr>
            <w:r w:rsidRPr="00842442">
              <w:rPr>
                <w:lang w:val="pt-PT"/>
              </w:rPr>
              <w:tab/>
              <w:t>(Aláírás)</w:t>
            </w:r>
          </w:p>
          <w:p w:rsidR="005624E3" w:rsidRPr="00842442" w:rsidRDefault="005624E3" w:rsidP="00101A80">
            <w:pPr>
              <w:widowControl w:val="0"/>
              <w:tabs>
                <w:tab w:val="left" w:pos="6946"/>
                <w:tab w:val="left" w:leader="dot" w:pos="8789"/>
              </w:tabs>
              <w:spacing w:line="360" w:lineRule="auto"/>
              <w:rPr>
                <w:noProof/>
                <w:sz w:val="16"/>
                <w:szCs w:val="20"/>
                <w:vertAlign w:val="superscript"/>
                <w:lang w:val="pt-PT"/>
              </w:rPr>
            </w:pPr>
          </w:p>
          <w:p w:rsidR="005624E3" w:rsidRPr="00842442" w:rsidRDefault="005624E3" w:rsidP="00101A80">
            <w:pPr>
              <w:widowControl w:val="0"/>
              <w:tabs>
                <w:tab w:val="left" w:pos="6946"/>
                <w:tab w:val="left" w:leader="dot" w:pos="8789"/>
              </w:tabs>
              <w:spacing w:line="360" w:lineRule="auto"/>
              <w:rPr>
                <w:noProof/>
                <w:sz w:val="16"/>
                <w:szCs w:val="20"/>
                <w:vertAlign w:val="superscript"/>
                <w:lang w:val="pt-PT"/>
              </w:rPr>
            </w:pPr>
            <w:r w:rsidRPr="00842442">
              <w:rPr>
                <w:noProof/>
                <w:sz w:val="16"/>
                <w:vertAlign w:val="superscript"/>
                <w:lang w:val="pt-PT"/>
              </w:rPr>
              <w:t>_________________</w:t>
            </w:r>
          </w:p>
          <w:p w:rsidR="005624E3" w:rsidRPr="00842442" w:rsidRDefault="005624E3" w:rsidP="00101A80">
            <w:pPr>
              <w:widowControl w:val="0"/>
              <w:tabs>
                <w:tab w:val="left" w:pos="6946"/>
                <w:tab w:val="left" w:leader="dot" w:pos="8789"/>
              </w:tabs>
              <w:spacing w:line="360" w:lineRule="auto"/>
              <w:rPr>
                <w:b/>
                <w:noProof/>
                <w:szCs w:val="20"/>
                <w:lang w:val="pt-PT"/>
              </w:rPr>
            </w:pPr>
            <w:r w:rsidRPr="00842442">
              <w:rPr>
                <w:noProof/>
                <w:sz w:val="16"/>
                <w:vertAlign w:val="superscript"/>
                <w:lang w:val="pt-PT"/>
              </w:rPr>
              <w:t>(1)</w:t>
            </w:r>
            <w:r w:rsidRPr="00842442">
              <w:rPr>
                <w:noProof/>
                <w:sz w:val="16"/>
                <w:lang w:val="pt-PT"/>
              </w:rPr>
              <w:t xml:space="preserve"> A nem kívánt rész törlendő.</w:t>
            </w:r>
          </w:p>
        </w:tc>
      </w:tr>
    </w:tbl>
    <w:p w:rsidR="005624E3" w:rsidRPr="00842442" w:rsidRDefault="005624E3" w:rsidP="005624E3">
      <w:pPr>
        <w:widowControl w:val="0"/>
        <w:spacing w:line="360" w:lineRule="auto"/>
        <w:rPr>
          <w:noProof/>
          <w:szCs w:val="20"/>
          <w:lang w:val="pt-PT"/>
        </w:rPr>
      </w:pPr>
    </w:p>
    <w:p w:rsidR="005624E3" w:rsidRPr="00842442" w:rsidRDefault="005624E3" w:rsidP="005624E3">
      <w:pPr>
        <w:widowControl w:val="0"/>
        <w:rPr>
          <w:noProof/>
          <w:szCs w:val="20"/>
          <w:lang w:val="pt-PT"/>
        </w:rPr>
      </w:pPr>
      <w:r w:rsidRPr="00842442">
        <w:rPr>
          <w:lang w:val="pt-PT"/>
        </w:rPr>
        <w:br w:type="page"/>
      </w:r>
    </w:p>
    <w:tbl>
      <w:tblPr>
        <w:tblW w:w="9322" w:type="dxa"/>
        <w:tblBorders>
          <w:top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22"/>
      </w:tblGrid>
      <w:tr w:rsidR="005624E3" w:rsidRPr="00842442" w:rsidTr="00101A80">
        <w:tc>
          <w:tcPr>
            <w:tcW w:w="9322" w:type="dxa"/>
            <w:tcBorders>
              <w:left w:val="single" w:sz="4" w:space="0" w:color="auto"/>
              <w:bottom w:val="nil"/>
            </w:tcBorders>
          </w:tcPr>
          <w:p w:rsidR="005624E3" w:rsidRPr="00842442" w:rsidRDefault="005624E3" w:rsidP="00101A80">
            <w:pPr>
              <w:widowControl w:val="0"/>
              <w:spacing w:before="60" w:after="60" w:line="240" w:lineRule="atLeast"/>
              <w:rPr>
                <w:noProof/>
                <w:szCs w:val="20"/>
                <w:lang w:val="pt-PT"/>
              </w:rPr>
            </w:pPr>
            <w:r w:rsidRPr="00842442">
              <w:rPr>
                <w:lang w:val="pt-PT"/>
              </w:rPr>
              <w:br w:type="page"/>
              <w:t>Melléklet a(z) ..... számú belvízi hajóbizonyítványhoz</w:t>
            </w:r>
          </w:p>
        </w:tc>
      </w:tr>
      <w:tr w:rsidR="005624E3" w:rsidRPr="00842442" w:rsidTr="00101A80">
        <w:trPr>
          <w:cantSplit/>
        </w:trPr>
        <w:tc>
          <w:tcPr>
            <w:tcW w:w="9322" w:type="dxa"/>
            <w:tcBorders>
              <w:left w:val="single" w:sz="4" w:space="0" w:color="auto"/>
              <w:bottom w:val="nil"/>
            </w:tcBorders>
          </w:tcPr>
          <w:p w:rsidR="005624E3" w:rsidRPr="00842442" w:rsidRDefault="005624E3" w:rsidP="00101A80">
            <w:pPr>
              <w:widowControl w:val="0"/>
              <w:tabs>
                <w:tab w:val="left" w:leader="dot" w:pos="2835"/>
                <w:tab w:val="left" w:leader="dot" w:pos="7371"/>
              </w:tabs>
              <w:spacing w:line="360" w:lineRule="auto"/>
              <w:ind w:left="284"/>
              <w:rPr>
                <w:noProof/>
                <w:sz w:val="18"/>
                <w:szCs w:val="20"/>
                <w:lang w:val="pt-PT"/>
              </w:rPr>
            </w:pPr>
          </w:p>
        </w:tc>
      </w:tr>
      <w:tr w:rsidR="005624E3" w:rsidRPr="00C903F8" w:rsidTr="00101A80">
        <w:tc>
          <w:tcPr>
            <w:tcW w:w="9322" w:type="dxa"/>
            <w:tcBorders>
              <w:top w:val="nil"/>
              <w:left w:val="single" w:sz="4" w:space="0" w:color="auto"/>
              <w:bottom w:val="nil"/>
            </w:tcBorders>
          </w:tcPr>
          <w:p w:rsidR="005624E3" w:rsidRPr="00C903F8" w:rsidRDefault="005624E3" w:rsidP="00101A80">
            <w:pPr>
              <w:tabs>
                <w:tab w:val="left" w:pos="57"/>
                <w:tab w:val="left" w:pos="345"/>
                <w:tab w:val="left" w:leader="dot" w:pos="8505"/>
              </w:tabs>
              <w:overflowPunct w:val="0"/>
              <w:adjustRightInd w:val="0"/>
              <w:spacing w:line="240" w:lineRule="atLeast"/>
              <w:textAlignment w:val="baseline"/>
              <w:rPr>
                <w:rFonts w:eastAsia="Calibri" w:cs="Arial"/>
                <w:sz w:val="18"/>
                <w:szCs w:val="20"/>
              </w:rPr>
            </w:pPr>
            <w:r>
              <w:rPr>
                <w:sz w:val="18"/>
              </w:rPr>
              <w:t>11.</w:t>
            </w:r>
          </w:p>
        </w:tc>
      </w:tr>
      <w:tr w:rsidR="005624E3" w:rsidRPr="00C903F8" w:rsidTr="00101A80">
        <w:tc>
          <w:tcPr>
            <w:tcW w:w="9322" w:type="dxa"/>
            <w:tcBorders>
              <w:top w:val="nil"/>
              <w:left w:val="single" w:sz="4" w:space="0" w:color="auto"/>
              <w:bottom w:val="nil"/>
            </w:tcBorders>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041"/>
              <w:gridCol w:w="1021"/>
              <w:gridCol w:w="1021"/>
              <w:gridCol w:w="1021"/>
              <w:gridCol w:w="1021"/>
              <w:gridCol w:w="1021"/>
              <w:gridCol w:w="236"/>
            </w:tblGrid>
            <w:tr w:rsidR="005624E3" w:rsidRPr="00C903F8" w:rsidTr="00101A80">
              <w:trPr>
                <w:jc w:val="center"/>
              </w:trPr>
              <w:tc>
                <w:tcPr>
                  <w:tcW w:w="1077" w:type="dxa"/>
                  <w:tcBorders>
                    <w:top w:val="nil"/>
                    <w:left w:val="nil"/>
                    <w:bottom w:val="nil"/>
                    <w:right w:val="nil"/>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2041" w:type="dxa"/>
                  <w:tcBorders>
                    <w:top w:val="nil"/>
                    <w:left w:val="nil"/>
                    <w:bottom w:val="nil"/>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5105" w:type="dxa"/>
                  <w:gridSpan w:val="5"/>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rPr>
                  </w:pPr>
                  <w:r>
                    <w:rPr>
                      <w:noProof/>
                      <w:sz w:val="18"/>
                    </w:rPr>
                    <w:t xml:space="preserve">Zóna és/vagy vízi utak </w:t>
                  </w:r>
                  <w:r>
                    <w:rPr>
                      <w:sz w:val="18"/>
                      <w:vertAlign w:val="superscript"/>
                    </w:rPr>
                    <w:t>(1)</w:t>
                  </w:r>
                </w:p>
              </w:tc>
              <w:tc>
                <w:tcPr>
                  <w:tcW w:w="170" w:type="dxa"/>
                  <w:tcBorders>
                    <w:top w:val="nil"/>
                    <w:bottom w:val="nil"/>
                    <w:right w:val="nil"/>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Cs w:val="20"/>
                    </w:rPr>
                  </w:pPr>
                </w:p>
              </w:tc>
            </w:tr>
            <w:tr w:rsidR="005624E3" w:rsidRPr="00C903F8" w:rsidTr="00101A80">
              <w:trPr>
                <w:jc w:val="center"/>
              </w:trPr>
              <w:tc>
                <w:tcPr>
                  <w:tcW w:w="1077" w:type="dxa"/>
                  <w:tcBorders>
                    <w:top w:val="nil"/>
                    <w:left w:val="nil"/>
                    <w:bottom w:val="single" w:sz="4" w:space="0" w:color="auto"/>
                    <w:right w:val="nil"/>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2041" w:type="dxa"/>
                  <w:tcBorders>
                    <w:top w:val="nil"/>
                    <w:left w:val="nil"/>
                    <w:bottom w:val="single" w:sz="4" w:space="0" w:color="auto"/>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rPr>
                  </w:pPr>
                  <w:r>
                    <w:rPr>
                      <w:sz w:val="18"/>
                    </w:rPr>
                    <w:t>4.</w:t>
                  </w: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rPr>
                  </w:pPr>
                  <w:r>
                    <w:rPr>
                      <w:sz w:val="18"/>
                    </w:rPr>
                    <w:t>3.</w:t>
                  </w: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rPr>
                  </w:pPr>
                  <w:r>
                    <w:rPr>
                      <w:sz w:val="18"/>
                    </w:rPr>
                    <w:t>2.</w:t>
                  </w: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rPr>
                  </w:pPr>
                  <w:r>
                    <w:rPr>
                      <w:sz w:val="18"/>
                    </w:rPr>
                    <w:t>1.</w:t>
                  </w: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70" w:type="dxa"/>
                  <w:tcBorders>
                    <w:top w:val="nil"/>
                    <w:bottom w:val="nil"/>
                    <w:right w:val="nil"/>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Cs w:val="20"/>
                    </w:rPr>
                  </w:pPr>
                </w:p>
              </w:tc>
            </w:tr>
            <w:tr w:rsidR="005624E3" w:rsidRPr="00C903F8" w:rsidTr="00101A80">
              <w:trPr>
                <w:jc w:val="center"/>
              </w:trPr>
              <w:tc>
                <w:tcPr>
                  <w:tcW w:w="1077" w:type="dxa"/>
                  <w:tcBorders>
                    <w:top w:val="single" w:sz="4" w:space="0" w:color="auto"/>
                    <w:bottom w:val="nil"/>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r>
                    <w:rPr>
                      <w:noProof/>
                      <w:sz w:val="18"/>
                    </w:rPr>
                    <w:t>Szabad-oldal (cm)</w:t>
                  </w:r>
                </w:p>
              </w:tc>
              <w:tc>
                <w:tcPr>
                  <w:tcW w:w="2041" w:type="dxa"/>
                  <w:tcBorders>
                    <w:top w:val="single" w:sz="4" w:space="0" w:color="auto"/>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r>
                    <w:rPr>
                      <w:noProof/>
                      <w:sz w:val="18"/>
                    </w:rPr>
                    <w:t>zárt rakománytér mellett</w:t>
                  </w: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70" w:type="dxa"/>
                  <w:tcBorders>
                    <w:top w:val="nil"/>
                    <w:bottom w:val="nil"/>
                    <w:right w:val="nil"/>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Cs w:val="20"/>
                    </w:rPr>
                  </w:pPr>
                </w:p>
              </w:tc>
            </w:tr>
            <w:tr w:rsidR="005624E3" w:rsidRPr="00C903F8" w:rsidTr="00101A80">
              <w:trPr>
                <w:jc w:val="center"/>
              </w:trPr>
              <w:tc>
                <w:tcPr>
                  <w:tcW w:w="1077" w:type="dxa"/>
                  <w:tcBorders>
                    <w:top w:val="nil"/>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204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r>
                    <w:rPr>
                      <w:noProof/>
                      <w:sz w:val="18"/>
                    </w:rPr>
                    <w:t>nyitott rakománytér mellett</w:t>
                  </w: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70" w:type="dxa"/>
                  <w:tcBorders>
                    <w:top w:val="nil"/>
                    <w:bottom w:val="nil"/>
                    <w:right w:val="nil"/>
                  </w:tcBorders>
                  <w:shd w:val="clear" w:color="auto" w:fill="auto"/>
                </w:tcPr>
                <w:p w:rsidR="005624E3" w:rsidRPr="00C903F8" w:rsidRDefault="005624E3" w:rsidP="00101A80">
                  <w:pPr>
                    <w:tabs>
                      <w:tab w:val="left" w:pos="57"/>
                      <w:tab w:val="left" w:pos="345"/>
                      <w:tab w:val="left" w:leader="dot" w:pos="8505"/>
                    </w:tabs>
                    <w:overflowPunct w:val="0"/>
                    <w:adjustRightInd w:val="0"/>
                    <w:spacing w:before="60" w:after="60" w:line="240" w:lineRule="atLeast"/>
                    <w:textAlignment w:val="baseline"/>
                    <w:rPr>
                      <w:rFonts w:eastAsia="Calibri" w:cs="Arial"/>
                      <w:szCs w:val="20"/>
                    </w:rPr>
                  </w:pPr>
                </w:p>
              </w:tc>
            </w:tr>
          </w:tbl>
          <w:p w:rsidR="005624E3" w:rsidRPr="00C903F8" w:rsidRDefault="005624E3" w:rsidP="00101A80">
            <w:pPr>
              <w:widowControl w:val="0"/>
              <w:tabs>
                <w:tab w:val="left" w:pos="426"/>
                <w:tab w:val="right" w:pos="8789"/>
              </w:tabs>
              <w:spacing w:before="240" w:line="360" w:lineRule="auto"/>
              <w:ind w:left="426" w:hanging="426"/>
              <w:rPr>
                <w:noProof/>
              </w:rPr>
            </w:pPr>
          </w:p>
        </w:tc>
      </w:tr>
      <w:tr w:rsidR="005624E3" w:rsidRPr="00842442" w:rsidTr="00101A80">
        <w:tc>
          <w:tcPr>
            <w:tcW w:w="9322" w:type="dxa"/>
            <w:tcBorders>
              <w:top w:val="nil"/>
              <w:left w:val="single" w:sz="4" w:space="0" w:color="auto"/>
              <w:bottom w:val="single" w:sz="4" w:space="0" w:color="auto"/>
            </w:tcBorders>
          </w:tcPr>
          <w:p w:rsidR="005624E3" w:rsidRPr="00C903F8" w:rsidRDefault="005624E3" w:rsidP="00101A80">
            <w:pPr>
              <w:widowControl w:val="0"/>
              <w:tabs>
                <w:tab w:val="left" w:pos="426"/>
                <w:tab w:val="right" w:pos="8789"/>
              </w:tabs>
              <w:spacing w:before="240" w:line="360" w:lineRule="auto"/>
              <w:ind w:left="426" w:hanging="426"/>
              <w:rPr>
                <w:noProof/>
                <w:szCs w:val="20"/>
              </w:rPr>
            </w:pPr>
            <w:r>
              <w:t>12.</w:t>
            </w:r>
            <w:r>
              <w:tab/>
              <w:t>Eltérések a(z) ..... számú belvízi hajóbizonyítványtól</w:t>
            </w:r>
          </w:p>
          <w:p w:rsidR="005624E3" w:rsidRPr="00C903F8" w:rsidRDefault="005624E3" w:rsidP="00101A80">
            <w:pPr>
              <w:widowControl w:val="0"/>
              <w:tabs>
                <w:tab w:val="right" w:leader="dot" w:pos="8789"/>
              </w:tabs>
              <w:spacing w:line="360" w:lineRule="auto"/>
              <w:ind w:left="426"/>
              <w:rPr>
                <w:noProof/>
              </w:rPr>
            </w:pPr>
            <w:r>
              <w:tab/>
            </w:r>
          </w:p>
          <w:p w:rsidR="005624E3" w:rsidRPr="00C903F8" w:rsidRDefault="005624E3" w:rsidP="00101A80">
            <w:pPr>
              <w:widowControl w:val="0"/>
              <w:tabs>
                <w:tab w:val="right" w:leader="dot" w:pos="8789"/>
              </w:tabs>
              <w:spacing w:line="360" w:lineRule="auto"/>
              <w:ind w:left="426"/>
              <w:rPr>
                <w:noProof/>
              </w:rPr>
            </w:pPr>
            <w:r>
              <w:tab/>
            </w:r>
          </w:p>
          <w:p w:rsidR="005624E3" w:rsidRPr="00C903F8" w:rsidRDefault="005624E3" w:rsidP="00101A80">
            <w:pPr>
              <w:widowControl w:val="0"/>
              <w:tabs>
                <w:tab w:val="right" w:leader="dot" w:pos="8789"/>
              </w:tabs>
              <w:spacing w:line="360" w:lineRule="auto"/>
              <w:ind w:left="426"/>
              <w:rPr>
                <w:noProof/>
              </w:rPr>
            </w:pPr>
            <w:r>
              <w:tab/>
            </w:r>
          </w:p>
          <w:p w:rsidR="005624E3" w:rsidRPr="00C903F8" w:rsidRDefault="005624E3" w:rsidP="00101A80">
            <w:pPr>
              <w:widowControl w:val="0"/>
              <w:tabs>
                <w:tab w:val="right" w:leader="dot" w:pos="8789"/>
              </w:tabs>
              <w:spacing w:line="360" w:lineRule="auto"/>
              <w:ind w:left="426"/>
              <w:rPr>
                <w:noProof/>
              </w:rPr>
            </w:pPr>
            <w:r>
              <w:tab/>
            </w:r>
          </w:p>
          <w:p w:rsidR="005624E3" w:rsidRPr="00C903F8" w:rsidRDefault="005624E3" w:rsidP="00101A80">
            <w:pPr>
              <w:widowControl w:val="0"/>
              <w:tabs>
                <w:tab w:val="right" w:leader="dot" w:pos="8789"/>
              </w:tabs>
              <w:spacing w:line="360" w:lineRule="auto"/>
              <w:ind w:left="426"/>
              <w:rPr>
                <w:noProof/>
              </w:rPr>
            </w:pPr>
            <w:r>
              <w:tab/>
            </w:r>
          </w:p>
          <w:p w:rsidR="005624E3" w:rsidRPr="00C903F8" w:rsidRDefault="005624E3" w:rsidP="00101A80">
            <w:pPr>
              <w:widowControl w:val="0"/>
              <w:tabs>
                <w:tab w:val="right" w:leader="dot" w:pos="8789"/>
              </w:tabs>
              <w:spacing w:line="360" w:lineRule="auto"/>
              <w:ind w:left="426"/>
              <w:rPr>
                <w:noProof/>
              </w:rPr>
            </w:pPr>
            <w:r>
              <w:tab/>
            </w:r>
          </w:p>
          <w:p w:rsidR="005624E3" w:rsidRPr="00677052" w:rsidRDefault="005624E3" w:rsidP="00101A80">
            <w:pPr>
              <w:widowControl w:val="0"/>
              <w:tabs>
                <w:tab w:val="right" w:pos="8789"/>
              </w:tabs>
              <w:spacing w:line="360" w:lineRule="auto"/>
              <w:ind w:left="426" w:hanging="426"/>
              <w:rPr>
                <w:noProof/>
                <w:szCs w:val="20"/>
              </w:rPr>
            </w:pPr>
            <w:r>
              <w:t>13.</w:t>
            </w:r>
            <w:r>
              <w:tab/>
              <w:t>A belvízi hajóbizonyítványnak a legénység létszámára vonatkozó bejegyzései nem alkalmazandók.</w:t>
            </w:r>
          </w:p>
          <w:p w:rsidR="005624E3" w:rsidRPr="00C903F8" w:rsidRDefault="005624E3" w:rsidP="00101A80">
            <w:pPr>
              <w:widowControl w:val="0"/>
              <w:tabs>
                <w:tab w:val="right" w:leader="dot" w:pos="6804"/>
              </w:tabs>
              <w:spacing w:line="360" w:lineRule="auto"/>
              <w:rPr>
                <w:noProof/>
                <w:szCs w:val="20"/>
              </w:rPr>
            </w:pPr>
            <w:r>
              <w:t>14.</w:t>
            </w:r>
            <w:r>
              <w:tab/>
              <w:t>Tekintettel a(z) ..... számú belvízi hajóbizonyítványra, mely</w:t>
            </w:r>
            <w:r>
              <w:tab/>
            </w:r>
          </w:p>
          <w:p w:rsidR="005624E3" w:rsidRPr="00C903F8" w:rsidRDefault="005624E3" w:rsidP="00101A80">
            <w:pPr>
              <w:widowControl w:val="0"/>
              <w:tabs>
                <w:tab w:val="left" w:pos="709"/>
                <w:tab w:val="left" w:leader="dot" w:pos="3686"/>
                <w:tab w:val="right" w:leader="dot" w:pos="8789"/>
              </w:tabs>
              <w:spacing w:line="360" w:lineRule="auto"/>
              <w:ind w:left="426"/>
              <w:rPr>
                <w:noProof/>
                <w:szCs w:val="20"/>
              </w:rPr>
            </w:pPr>
            <w:r>
              <w:t>..................... -án/-én kelt és ..................... -ig érvényes</w:t>
            </w:r>
          </w:p>
          <w:p w:rsidR="005624E3" w:rsidRPr="00D50F76" w:rsidRDefault="005624E3" w:rsidP="00101A80">
            <w:pPr>
              <w:widowControl w:val="0"/>
              <w:tabs>
                <w:tab w:val="left" w:pos="709"/>
                <w:tab w:val="right" w:leader="dot" w:pos="8789"/>
              </w:tabs>
              <w:spacing w:line="360" w:lineRule="auto"/>
              <w:ind w:left="426"/>
              <w:rPr>
                <w:noProof/>
                <w:lang w:val="fi-FI"/>
              </w:rPr>
            </w:pPr>
            <w:r w:rsidRPr="00D50F76">
              <w:rPr>
                <w:lang w:val="fi-FI"/>
              </w:rPr>
              <w:t xml:space="preserve">Tekintettel a(z) ............... -án/-én </w:t>
            </w:r>
            <w:r w:rsidRPr="00D50F76">
              <w:rPr>
                <w:lang w:val="fi-FI"/>
              </w:rPr>
              <w:tab/>
              <w:t>,</w:t>
            </w:r>
          </w:p>
          <w:p w:rsidR="005624E3" w:rsidRPr="00D50F76" w:rsidRDefault="005624E3" w:rsidP="00101A80">
            <w:pPr>
              <w:widowControl w:val="0"/>
              <w:tabs>
                <w:tab w:val="left" w:pos="709"/>
                <w:tab w:val="right" w:leader="dot" w:pos="8789"/>
              </w:tabs>
              <w:spacing w:line="360" w:lineRule="auto"/>
              <w:ind w:left="426"/>
              <w:rPr>
                <w:noProof/>
                <w:szCs w:val="20"/>
                <w:lang w:val="fi-FI"/>
              </w:rPr>
            </w:pPr>
            <w:r w:rsidRPr="00D50F76">
              <w:rPr>
                <w:lang w:val="fi-FI"/>
              </w:rPr>
              <w:t>végzett ...................... ellenőrzés eredményére</w:t>
            </w:r>
          </w:p>
          <w:p w:rsidR="005624E3" w:rsidRPr="00D50F76" w:rsidRDefault="005624E3" w:rsidP="00101A80">
            <w:pPr>
              <w:widowControl w:val="0"/>
              <w:tabs>
                <w:tab w:val="right" w:leader="dot" w:pos="8789"/>
              </w:tabs>
              <w:spacing w:line="360" w:lineRule="auto"/>
              <w:ind w:left="426"/>
              <w:rPr>
                <w:lang w:val="fi-FI"/>
              </w:rPr>
            </w:pPr>
            <w:r w:rsidRPr="00D50F76">
              <w:rPr>
                <w:lang w:val="fi-FI"/>
              </w:rPr>
              <w:t>ez a kiegészítő bizonyítvány ..................-ig meghosszabbításra/megújításra</w:t>
            </w:r>
            <w:r w:rsidRPr="00D50F76">
              <w:rPr>
                <w:noProof/>
                <w:vertAlign w:val="superscript"/>
                <w:lang w:val="fi-FI"/>
              </w:rPr>
              <w:t xml:space="preserve"> (1)</w:t>
            </w:r>
            <w:r w:rsidRPr="00D50F76">
              <w:rPr>
                <w:lang w:val="fi-FI"/>
              </w:rPr>
              <w:t xml:space="preserve"> kerül</w:t>
            </w:r>
            <w:r>
              <w:rPr>
                <w:lang w:val="fi-FI"/>
              </w:rPr>
              <w:t>.</w:t>
            </w:r>
          </w:p>
          <w:p w:rsidR="005624E3" w:rsidRPr="00D50F76" w:rsidRDefault="005624E3" w:rsidP="00101A80">
            <w:pPr>
              <w:widowControl w:val="0"/>
              <w:tabs>
                <w:tab w:val="right" w:leader="dot" w:pos="8789"/>
              </w:tabs>
              <w:spacing w:line="360" w:lineRule="auto"/>
              <w:ind w:left="284"/>
              <w:rPr>
                <w:lang w:val="fi-FI"/>
              </w:rPr>
            </w:pPr>
          </w:p>
          <w:p w:rsidR="005624E3" w:rsidRPr="00D50F76" w:rsidRDefault="005624E3" w:rsidP="00101A80">
            <w:pPr>
              <w:widowControl w:val="0"/>
              <w:tabs>
                <w:tab w:val="right" w:leader="dot" w:pos="8789"/>
              </w:tabs>
              <w:spacing w:line="360" w:lineRule="auto"/>
              <w:ind w:left="284"/>
              <w:rPr>
                <w:lang w:val="fi-FI"/>
              </w:rPr>
            </w:pPr>
          </w:p>
          <w:p w:rsidR="005624E3" w:rsidRPr="00D50F76" w:rsidRDefault="005624E3" w:rsidP="00101A80">
            <w:pPr>
              <w:widowControl w:val="0"/>
              <w:tabs>
                <w:tab w:val="left" w:pos="5954"/>
                <w:tab w:val="left" w:leader="dot" w:pos="8789"/>
              </w:tabs>
              <w:spacing w:line="240" w:lineRule="atLeast"/>
              <w:rPr>
                <w:noProof/>
                <w:lang w:val="fi-FI"/>
              </w:rPr>
            </w:pPr>
            <w:r w:rsidRPr="00D50F76">
              <w:rPr>
                <w:lang w:val="fi-FI"/>
              </w:rPr>
              <w:tab/>
            </w:r>
            <w:r w:rsidRPr="00D50F76">
              <w:rPr>
                <w:lang w:val="fi-FI"/>
              </w:rPr>
              <w:tab/>
              <w:t>,</w:t>
            </w:r>
          </w:p>
          <w:p w:rsidR="005624E3" w:rsidRPr="00D50F76" w:rsidRDefault="005624E3" w:rsidP="00101A80">
            <w:pPr>
              <w:widowControl w:val="0"/>
              <w:tabs>
                <w:tab w:val="left" w:pos="6804"/>
                <w:tab w:val="left" w:leader="dot" w:pos="8789"/>
              </w:tabs>
              <w:spacing w:after="240" w:line="360" w:lineRule="auto"/>
              <w:rPr>
                <w:noProof/>
                <w:lang w:val="fi-FI"/>
              </w:rPr>
            </w:pPr>
            <w:r w:rsidRPr="00D50F76">
              <w:rPr>
                <w:lang w:val="fi-FI"/>
              </w:rPr>
              <w:tab/>
              <w:t>(Hely) (Dátum)</w:t>
            </w:r>
          </w:p>
          <w:p w:rsidR="005624E3" w:rsidRPr="00D50F76" w:rsidRDefault="005624E3" w:rsidP="00101A80">
            <w:pPr>
              <w:widowControl w:val="0"/>
              <w:tabs>
                <w:tab w:val="left" w:pos="5954"/>
                <w:tab w:val="left" w:leader="dot" w:pos="8789"/>
              </w:tabs>
              <w:spacing w:line="240" w:lineRule="atLeast"/>
              <w:rPr>
                <w:noProof/>
                <w:szCs w:val="20"/>
                <w:lang w:val="fi-FI"/>
              </w:rPr>
            </w:pPr>
            <w:r w:rsidRPr="00D50F76">
              <w:rPr>
                <w:lang w:val="fi-FI"/>
              </w:rPr>
              <w:tab/>
              <w:t>…………………………………….</w:t>
            </w:r>
          </w:p>
          <w:p w:rsidR="005624E3" w:rsidRPr="00D50F76" w:rsidRDefault="005624E3" w:rsidP="00101A80">
            <w:pPr>
              <w:widowControl w:val="0"/>
              <w:tabs>
                <w:tab w:val="left" w:pos="6521"/>
                <w:tab w:val="left" w:leader="dot" w:pos="8789"/>
              </w:tabs>
              <w:spacing w:after="240" w:line="360" w:lineRule="auto"/>
              <w:rPr>
                <w:noProof/>
                <w:lang w:val="fi-FI"/>
              </w:rPr>
            </w:pPr>
            <w:r w:rsidRPr="00D50F76">
              <w:rPr>
                <w:lang w:val="fi-FI"/>
              </w:rPr>
              <w:tab/>
              <w:t>(Ellenőrző szerv)</w:t>
            </w:r>
          </w:p>
          <w:p w:rsidR="005624E3" w:rsidRPr="00D50F76" w:rsidRDefault="005624E3" w:rsidP="00101A80">
            <w:pPr>
              <w:widowControl w:val="0"/>
              <w:tabs>
                <w:tab w:val="center" w:pos="6804"/>
                <w:tab w:val="left" w:leader="dot" w:pos="8789"/>
              </w:tabs>
              <w:spacing w:line="240" w:lineRule="atLeast"/>
              <w:ind w:left="1134"/>
              <w:rPr>
                <w:noProof/>
                <w:szCs w:val="20"/>
                <w:lang w:val="fi-FI"/>
              </w:rPr>
            </w:pPr>
            <w:r w:rsidRPr="00D50F76">
              <w:rPr>
                <w:lang w:val="fi-FI"/>
              </w:rPr>
              <w:t>Bélyegző</w:t>
            </w:r>
          </w:p>
          <w:p w:rsidR="005624E3" w:rsidRPr="00D50F76" w:rsidRDefault="005624E3" w:rsidP="00101A80">
            <w:pPr>
              <w:widowControl w:val="0"/>
              <w:tabs>
                <w:tab w:val="left" w:pos="5954"/>
                <w:tab w:val="left" w:leader="dot" w:pos="8789"/>
              </w:tabs>
              <w:spacing w:line="240" w:lineRule="atLeast"/>
              <w:rPr>
                <w:noProof/>
                <w:szCs w:val="20"/>
                <w:lang w:val="fi-FI"/>
              </w:rPr>
            </w:pPr>
            <w:r w:rsidRPr="00D50F76">
              <w:rPr>
                <w:lang w:val="fi-FI"/>
              </w:rPr>
              <w:tab/>
              <w:t>…………………………………….</w:t>
            </w:r>
          </w:p>
          <w:p w:rsidR="005624E3" w:rsidRPr="00D50F76" w:rsidRDefault="005624E3" w:rsidP="00101A80">
            <w:pPr>
              <w:widowControl w:val="0"/>
              <w:tabs>
                <w:tab w:val="left" w:pos="7088"/>
                <w:tab w:val="left" w:leader="dot" w:pos="8789"/>
              </w:tabs>
              <w:spacing w:after="240" w:line="360" w:lineRule="auto"/>
              <w:rPr>
                <w:noProof/>
                <w:sz w:val="16"/>
                <w:szCs w:val="20"/>
                <w:lang w:val="fi-FI"/>
              </w:rPr>
            </w:pPr>
            <w:r w:rsidRPr="00D50F76">
              <w:rPr>
                <w:lang w:val="fi-FI"/>
              </w:rPr>
              <w:tab/>
              <w:t>(Aláírás)</w:t>
            </w:r>
          </w:p>
          <w:p w:rsidR="005624E3" w:rsidRPr="00D50F76" w:rsidRDefault="005624E3" w:rsidP="00101A80">
            <w:pPr>
              <w:widowControl w:val="0"/>
              <w:tabs>
                <w:tab w:val="left" w:pos="6946"/>
                <w:tab w:val="left" w:leader="dot" w:pos="8789"/>
              </w:tabs>
              <w:spacing w:before="960" w:line="240" w:lineRule="atLeast"/>
              <w:ind w:left="284" w:hanging="284"/>
              <w:rPr>
                <w:noProof/>
                <w:sz w:val="16"/>
                <w:szCs w:val="20"/>
                <w:vertAlign w:val="superscript"/>
                <w:lang w:val="fi-FI"/>
              </w:rPr>
            </w:pPr>
            <w:r w:rsidRPr="00D50F76">
              <w:rPr>
                <w:noProof/>
                <w:sz w:val="16"/>
                <w:vertAlign w:val="superscript"/>
                <w:lang w:val="fi-FI"/>
              </w:rPr>
              <w:t>_________________</w:t>
            </w:r>
          </w:p>
          <w:p w:rsidR="005624E3" w:rsidRPr="00D50F76" w:rsidRDefault="005624E3" w:rsidP="00101A80">
            <w:pPr>
              <w:widowControl w:val="0"/>
              <w:tabs>
                <w:tab w:val="right" w:pos="8789"/>
              </w:tabs>
              <w:spacing w:line="360" w:lineRule="auto"/>
              <w:ind w:left="284" w:hanging="284"/>
              <w:rPr>
                <w:noProof/>
                <w:szCs w:val="20"/>
                <w:lang w:val="fi-FI"/>
              </w:rPr>
            </w:pPr>
            <w:r w:rsidRPr="00D50F76">
              <w:rPr>
                <w:noProof/>
                <w:sz w:val="16"/>
                <w:vertAlign w:val="superscript"/>
                <w:lang w:val="fi-FI"/>
              </w:rPr>
              <w:t>(1)</w:t>
            </w:r>
            <w:r w:rsidRPr="00D50F76">
              <w:rPr>
                <w:noProof/>
                <w:sz w:val="16"/>
                <w:lang w:val="fi-FI"/>
              </w:rPr>
              <w:t xml:space="preserve"> A nem kívánt rész törlendő.</w:t>
            </w:r>
          </w:p>
        </w:tc>
      </w:tr>
    </w:tbl>
    <w:p w:rsidR="005624E3" w:rsidRPr="00842442" w:rsidRDefault="005624E3" w:rsidP="005624E3">
      <w:pPr>
        <w:pStyle w:val="ES-Titre3"/>
        <w:rPr>
          <w:noProof/>
          <w:lang w:val="fi-FI"/>
        </w:rPr>
      </w:pPr>
      <w:r w:rsidRPr="00842442">
        <w:rPr>
          <w:lang w:val="fi-FI"/>
        </w:rPr>
        <w:br w:type="page"/>
      </w:r>
      <w:bookmarkStart w:id="620" w:name="_Toc491854301"/>
      <w:bookmarkStart w:id="621" w:name="_Toc535854082"/>
      <w:r w:rsidRPr="00842442">
        <w:rPr>
          <w:lang w:val="fi-FI"/>
        </w:rPr>
        <w:t>IV. szakasz</w:t>
      </w:r>
      <w:bookmarkEnd w:id="620"/>
      <w:bookmarkEnd w:id="621"/>
    </w:p>
    <w:p w:rsidR="005624E3" w:rsidRPr="00842442" w:rsidRDefault="005624E3" w:rsidP="005624E3">
      <w:pPr>
        <w:pStyle w:val="ES-Titre3a"/>
        <w:rPr>
          <w:noProof/>
          <w:lang w:val="fi-FI"/>
        </w:rPr>
      </w:pPr>
      <w:bookmarkStart w:id="622" w:name="_Toc491854302"/>
      <w:bookmarkStart w:id="623" w:name="_Toc535854083"/>
      <w:r w:rsidRPr="00842442">
        <w:rPr>
          <w:lang w:val="fi-FI"/>
        </w:rPr>
        <w:t>A Rajnán közlekedő tengerjáró hajók részére kiállítandó hajóbizonyítvány mintája</w:t>
      </w:r>
      <w:bookmarkEnd w:id="622"/>
      <w:bookmarkEnd w:id="623"/>
    </w:p>
    <w:p w:rsidR="005624E3" w:rsidRPr="00842442" w:rsidRDefault="005624E3" w:rsidP="005624E3">
      <w:pPr>
        <w:pStyle w:val="ESch"/>
        <w:rPr>
          <w:lang w:val="fi-FI"/>
        </w:rPr>
      </w:pPr>
    </w:p>
    <w:p w:rsidR="005624E3" w:rsidRPr="00842442" w:rsidRDefault="005624E3" w:rsidP="005624E3">
      <w:pPr>
        <w:tabs>
          <w:tab w:val="left" w:pos="284"/>
          <w:tab w:val="left" w:leader="dot" w:pos="9356"/>
        </w:tabs>
        <w:overflowPunct w:val="0"/>
        <w:adjustRightInd w:val="0"/>
        <w:jc w:val="center"/>
        <w:textAlignment w:val="baseline"/>
        <w:rPr>
          <w:rFonts w:cs="Arial"/>
          <w:b/>
          <w:lang w:val="fi-FI"/>
        </w:rPr>
      </w:pPr>
      <w:r w:rsidRPr="00842442">
        <w:rPr>
          <w:b/>
          <w:lang w:val="fi-FI"/>
        </w:rPr>
        <w:t>Az állam neve / Bélyegző</w:t>
      </w:r>
    </w:p>
    <w:p w:rsidR="005624E3" w:rsidRPr="00842442" w:rsidRDefault="005624E3" w:rsidP="005624E3">
      <w:pPr>
        <w:pStyle w:val="ESch"/>
        <w:rPr>
          <w:lang w:val="fi-FI"/>
        </w:rPr>
      </w:pPr>
    </w:p>
    <w:p w:rsidR="005624E3" w:rsidRPr="00842442" w:rsidRDefault="005624E3" w:rsidP="005624E3">
      <w:pPr>
        <w:overflowPunct w:val="0"/>
        <w:adjustRightInd w:val="0"/>
        <w:jc w:val="center"/>
        <w:textAlignment w:val="baseline"/>
        <w:rPr>
          <w:rFonts w:cs="Arial"/>
          <w:b/>
          <w:lang w:val="fi-FI"/>
        </w:rPr>
      </w:pPr>
      <w:r w:rsidRPr="00842442">
        <w:rPr>
          <w:b/>
          <w:lang w:val="fi-FI"/>
        </w:rPr>
        <w:t>Hajóbizonyítvány a Rajnán közlekedő tengerjáró hajók részére</w:t>
      </w:r>
    </w:p>
    <w:p w:rsidR="005624E3" w:rsidRPr="00842442" w:rsidRDefault="005624E3" w:rsidP="005624E3">
      <w:pPr>
        <w:overflowPunct w:val="0"/>
        <w:adjustRightInd w:val="0"/>
        <w:jc w:val="center"/>
        <w:textAlignment w:val="baseline"/>
        <w:rPr>
          <w:rFonts w:cs="Arial"/>
          <w:b/>
          <w:lang w:val="fi-FI"/>
        </w:rPr>
      </w:pPr>
      <w:r w:rsidRPr="00842442">
        <w:rPr>
          <w:b/>
          <w:lang w:val="fi-FI"/>
        </w:rPr>
        <w:t>Szám: ........................</w:t>
      </w:r>
    </w:p>
    <w:p w:rsidR="005624E3" w:rsidRPr="00842442" w:rsidRDefault="005624E3" w:rsidP="005624E3">
      <w:pPr>
        <w:tabs>
          <w:tab w:val="left" w:pos="284"/>
          <w:tab w:val="left" w:leader="dot" w:pos="9072"/>
        </w:tabs>
        <w:ind w:left="284" w:hanging="284"/>
        <w:rPr>
          <w:lang w:val="fi-FI"/>
        </w:rPr>
      </w:pPr>
    </w:p>
    <w:p w:rsidR="005624E3" w:rsidRPr="00842442" w:rsidRDefault="005624E3" w:rsidP="005624E3">
      <w:pPr>
        <w:tabs>
          <w:tab w:val="left" w:leader="dot" w:pos="5954"/>
          <w:tab w:val="left" w:leader="dot" w:pos="9072"/>
        </w:tabs>
        <w:rPr>
          <w:lang w:val="fi-FI"/>
        </w:rPr>
      </w:pPr>
      <w:r w:rsidRPr="00842442">
        <w:rPr>
          <w:lang w:val="fi-FI"/>
        </w:rPr>
        <w:t xml:space="preserve">Az ellenőrző szerv </w:t>
      </w:r>
      <w:r w:rsidRPr="00842442">
        <w:rPr>
          <w:lang w:val="fi-FI"/>
        </w:rPr>
        <w:tab/>
        <w:t xml:space="preserve"> ezúton igazolja, hogy az alábbi tengerjáró hajó </w:t>
      </w:r>
    </w:p>
    <w:p w:rsidR="005624E3" w:rsidRPr="00842442" w:rsidRDefault="005624E3" w:rsidP="005624E3">
      <w:pPr>
        <w:pStyle w:val="ESch"/>
        <w:rPr>
          <w:lang w:val="fi-FI"/>
        </w:rPr>
      </w:pPr>
    </w:p>
    <w:p w:rsidR="005624E3" w:rsidRPr="00842442" w:rsidRDefault="005624E3" w:rsidP="005624E3">
      <w:pPr>
        <w:tabs>
          <w:tab w:val="left" w:pos="284"/>
          <w:tab w:val="left" w:leader="dot" w:pos="9072"/>
        </w:tabs>
        <w:spacing w:after="120"/>
        <w:ind w:left="284" w:hanging="284"/>
        <w:rPr>
          <w:lang w:val="fi-FI"/>
        </w:rPr>
      </w:pPr>
      <w:r w:rsidRPr="00842442">
        <w:rPr>
          <w:lang w:val="fi-FI"/>
        </w:rPr>
        <w:t xml:space="preserve">név: </w:t>
      </w:r>
      <w:r w:rsidRPr="00842442">
        <w:rPr>
          <w:lang w:val="fi-FI"/>
        </w:rPr>
        <w:tab/>
      </w:r>
    </w:p>
    <w:p w:rsidR="005624E3" w:rsidRPr="00842442" w:rsidRDefault="005624E3" w:rsidP="005624E3">
      <w:pPr>
        <w:tabs>
          <w:tab w:val="left" w:pos="284"/>
          <w:tab w:val="left" w:leader="dot" w:pos="9072"/>
        </w:tabs>
        <w:spacing w:after="120"/>
        <w:ind w:left="284" w:hanging="284"/>
        <w:rPr>
          <w:lang w:val="fi-FI"/>
        </w:rPr>
      </w:pPr>
      <w:r w:rsidRPr="00842442">
        <w:rPr>
          <w:lang w:val="fi-FI"/>
        </w:rPr>
        <w:t xml:space="preserve">a hajó lajstromszáma vagy betűjele: </w:t>
      </w:r>
      <w:r w:rsidRPr="00842442">
        <w:rPr>
          <w:lang w:val="fi-FI"/>
        </w:rPr>
        <w:tab/>
      </w:r>
    </w:p>
    <w:p w:rsidR="005624E3" w:rsidRPr="00842442" w:rsidRDefault="005624E3" w:rsidP="005624E3">
      <w:pPr>
        <w:tabs>
          <w:tab w:val="left" w:pos="284"/>
          <w:tab w:val="left" w:leader="dot" w:pos="9072"/>
        </w:tabs>
        <w:spacing w:after="120"/>
        <w:ind w:left="284" w:hanging="284"/>
        <w:rPr>
          <w:lang w:val="fi-FI"/>
        </w:rPr>
      </w:pPr>
      <w:r w:rsidRPr="00842442">
        <w:rPr>
          <w:lang w:val="fi-FI"/>
        </w:rPr>
        <w:t xml:space="preserve">lajstromozás helye: </w:t>
      </w:r>
      <w:r w:rsidRPr="00842442">
        <w:rPr>
          <w:lang w:val="fi-FI"/>
        </w:rPr>
        <w:tab/>
      </w:r>
    </w:p>
    <w:p w:rsidR="005624E3" w:rsidRPr="00842442" w:rsidRDefault="005624E3" w:rsidP="005624E3">
      <w:pPr>
        <w:tabs>
          <w:tab w:val="left" w:pos="284"/>
          <w:tab w:val="left" w:leader="dot" w:pos="9072"/>
        </w:tabs>
        <w:spacing w:after="120"/>
        <w:ind w:left="284" w:hanging="284"/>
        <w:rPr>
          <w:lang w:val="fi-FI"/>
        </w:rPr>
      </w:pPr>
      <w:r w:rsidRPr="00842442">
        <w:rPr>
          <w:lang w:val="fi-FI"/>
        </w:rPr>
        <w:t xml:space="preserve">építés éve: </w:t>
      </w:r>
      <w:r w:rsidRPr="00842442">
        <w:rPr>
          <w:lang w:val="fi-FI"/>
        </w:rPr>
        <w:tab/>
      </w:r>
    </w:p>
    <w:p w:rsidR="005624E3" w:rsidRPr="00842442" w:rsidRDefault="005624E3" w:rsidP="005624E3">
      <w:pPr>
        <w:tabs>
          <w:tab w:val="left" w:pos="284"/>
          <w:tab w:val="left" w:leader="dot" w:pos="9072"/>
        </w:tabs>
        <w:spacing w:after="120"/>
        <w:ind w:left="284" w:hanging="284"/>
        <w:rPr>
          <w:lang w:val="fi-FI"/>
        </w:rPr>
      </w:pPr>
      <w:r w:rsidRPr="00842442">
        <w:rPr>
          <w:lang w:val="fi-FI"/>
        </w:rPr>
        <w:t xml:space="preserve">hajóhossz: </w:t>
      </w:r>
      <w:r w:rsidRPr="00842442">
        <w:rPr>
          <w:lang w:val="fi-FI"/>
        </w:rPr>
        <w:tab/>
      </w:r>
    </w:p>
    <w:p w:rsidR="005624E3" w:rsidRPr="00842442" w:rsidRDefault="005624E3" w:rsidP="005624E3">
      <w:pPr>
        <w:tabs>
          <w:tab w:val="left" w:leader="dot" w:pos="4536"/>
          <w:tab w:val="left" w:leader="dot" w:pos="9072"/>
        </w:tabs>
        <w:spacing w:before="80" w:after="80" w:line="240" w:lineRule="atLeast"/>
        <w:ind w:right="-1"/>
        <w:rPr>
          <w:lang w:val="fi-FI"/>
        </w:rPr>
      </w:pPr>
      <w:r w:rsidRPr="00842442">
        <w:rPr>
          <w:lang w:val="fi-FI"/>
        </w:rPr>
        <w:t>az ellenőrzés elvégzését követően elismerten alkalmasnak minősül a Rajnán való üzemelésre, melyre az alábbiakban meghatározott különleges feltételek vonatkoznak.</w:t>
      </w:r>
    </w:p>
    <w:p w:rsidR="005624E3" w:rsidRPr="00842442" w:rsidRDefault="005624E3" w:rsidP="005624E3">
      <w:pPr>
        <w:tabs>
          <w:tab w:val="left" w:leader="dot" w:pos="9072"/>
        </w:tabs>
        <w:spacing w:line="240" w:lineRule="atLeast"/>
        <w:rPr>
          <w:lang w:val="fi-FI"/>
        </w:rPr>
      </w:pPr>
      <w:r w:rsidRPr="00842442">
        <w:rPr>
          <w:lang w:val="fi-FI"/>
        </w:rPr>
        <w:t xml:space="preserve">Különleges feltételek: </w:t>
      </w:r>
      <w:r w:rsidRPr="00842442">
        <w:rPr>
          <w:lang w:val="fi-FI"/>
        </w:rPr>
        <w:tab/>
      </w:r>
    </w:p>
    <w:p w:rsidR="005624E3" w:rsidRPr="00842442" w:rsidRDefault="005624E3" w:rsidP="005624E3">
      <w:pPr>
        <w:tabs>
          <w:tab w:val="left" w:leader="dot" w:pos="9072"/>
        </w:tabs>
        <w:spacing w:line="240" w:lineRule="atLeast"/>
        <w:rPr>
          <w:lang w:val="fi-FI"/>
        </w:rPr>
      </w:pPr>
      <w:r w:rsidRPr="00842442">
        <w:rPr>
          <w:lang w:val="fi-FI"/>
        </w:rPr>
        <w:tab/>
      </w:r>
    </w:p>
    <w:p w:rsidR="005624E3" w:rsidRPr="00842442" w:rsidRDefault="005624E3" w:rsidP="005624E3">
      <w:pPr>
        <w:tabs>
          <w:tab w:val="left" w:leader="dot" w:pos="9072"/>
        </w:tabs>
        <w:spacing w:line="240" w:lineRule="atLeast"/>
        <w:rPr>
          <w:lang w:val="fi-FI"/>
        </w:rPr>
      </w:pPr>
      <w:r w:rsidRPr="00842442">
        <w:rPr>
          <w:lang w:val="fi-FI"/>
        </w:rPr>
        <w:tab/>
      </w:r>
    </w:p>
    <w:p w:rsidR="005624E3" w:rsidRPr="00842442" w:rsidRDefault="005624E3" w:rsidP="005624E3">
      <w:pPr>
        <w:tabs>
          <w:tab w:val="left" w:leader="dot" w:pos="9072"/>
        </w:tabs>
        <w:spacing w:line="240" w:lineRule="atLeast"/>
        <w:rPr>
          <w:lang w:val="fi-FI"/>
        </w:rPr>
      </w:pPr>
      <w:r w:rsidRPr="00842442">
        <w:rPr>
          <w:lang w:val="fi-FI"/>
        </w:rPr>
        <w:tab/>
      </w:r>
    </w:p>
    <w:p w:rsidR="005624E3" w:rsidRPr="00842442" w:rsidRDefault="005624E3" w:rsidP="005624E3">
      <w:pPr>
        <w:pStyle w:val="ESch"/>
        <w:rPr>
          <w:lang w:val="fi-FI"/>
        </w:rPr>
      </w:pPr>
    </w:p>
    <w:p w:rsidR="005624E3" w:rsidRPr="00842442" w:rsidRDefault="005624E3" w:rsidP="005624E3">
      <w:pPr>
        <w:tabs>
          <w:tab w:val="left" w:leader="dot" w:pos="9072"/>
        </w:tabs>
        <w:spacing w:before="60" w:after="40" w:line="240" w:lineRule="atLeast"/>
        <w:ind w:right="-1"/>
        <w:rPr>
          <w:lang w:val="fi-FI"/>
        </w:rPr>
      </w:pPr>
      <w:r w:rsidRPr="00842442">
        <w:rPr>
          <w:lang w:val="fi-FI"/>
        </w:rPr>
        <w:t xml:space="preserve">Ez a bizonyítvány csak akkor érvényes, ha a hajó érvényes tengeri vagy part menti hajózási bizonyítvánnyal rendelkezik. Az érvényesség lejár: </w:t>
      </w:r>
      <w:r w:rsidRPr="00842442">
        <w:rPr>
          <w:lang w:val="fi-FI"/>
        </w:rPr>
        <w:tab/>
      </w:r>
    </w:p>
    <w:p w:rsidR="005624E3" w:rsidRPr="00842442" w:rsidRDefault="005624E3" w:rsidP="005624E3">
      <w:pPr>
        <w:tabs>
          <w:tab w:val="left" w:pos="284"/>
          <w:tab w:val="left" w:leader="dot" w:pos="9072"/>
        </w:tabs>
        <w:ind w:left="284" w:hanging="284"/>
        <w:rPr>
          <w:lang w:val="fi-FI"/>
        </w:rPr>
      </w:pPr>
    </w:p>
    <w:p w:rsidR="005624E3" w:rsidRPr="00842442" w:rsidRDefault="005624E3" w:rsidP="005624E3">
      <w:pPr>
        <w:tabs>
          <w:tab w:val="left" w:pos="2835"/>
          <w:tab w:val="left" w:leader="dot" w:pos="5670"/>
          <w:tab w:val="left" w:leader="dot" w:pos="9072"/>
        </w:tabs>
        <w:ind w:left="284" w:hanging="284"/>
        <w:rPr>
          <w:lang w:val="fi-FI"/>
        </w:rPr>
      </w:pPr>
      <w:r w:rsidRPr="00842442">
        <w:rPr>
          <w:lang w:val="fi-FI"/>
        </w:rPr>
        <w:tab/>
      </w:r>
      <w:r w:rsidRPr="00842442">
        <w:rPr>
          <w:lang w:val="fi-FI"/>
        </w:rPr>
        <w:tab/>
      </w:r>
      <w:r w:rsidRPr="00842442">
        <w:rPr>
          <w:lang w:val="fi-FI"/>
        </w:rPr>
        <w:tab/>
        <w:t xml:space="preserve">, </w:t>
      </w:r>
      <w:r w:rsidRPr="00842442">
        <w:rPr>
          <w:lang w:val="fi-FI"/>
        </w:rPr>
        <w:tab/>
      </w:r>
    </w:p>
    <w:p w:rsidR="005624E3" w:rsidRPr="00842442" w:rsidRDefault="005624E3" w:rsidP="005624E3">
      <w:pPr>
        <w:tabs>
          <w:tab w:val="center" w:pos="4253"/>
          <w:tab w:val="center" w:pos="7513"/>
          <w:tab w:val="left" w:leader="dot" w:pos="9072"/>
        </w:tabs>
        <w:ind w:left="284" w:hanging="284"/>
        <w:rPr>
          <w:lang w:val="fi-FI"/>
        </w:rPr>
      </w:pPr>
      <w:r w:rsidRPr="00842442">
        <w:rPr>
          <w:lang w:val="fi-FI"/>
        </w:rPr>
        <w:tab/>
      </w:r>
      <w:r w:rsidRPr="00842442">
        <w:rPr>
          <w:lang w:val="fi-FI"/>
        </w:rPr>
        <w:tab/>
        <w:t xml:space="preserve">(Hely) </w:t>
      </w:r>
      <w:r w:rsidRPr="00842442">
        <w:rPr>
          <w:lang w:val="fi-FI"/>
        </w:rPr>
        <w:tab/>
        <w:t>(Dátum)</w:t>
      </w:r>
    </w:p>
    <w:p w:rsidR="005624E3" w:rsidRPr="00842442" w:rsidRDefault="005624E3" w:rsidP="005624E3">
      <w:pPr>
        <w:pStyle w:val="ESch"/>
        <w:rPr>
          <w:lang w:val="fi-FI"/>
        </w:rPr>
      </w:pPr>
    </w:p>
    <w:p w:rsidR="005624E3" w:rsidRPr="00842442" w:rsidRDefault="005624E3" w:rsidP="005624E3">
      <w:pPr>
        <w:tabs>
          <w:tab w:val="left" w:pos="5103"/>
          <w:tab w:val="left" w:leader="dot" w:pos="9072"/>
        </w:tabs>
        <w:ind w:left="284" w:hanging="284"/>
        <w:rPr>
          <w:lang w:val="fi-FI"/>
        </w:rPr>
      </w:pPr>
      <w:r w:rsidRPr="00842442">
        <w:rPr>
          <w:lang w:val="fi-FI"/>
        </w:rPr>
        <w:tab/>
      </w:r>
      <w:r w:rsidRPr="00842442">
        <w:rPr>
          <w:lang w:val="fi-FI"/>
        </w:rPr>
        <w:tab/>
      </w:r>
      <w:r w:rsidRPr="00842442">
        <w:rPr>
          <w:lang w:val="fi-FI"/>
        </w:rPr>
        <w:tab/>
      </w:r>
    </w:p>
    <w:p w:rsidR="005624E3" w:rsidRPr="00842442" w:rsidRDefault="005624E3" w:rsidP="005624E3">
      <w:pPr>
        <w:tabs>
          <w:tab w:val="center" w:pos="7088"/>
          <w:tab w:val="left" w:leader="dot" w:pos="9072"/>
        </w:tabs>
        <w:ind w:left="1560"/>
        <w:rPr>
          <w:lang w:val="fi-FI"/>
        </w:rPr>
      </w:pPr>
      <w:r w:rsidRPr="00842442">
        <w:rPr>
          <w:lang w:val="fi-FI"/>
        </w:rPr>
        <w:t>Bélyegző</w:t>
      </w:r>
      <w:r w:rsidRPr="00842442">
        <w:rPr>
          <w:lang w:val="fi-FI"/>
        </w:rPr>
        <w:tab/>
        <w:t>(Ellenőrző szerv)</w:t>
      </w:r>
    </w:p>
    <w:p w:rsidR="005624E3" w:rsidRPr="00842442" w:rsidRDefault="005624E3" w:rsidP="005624E3">
      <w:pPr>
        <w:tabs>
          <w:tab w:val="left" w:pos="5103"/>
          <w:tab w:val="left" w:leader="dot" w:pos="9072"/>
        </w:tabs>
        <w:ind w:left="284" w:hanging="284"/>
        <w:rPr>
          <w:lang w:val="fi-FI"/>
        </w:rPr>
      </w:pPr>
      <w:r w:rsidRPr="00842442">
        <w:rPr>
          <w:lang w:val="fi-FI"/>
        </w:rPr>
        <w:tab/>
      </w:r>
      <w:r w:rsidRPr="00842442">
        <w:rPr>
          <w:lang w:val="fi-FI"/>
        </w:rPr>
        <w:tab/>
      </w:r>
      <w:r w:rsidRPr="00842442">
        <w:rPr>
          <w:lang w:val="fi-FI"/>
        </w:rPr>
        <w:tab/>
      </w:r>
    </w:p>
    <w:p w:rsidR="005624E3" w:rsidRPr="00842442" w:rsidRDefault="005624E3" w:rsidP="005624E3">
      <w:pPr>
        <w:tabs>
          <w:tab w:val="center" w:pos="7088"/>
          <w:tab w:val="left" w:leader="dot" w:pos="9072"/>
        </w:tabs>
        <w:ind w:left="284" w:hanging="284"/>
        <w:rPr>
          <w:lang w:val="fi-FI"/>
        </w:rPr>
      </w:pPr>
      <w:r w:rsidRPr="00842442">
        <w:rPr>
          <w:lang w:val="fi-FI"/>
        </w:rPr>
        <w:tab/>
      </w:r>
      <w:r w:rsidRPr="00842442">
        <w:rPr>
          <w:lang w:val="fi-FI"/>
        </w:rPr>
        <w:tab/>
        <w:t>(Aláírás)</w:t>
      </w:r>
    </w:p>
    <w:p w:rsidR="005624E3" w:rsidRPr="00842442" w:rsidRDefault="005624E3" w:rsidP="005624E3">
      <w:pPr>
        <w:tabs>
          <w:tab w:val="left" w:pos="2579"/>
        </w:tabs>
        <w:rPr>
          <w:lang w:val="fi-FI"/>
        </w:rPr>
      </w:pPr>
      <w:r w:rsidRPr="00842442">
        <w:rPr>
          <w:lang w:val="fi-FI"/>
        </w:rPr>
        <w:br w:type="page"/>
      </w:r>
    </w:p>
    <w:p w:rsidR="005624E3" w:rsidRPr="00842442" w:rsidRDefault="005624E3" w:rsidP="005624E3">
      <w:pPr>
        <w:tabs>
          <w:tab w:val="left" w:pos="2579"/>
        </w:tabs>
        <w:rPr>
          <w:lang w:val="fi-FI"/>
        </w:rPr>
      </w:pPr>
    </w:p>
    <w:p w:rsidR="005624E3" w:rsidRPr="00842442" w:rsidRDefault="005624E3" w:rsidP="005624E3">
      <w:pPr>
        <w:tabs>
          <w:tab w:val="left" w:pos="2579"/>
        </w:tabs>
        <w:rPr>
          <w:lang w:val="fi-FI"/>
        </w:rPr>
      </w:pPr>
    </w:p>
    <w:p w:rsidR="005624E3" w:rsidRPr="00842442" w:rsidRDefault="005624E3" w:rsidP="005624E3">
      <w:pPr>
        <w:tabs>
          <w:tab w:val="left" w:pos="2579"/>
        </w:tabs>
        <w:rPr>
          <w:lang w:val="fi-FI"/>
        </w:rPr>
      </w:pPr>
      <w:r w:rsidRPr="00842442">
        <w:rPr>
          <w:lang w:val="fi-FI"/>
        </w:rPr>
        <w:br w:type="page"/>
      </w:r>
    </w:p>
    <w:p w:rsidR="005624E3" w:rsidRPr="00842442" w:rsidRDefault="005624E3" w:rsidP="005624E3">
      <w:pPr>
        <w:pStyle w:val="ES-Titre3"/>
        <w:rPr>
          <w:noProof/>
          <w:lang w:val="fi-FI"/>
        </w:rPr>
      </w:pPr>
      <w:bookmarkStart w:id="624" w:name="_Toc491854303"/>
      <w:bookmarkStart w:id="625" w:name="_Toc535854084"/>
      <w:r w:rsidRPr="00842442">
        <w:rPr>
          <w:lang w:val="fi-FI"/>
        </w:rPr>
        <w:t>V. szakasz</w:t>
      </w:r>
      <w:bookmarkEnd w:id="624"/>
      <w:bookmarkEnd w:id="625"/>
    </w:p>
    <w:p w:rsidR="005624E3" w:rsidRPr="00842442" w:rsidRDefault="005624E3" w:rsidP="005624E3">
      <w:pPr>
        <w:pStyle w:val="ES-Titre3a"/>
        <w:rPr>
          <w:rFonts w:cs="Arial"/>
          <w:color w:val="000000"/>
          <w:lang w:val="fi-FI"/>
        </w:rPr>
      </w:pPr>
      <w:bookmarkStart w:id="626" w:name="_Toc491854304"/>
      <w:bookmarkStart w:id="627" w:name="_Toc535854085"/>
      <w:r w:rsidRPr="00842442">
        <w:rPr>
          <w:lang w:val="fi-FI"/>
        </w:rPr>
        <w:t>A belvízi hajóbizonyítvány tradicionális vízi járművekre vonatkozó mellékletének mintája (a 24. fejezetnek megfelelően)</w:t>
      </w:r>
      <w:bookmarkEnd w:id="626"/>
      <w:bookmarkEnd w:id="627"/>
    </w:p>
    <w:p w:rsidR="005624E3" w:rsidRPr="00842442" w:rsidRDefault="005624E3" w:rsidP="005624E3">
      <w:pPr>
        <w:tabs>
          <w:tab w:val="center" w:pos="8222"/>
        </w:tabs>
        <w:rPr>
          <w:lang w:val="fi-FI"/>
        </w:rPr>
      </w:pP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5624E3" w:rsidRPr="00842442" w:rsidTr="00101A80">
        <w:tc>
          <w:tcPr>
            <w:tcW w:w="10188" w:type="dxa"/>
            <w:gridSpan w:val="2"/>
            <w:tcBorders>
              <w:bottom w:val="nil"/>
            </w:tcBorders>
          </w:tcPr>
          <w:p w:rsidR="005624E3" w:rsidRPr="00842442" w:rsidRDefault="005624E3" w:rsidP="00101A80">
            <w:pPr>
              <w:spacing w:before="60" w:after="60" w:line="240" w:lineRule="atLeast"/>
              <w:jc w:val="center"/>
              <w:rPr>
                <w:rFonts w:cs="Arial"/>
                <w:b/>
                <w:color w:val="000000"/>
                <w:lang w:val="fi-FI"/>
              </w:rPr>
            </w:pPr>
            <w:r w:rsidRPr="00842442">
              <w:rPr>
                <w:b/>
                <w:color w:val="000000"/>
                <w:lang w:val="fi-FI"/>
              </w:rPr>
              <w:t>A tradicionális vízi járművekre vonatkozó melléklet</w:t>
            </w:r>
          </w:p>
          <w:p w:rsidR="005624E3" w:rsidRPr="00842442" w:rsidRDefault="005624E3" w:rsidP="00101A80">
            <w:pPr>
              <w:spacing w:before="60" w:after="60" w:line="240" w:lineRule="atLeast"/>
              <w:jc w:val="center"/>
              <w:rPr>
                <w:rFonts w:cs="Arial"/>
                <w:color w:val="000000"/>
                <w:lang w:val="fi-FI"/>
              </w:rPr>
            </w:pPr>
          </w:p>
        </w:tc>
      </w:tr>
      <w:tr w:rsidR="005624E3" w:rsidRPr="006F497D" w:rsidTr="00101A80">
        <w:tc>
          <w:tcPr>
            <w:tcW w:w="10188" w:type="dxa"/>
            <w:gridSpan w:val="2"/>
            <w:tcBorders>
              <w:top w:val="nil"/>
              <w:bottom w:val="nil"/>
            </w:tcBorders>
          </w:tcPr>
          <w:p w:rsidR="005624E3" w:rsidRPr="00486A70" w:rsidRDefault="005624E3" w:rsidP="00101A80">
            <w:pPr>
              <w:spacing w:before="60" w:after="60" w:line="240" w:lineRule="atLeast"/>
              <w:jc w:val="center"/>
              <w:rPr>
                <w:rFonts w:cs="Arial"/>
                <w:b/>
                <w:color w:val="000000"/>
              </w:rPr>
            </w:pPr>
            <w:r>
              <w:rPr>
                <w:b/>
              </w:rPr>
              <w:t>Az állam neve / Bélyegző</w:t>
            </w:r>
          </w:p>
          <w:p w:rsidR="005624E3" w:rsidRPr="00486A70" w:rsidRDefault="005624E3" w:rsidP="00101A80">
            <w:pPr>
              <w:spacing w:before="60" w:after="60" w:line="240" w:lineRule="atLeast"/>
              <w:jc w:val="center"/>
              <w:rPr>
                <w:rFonts w:cs="Arial"/>
                <w:b/>
                <w:color w:val="000000"/>
              </w:rPr>
            </w:pPr>
          </w:p>
        </w:tc>
      </w:tr>
      <w:tr w:rsidR="005624E3" w:rsidRPr="00A0619C" w:rsidTr="00101A80">
        <w:tc>
          <w:tcPr>
            <w:tcW w:w="10188" w:type="dxa"/>
            <w:gridSpan w:val="2"/>
            <w:tcBorders>
              <w:top w:val="nil"/>
            </w:tcBorders>
          </w:tcPr>
          <w:p w:rsidR="005624E3" w:rsidRPr="00486A70" w:rsidRDefault="005624E3" w:rsidP="00101A80">
            <w:pPr>
              <w:spacing w:before="60" w:after="60" w:line="240" w:lineRule="atLeast"/>
              <w:jc w:val="center"/>
              <w:rPr>
                <w:rFonts w:cs="Arial"/>
                <w:color w:val="000000"/>
              </w:rPr>
            </w:pPr>
            <w:r>
              <w:rPr>
                <w:b/>
                <w:color w:val="000000"/>
              </w:rPr>
              <w:t>Melléklet a(z)</w:t>
            </w:r>
            <w:r>
              <w:t xml:space="preserve"> </w:t>
            </w:r>
            <w:r>
              <w:rPr>
                <w:color w:val="000000"/>
              </w:rPr>
              <w:t>.....</w:t>
            </w:r>
            <w:r>
              <w:t xml:space="preserve"> </w:t>
            </w:r>
            <w:r>
              <w:rPr>
                <w:b/>
                <w:color w:val="000000"/>
              </w:rPr>
              <w:t>számú belvízi hajóbizonyítványhoz</w:t>
            </w:r>
          </w:p>
          <w:p w:rsidR="005624E3" w:rsidRPr="00486A70" w:rsidRDefault="005624E3" w:rsidP="00101A80">
            <w:pPr>
              <w:spacing w:before="60" w:after="60" w:line="240" w:lineRule="atLeast"/>
              <w:jc w:val="center"/>
              <w:rPr>
                <w:rFonts w:cs="Arial"/>
                <w:color w:val="000000"/>
              </w:rPr>
            </w:pPr>
          </w:p>
        </w:tc>
      </w:tr>
      <w:tr w:rsidR="005624E3" w:rsidRPr="006F497D" w:rsidTr="00101A80">
        <w:tc>
          <w:tcPr>
            <w:tcW w:w="5094" w:type="dxa"/>
          </w:tcPr>
          <w:p w:rsidR="005624E3" w:rsidRPr="00D50F76" w:rsidRDefault="005624E3" w:rsidP="00101A80">
            <w:pPr>
              <w:tabs>
                <w:tab w:val="left" w:pos="284"/>
                <w:tab w:val="left" w:leader="dot" w:pos="4253"/>
              </w:tabs>
              <w:spacing w:before="80" w:line="360" w:lineRule="auto"/>
              <w:rPr>
                <w:rFonts w:cs="Arial"/>
                <w:color w:val="000000"/>
                <w:lang w:val="pt-PT"/>
              </w:rPr>
            </w:pPr>
            <w:r w:rsidRPr="00D50F76">
              <w:rPr>
                <w:color w:val="000000"/>
                <w:sz w:val="18"/>
                <w:lang w:val="pt-PT"/>
              </w:rPr>
              <w:t>1.</w:t>
            </w:r>
            <w:r w:rsidRPr="00D50F76">
              <w:rPr>
                <w:lang w:val="pt-PT"/>
              </w:rPr>
              <w:tab/>
            </w:r>
            <w:r w:rsidRPr="00D50F76">
              <w:rPr>
                <w:color w:val="000000"/>
                <w:sz w:val="18"/>
                <w:lang w:val="pt-PT"/>
              </w:rPr>
              <w:t>A tradicionális vízi jármű neve</w:t>
            </w:r>
            <w:r w:rsidRPr="00D50F76">
              <w:rPr>
                <w:color w:val="000000"/>
                <w:sz w:val="18"/>
                <w:lang w:val="pt-PT"/>
              </w:rPr>
              <w:br/>
            </w:r>
            <w:r w:rsidRPr="00D50F76">
              <w:rPr>
                <w:lang w:val="pt-PT"/>
              </w:rPr>
              <w:tab/>
            </w:r>
            <w:r w:rsidRPr="00D50F76">
              <w:rPr>
                <w:lang w:val="pt-PT"/>
              </w:rPr>
              <w:tab/>
            </w:r>
          </w:p>
        </w:tc>
        <w:tc>
          <w:tcPr>
            <w:tcW w:w="5094" w:type="dxa"/>
          </w:tcPr>
          <w:p w:rsidR="005624E3" w:rsidRPr="00486A70" w:rsidRDefault="005624E3" w:rsidP="00101A80">
            <w:pPr>
              <w:tabs>
                <w:tab w:val="left" w:pos="227"/>
                <w:tab w:val="left" w:leader="dot" w:pos="4196"/>
              </w:tabs>
              <w:spacing w:before="80"/>
              <w:ind w:left="227" w:hanging="227"/>
              <w:rPr>
                <w:rFonts w:cs="Arial"/>
                <w:color w:val="000000"/>
                <w:sz w:val="18"/>
              </w:rPr>
            </w:pPr>
            <w:r>
              <w:rPr>
                <w:sz w:val="18"/>
              </w:rPr>
              <w:t>2.</w:t>
            </w:r>
            <w:r>
              <w:tab/>
            </w:r>
            <w:r>
              <w:rPr>
                <w:sz w:val="18"/>
              </w:rPr>
              <w:t>Egyedi európai hajóazonosító szám</w:t>
            </w:r>
          </w:p>
          <w:p w:rsidR="005624E3" w:rsidRPr="00486A70" w:rsidRDefault="005624E3" w:rsidP="00101A80">
            <w:pPr>
              <w:tabs>
                <w:tab w:val="left" w:pos="227"/>
                <w:tab w:val="left" w:leader="dot" w:pos="4196"/>
              </w:tabs>
              <w:spacing w:before="80" w:line="360" w:lineRule="auto"/>
              <w:ind w:left="227" w:hanging="227"/>
              <w:rPr>
                <w:rFonts w:cs="Arial"/>
                <w:color w:val="000000"/>
              </w:rPr>
            </w:pPr>
            <w:r>
              <w:tab/>
            </w:r>
            <w:r>
              <w:tab/>
            </w:r>
          </w:p>
        </w:tc>
      </w:tr>
      <w:tr w:rsidR="005624E3" w:rsidRPr="006F497D" w:rsidTr="00101A80">
        <w:tc>
          <w:tcPr>
            <w:tcW w:w="5094" w:type="dxa"/>
          </w:tcPr>
          <w:p w:rsidR="005624E3" w:rsidRPr="00486A70" w:rsidRDefault="005624E3" w:rsidP="00101A80">
            <w:pPr>
              <w:tabs>
                <w:tab w:val="left" w:pos="284"/>
                <w:tab w:val="left" w:leader="dot" w:pos="4253"/>
              </w:tabs>
              <w:spacing w:before="80" w:line="360" w:lineRule="auto"/>
              <w:rPr>
                <w:rFonts w:cs="Arial"/>
                <w:color w:val="000000"/>
                <w:sz w:val="18"/>
              </w:rPr>
            </w:pPr>
            <w:r>
              <w:rPr>
                <w:color w:val="000000"/>
                <w:sz w:val="18"/>
              </w:rPr>
              <w:t>3.</w:t>
            </w:r>
            <w:r>
              <w:tab/>
            </w:r>
            <w:r>
              <w:rPr>
                <w:color w:val="000000"/>
                <w:sz w:val="18"/>
              </w:rPr>
              <w:t>A vízi jármű típusa az elismerés előtt</w:t>
            </w:r>
            <w:r>
              <w:rPr>
                <w:color w:val="000000"/>
                <w:sz w:val="18"/>
              </w:rPr>
              <w:br/>
            </w:r>
            <w:r>
              <w:tab/>
            </w:r>
            <w:r>
              <w:tab/>
            </w:r>
          </w:p>
        </w:tc>
        <w:tc>
          <w:tcPr>
            <w:tcW w:w="5094" w:type="dxa"/>
          </w:tcPr>
          <w:p w:rsidR="005624E3" w:rsidRPr="00486A70" w:rsidRDefault="005624E3" w:rsidP="00101A80">
            <w:pPr>
              <w:tabs>
                <w:tab w:val="left" w:pos="293"/>
                <w:tab w:val="left" w:leader="dot" w:pos="4196"/>
              </w:tabs>
              <w:spacing w:before="80" w:line="360" w:lineRule="auto"/>
              <w:rPr>
                <w:rFonts w:cs="Arial"/>
                <w:color w:val="000000"/>
                <w:sz w:val="18"/>
              </w:rPr>
            </w:pPr>
            <w:r>
              <w:rPr>
                <w:color w:val="000000"/>
                <w:sz w:val="18"/>
              </w:rPr>
              <w:t>4.</w:t>
            </w:r>
            <w:r>
              <w:tab/>
            </w:r>
            <w:r>
              <w:rPr>
                <w:color w:val="000000"/>
                <w:sz w:val="18"/>
              </w:rPr>
              <w:t>Történelmi időszak</w:t>
            </w:r>
            <w:r>
              <w:rPr>
                <w:color w:val="000000"/>
                <w:sz w:val="18"/>
              </w:rPr>
              <w:br/>
            </w:r>
            <w:r>
              <w:tab/>
            </w:r>
            <w:r>
              <w:tab/>
            </w:r>
          </w:p>
        </w:tc>
      </w:tr>
      <w:tr w:rsidR="005624E3" w:rsidRPr="00842442" w:rsidTr="00101A80">
        <w:tc>
          <w:tcPr>
            <w:tcW w:w="10188" w:type="dxa"/>
            <w:gridSpan w:val="2"/>
          </w:tcPr>
          <w:p w:rsidR="005624E3" w:rsidRPr="00D50F76" w:rsidRDefault="005624E3" w:rsidP="00101A80">
            <w:pPr>
              <w:tabs>
                <w:tab w:val="left" w:pos="284"/>
              </w:tabs>
              <w:spacing w:before="120" w:line="360" w:lineRule="auto"/>
              <w:ind w:left="284" w:hanging="284"/>
              <w:rPr>
                <w:rFonts w:cs="Arial"/>
                <w:color w:val="000000"/>
                <w:sz w:val="18"/>
                <w:lang w:val="pt-PT"/>
              </w:rPr>
            </w:pPr>
            <w:r w:rsidRPr="00D50F76">
              <w:rPr>
                <w:color w:val="000000"/>
                <w:sz w:val="18"/>
                <w:lang w:val="pt-PT"/>
              </w:rPr>
              <w:t>5.</w:t>
            </w:r>
            <w:r w:rsidRPr="00D50F76">
              <w:rPr>
                <w:lang w:val="pt-PT"/>
              </w:rPr>
              <w:tab/>
            </w:r>
            <w:r w:rsidRPr="00D50F76">
              <w:rPr>
                <w:color w:val="000000"/>
                <w:sz w:val="18"/>
                <w:lang w:val="pt-PT"/>
              </w:rPr>
              <w:t xml:space="preserve">Igazolom, hogy a fenti tradicionális vízi jármű </w:t>
            </w:r>
          </w:p>
          <w:p w:rsidR="005624E3" w:rsidRPr="00D50F76" w:rsidRDefault="005624E3" w:rsidP="00101A80">
            <w:pPr>
              <w:tabs>
                <w:tab w:val="left" w:pos="284"/>
                <w:tab w:val="left" w:leader="dot" w:pos="4820"/>
              </w:tabs>
              <w:spacing w:before="120" w:line="360" w:lineRule="auto"/>
              <w:ind w:left="284"/>
              <w:rPr>
                <w:rFonts w:cs="Arial"/>
                <w:color w:val="000000"/>
                <w:sz w:val="18"/>
                <w:lang w:val="pt-PT"/>
              </w:rPr>
            </w:pPr>
            <w:r w:rsidRPr="00D50F76">
              <w:rPr>
                <w:color w:val="000000"/>
                <w:sz w:val="18"/>
                <w:lang w:val="pt-PT"/>
              </w:rPr>
              <w:t>a</w:t>
            </w:r>
            <w:r>
              <w:rPr>
                <w:color w:val="000000"/>
                <w:sz w:val="18"/>
                <w:lang w:val="pt-PT"/>
              </w:rPr>
              <w:t>(z)</w:t>
            </w:r>
            <w:r w:rsidRPr="00D50F76">
              <w:rPr>
                <w:color w:val="000000"/>
                <w:sz w:val="18"/>
                <w:lang w:val="pt-PT"/>
              </w:rPr>
              <w:t>......................-án/-én végzett ellenőrzés,</w:t>
            </w:r>
          </w:p>
          <w:p w:rsidR="005624E3" w:rsidRPr="00920C17" w:rsidRDefault="005624E3" w:rsidP="00101A80">
            <w:pPr>
              <w:tabs>
                <w:tab w:val="left" w:pos="284"/>
                <w:tab w:val="left" w:leader="dot" w:pos="4820"/>
              </w:tabs>
              <w:spacing w:before="120" w:line="360" w:lineRule="auto"/>
              <w:ind w:left="284"/>
              <w:rPr>
                <w:color w:val="000000"/>
                <w:sz w:val="18"/>
                <w:lang w:val="pt-PT"/>
              </w:rPr>
            </w:pPr>
            <w:r w:rsidRPr="00920C17">
              <w:rPr>
                <w:color w:val="000000"/>
                <w:sz w:val="18"/>
                <w:lang w:val="pt-PT"/>
              </w:rPr>
              <w:t>valamint az örökségvédelmi hatóság /az alábbi tradicionálisvízijármű-szakértő*)</w:t>
            </w:r>
          </w:p>
          <w:p w:rsidR="005624E3" w:rsidRDefault="005624E3" w:rsidP="00101A80">
            <w:pPr>
              <w:tabs>
                <w:tab w:val="left" w:pos="284"/>
                <w:tab w:val="left" w:leader="dot" w:pos="5812"/>
                <w:tab w:val="left" w:leader="dot" w:pos="8789"/>
              </w:tabs>
              <w:spacing w:line="360" w:lineRule="auto"/>
              <w:ind w:left="284"/>
              <w:rPr>
                <w:color w:val="000000"/>
                <w:sz w:val="18"/>
                <w:lang w:val="pt-PT"/>
              </w:rPr>
            </w:pPr>
            <w:r w:rsidRPr="00D50F76">
              <w:rPr>
                <w:lang w:val="pt-PT"/>
              </w:rPr>
              <w:tab/>
            </w:r>
            <w:r w:rsidRPr="00D50F76">
              <w:rPr>
                <w:color w:val="000000"/>
                <w:sz w:val="18"/>
                <w:lang w:val="pt-PT"/>
              </w:rPr>
              <w:t xml:space="preserve"> -án/-én kelt szakértői jelentése alapján</w:t>
            </w:r>
          </w:p>
          <w:p w:rsidR="005624E3" w:rsidRPr="00D50F76" w:rsidRDefault="005624E3" w:rsidP="00101A80">
            <w:pPr>
              <w:tabs>
                <w:tab w:val="left" w:pos="284"/>
                <w:tab w:val="left" w:leader="dot" w:pos="5812"/>
                <w:tab w:val="left" w:leader="dot" w:pos="8789"/>
              </w:tabs>
              <w:spacing w:line="360" w:lineRule="auto"/>
              <w:ind w:left="284"/>
              <w:rPr>
                <w:rFonts w:cs="Arial"/>
                <w:color w:val="000000"/>
                <w:lang w:val="pt-PT"/>
              </w:rPr>
            </w:pPr>
            <w:r w:rsidRPr="00D50F76">
              <w:rPr>
                <w:color w:val="000000"/>
                <w:sz w:val="18"/>
                <w:lang w:val="pt-PT"/>
              </w:rPr>
              <w:t xml:space="preserve">a következő előírásoknak: </w:t>
            </w:r>
          </w:p>
          <w:p w:rsidR="005624E3" w:rsidRPr="00D50F76" w:rsidRDefault="005624E3" w:rsidP="00101A80">
            <w:pPr>
              <w:spacing w:line="360" w:lineRule="auto"/>
              <w:ind w:left="709"/>
              <w:rPr>
                <w:rFonts w:cs="Arial"/>
                <w:color w:val="000000"/>
                <w:lang w:val="pt-PT"/>
              </w:rPr>
            </w:pPr>
            <w:r w:rsidRPr="00D50F76">
              <w:rPr>
                <w:color w:val="000000"/>
                <w:sz w:val="18"/>
                <w:lang w:val="pt-PT"/>
              </w:rPr>
              <w:t>-</w:t>
            </w:r>
            <w:r w:rsidRPr="00D50F76">
              <w:rPr>
                <w:lang w:val="pt-PT"/>
              </w:rPr>
              <w:tab/>
            </w:r>
            <w:r w:rsidRPr="00D50F76">
              <w:rPr>
                <w:color w:val="000000"/>
                <w:sz w:val="18"/>
                <w:lang w:val="pt-PT"/>
              </w:rPr>
              <w:t>a 6. rovatban felsorolt eltérések, valamint</w:t>
            </w:r>
          </w:p>
          <w:p w:rsidR="005624E3" w:rsidRPr="00D50F76" w:rsidRDefault="005624E3" w:rsidP="00101A80">
            <w:pPr>
              <w:spacing w:line="360" w:lineRule="auto"/>
              <w:ind w:left="709"/>
              <w:rPr>
                <w:rFonts w:cs="Arial"/>
                <w:color w:val="000000"/>
                <w:lang w:val="pt-PT"/>
              </w:rPr>
            </w:pPr>
            <w:r w:rsidRPr="00D50F76">
              <w:rPr>
                <w:color w:val="000000"/>
                <w:sz w:val="18"/>
                <w:lang w:val="pt-PT"/>
              </w:rPr>
              <w:t>-</w:t>
            </w:r>
            <w:r w:rsidRPr="00D50F76">
              <w:rPr>
                <w:lang w:val="pt-PT"/>
              </w:rPr>
              <w:tab/>
            </w:r>
            <w:r w:rsidRPr="00D50F76">
              <w:rPr>
                <w:color w:val="000000"/>
                <w:sz w:val="18"/>
                <w:lang w:val="pt-PT"/>
              </w:rPr>
              <w:t>a 7. rovatban megadott kiegészítő követelmények</w:t>
            </w:r>
          </w:p>
          <w:p w:rsidR="005624E3" w:rsidRPr="00D50F76" w:rsidRDefault="005624E3" w:rsidP="00101A80">
            <w:pPr>
              <w:spacing w:line="360" w:lineRule="auto"/>
              <w:ind w:left="284"/>
              <w:rPr>
                <w:rFonts w:cs="Arial"/>
                <w:color w:val="000000"/>
                <w:lang w:val="pt-PT"/>
              </w:rPr>
            </w:pPr>
            <w:r w:rsidRPr="00D50F76">
              <w:rPr>
                <w:color w:val="000000"/>
                <w:sz w:val="18"/>
                <w:lang w:val="pt-PT"/>
              </w:rPr>
              <w:t>megfelel.</w:t>
            </w:r>
          </w:p>
        </w:tc>
      </w:tr>
      <w:tr w:rsidR="005624E3" w:rsidRPr="00842442" w:rsidTr="00101A80">
        <w:tc>
          <w:tcPr>
            <w:tcW w:w="10188" w:type="dxa"/>
            <w:gridSpan w:val="2"/>
          </w:tcPr>
          <w:p w:rsidR="005624E3" w:rsidRPr="00D50F76" w:rsidRDefault="005624E3" w:rsidP="00101A80">
            <w:pPr>
              <w:rPr>
                <w:rFonts w:cs="Arial"/>
                <w:color w:val="000000"/>
                <w:lang w:val="pt-PT"/>
              </w:rPr>
            </w:pPr>
          </w:p>
          <w:p w:rsidR="005624E3" w:rsidRPr="00D50F76" w:rsidRDefault="005624E3" w:rsidP="00101A80">
            <w:pPr>
              <w:tabs>
                <w:tab w:val="left" w:leader="dot" w:pos="3969"/>
                <w:tab w:val="left" w:leader="dot" w:pos="6237"/>
                <w:tab w:val="left" w:leader="dot" w:pos="8789"/>
              </w:tabs>
              <w:ind w:left="284"/>
              <w:rPr>
                <w:rFonts w:cs="Arial"/>
                <w:color w:val="000000"/>
                <w:lang w:val="pt-PT"/>
              </w:rPr>
            </w:pPr>
            <w:r w:rsidRPr="00D50F76">
              <w:rPr>
                <w:lang w:val="pt-PT"/>
              </w:rPr>
              <w:tab/>
            </w:r>
            <w:r w:rsidRPr="00D50F76">
              <w:rPr>
                <w:color w:val="000000"/>
                <w:lang w:val="pt-PT"/>
              </w:rPr>
              <w:t xml:space="preserve">, </w:t>
            </w:r>
            <w:r w:rsidRPr="00D50F76">
              <w:rPr>
                <w:lang w:val="pt-PT"/>
              </w:rPr>
              <w:tab/>
            </w:r>
          </w:p>
          <w:p w:rsidR="005624E3" w:rsidRPr="00D50F76" w:rsidRDefault="005624E3" w:rsidP="00101A80">
            <w:pPr>
              <w:tabs>
                <w:tab w:val="center" w:pos="2127"/>
                <w:tab w:val="center" w:pos="5103"/>
                <w:tab w:val="center" w:pos="8080"/>
              </w:tabs>
              <w:ind w:firstLine="1"/>
              <w:rPr>
                <w:rFonts w:cs="Arial"/>
                <w:color w:val="000000"/>
                <w:lang w:val="pt-PT"/>
              </w:rPr>
            </w:pPr>
            <w:r w:rsidRPr="00D50F76">
              <w:rPr>
                <w:lang w:val="pt-PT"/>
              </w:rPr>
              <w:tab/>
            </w:r>
            <w:r w:rsidRPr="00D50F76">
              <w:rPr>
                <w:color w:val="000000"/>
                <w:sz w:val="16"/>
                <w:lang w:val="pt-PT"/>
              </w:rPr>
              <w:t>(Hely)</w:t>
            </w:r>
            <w:r w:rsidRPr="00D50F76">
              <w:rPr>
                <w:lang w:val="pt-PT"/>
              </w:rPr>
              <w:tab/>
            </w:r>
            <w:r w:rsidRPr="00D50F76">
              <w:rPr>
                <w:color w:val="000000"/>
                <w:sz w:val="16"/>
                <w:lang w:val="pt-PT"/>
              </w:rPr>
              <w:t>(Dátum)</w:t>
            </w:r>
          </w:p>
          <w:p w:rsidR="005624E3" w:rsidRPr="00D50F76" w:rsidRDefault="005624E3" w:rsidP="00101A80">
            <w:pPr>
              <w:rPr>
                <w:rFonts w:cs="Arial"/>
                <w:color w:val="000000"/>
                <w:lang w:val="pt-PT"/>
              </w:rPr>
            </w:pPr>
          </w:p>
          <w:p w:rsidR="005624E3" w:rsidRPr="00D50F76" w:rsidRDefault="005624E3" w:rsidP="00101A80">
            <w:pPr>
              <w:tabs>
                <w:tab w:val="left" w:pos="4820"/>
                <w:tab w:val="left" w:leader="dot" w:pos="8789"/>
              </w:tabs>
              <w:ind w:firstLine="1"/>
              <w:rPr>
                <w:rFonts w:cs="Arial"/>
                <w:color w:val="000000"/>
                <w:lang w:val="pt-PT"/>
              </w:rPr>
            </w:pPr>
            <w:r w:rsidRPr="00D50F76">
              <w:rPr>
                <w:lang w:val="pt-PT"/>
              </w:rPr>
              <w:tab/>
            </w:r>
            <w:r w:rsidRPr="00D50F76">
              <w:rPr>
                <w:lang w:val="pt-PT"/>
              </w:rPr>
              <w:tab/>
            </w:r>
          </w:p>
          <w:p w:rsidR="005624E3" w:rsidRPr="00D50F76" w:rsidRDefault="005624E3" w:rsidP="00101A80">
            <w:pPr>
              <w:tabs>
                <w:tab w:val="center" w:pos="6804"/>
              </w:tabs>
              <w:ind w:firstLine="1"/>
              <w:rPr>
                <w:rFonts w:cs="Arial"/>
                <w:color w:val="000000"/>
                <w:lang w:val="pt-PT"/>
              </w:rPr>
            </w:pPr>
            <w:r w:rsidRPr="00D50F76">
              <w:rPr>
                <w:lang w:val="pt-PT"/>
              </w:rPr>
              <w:tab/>
            </w:r>
            <w:r w:rsidRPr="00D50F76">
              <w:rPr>
                <w:color w:val="000000"/>
                <w:sz w:val="16"/>
                <w:lang w:val="pt-PT"/>
              </w:rPr>
              <w:t>Ellenőrző szerv</w:t>
            </w:r>
          </w:p>
          <w:p w:rsidR="005624E3" w:rsidRPr="00D50F76" w:rsidRDefault="005624E3" w:rsidP="00101A80">
            <w:pPr>
              <w:tabs>
                <w:tab w:val="center" w:pos="1985"/>
              </w:tabs>
              <w:spacing w:before="120" w:line="240" w:lineRule="atLeast"/>
              <w:ind w:firstLine="1"/>
              <w:rPr>
                <w:rFonts w:cs="Arial"/>
                <w:color w:val="000000"/>
                <w:sz w:val="18"/>
                <w:szCs w:val="18"/>
                <w:lang w:val="pt-PT"/>
              </w:rPr>
            </w:pPr>
            <w:r w:rsidRPr="00D50F76">
              <w:rPr>
                <w:lang w:val="pt-PT"/>
              </w:rPr>
              <w:tab/>
            </w:r>
            <w:r w:rsidRPr="00D50F76">
              <w:rPr>
                <w:color w:val="000000"/>
                <w:sz w:val="18"/>
                <w:lang w:val="pt-PT"/>
              </w:rPr>
              <w:t>Bélyegző</w:t>
            </w:r>
          </w:p>
          <w:p w:rsidR="005624E3" w:rsidRPr="00D50F76" w:rsidRDefault="005624E3" w:rsidP="00101A80">
            <w:pPr>
              <w:tabs>
                <w:tab w:val="left" w:pos="4820"/>
                <w:tab w:val="left" w:leader="dot" w:pos="8789"/>
              </w:tabs>
              <w:spacing w:before="120" w:line="240" w:lineRule="atLeast"/>
              <w:ind w:firstLine="1"/>
              <w:rPr>
                <w:rFonts w:cs="Arial"/>
                <w:color w:val="000000"/>
                <w:lang w:val="pt-PT"/>
              </w:rPr>
            </w:pPr>
            <w:r w:rsidRPr="00D50F76">
              <w:rPr>
                <w:lang w:val="pt-PT"/>
              </w:rPr>
              <w:tab/>
            </w:r>
            <w:r w:rsidRPr="00D50F76">
              <w:rPr>
                <w:lang w:val="pt-PT"/>
              </w:rPr>
              <w:tab/>
            </w:r>
          </w:p>
          <w:p w:rsidR="005624E3" w:rsidRPr="00D50F76" w:rsidRDefault="005624E3" w:rsidP="00101A80">
            <w:pPr>
              <w:tabs>
                <w:tab w:val="center" w:pos="6804"/>
              </w:tabs>
              <w:ind w:firstLine="1"/>
              <w:rPr>
                <w:rFonts w:cs="Arial"/>
                <w:color w:val="000000"/>
                <w:sz w:val="16"/>
                <w:lang w:val="pt-PT"/>
              </w:rPr>
            </w:pPr>
            <w:r w:rsidRPr="00D50F76">
              <w:rPr>
                <w:lang w:val="pt-PT"/>
              </w:rPr>
              <w:tab/>
            </w:r>
            <w:r w:rsidRPr="00D50F76">
              <w:rPr>
                <w:color w:val="000000"/>
                <w:sz w:val="16"/>
                <w:lang w:val="pt-PT"/>
              </w:rPr>
              <w:t>(Aláírás)</w:t>
            </w:r>
          </w:p>
          <w:p w:rsidR="005624E3" w:rsidRPr="00D50F76" w:rsidRDefault="005624E3" w:rsidP="00101A80">
            <w:pPr>
              <w:ind w:firstLine="1"/>
              <w:rPr>
                <w:rFonts w:cs="Arial"/>
                <w:color w:val="000000"/>
                <w:lang w:val="pt-PT"/>
              </w:rPr>
            </w:pPr>
          </w:p>
          <w:p w:rsidR="005624E3" w:rsidRPr="00D50F76" w:rsidRDefault="005624E3" w:rsidP="00101A80">
            <w:pPr>
              <w:ind w:firstLine="1"/>
              <w:rPr>
                <w:rFonts w:cs="Arial"/>
                <w:color w:val="000000"/>
                <w:lang w:val="pt-PT"/>
              </w:rPr>
            </w:pPr>
          </w:p>
          <w:p w:rsidR="005624E3" w:rsidRPr="00D50F76" w:rsidRDefault="005624E3" w:rsidP="00101A80">
            <w:pPr>
              <w:tabs>
                <w:tab w:val="left" w:leader="dot" w:pos="8789"/>
              </w:tabs>
              <w:ind w:left="3261"/>
              <w:rPr>
                <w:rFonts w:cs="Arial"/>
                <w:color w:val="000000"/>
                <w:sz w:val="16"/>
                <w:lang w:val="pt-PT"/>
              </w:rPr>
            </w:pPr>
            <w:r w:rsidRPr="00D50F76">
              <w:rPr>
                <w:lang w:val="pt-PT"/>
              </w:rPr>
              <w:tab/>
            </w:r>
          </w:p>
          <w:p w:rsidR="005624E3" w:rsidRPr="00D50F76" w:rsidRDefault="005624E3" w:rsidP="00101A80">
            <w:pPr>
              <w:ind w:left="4111"/>
              <w:rPr>
                <w:rFonts w:cs="Arial"/>
                <w:color w:val="000000"/>
                <w:sz w:val="16"/>
                <w:lang w:val="pt-PT"/>
              </w:rPr>
            </w:pPr>
            <w:r w:rsidRPr="00D50F76">
              <w:rPr>
                <w:color w:val="000000"/>
                <w:sz w:val="16"/>
                <w:lang w:val="pt-PT"/>
              </w:rPr>
              <w:t>A tradicionálisvízijármű-szakértő neve/címe</w:t>
            </w:r>
          </w:p>
          <w:p w:rsidR="005624E3" w:rsidRPr="00D50F76" w:rsidRDefault="005624E3" w:rsidP="00101A80">
            <w:pPr>
              <w:ind w:firstLine="1"/>
              <w:rPr>
                <w:rFonts w:cs="Arial"/>
                <w:color w:val="000000"/>
                <w:lang w:val="pt-PT"/>
              </w:rPr>
            </w:pPr>
          </w:p>
          <w:p w:rsidR="005624E3" w:rsidRPr="00D50F76" w:rsidRDefault="005624E3" w:rsidP="00101A80">
            <w:pPr>
              <w:rPr>
                <w:rFonts w:cs="Arial"/>
                <w:color w:val="000000"/>
                <w:sz w:val="12"/>
                <w:lang w:val="pt-PT"/>
              </w:rPr>
            </w:pPr>
            <w:r w:rsidRPr="00D50F76">
              <w:rPr>
                <w:color w:val="000000"/>
                <w:sz w:val="12"/>
                <w:lang w:val="pt-PT"/>
              </w:rPr>
              <w:t>___________________________________</w:t>
            </w:r>
          </w:p>
          <w:p w:rsidR="005624E3" w:rsidRPr="00D50F76" w:rsidRDefault="005624E3" w:rsidP="00101A80">
            <w:pPr>
              <w:spacing w:before="40" w:after="40" w:line="240" w:lineRule="atLeast"/>
              <w:ind w:left="284" w:hanging="284"/>
              <w:rPr>
                <w:rFonts w:cs="Arial"/>
                <w:color w:val="000000"/>
                <w:sz w:val="16"/>
                <w:szCs w:val="16"/>
                <w:lang w:val="pt-PT"/>
              </w:rPr>
            </w:pPr>
            <w:r w:rsidRPr="00D50F76">
              <w:rPr>
                <w:sz w:val="16"/>
                <w:lang w:val="pt-PT"/>
              </w:rPr>
              <w:t>*)</w:t>
            </w:r>
            <w:r w:rsidRPr="00D50F76">
              <w:rPr>
                <w:lang w:val="pt-PT"/>
              </w:rPr>
              <w:tab/>
            </w:r>
            <w:r w:rsidRPr="00D50F76">
              <w:rPr>
                <w:color w:val="000000"/>
                <w:sz w:val="16"/>
                <w:lang w:val="pt-PT"/>
              </w:rPr>
              <w:t xml:space="preserve">A nem kívánt rész törlendő. </w:t>
            </w:r>
          </w:p>
        </w:tc>
      </w:tr>
    </w:tbl>
    <w:p w:rsidR="005624E3" w:rsidRPr="00D50F76" w:rsidRDefault="005624E3" w:rsidP="005624E3">
      <w:pPr>
        <w:tabs>
          <w:tab w:val="center" w:pos="8222"/>
        </w:tabs>
        <w:rPr>
          <w:lang w:val="pt-PT"/>
        </w:rPr>
      </w:pPr>
    </w:p>
    <w:p w:rsidR="005624E3" w:rsidRPr="00D50F76" w:rsidRDefault="005624E3" w:rsidP="005624E3">
      <w:pPr>
        <w:tabs>
          <w:tab w:val="center" w:pos="8222"/>
        </w:tabs>
        <w:rPr>
          <w:lang w:val="pt-PT"/>
        </w:rPr>
      </w:pPr>
    </w:p>
    <w:p w:rsidR="005624E3" w:rsidRPr="00D50F76" w:rsidRDefault="005624E3" w:rsidP="005624E3">
      <w:pPr>
        <w:tabs>
          <w:tab w:val="center" w:pos="8222"/>
        </w:tabs>
        <w:rPr>
          <w:lang w:val="pt-PT"/>
        </w:rPr>
      </w:pPr>
      <w:r w:rsidRPr="00D50F76">
        <w:rPr>
          <w:lang w:val="pt-PT"/>
        </w:rPr>
        <w:br w:type="page"/>
      </w:r>
    </w:p>
    <w:p w:rsidR="005624E3" w:rsidRPr="00D50F76" w:rsidRDefault="005624E3" w:rsidP="005624E3">
      <w:pPr>
        <w:tabs>
          <w:tab w:val="center" w:pos="8222"/>
        </w:tabs>
        <w:rPr>
          <w:lang w:val="pt-PT"/>
        </w:rPr>
      </w:pPr>
    </w:p>
    <w:p w:rsidR="005624E3" w:rsidRPr="00D50F76" w:rsidRDefault="005624E3" w:rsidP="005624E3">
      <w:pPr>
        <w:tabs>
          <w:tab w:val="left" w:leader="dot" w:pos="8364"/>
        </w:tabs>
        <w:spacing w:line="240" w:lineRule="atLeast"/>
        <w:jc w:val="center"/>
        <w:rPr>
          <w:b/>
          <w:color w:val="000000"/>
          <w:sz w:val="18"/>
          <w:szCs w:val="18"/>
          <w:lang w:val="pt-PT"/>
        </w:rPr>
      </w:pPr>
      <w:r w:rsidRPr="00D50F76">
        <w:rPr>
          <w:b/>
          <w:color w:val="000000"/>
          <w:lang w:val="pt-PT"/>
        </w:rPr>
        <w:t xml:space="preserve">Melléklet a(z) ..... számú belvízi hajóbizonyítványhoz </w:t>
      </w:r>
      <w:r w:rsidRPr="00D50F76">
        <w:rPr>
          <w:lang w:val="pt-PT"/>
        </w:rPr>
        <w:tab/>
      </w: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5624E3" w:rsidRPr="00842442" w:rsidTr="00101A80">
        <w:tc>
          <w:tcPr>
            <w:tcW w:w="5063" w:type="dxa"/>
            <w:tcBorders>
              <w:bottom w:val="nil"/>
            </w:tcBorders>
          </w:tcPr>
          <w:p w:rsidR="005624E3" w:rsidRPr="00D50F76" w:rsidRDefault="005624E3" w:rsidP="00101A80">
            <w:pPr>
              <w:spacing w:before="80" w:after="60" w:line="240" w:lineRule="atLeast"/>
              <w:ind w:left="284" w:hanging="284"/>
              <w:rPr>
                <w:rFonts w:cs="Arial"/>
                <w:color w:val="000000"/>
                <w:sz w:val="18"/>
                <w:szCs w:val="18"/>
                <w:lang w:val="pt-PT"/>
              </w:rPr>
            </w:pPr>
            <w:r w:rsidRPr="00D50F76">
              <w:rPr>
                <w:color w:val="000000"/>
                <w:sz w:val="18"/>
                <w:lang w:val="pt-PT"/>
              </w:rPr>
              <w:t>6.</w:t>
            </w:r>
            <w:r w:rsidRPr="00D50F76">
              <w:rPr>
                <w:lang w:val="pt-PT"/>
              </w:rPr>
              <w:tab/>
            </w:r>
            <w:r w:rsidRPr="00D50F76">
              <w:rPr>
                <w:color w:val="000000"/>
                <w:sz w:val="18"/>
                <w:lang w:val="pt-PT"/>
              </w:rPr>
              <w:t>A választott történeti időszak esetében a vonatkozó szabványban meghatározott műszaki feltételektől való eltérések az elismerés időpontjában:</w:t>
            </w:r>
          </w:p>
        </w:tc>
        <w:tc>
          <w:tcPr>
            <w:tcW w:w="5063" w:type="dxa"/>
            <w:tcBorders>
              <w:bottom w:val="nil"/>
            </w:tcBorders>
          </w:tcPr>
          <w:p w:rsidR="005624E3" w:rsidRPr="00D50F76" w:rsidRDefault="005624E3" w:rsidP="00101A80">
            <w:pPr>
              <w:spacing w:before="80" w:after="60" w:line="240" w:lineRule="atLeast"/>
              <w:ind w:left="284" w:hanging="284"/>
              <w:rPr>
                <w:rFonts w:cs="Arial"/>
                <w:color w:val="000000"/>
                <w:sz w:val="18"/>
                <w:szCs w:val="18"/>
                <w:lang w:val="pt-PT"/>
              </w:rPr>
            </w:pPr>
            <w:r w:rsidRPr="00D50F76">
              <w:rPr>
                <w:color w:val="000000"/>
                <w:sz w:val="18"/>
                <w:lang w:val="pt-PT"/>
              </w:rPr>
              <w:t>7.</w:t>
            </w:r>
            <w:r w:rsidRPr="00D50F76">
              <w:rPr>
                <w:lang w:val="pt-PT"/>
              </w:rPr>
              <w:tab/>
            </w:r>
            <w:r w:rsidRPr="00D50F76">
              <w:rPr>
                <w:color w:val="000000"/>
                <w:sz w:val="18"/>
                <w:lang w:val="pt-PT"/>
              </w:rPr>
              <w:t>A 6. rovatban felsorolt eltérésekből adódó kiegészítő követelmények:</w:t>
            </w:r>
          </w:p>
        </w:tc>
      </w:tr>
      <w:tr w:rsidR="005624E3" w:rsidRPr="00842442" w:rsidTr="00101A80">
        <w:tc>
          <w:tcPr>
            <w:tcW w:w="5063" w:type="dxa"/>
            <w:tcBorders>
              <w:top w:val="nil"/>
            </w:tcBorders>
          </w:tcPr>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253"/>
              </w:tabs>
              <w:spacing w:line="360" w:lineRule="auto"/>
              <w:ind w:left="284"/>
              <w:rPr>
                <w:rFonts w:cs="Arial"/>
                <w:color w:val="000000"/>
                <w:sz w:val="18"/>
                <w:szCs w:val="18"/>
                <w:lang w:val="pt-PT"/>
              </w:rPr>
            </w:pPr>
            <w:r w:rsidRPr="00D50F76">
              <w:rPr>
                <w:lang w:val="pt-PT"/>
              </w:rPr>
              <w:tab/>
            </w:r>
            <w:r w:rsidRPr="00D50F76">
              <w:rPr>
                <w:lang w:val="pt-PT"/>
              </w:rPr>
              <w:tab/>
            </w:r>
          </w:p>
        </w:tc>
        <w:tc>
          <w:tcPr>
            <w:tcW w:w="5063" w:type="dxa"/>
            <w:tcBorders>
              <w:top w:val="nil"/>
            </w:tcBorders>
          </w:tcPr>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p w:rsidR="005624E3" w:rsidRPr="00D50F76" w:rsidRDefault="005624E3" w:rsidP="00101A80">
            <w:pPr>
              <w:tabs>
                <w:tab w:val="left" w:leader="dot" w:pos="4196"/>
              </w:tabs>
              <w:spacing w:line="360" w:lineRule="auto"/>
              <w:ind w:left="284"/>
              <w:rPr>
                <w:rFonts w:cs="Arial"/>
                <w:color w:val="000000"/>
                <w:sz w:val="18"/>
                <w:szCs w:val="18"/>
                <w:lang w:val="pt-PT"/>
              </w:rPr>
            </w:pPr>
            <w:r w:rsidRPr="00D50F76">
              <w:rPr>
                <w:lang w:val="pt-PT"/>
              </w:rPr>
              <w:tab/>
            </w:r>
            <w:r w:rsidRPr="00D50F76">
              <w:rPr>
                <w:lang w:val="pt-PT"/>
              </w:rPr>
              <w:tab/>
            </w:r>
          </w:p>
        </w:tc>
      </w:tr>
      <w:tr w:rsidR="005624E3" w:rsidRPr="0091173E" w:rsidTr="00101A80">
        <w:tc>
          <w:tcPr>
            <w:tcW w:w="10126" w:type="dxa"/>
            <w:gridSpan w:val="2"/>
          </w:tcPr>
          <w:p w:rsidR="005624E3" w:rsidRPr="0091173E" w:rsidRDefault="005624E3" w:rsidP="00101A80">
            <w:pPr>
              <w:spacing w:before="80"/>
              <w:ind w:left="284" w:hanging="284"/>
              <w:rPr>
                <w:rFonts w:cs="Arial"/>
                <w:sz w:val="18"/>
                <w:szCs w:val="18"/>
              </w:rPr>
            </w:pPr>
            <w:r>
              <w:rPr>
                <w:sz w:val="18"/>
              </w:rPr>
              <w:t>8.</w:t>
            </w:r>
            <w:r>
              <w:tab/>
            </w:r>
            <w:r>
              <w:rPr>
                <w:sz w:val="18"/>
              </w:rPr>
              <w:t>Egyéb feltételek:</w:t>
            </w:r>
          </w:p>
          <w:p w:rsidR="005624E3" w:rsidRPr="0091173E" w:rsidRDefault="005624E3" w:rsidP="00101A80">
            <w:pPr>
              <w:tabs>
                <w:tab w:val="left" w:leader="dot" w:pos="8789"/>
              </w:tabs>
              <w:spacing w:before="40" w:line="360" w:lineRule="auto"/>
              <w:ind w:left="284"/>
              <w:rPr>
                <w:rFonts w:cs="Arial"/>
                <w:color w:val="000000"/>
                <w:sz w:val="18"/>
                <w:szCs w:val="18"/>
              </w:rPr>
            </w:pPr>
            <w:r>
              <w:tab/>
            </w:r>
            <w:r>
              <w:tab/>
            </w:r>
          </w:p>
          <w:p w:rsidR="005624E3" w:rsidRPr="0091173E" w:rsidRDefault="005624E3" w:rsidP="00101A80">
            <w:pPr>
              <w:tabs>
                <w:tab w:val="left" w:leader="dot" w:pos="8789"/>
              </w:tabs>
              <w:spacing w:before="40" w:line="360" w:lineRule="auto"/>
              <w:ind w:left="284"/>
              <w:rPr>
                <w:rFonts w:cs="Arial"/>
                <w:color w:val="000000"/>
                <w:sz w:val="18"/>
                <w:szCs w:val="18"/>
              </w:rPr>
            </w:pPr>
            <w:r>
              <w:tab/>
            </w:r>
            <w:r>
              <w:tab/>
            </w:r>
          </w:p>
        </w:tc>
      </w:tr>
      <w:tr w:rsidR="005624E3" w:rsidRPr="0091173E" w:rsidTr="00101A80">
        <w:tc>
          <w:tcPr>
            <w:tcW w:w="10126" w:type="dxa"/>
            <w:gridSpan w:val="2"/>
          </w:tcPr>
          <w:p w:rsidR="005624E3" w:rsidRPr="0091173E" w:rsidRDefault="005624E3" w:rsidP="00101A80">
            <w:pPr>
              <w:spacing w:before="80"/>
              <w:ind w:left="284" w:hanging="284"/>
              <w:rPr>
                <w:rFonts w:cs="Arial"/>
                <w:sz w:val="18"/>
                <w:szCs w:val="18"/>
              </w:rPr>
            </w:pPr>
            <w:r>
              <w:rPr>
                <w:sz w:val="18"/>
              </w:rPr>
              <w:t>9.</w:t>
            </w:r>
            <w:r>
              <w:tab/>
            </w:r>
            <w:r>
              <w:rPr>
                <w:sz w:val="18"/>
              </w:rPr>
              <w:t>Megjegyzések:</w:t>
            </w:r>
          </w:p>
          <w:p w:rsidR="005624E3" w:rsidRPr="0091173E" w:rsidRDefault="005624E3" w:rsidP="00101A80">
            <w:pPr>
              <w:tabs>
                <w:tab w:val="left" w:leader="dot" w:pos="8789"/>
              </w:tabs>
              <w:spacing w:before="40" w:line="360" w:lineRule="auto"/>
              <w:ind w:left="284"/>
              <w:rPr>
                <w:rFonts w:cs="Arial"/>
                <w:color w:val="000000"/>
                <w:sz w:val="18"/>
                <w:szCs w:val="18"/>
              </w:rPr>
            </w:pPr>
            <w:r>
              <w:tab/>
            </w:r>
            <w:r>
              <w:tab/>
            </w:r>
          </w:p>
          <w:p w:rsidR="005624E3" w:rsidRPr="0091173E" w:rsidRDefault="005624E3" w:rsidP="00101A80">
            <w:pPr>
              <w:tabs>
                <w:tab w:val="left" w:leader="dot" w:pos="8789"/>
              </w:tabs>
              <w:spacing w:before="40" w:line="360" w:lineRule="auto"/>
              <w:ind w:left="284"/>
              <w:rPr>
                <w:rFonts w:cs="Arial"/>
                <w:color w:val="000000"/>
                <w:sz w:val="18"/>
                <w:szCs w:val="18"/>
              </w:rPr>
            </w:pPr>
            <w:r>
              <w:tab/>
            </w:r>
            <w:r>
              <w:tab/>
            </w:r>
          </w:p>
        </w:tc>
      </w:tr>
      <w:tr w:rsidR="005624E3" w:rsidRPr="00842442" w:rsidTr="00101A80">
        <w:tc>
          <w:tcPr>
            <w:tcW w:w="10126" w:type="dxa"/>
            <w:gridSpan w:val="2"/>
          </w:tcPr>
          <w:p w:rsidR="005624E3" w:rsidRPr="0091173E" w:rsidRDefault="005624E3" w:rsidP="00101A80">
            <w:pPr>
              <w:spacing w:before="80"/>
              <w:rPr>
                <w:rFonts w:cs="Arial"/>
                <w:color w:val="000000"/>
                <w:sz w:val="18"/>
                <w:szCs w:val="18"/>
              </w:rPr>
            </w:pPr>
            <w:r>
              <w:rPr>
                <w:sz w:val="18"/>
              </w:rPr>
              <w:t>Ez az oldal kiadásra került / ki lett cserélve (*)</w:t>
            </w:r>
          </w:p>
          <w:p w:rsidR="005624E3" w:rsidRPr="0091173E" w:rsidRDefault="005624E3" w:rsidP="00101A80">
            <w:pPr>
              <w:rPr>
                <w:rFonts w:cs="Arial"/>
                <w:color w:val="000000"/>
                <w:sz w:val="18"/>
                <w:szCs w:val="18"/>
              </w:rPr>
            </w:pPr>
          </w:p>
          <w:p w:rsidR="005624E3" w:rsidRPr="0091173E" w:rsidRDefault="005624E3" w:rsidP="00101A80">
            <w:pPr>
              <w:tabs>
                <w:tab w:val="left" w:leader="dot" w:pos="4536"/>
                <w:tab w:val="center" w:pos="7088"/>
              </w:tabs>
              <w:spacing w:after="80" w:line="240" w:lineRule="atLeast"/>
              <w:rPr>
                <w:color w:val="000000"/>
                <w:sz w:val="18"/>
                <w:szCs w:val="18"/>
              </w:rPr>
            </w:pPr>
            <w:r>
              <w:rPr>
                <w:color w:val="000000"/>
                <w:sz w:val="18"/>
              </w:rPr>
              <w:t xml:space="preserve">Hely, dátum </w:t>
            </w:r>
            <w:r>
              <w:tab/>
            </w:r>
            <w:r>
              <w:tab/>
            </w:r>
            <w:r>
              <w:rPr>
                <w:color w:val="000000"/>
                <w:sz w:val="18"/>
              </w:rPr>
              <w:t>Ellenőrző szerv</w:t>
            </w:r>
          </w:p>
          <w:p w:rsidR="005624E3" w:rsidRPr="0091173E" w:rsidRDefault="005624E3" w:rsidP="00101A80">
            <w:pPr>
              <w:tabs>
                <w:tab w:val="left" w:pos="5387"/>
                <w:tab w:val="left" w:leader="dot" w:pos="8789"/>
              </w:tabs>
              <w:rPr>
                <w:rFonts w:cs="Arial"/>
                <w:color w:val="000000"/>
                <w:sz w:val="18"/>
                <w:szCs w:val="18"/>
              </w:rPr>
            </w:pPr>
            <w:r>
              <w:tab/>
            </w:r>
            <w:r>
              <w:tab/>
            </w:r>
          </w:p>
          <w:p w:rsidR="005624E3" w:rsidRPr="0091173E" w:rsidRDefault="005624E3" w:rsidP="00101A80">
            <w:pPr>
              <w:rPr>
                <w:rFonts w:cs="Arial"/>
                <w:color w:val="000000"/>
                <w:sz w:val="18"/>
                <w:szCs w:val="18"/>
              </w:rPr>
            </w:pPr>
          </w:p>
          <w:p w:rsidR="005624E3" w:rsidRPr="0091173E" w:rsidRDefault="005624E3" w:rsidP="00101A80">
            <w:pPr>
              <w:tabs>
                <w:tab w:val="center" w:pos="1985"/>
              </w:tabs>
              <w:rPr>
                <w:rFonts w:cs="Arial"/>
                <w:color w:val="000000"/>
                <w:sz w:val="18"/>
                <w:szCs w:val="18"/>
              </w:rPr>
            </w:pPr>
            <w:r>
              <w:tab/>
            </w:r>
            <w:r>
              <w:rPr>
                <w:color w:val="000000"/>
                <w:sz w:val="18"/>
              </w:rPr>
              <w:t>Bélyegző</w:t>
            </w:r>
          </w:p>
          <w:p w:rsidR="005624E3" w:rsidRPr="0091173E" w:rsidRDefault="005624E3" w:rsidP="00101A80">
            <w:pPr>
              <w:tabs>
                <w:tab w:val="left" w:leader="dot" w:pos="8789"/>
              </w:tabs>
              <w:ind w:left="5387"/>
              <w:rPr>
                <w:rFonts w:cs="Arial"/>
                <w:color w:val="000000"/>
              </w:rPr>
            </w:pPr>
            <w:r>
              <w:tab/>
            </w:r>
            <w:r>
              <w:tab/>
            </w:r>
          </w:p>
          <w:p w:rsidR="005624E3" w:rsidRPr="0091173E" w:rsidRDefault="005624E3" w:rsidP="00101A80">
            <w:pPr>
              <w:tabs>
                <w:tab w:val="center" w:pos="7088"/>
              </w:tabs>
              <w:rPr>
                <w:rFonts w:cs="Arial"/>
                <w:color w:val="000000"/>
                <w:sz w:val="16"/>
              </w:rPr>
            </w:pPr>
            <w:r>
              <w:tab/>
            </w:r>
            <w:r>
              <w:tab/>
            </w:r>
            <w:r>
              <w:rPr>
                <w:color w:val="000000"/>
                <w:sz w:val="16"/>
              </w:rPr>
              <w:t xml:space="preserve"> (Aláírás)</w:t>
            </w:r>
          </w:p>
          <w:p w:rsidR="005624E3" w:rsidRPr="0091173E" w:rsidRDefault="005624E3" w:rsidP="00101A80">
            <w:pPr>
              <w:rPr>
                <w:rFonts w:cs="Arial"/>
                <w:color w:val="000000"/>
              </w:rPr>
            </w:pPr>
          </w:p>
          <w:p w:rsidR="005624E3" w:rsidRPr="00D50F76" w:rsidRDefault="005624E3" w:rsidP="00101A80">
            <w:pPr>
              <w:rPr>
                <w:rFonts w:cs="Arial"/>
                <w:color w:val="000000"/>
                <w:sz w:val="12"/>
                <w:lang w:val="pt-PT"/>
              </w:rPr>
            </w:pPr>
            <w:r w:rsidRPr="00D50F76">
              <w:rPr>
                <w:color w:val="000000"/>
                <w:sz w:val="12"/>
                <w:lang w:val="pt-PT"/>
              </w:rPr>
              <w:t>___________________________________</w:t>
            </w:r>
          </w:p>
          <w:p w:rsidR="005624E3" w:rsidRPr="00D50F76" w:rsidRDefault="005624E3" w:rsidP="00101A80">
            <w:pPr>
              <w:spacing w:before="40" w:after="40" w:line="240" w:lineRule="atLeast"/>
              <w:ind w:left="284" w:hanging="284"/>
              <w:rPr>
                <w:rFonts w:cs="Arial"/>
                <w:color w:val="000000"/>
                <w:sz w:val="18"/>
                <w:szCs w:val="18"/>
                <w:lang w:val="pt-PT"/>
              </w:rPr>
            </w:pPr>
            <w:r w:rsidRPr="00D50F76">
              <w:rPr>
                <w:sz w:val="16"/>
                <w:lang w:val="pt-PT"/>
              </w:rPr>
              <w:t>*)</w:t>
            </w:r>
            <w:r w:rsidRPr="00D50F76">
              <w:rPr>
                <w:lang w:val="pt-PT"/>
              </w:rPr>
              <w:tab/>
            </w:r>
            <w:r w:rsidRPr="00D50F76">
              <w:rPr>
                <w:color w:val="000000"/>
                <w:sz w:val="16"/>
                <w:lang w:val="pt-PT"/>
              </w:rPr>
              <w:t>A nem kívánt rész törlendő.</w:t>
            </w:r>
          </w:p>
        </w:tc>
      </w:tr>
      <w:tr w:rsidR="005624E3" w:rsidRPr="00842442" w:rsidTr="00101A80">
        <w:tc>
          <w:tcPr>
            <w:tcW w:w="10126" w:type="dxa"/>
            <w:gridSpan w:val="2"/>
          </w:tcPr>
          <w:p w:rsidR="005624E3" w:rsidRPr="00842442" w:rsidRDefault="005624E3" w:rsidP="00101A80">
            <w:pPr>
              <w:tabs>
                <w:tab w:val="left" w:pos="5670"/>
                <w:tab w:val="left" w:leader="dot" w:pos="8789"/>
              </w:tabs>
              <w:spacing w:before="120" w:after="40"/>
              <w:ind w:left="5670"/>
              <w:rPr>
                <w:rFonts w:cs="Arial"/>
                <w:color w:val="000000"/>
                <w:sz w:val="18"/>
                <w:szCs w:val="18"/>
                <w:lang w:val="pt-PT"/>
              </w:rPr>
            </w:pPr>
            <w:r w:rsidRPr="00842442">
              <w:rPr>
                <w:color w:val="000000"/>
                <w:sz w:val="18"/>
                <w:lang w:val="pt-PT"/>
              </w:rPr>
              <w:t>Folytatás a(z) ............ oldalon</w:t>
            </w:r>
            <w:r w:rsidRPr="00842442">
              <w:rPr>
                <w:sz w:val="16"/>
                <w:lang w:val="pt-PT"/>
              </w:rPr>
              <w:t xml:space="preserve">*) </w:t>
            </w:r>
            <w:r w:rsidRPr="00842442">
              <w:rPr>
                <w:lang w:val="pt-PT"/>
              </w:rPr>
              <w:tab/>
            </w:r>
            <w:r w:rsidRPr="00842442">
              <w:rPr>
                <w:color w:val="000000"/>
                <w:sz w:val="18"/>
                <w:szCs w:val="18"/>
                <w:lang w:val="pt-PT"/>
              </w:rPr>
              <w:br/>
            </w:r>
            <w:r w:rsidRPr="00842442">
              <w:rPr>
                <w:color w:val="000000"/>
                <w:sz w:val="18"/>
                <w:lang w:val="pt-PT"/>
              </w:rPr>
              <w:t>A tradicionális vízi járművekre vonatkozó melléklet vége</w:t>
            </w:r>
            <w:r w:rsidRPr="00842442">
              <w:rPr>
                <w:sz w:val="16"/>
                <w:lang w:val="pt-PT"/>
              </w:rPr>
              <w:t>*)</w:t>
            </w:r>
          </w:p>
        </w:tc>
      </w:tr>
    </w:tbl>
    <w:p w:rsidR="005624E3" w:rsidRPr="00842442" w:rsidRDefault="005624E3" w:rsidP="005624E3">
      <w:pPr>
        <w:jc w:val="right"/>
        <w:outlineLvl w:val="0"/>
        <w:rPr>
          <w:lang w:val="pt-PT"/>
        </w:rPr>
      </w:pPr>
      <w:r w:rsidRPr="00842442">
        <w:rPr>
          <w:lang w:val="pt-PT"/>
        </w:rPr>
        <w:t> </w:t>
      </w:r>
    </w:p>
    <w:p w:rsidR="005624E3" w:rsidRPr="00842442" w:rsidRDefault="005624E3" w:rsidP="005624E3">
      <w:pPr>
        <w:spacing w:line="240" w:lineRule="atLeast"/>
        <w:ind w:left="851"/>
        <w:rPr>
          <w:rFonts w:cs="Arial"/>
          <w:bCs/>
          <w:i/>
          <w:lang w:val="pt-PT"/>
        </w:rPr>
      </w:pPr>
    </w:p>
    <w:p w:rsidR="005624E3" w:rsidRPr="00842442" w:rsidRDefault="005624E3" w:rsidP="005624E3">
      <w:pPr>
        <w:rPr>
          <w:rFonts w:cs="Arial"/>
          <w:szCs w:val="20"/>
          <w:lang w:val="pt-PT"/>
        </w:rPr>
      </w:pPr>
      <w:r w:rsidRPr="00842442">
        <w:rPr>
          <w:lang w:val="pt-PT"/>
        </w:rPr>
        <w:br w:type="page"/>
      </w:r>
    </w:p>
    <w:p w:rsidR="005624E3" w:rsidRPr="00842442" w:rsidRDefault="005624E3" w:rsidP="005624E3">
      <w:pPr>
        <w:pStyle w:val="ESch"/>
        <w:rPr>
          <w:noProof/>
          <w:lang w:val="pt-PT"/>
        </w:rPr>
      </w:pPr>
    </w:p>
    <w:p w:rsidR="005624E3" w:rsidRPr="00842442" w:rsidRDefault="005624E3" w:rsidP="005624E3">
      <w:pPr>
        <w:pStyle w:val="ES-Titre3"/>
        <w:rPr>
          <w:noProof/>
          <w:lang w:val="pt-PT"/>
        </w:rPr>
      </w:pPr>
      <w:bookmarkStart w:id="628" w:name="_Toc491854305"/>
      <w:bookmarkStart w:id="629" w:name="_Toc535854086"/>
      <w:r w:rsidRPr="00842442">
        <w:rPr>
          <w:lang w:val="pt-PT"/>
        </w:rPr>
        <w:t>VI. szakasz</w:t>
      </w:r>
      <w:bookmarkEnd w:id="628"/>
      <w:bookmarkEnd w:id="629"/>
    </w:p>
    <w:p w:rsidR="005624E3" w:rsidRPr="00842442" w:rsidRDefault="005624E3" w:rsidP="005624E3">
      <w:pPr>
        <w:pStyle w:val="ES-Titre3a"/>
        <w:rPr>
          <w:lang w:val="pt-PT"/>
        </w:rPr>
      </w:pPr>
      <w:bookmarkStart w:id="630" w:name="_Toc491854306"/>
      <w:bookmarkStart w:id="631" w:name="_Toc535854087"/>
      <w:r w:rsidRPr="00842442">
        <w:rPr>
          <w:lang w:val="pt-PT"/>
        </w:rPr>
        <w:t>A belvízi hajóbizonyítványok nyilvántartásának mintája</w:t>
      </w:r>
      <w:bookmarkEnd w:id="630"/>
      <w:bookmarkEnd w:id="631"/>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jc w:val="center"/>
        <w:textAlignment w:val="baseline"/>
        <w:rPr>
          <w:rFonts w:cs="Arial"/>
          <w:szCs w:val="20"/>
          <w:lang w:val="pt-PT"/>
        </w:rPr>
      </w:pPr>
      <w:r w:rsidRPr="00842442">
        <w:rPr>
          <w:b/>
          <w:lang w:val="pt-PT"/>
        </w:rPr>
        <w:t>A belvízi hajóbizonyítványok nyilvántartása</w:t>
      </w: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tabs>
          <w:tab w:val="left" w:leader="dot" w:pos="5670"/>
        </w:tabs>
        <w:overflowPunct w:val="0"/>
        <w:adjustRightInd w:val="0"/>
        <w:jc w:val="center"/>
        <w:textAlignment w:val="baseline"/>
        <w:rPr>
          <w:rFonts w:cs="Arial"/>
          <w:szCs w:val="20"/>
          <w:lang w:val="pt-PT"/>
        </w:rPr>
      </w:pPr>
      <w:r w:rsidRPr="00842442">
        <w:rPr>
          <w:lang w:val="pt-PT"/>
        </w:rPr>
        <w:t>Illetékes hatóság/Ellenőrző szerv</w:t>
      </w:r>
      <w:r w:rsidRPr="00842442">
        <w:rPr>
          <w:lang w:val="pt-PT"/>
        </w:rPr>
        <w:tab/>
      </w:r>
    </w:p>
    <w:p w:rsidR="005624E3" w:rsidRPr="00842442" w:rsidRDefault="005624E3" w:rsidP="005624E3">
      <w:pPr>
        <w:tabs>
          <w:tab w:val="left" w:leader="dot" w:pos="5670"/>
        </w:tabs>
        <w:overflowPunct w:val="0"/>
        <w:adjustRightInd w:val="0"/>
        <w:jc w:val="center"/>
        <w:textAlignment w:val="baseline"/>
        <w:rPr>
          <w:rFonts w:cs="Arial"/>
          <w:szCs w:val="20"/>
          <w:lang w:val="pt-PT"/>
        </w:rPr>
      </w:pPr>
    </w:p>
    <w:p w:rsidR="005624E3" w:rsidRPr="00842442" w:rsidRDefault="005624E3" w:rsidP="005624E3">
      <w:pPr>
        <w:tabs>
          <w:tab w:val="left" w:leader="dot" w:pos="5670"/>
        </w:tabs>
        <w:overflowPunct w:val="0"/>
        <w:adjustRightInd w:val="0"/>
        <w:jc w:val="center"/>
        <w:textAlignment w:val="baseline"/>
        <w:rPr>
          <w:rFonts w:cs="Arial"/>
          <w:szCs w:val="20"/>
          <w:lang w:val="pt-PT"/>
        </w:rPr>
      </w:pPr>
    </w:p>
    <w:p w:rsidR="005624E3" w:rsidRPr="00842442" w:rsidRDefault="005624E3" w:rsidP="005624E3">
      <w:pPr>
        <w:tabs>
          <w:tab w:val="left" w:leader="dot" w:pos="5670"/>
        </w:tabs>
        <w:overflowPunct w:val="0"/>
        <w:adjustRightInd w:val="0"/>
        <w:jc w:val="center"/>
        <w:textAlignment w:val="baseline"/>
        <w:rPr>
          <w:rFonts w:cs="Arial"/>
          <w:szCs w:val="20"/>
          <w:lang w:val="pt-PT"/>
        </w:rPr>
      </w:pPr>
    </w:p>
    <w:p w:rsidR="005624E3" w:rsidRPr="00842442" w:rsidRDefault="005624E3" w:rsidP="005624E3">
      <w:pPr>
        <w:tabs>
          <w:tab w:val="left" w:leader="dot" w:pos="5670"/>
        </w:tabs>
        <w:overflowPunct w:val="0"/>
        <w:adjustRightInd w:val="0"/>
        <w:jc w:val="center"/>
        <w:textAlignment w:val="baseline"/>
        <w:rPr>
          <w:rFonts w:cs="Arial"/>
          <w:szCs w:val="20"/>
          <w:lang w:val="pt-PT"/>
        </w:rPr>
      </w:pPr>
      <w:r w:rsidRPr="00842442">
        <w:rPr>
          <w:lang w:val="pt-PT"/>
        </w:rPr>
        <w:t>Hajóbizonyítványok nyilvántartása</w:t>
      </w:r>
    </w:p>
    <w:p w:rsidR="005624E3" w:rsidRPr="00842442" w:rsidRDefault="005624E3" w:rsidP="005624E3">
      <w:pPr>
        <w:tabs>
          <w:tab w:val="left" w:leader="dot" w:pos="5670"/>
        </w:tabs>
        <w:overflowPunct w:val="0"/>
        <w:adjustRightInd w:val="0"/>
        <w:jc w:val="center"/>
        <w:textAlignment w:val="baseline"/>
        <w:rPr>
          <w:rFonts w:cs="Arial"/>
          <w:szCs w:val="20"/>
          <w:lang w:val="pt-PT"/>
        </w:rPr>
      </w:pPr>
    </w:p>
    <w:p w:rsidR="005624E3" w:rsidRPr="00842442" w:rsidRDefault="005624E3" w:rsidP="005624E3">
      <w:pPr>
        <w:tabs>
          <w:tab w:val="left" w:leader="dot" w:pos="5670"/>
        </w:tabs>
        <w:overflowPunct w:val="0"/>
        <w:adjustRightInd w:val="0"/>
        <w:jc w:val="center"/>
        <w:textAlignment w:val="baseline"/>
        <w:rPr>
          <w:rFonts w:cs="Arial"/>
          <w:szCs w:val="20"/>
          <w:lang w:val="pt-PT"/>
        </w:rPr>
      </w:pPr>
    </w:p>
    <w:p w:rsidR="005624E3" w:rsidRPr="00842442" w:rsidRDefault="005624E3" w:rsidP="005624E3">
      <w:pPr>
        <w:tabs>
          <w:tab w:val="left" w:leader="dot" w:pos="5670"/>
        </w:tabs>
        <w:overflowPunct w:val="0"/>
        <w:adjustRightInd w:val="0"/>
        <w:jc w:val="center"/>
        <w:textAlignment w:val="baseline"/>
        <w:rPr>
          <w:rFonts w:cs="Arial"/>
          <w:szCs w:val="20"/>
          <w:lang w:val="pt-PT"/>
        </w:rPr>
      </w:pPr>
    </w:p>
    <w:p w:rsidR="005624E3" w:rsidRPr="00842442" w:rsidRDefault="005624E3" w:rsidP="005624E3">
      <w:pPr>
        <w:tabs>
          <w:tab w:val="left" w:leader="dot" w:pos="1701"/>
        </w:tabs>
        <w:overflowPunct w:val="0"/>
        <w:adjustRightInd w:val="0"/>
        <w:jc w:val="center"/>
        <w:textAlignment w:val="baseline"/>
        <w:rPr>
          <w:rFonts w:cs="Arial"/>
          <w:szCs w:val="20"/>
          <w:lang w:val="pt-PT"/>
        </w:rPr>
      </w:pPr>
      <w:r w:rsidRPr="00842442">
        <w:rPr>
          <w:lang w:val="pt-PT"/>
        </w:rPr>
        <w:t xml:space="preserve">Év: </w:t>
      </w:r>
      <w:r w:rsidRPr="00842442">
        <w:rPr>
          <w:lang w:val="pt-PT"/>
        </w:rPr>
        <w:tab/>
      </w:r>
    </w:p>
    <w:p w:rsidR="005624E3" w:rsidRPr="00842442" w:rsidRDefault="005624E3" w:rsidP="005624E3">
      <w:pPr>
        <w:overflowPunct w:val="0"/>
        <w:adjustRightInd w:val="0"/>
        <w:spacing w:line="240" w:lineRule="atLeast"/>
        <w:jc w:val="center"/>
        <w:textAlignment w:val="baseline"/>
        <w:rPr>
          <w:rFonts w:eastAsia="Calibri"/>
          <w:b/>
          <w:i/>
          <w:caps/>
          <w:lang w:val="pt-PT"/>
        </w:rPr>
      </w:pPr>
    </w:p>
    <w:p w:rsidR="005624E3" w:rsidRPr="00842442" w:rsidRDefault="005624E3" w:rsidP="005624E3">
      <w:pPr>
        <w:tabs>
          <w:tab w:val="center" w:pos="8647"/>
        </w:tabs>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overflowPunct w:val="0"/>
        <w:adjustRightInd w:val="0"/>
        <w:textAlignment w:val="baseline"/>
        <w:rPr>
          <w:rFonts w:cs="Arial"/>
          <w:szCs w:val="20"/>
          <w:lang w:val="pt-PT"/>
        </w:rPr>
      </w:pPr>
    </w:p>
    <w:p w:rsidR="005624E3" w:rsidRPr="00842442" w:rsidRDefault="005624E3" w:rsidP="005624E3">
      <w:pPr>
        <w:tabs>
          <w:tab w:val="left" w:leader="dot" w:pos="1701"/>
        </w:tabs>
        <w:overflowPunct w:val="0"/>
        <w:adjustRightInd w:val="0"/>
        <w:textAlignment w:val="baseline"/>
        <w:rPr>
          <w:rFonts w:cs="Arial"/>
          <w:b/>
          <w:szCs w:val="20"/>
          <w:lang w:val="pt-PT"/>
        </w:rPr>
      </w:pPr>
    </w:p>
    <w:p w:rsidR="005624E3" w:rsidRPr="00842442" w:rsidRDefault="005624E3" w:rsidP="005624E3">
      <w:pPr>
        <w:tabs>
          <w:tab w:val="left" w:leader="dot" w:pos="1701"/>
        </w:tabs>
        <w:overflowPunct w:val="0"/>
        <w:adjustRightInd w:val="0"/>
        <w:textAlignment w:val="baseline"/>
        <w:rPr>
          <w:rFonts w:cs="Arial"/>
          <w:b/>
          <w:szCs w:val="20"/>
          <w:lang w:val="pt-PT"/>
        </w:rPr>
      </w:pPr>
    </w:p>
    <w:p w:rsidR="005624E3" w:rsidRPr="00842442" w:rsidRDefault="005624E3" w:rsidP="005624E3">
      <w:pPr>
        <w:rPr>
          <w:rFonts w:cs="Arial"/>
          <w:b/>
          <w:szCs w:val="20"/>
          <w:lang w:val="pt-PT"/>
        </w:rPr>
      </w:pPr>
    </w:p>
    <w:p w:rsidR="005624E3" w:rsidRPr="00842442" w:rsidRDefault="005624E3" w:rsidP="005624E3">
      <w:pPr>
        <w:tabs>
          <w:tab w:val="left" w:pos="3930"/>
        </w:tabs>
        <w:rPr>
          <w:rFonts w:cs="Arial"/>
          <w:b/>
          <w:szCs w:val="20"/>
          <w:lang w:val="pt-PT"/>
        </w:rPr>
      </w:pPr>
    </w:p>
    <w:p w:rsidR="005624E3" w:rsidRPr="00842442" w:rsidRDefault="005624E3" w:rsidP="005624E3">
      <w:pPr>
        <w:rPr>
          <w:rFonts w:cs="Arial"/>
          <w:b/>
          <w:szCs w:val="20"/>
          <w:lang w:val="pt-PT"/>
        </w:rPr>
      </w:pPr>
    </w:p>
    <w:p w:rsidR="005624E3" w:rsidRPr="00842442" w:rsidRDefault="005624E3" w:rsidP="005624E3">
      <w:pPr>
        <w:rPr>
          <w:rFonts w:cs="Arial"/>
          <w:b/>
          <w:szCs w:val="20"/>
          <w:lang w:val="pt-PT"/>
        </w:rPr>
        <w:sectPr w:rsidR="005624E3" w:rsidRPr="00842442" w:rsidSect="0042206B">
          <w:headerReference w:type="default" r:id="rId48"/>
          <w:footerReference w:type="default" r:id="rId49"/>
          <w:footnotePr>
            <w:numRestart w:val="eachPage"/>
          </w:footnotePr>
          <w:type w:val="continuous"/>
          <w:pgSz w:w="11907" w:h="16840"/>
          <w:pgMar w:top="1418" w:right="1418" w:bottom="1418" w:left="1418" w:header="720" w:footer="720" w:gutter="0"/>
          <w:cols w:space="720"/>
          <w:docGrid w:linePitch="272"/>
        </w:sectPr>
      </w:pPr>
    </w:p>
    <w:p w:rsidR="005624E3" w:rsidRPr="00842442" w:rsidRDefault="005624E3" w:rsidP="005624E3">
      <w:pPr>
        <w:tabs>
          <w:tab w:val="left" w:leader="dot" w:pos="1701"/>
        </w:tabs>
        <w:overflowPunct w:val="0"/>
        <w:adjustRightInd w:val="0"/>
        <w:spacing w:before="60" w:after="60"/>
        <w:jc w:val="center"/>
        <w:textAlignment w:val="baseline"/>
        <w:rPr>
          <w:rFonts w:cs="Arial"/>
          <w:szCs w:val="20"/>
          <w:lang w:val="pt-PT"/>
        </w:rPr>
      </w:pPr>
      <w:r w:rsidRPr="00842442">
        <w:rPr>
          <w:lang w:val="pt-PT"/>
        </w:rPr>
        <w:t>(Bal oldal)</w:t>
      </w:r>
    </w:p>
    <w:tbl>
      <w:tblPr>
        <w:tblW w:w="14178"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31"/>
        <w:gridCol w:w="831"/>
        <w:gridCol w:w="833"/>
        <w:gridCol w:w="1985"/>
        <w:gridCol w:w="1985"/>
        <w:gridCol w:w="1474"/>
        <w:gridCol w:w="2212"/>
        <w:gridCol w:w="1190"/>
        <w:gridCol w:w="1193"/>
        <w:gridCol w:w="1644"/>
      </w:tblGrid>
      <w:tr w:rsidR="005624E3" w:rsidRPr="00C903F8" w:rsidTr="00101A80">
        <w:tc>
          <w:tcPr>
            <w:tcW w:w="2495" w:type="dxa"/>
            <w:gridSpan w:val="3"/>
            <w:vAlign w:val="center"/>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Belvízi hajóbizonyítványok</w:t>
            </w:r>
          </w:p>
        </w:tc>
        <w:tc>
          <w:tcPr>
            <w:tcW w:w="1985" w:type="dxa"/>
            <w:tcBorders>
              <w:bottom w:val="nil"/>
            </w:tcBorders>
            <w:vAlign w:val="center"/>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noProof/>
                <w:sz w:val="18"/>
              </w:rPr>
              <w:t>Hajó neve</w:t>
            </w:r>
          </w:p>
        </w:tc>
        <w:tc>
          <w:tcPr>
            <w:tcW w:w="1985" w:type="dxa"/>
            <w:tcBorders>
              <w:bottom w:val="nil"/>
            </w:tcBorders>
            <w:vAlign w:val="center"/>
          </w:tcPr>
          <w:p w:rsidR="005624E3" w:rsidRPr="00C903F8" w:rsidRDefault="005624E3" w:rsidP="00101A80">
            <w:pPr>
              <w:tabs>
                <w:tab w:val="left" w:leader="dot" w:pos="1701"/>
              </w:tabs>
              <w:overflowPunct w:val="0"/>
              <w:adjustRightInd w:val="0"/>
              <w:spacing w:before="40"/>
              <w:jc w:val="center"/>
              <w:textAlignment w:val="baseline"/>
              <w:rPr>
                <w:rFonts w:cs="Arial"/>
                <w:sz w:val="18"/>
                <w:szCs w:val="18"/>
              </w:rPr>
            </w:pPr>
            <w:r>
              <w:rPr>
                <w:noProof/>
                <w:sz w:val="18"/>
              </w:rPr>
              <w:t xml:space="preserve">Egyedi európai hajóazonosító </w:t>
            </w:r>
          </w:p>
        </w:tc>
        <w:tc>
          <w:tcPr>
            <w:tcW w:w="3686" w:type="dxa"/>
            <w:gridSpan w:val="2"/>
            <w:vAlign w:val="center"/>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Tulajdonos</w:t>
            </w:r>
          </w:p>
        </w:tc>
        <w:tc>
          <w:tcPr>
            <w:tcW w:w="2383" w:type="dxa"/>
            <w:gridSpan w:val="2"/>
            <w:vAlign w:val="center"/>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Hajólajstrom</w:t>
            </w:r>
          </w:p>
        </w:tc>
        <w:tc>
          <w:tcPr>
            <w:tcW w:w="1644" w:type="dxa"/>
            <w:tcBorders>
              <w:bottom w:val="nil"/>
            </w:tcBorders>
            <w:vAlign w:val="center"/>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Hajó típusa</w:t>
            </w:r>
          </w:p>
        </w:tc>
      </w:tr>
      <w:tr w:rsidR="005624E3" w:rsidRPr="00C903F8" w:rsidTr="00101A80">
        <w:tc>
          <w:tcPr>
            <w:tcW w:w="831"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Szám</w:t>
            </w:r>
          </w:p>
        </w:tc>
        <w:tc>
          <w:tcPr>
            <w:tcW w:w="831"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Nap</w:t>
            </w:r>
          </w:p>
        </w:tc>
        <w:tc>
          <w:tcPr>
            <w:tcW w:w="833"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Hónap</w:t>
            </w:r>
          </w:p>
        </w:tc>
        <w:tc>
          <w:tcPr>
            <w:tcW w:w="1985" w:type="dxa"/>
            <w:tcBorders>
              <w:top w:val="nil"/>
            </w:tcBorders>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p>
        </w:tc>
        <w:tc>
          <w:tcPr>
            <w:tcW w:w="1985" w:type="dxa"/>
            <w:tcBorders>
              <w:top w:val="nil"/>
            </w:tcBorders>
          </w:tcPr>
          <w:p w:rsidR="005624E3" w:rsidRPr="00C903F8" w:rsidRDefault="005624E3" w:rsidP="00101A80">
            <w:pPr>
              <w:tabs>
                <w:tab w:val="left" w:leader="dot" w:pos="1701"/>
              </w:tabs>
              <w:overflowPunct w:val="0"/>
              <w:adjustRightInd w:val="0"/>
              <w:spacing w:after="40"/>
              <w:jc w:val="center"/>
              <w:textAlignment w:val="baseline"/>
              <w:rPr>
                <w:rFonts w:cs="Arial"/>
                <w:sz w:val="18"/>
                <w:szCs w:val="20"/>
              </w:rPr>
            </w:pPr>
            <w:r>
              <w:rPr>
                <w:noProof/>
                <w:sz w:val="18"/>
              </w:rPr>
              <w:t>szám</w:t>
            </w:r>
          </w:p>
        </w:tc>
        <w:tc>
          <w:tcPr>
            <w:tcW w:w="1474"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Név</w:t>
            </w:r>
          </w:p>
        </w:tc>
        <w:tc>
          <w:tcPr>
            <w:tcW w:w="2212"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Cím</w:t>
            </w:r>
          </w:p>
        </w:tc>
        <w:tc>
          <w:tcPr>
            <w:tcW w:w="1190"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Hely</w:t>
            </w:r>
          </w:p>
        </w:tc>
        <w:tc>
          <w:tcPr>
            <w:tcW w:w="1193"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Szám</w:t>
            </w:r>
          </w:p>
        </w:tc>
        <w:tc>
          <w:tcPr>
            <w:tcW w:w="1644" w:type="dxa"/>
            <w:tcBorders>
              <w:top w:val="nil"/>
            </w:tcBorders>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p>
        </w:tc>
      </w:tr>
      <w:tr w:rsidR="005624E3" w:rsidRPr="00C903F8" w:rsidTr="00101A80">
        <w:tc>
          <w:tcPr>
            <w:tcW w:w="831"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p>
        </w:tc>
        <w:tc>
          <w:tcPr>
            <w:tcW w:w="831"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833"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1985"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1985"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1474"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2212"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1190"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1193"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1644"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r>
    </w:tbl>
    <w:p w:rsidR="005624E3" w:rsidRPr="00C903F8" w:rsidRDefault="005624E3" w:rsidP="005624E3">
      <w:pPr>
        <w:tabs>
          <w:tab w:val="left" w:leader="dot" w:pos="1701"/>
        </w:tabs>
        <w:overflowPunct w:val="0"/>
        <w:adjustRightInd w:val="0"/>
        <w:textAlignment w:val="baseline"/>
        <w:rPr>
          <w:rFonts w:cs="Arial"/>
          <w:szCs w:val="20"/>
        </w:rPr>
      </w:pPr>
    </w:p>
    <w:p w:rsidR="005624E3" w:rsidRPr="00C903F8" w:rsidRDefault="005624E3" w:rsidP="005624E3">
      <w:pPr>
        <w:tabs>
          <w:tab w:val="left" w:leader="dot" w:pos="1701"/>
        </w:tabs>
        <w:overflowPunct w:val="0"/>
        <w:adjustRightInd w:val="0"/>
        <w:jc w:val="center"/>
        <w:textAlignment w:val="baseline"/>
        <w:rPr>
          <w:rFonts w:cs="Arial"/>
          <w:szCs w:val="20"/>
        </w:rPr>
      </w:pPr>
      <w:r>
        <w:br w:type="page"/>
        <w:t>(Jobb oldal)</w:t>
      </w: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90"/>
        <w:gridCol w:w="1190"/>
        <w:gridCol w:w="1192"/>
        <w:gridCol w:w="1757"/>
        <w:gridCol w:w="1758"/>
        <w:gridCol w:w="2948"/>
        <w:gridCol w:w="2325"/>
        <w:gridCol w:w="1758"/>
      </w:tblGrid>
      <w:tr w:rsidR="005624E3" w:rsidRPr="00C903F8" w:rsidTr="00101A80">
        <w:tc>
          <w:tcPr>
            <w:tcW w:w="3572" w:type="dxa"/>
            <w:gridSpan w:val="3"/>
            <w:vAlign w:val="center"/>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Hordképesség a köbözési bizonyítvány vagy a vízkiszorítási térfogat szerint*)</w:t>
            </w:r>
          </w:p>
        </w:tc>
        <w:tc>
          <w:tcPr>
            <w:tcW w:w="3515" w:type="dxa"/>
            <w:gridSpan w:val="2"/>
            <w:vAlign w:val="center"/>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A belvízi hajóút zónái és szakaszai,</w:t>
            </w:r>
            <w:r>
              <w:rPr>
                <w:rFonts w:cs="Arial"/>
                <w:sz w:val="18"/>
                <w:szCs w:val="20"/>
              </w:rPr>
              <w:br/>
            </w:r>
            <w:r>
              <w:rPr>
                <w:sz w:val="18"/>
              </w:rPr>
              <w:t>adott esetben</w:t>
            </w:r>
          </w:p>
        </w:tc>
        <w:tc>
          <w:tcPr>
            <w:tcW w:w="2948" w:type="dxa"/>
            <w:tcBorders>
              <w:bottom w:val="nil"/>
            </w:tcBorders>
            <w:vAlign w:val="center"/>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 xml:space="preserve">Az időszakos és rendkívüli </w:t>
            </w:r>
            <w:r w:rsidR="0092642D">
              <w:rPr>
                <w:sz w:val="18"/>
              </w:rPr>
              <w:t>vizsgálatok</w:t>
            </w:r>
            <w:r>
              <w:rPr>
                <w:sz w:val="18"/>
              </w:rPr>
              <w:t xml:space="preserve"> bejegyzéseinek, valamint a bizonyítvány bevonásának és érvénytelenítésének </w:t>
            </w:r>
          </w:p>
        </w:tc>
        <w:tc>
          <w:tcPr>
            <w:tcW w:w="2325" w:type="dxa"/>
            <w:tcBorders>
              <w:bottom w:val="nil"/>
            </w:tcBorders>
            <w:vAlign w:val="center"/>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rFonts w:cs="Arial"/>
                <w:sz w:val="18"/>
                <w:szCs w:val="20"/>
              </w:rPr>
              <w:br/>
            </w:r>
            <w:r>
              <w:rPr>
                <w:sz w:val="18"/>
              </w:rPr>
              <w:t xml:space="preserve">A bizonyítvány </w:t>
            </w:r>
          </w:p>
        </w:tc>
        <w:tc>
          <w:tcPr>
            <w:tcW w:w="1758" w:type="dxa"/>
            <w:tcBorders>
              <w:bottom w:val="nil"/>
            </w:tcBorders>
            <w:vAlign w:val="center"/>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rFonts w:cs="Arial"/>
                <w:sz w:val="18"/>
                <w:szCs w:val="20"/>
              </w:rPr>
              <w:br/>
            </w:r>
            <w:r>
              <w:rPr>
                <w:sz w:val="18"/>
              </w:rPr>
              <w:t xml:space="preserve">Egyéb megjegyzések </w:t>
            </w:r>
          </w:p>
        </w:tc>
      </w:tr>
      <w:tr w:rsidR="005624E3" w:rsidRPr="00C903F8" w:rsidTr="00101A80">
        <w:tc>
          <w:tcPr>
            <w:tcW w:w="1190"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Bizonyítvány kelte</w:t>
            </w:r>
          </w:p>
        </w:tc>
        <w:tc>
          <w:tcPr>
            <w:tcW w:w="1190"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Köbözési jel</w:t>
            </w:r>
          </w:p>
        </w:tc>
        <w:tc>
          <w:tcPr>
            <w:tcW w:w="1192"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t vagy</w:t>
            </w:r>
            <w:r>
              <w:rPr>
                <w:rFonts w:cs="Arial"/>
                <w:sz w:val="18"/>
                <w:szCs w:val="20"/>
              </w:rPr>
              <w:br/>
            </w:r>
            <w:r>
              <w:rPr>
                <w:sz w:val="18"/>
              </w:rPr>
              <w:t>m</w:t>
            </w:r>
            <w:r>
              <w:rPr>
                <w:position w:val="4"/>
                <w:sz w:val="16"/>
                <w:vertAlign w:val="superscript"/>
              </w:rPr>
              <w:t>3</w:t>
            </w:r>
          </w:p>
        </w:tc>
        <w:tc>
          <w:tcPr>
            <w:tcW w:w="1757"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kezdőpont</w:t>
            </w:r>
          </w:p>
        </w:tc>
        <w:tc>
          <w:tcPr>
            <w:tcW w:w="1758" w:type="dxa"/>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végpont</w:t>
            </w:r>
          </w:p>
        </w:tc>
        <w:tc>
          <w:tcPr>
            <w:tcW w:w="2948" w:type="dxa"/>
            <w:tcBorders>
              <w:top w:val="nil"/>
            </w:tcBorders>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 xml:space="preserve"> indokolása</w:t>
            </w:r>
          </w:p>
        </w:tc>
        <w:tc>
          <w:tcPr>
            <w:tcW w:w="2325" w:type="dxa"/>
            <w:tcBorders>
              <w:top w:val="nil"/>
            </w:tcBorders>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r>
              <w:rPr>
                <w:sz w:val="18"/>
              </w:rPr>
              <w:t>érvényessége</w:t>
            </w:r>
          </w:p>
        </w:tc>
        <w:tc>
          <w:tcPr>
            <w:tcW w:w="1758" w:type="dxa"/>
            <w:tcBorders>
              <w:top w:val="nil"/>
            </w:tcBorders>
          </w:tcPr>
          <w:p w:rsidR="005624E3" w:rsidRPr="00C903F8" w:rsidRDefault="005624E3" w:rsidP="00101A80">
            <w:pPr>
              <w:tabs>
                <w:tab w:val="left" w:leader="dot" w:pos="1701"/>
              </w:tabs>
              <w:overflowPunct w:val="0"/>
              <w:adjustRightInd w:val="0"/>
              <w:spacing w:before="40" w:after="40"/>
              <w:jc w:val="center"/>
              <w:textAlignment w:val="baseline"/>
              <w:rPr>
                <w:rFonts w:cs="Arial"/>
                <w:sz w:val="18"/>
                <w:szCs w:val="20"/>
              </w:rPr>
            </w:pPr>
          </w:p>
        </w:tc>
      </w:tr>
      <w:tr w:rsidR="005624E3" w:rsidRPr="00C903F8" w:rsidTr="00101A80">
        <w:tc>
          <w:tcPr>
            <w:tcW w:w="1190"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p>
        </w:tc>
        <w:tc>
          <w:tcPr>
            <w:tcW w:w="1190"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1192"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1757" w:type="dxa"/>
          </w:tcPr>
          <w:p w:rsidR="005624E3" w:rsidRPr="00C903F8" w:rsidRDefault="005624E3" w:rsidP="00101A80">
            <w:pPr>
              <w:tabs>
                <w:tab w:val="left" w:leader="dot" w:pos="1701"/>
              </w:tabs>
              <w:overflowPunct w:val="0"/>
              <w:adjustRightInd w:val="0"/>
              <w:spacing w:before="120"/>
              <w:jc w:val="center"/>
              <w:textAlignment w:val="baseline"/>
              <w:rPr>
                <w:rFonts w:cs="Arial"/>
                <w:sz w:val="18"/>
                <w:szCs w:val="20"/>
              </w:rPr>
            </w:pPr>
          </w:p>
        </w:tc>
        <w:tc>
          <w:tcPr>
            <w:tcW w:w="1758" w:type="dxa"/>
          </w:tcPr>
          <w:p w:rsidR="005624E3" w:rsidRPr="00C903F8" w:rsidRDefault="005624E3" w:rsidP="00101A80">
            <w:pPr>
              <w:tabs>
                <w:tab w:val="left" w:leader="dot" w:pos="1701"/>
              </w:tabs>
              <w:overflowPunct w:val="0"/>
              <w:adjustRightInd w:val="0"/>
              <w:spacing w:before="120"/>
              <w:jc w:val="center"/>
              <w:textAlignment w:val="baseline"/>
              <w:rPr>
                <w:rFonts w:cs="Arial"/>
                <w:sz w:val="18"/>
                <w:szCs w:val="20"/>
              </w:rPr>
            </w:pPr>
          </w:p>
        </w:tc>
        <w:tc>
          <w:tcPr>
            <w:tcW w:w="2948"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2325"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c>
          <w:tcPr>
            <w:tcW w:w="1758" w:type="dxa"/>
          </w:tcPr>
          <w:p w:rsidR="005624E3" w:rsidRPr="00C903F8" w:rsidRDefault="005624E3" w:rsidP="00101A80">
            <w:pPr>
              <w:tabs>
                <w:tab w:val="left" w:leader="dot" w:pos="1701"/>
              </w:tabs>
              <w:overflowPunct w:val="0"/>
              <w:adjustRightInd w:val="0"/>
              <w:jc w:val="center"/>
              <w:textAlignment w:val="baseline"/>
              <w:rPr>
                <w:rFonts w:cs="Arial"/>
                <w:sz w:val="18"/>
                <w:szCs w:val="20"/>
              </w:rPr>
            </w:pPr>
          </w:p>
        </w:tc>
      </w:tr>
    </w:tbl>
    <w:p w:rsidR="005624E3" w:rsidRPr="00C903F8" w:rsidRDefault="005624E3" w:rsidP="005624E3">
      <w:pPr>
        <w:tabs>
          <w:tab w:val="left" w:pos="284"/>
          <w:tab w:val="left" w:leader="dot" w:pos="1701"/>
        </w:tabs>
        <w:overflowPunct w:val="0"/>
        <w:adjustRightInd w:val="0"/>
        <w:spacing w:before="60"/>
        <w:textAlignment w:val="baseline"/>
        <w:rPr>
          <w:rFonts w:cs="Arial"/>
          <w:sz w:val="16"/>
          <w:szCs w:val="20"/>
        </w:rPr>
      </w:pPr>
      <w:r>
        <w:rPr>
          <w:sz w:val="18"/>
        </w:rPr>
        <w:t>*)</w:t>
      </w:r>
      <w:r>
        <w:tab/>
      </w:r>
      <w:r>
        <w:rPr>
          <w:sz w:val="16"/>
        </w:rPr>
        <w:t>Ha nem áll rendelkezésre köbözési bizonyítvány, a hordképesség vagy a vízkiszorítási térfogat becsült értékét kell megadni.</w:t>
      </w:r>
    </w:p>
    <w:p w:rsidR="005624E3" w:rsidRDefault="005624E3" w:rsidP="005624E3">
      <w:pPr>
        <w:rPr>
          <w:rFonts w:cs="Arial"/>
          <w:sz w:val="18"/>
          <w:szCs w:val="20"/>
        </w:rPr>
      </w:pPr>
      <w:r>
        <w:br w:type="page"/>
      </w:r>
    </w:p>
    <w:p w:rsidR="005624E3" w:rsidRPr="00C903F8" w:rsidRDefault="005624E3" w:rsidP="005624E3">
      <w:pPr>
        <w:tabs>
          <w:tab w:val="left" w:pos="284"/>
          <w:tab w:val="left" w:leader="dot" w:pos="1701"/>
        </w:tabs>
        <w:overflowPunct w:val="0"/>
        <w:adjustRightInd w:val="0"/>
        <w:textAlignment w:val="baseline"/>
        <w:rPr>
          <w:rFonts w:cs="Arial"/>
          <w:sz w:val="18"/>
          <w:szCs w:val="20"/>
        </w:rPr>
      </w:pPr>
    </w:p>
    <w:p w:rsidR="005624E3" w:rsidRPr="00C903F8" w:rsidRDefault="005624E3" w:rsidP="005624E3">
      <w:pPr>
        <w:tabs>
          <w:tab w:val="left" w:pos="284"/>
          <w:tab w:val="left" w:leader="dot" w:pos="1701"/>
        </w:tabs>
        <w:overflowPunct w:val="0"/>
        <w:adjustRightInd w:val="0"/>
        <w:textAlignment w:val="baseline"/>
        <w:rPr>
          <w:rFonts w:cs="Arial"/>
          <w:sz w:val="18"/>
          <w:szCs w:val="20"/>
        </w:rPr>
      </w:pPr>
    </w:p>
    <w:p w:rsidR="005624E3" w:rsidRPr="00C903F8" w:rsidRDefault="005624E3" w:rsidP="005624E3">
      <w:pPr>
        <w:tabs>
          <w:tab w:val="left" w:pos="284"/>
          <w:tab w:val="left" w:leader="dot" w:pos="1701"/>
        </w:tabs>
        <w:overflowPunct w:val="0"/>
        <w:adjustRightInd w:val="0"/>
        <w:textAlignment w:val="baseline"/>
        <w:rPr>
          <w:rFonts w:cs="Arial"/>
          <w:sz w:val="18"/>
          <w:szCs w:val="20"/>
        </w:rPr>
      </w:pPr>
    </w:p>
    <w:p w:rsidR="005624E3" w:rsidRPr="00C903F8" w:rsidRDefault="005624E3" w:rsidP="005624E3">
      <w:pPr>
        <w:tabs>
          <w:tab w:val="left" w:pos="284"/>
          <w:tab w:val="left" w:leader="dot" w:pos="1701"/>
        </w:tabs>
        <w:overflowPunct w:val="0"/>
        <w:adjustRightInd w:val="0"/>
        <w:textAlignment w:val="baseline"/>
      </w:pPr>
    </w:p>
    <w:p w:rsidR="005624E3" w:rsidRPr="00C903F8" w:rsidRDefault="005624E3" w:rsidP="005624E3">
      <w:pPr>
        <w:tabs>
          <w:tab w:val="center" w:pos="8222"/>
        </w:tabs>
      </w:pPr>
    </w:p>
    <w:p w:rsidR="005624E3" w:rsidRPr="00C903F8" w:rsidRDefault="005624E3" w:rsidP="005624E3">
      <w:pPr>
        <w:tabs>
          <w:tab w:val="center" w:pos="7088"/>
          <w:tab w:val="left" w:leader="dot" w:pos="9072"/>
        </w:tabs>
        <w:ind w:left="284" w:hanging="284"/>
        <w:rPr>
          <w:sz w:val="18"/>
        </w:rPr>
      </w:pPr>
    </w:p>
    <w:p w:rsidR="005624E3" w:rsidRPr="00C903F8" w:rsidRDefault="005624E3" w:rsidP="005624E3">
      <w:pPr>
        <w:tabs>
          <w:tab w:val="center" w:pos="7088"/>
          <w:tab w:val="left" w:leader="dot" w:pos="9072"/>
        </w:tabs>
        <w:ind w:left="284" w:hanging="284"/>
        <w:rPr>
          <w:sz w:val="18"/>
        </w:rPr>
        <w:sectPr w:rsidR="005624E3" w:rsidRPr="00C903F8" w:rsidSect="00FB55E9">
          <w:headerReference w:type="default" r:id="rId50"/>
          <w:footerReference w:type="default" r:id="rId51"/>
          <w:footerReference w:type="first" r:id="rId52"/>
          <w:footnotePr>
            <w:numRestart w:val="eachPage"/>
          </w:footnotePr>
          <w:pgSz w:w="16840" w:h="11907" w:orient="landscape" w:code="9"/>
          <w:pgMar w:top="1418" w:right="1418" w:bottom="1418" w:left="1418" w:header="680" w:footer="680" w:gutter="0"/>
          <w:cols w:space="720"/>
          <w:docGrid w:linePitch="326"/>
        </w:sectPr>
      </w:pPr>
    </w:p>
    <w:p w:rsidR="005624E3" w:rsidRPr="00C903F8" w:rsidRDefault="005624E3" w:rsidP="005624E3">
      <w:pPr>
        <w:pStyle w:val="ES-Titre1"/>
      </w:pPr>
      <w:bookmarkStart w:id="632" w:name="_Toc491854307"/>
      <w:bookmarkStart w:id="633" w:name="_Toc535854088"/>
      <w:r>
        <w:t>II. RÉSZ</w:t>
      </w:r>
      <w:r>
        <w:br/>
        <w:t>A FEDÉLZETEN HASZNÁLT SPECIÁLIS BERENDEZÉSEKRE VONATKOZÓ KIEGÉSZÍTŐ KÖVETELMÉNYEK</w:t>
      </w:r>
      <w:bookmarkEnd w:id="632"/>
      <w:bookmarkEnd w:id="633"/>
    </w:p>
    <w:p w:rsidR="005624E3" w:rsidRPr="00C903F8" w:rsidRDefault="005624E3" w:rsidP="005624E3">
      <w:pPr>
        <w:overflowPunct w:val="0"/>
        <w:adjustRightInd w:val="0"/>
        <w:textAlignment w:val="baseline"/>
        <w:rPr>
          <w:rFonts w:cs="Arial"/>
          <w:szCs w:val="20"/>
        </w:rPr>
      </w:pPr>
    </w:p>
    <w:p w:rsidR="005624E3" w:rsidRPr="00C903F8" w:rsidRDefault="005624E3" w:rsidP="005624E3">
      <w:pPr>
        <w:overflowPunct w:val="0"/>
        <w:adjustRightInd w:val="0"/>
        <w:textAlignment w:val="baseline"/>
        <w:rPr>
          <w:rFonts w:cs="Arial"/>
          <w:szCs w:val="20"/>
        </w:rPr>
      </w:pPr>
    </w:p>
    <w:p w:rsidR="005624E3" w:rsidRPr="00C903F8" w:rsidRDefault="005624E3" w:rsidP="005624E3">
      <w:pPr>
        <w:pStyle w:val="ES-Titre2"/>
        <w:pageBreakBefore w:val="0"/>
      </w:pPr>
      <w:bookmarkStart w:id="634" w:name="_Toc491854308"/>
      <w:bookmarkStart w:id="635" w:name="_Toc535854089"/>
      <w:r>
        <w:t>4. melléklet</w:t>
      </w:r>
      <w:r>
        <w:br/>
        <w:t>Biztonsági jelzések</w:t>
      </w:r>
      <w:bookmarkEnd w:id="634"/>
      <w:bookmarkEnd w:id="635"/>
    </w:p>
    <w:p w:rsidR="005624E3" w:rsidRPr="00C903F8" w:rsidRDefault="005624E3" w:rsidP="005624E3">
      <w:pPr>
        <w:overflowPunct w:val="0"/>
        <w:adjustRightInd w:val="0"/>
        <w:textAlignment w:val="baseline"/>
        <w:rPr>
          <w:rFonts w:cs="Arial"/>
          <w:szCs w:val="20"/>
        </w:rPr>
      </w:pPr>
    </w:p>
    <w:p w:rsidR="005624E3" w:rsidRPr="00C903F8" w:rsidRDefault="005624E3" w:rsidP="005624E3">
      <w:pPr>
        <w:overflowPunct w:val="0"/>
        <w:adjustRightInd w:val="0"/>
        <w:textAlignment w:val="baseline"/>
        <w:rPr>
          <w:rFonts w:cs="Arial"/>
          <w:szCs w:val="20"/>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5624E3" w:rsidRPr="00C903F8" w:rsidTr="00101A80">
        <w:tc>
          <w:tcPr>
            <w:tcW w:w="3331" w:type="dxa"/>
            <w:vAlign w:val="center"/>
          </w:tcPr>
          <w:p w:rsidR="005624E3" w:rsidRPr="00C903F8" w:rsidRDefault="005624E3" w:rsidP="00101A80">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1. ábra</w:t>
            </w:r>
          </w:p>
          <w:p w:rsidR="005624E3" w:rsidRPr="00C903F8" w:rsidRDefault="005624E3" w:rsidP="00101A80">
            <w:pPr>
              <w:overflowPunct w:val="0"/>
              <w:adjustRightInd w:val="0"/>
              <w:textAlignment w:val="baseline"/>
              <w:rPr>
                <w:rFonts w:cs="Arial"/>
                <w:szCs w:val="20"/>
              </w:rPr>
            </w:pPr>
            <w:r>
              <w:t>Engedély nélkül belépni tilos</w:t>
            </w:r>
          </w:p>
        </w:tc>
        <w:tc>
          <w:tcPr>
            <w:tcW w:w="2551" w:type="dxa"/>
          </w:tcPr>
          <w:p w:rsidR="005624E3" w:rsidRPr="00C903F8" w:rsidRDefault="005624E3" w:rsidP="00101A80">
            <w:pPr>
              <w:overflowPunct w:val="0"/>
              <w:adjustRightInd w:val="0"/>
              <w:textAlignment w:val="baseline"/>
              <w:rPr>
                <w:rFonts w:cs="Arial"/>
                <w:sz w:val="18"/>
                <w:szCs w:val="20"/>
              </w:rPr>
            </w:pPr>
          </w:p>
          <w:p w:rsidR="005624E3" w:rsidRPr="00C903F8" w:rsidRDefault="005624E3" w:rsidP="00101A80">
            <w:pPr>
              <w:overflowPunct w:val="0"/>
              <w:adjustRightInd w:val="0"/>
              <w:jc w:val="center"/>
              <w:textAlignment w:val="baseline"/>
              <w:rPr>
                <w:rFonts w:cs="Arial"/>
                <w:sz w:val="18"/>
                <w:szCs w:val="20"/>
              </w:rPr>
            </w:pPr>
            <w:r>
              <w:rPr>
                <w:rFonts w:cs="Arial"/>
                <w:b/>
                <w:noProof/>
                <w:szCs w:val="20"/>
              </w:rPr>
              <w:drawing>
                <wp:inline distT="0" distB="0" distL="0" distR="0" wp14:anchorId="1993D44E" wp14:editId="574479A5">
                  <wp:extent cx="1282700" cy="1282700"/>
                  <wp:effectExtent l="0" t="0" r="0" b="0"/>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5624E3" w:rsidRPr="00C903F8" w:rsidRDefault="005624E3" w:rsidP="00101A80">
            <w:pPr>
              <w:overflowPunct w:val="0"/>
              <w:adjustRightInd w:val="0"/>
              <w:textAlignment w:val="baseline"/>
              <w:rPr>
                <w:rFonts w:cs="Arial"/>
                <w:sz w:val="18"/>
                <w:szCs w:val="20"/>
              </w:rPr>
            </w:pPr>
          </w:p>
        </w:tc>
        <w:tc>
          <w:tcPr>
            <w:tcW w:w="3328" w:type="dxa"/>
            <w:vAlign w:val="center"/>
          </w:tcPr>
          <w:p w:rsidR="005624E3" w:rsidRPr="00C903F8" w:rsidRDefault="005624E3" w:rsidP="00101A80">
            <w:pPr>
              <w:overflowPunct w:val="0"/>
              <w:adjustRightInd w:val="0"/>
              <w:textAlignment w:val="baseline"/>
              <w:rPr>
                <w:rFonts w:cs="Arial"/>
                <w:szCs w:val="20"/>
              </w:rPr>
            </w:pPr>
            <w:r>
              <w:t>Szín: piros / fehér / fekete</w:t>
            </w:r>
          </w:p>
        </w:tc>
      </w:tr>
      <w:tr w:rsidR="005624E3" w:rsidRPr="00C903F8" w:rsidTr="00101A80">
        <w:tc>
          <w:tcPr>
            <w:tcW w:w="3331" w:type="dxa"/>
            <w:vAlign w:val="center"/>
          </w:tcPr>
          <w:p w:rsidR="005624E3" w:rsidRPr="00C903F8" w:rsidRDefault="005624E3" w:rsidP="00101A80">
            <w:pPr>
              <w:overflowPunct w:val="0"/>
              <w:adjustRightInd w:val="0"/>
              <w:textAlignment w:val="baseline"/>
              <w:rPr>
                <w:rFonts w:cs="Arial"/>
                <w:szCs w:val="20"/>
              </w:rPr>
            </w:pPr>
            <w:r>
              <w:t>2. ábra</w:t>
            </w:r>
          </w:p>
          <w:p w:rsidR="005624E3" w:rsidRPr="00C903F8" w:rsidRDefault="005624E3" w:rsidP="00101A80">
            <w:pPr>
              <w:overflowPunct w:val="0"/>
              <w:adjustRightInd w:val="0"/>
              <w:textAlignment w:val="baseline"/>
              <w:rPr>
                <w:rFonts w:cs="Arial"/>
                <w:szCs w:val="20"/>
              </w:rPr>
            </w:pPr>
            <w:r>
              <w:t>Tűz, nyílt láng használata és dohányzás tilos</w:t>
            </w:r>
          </w:p>
        </w:tc>
        <w:tc>
          <w:tcPr>
            <w:tcW w:w="2551" w:type="dxa"/>
          </w:tcPr>
          <w:p w:rsidR="005624E3" w:rsidRPr="00C903F8" w:rsidRDefault="005624E3" w:rsidP="00101A80">
            <w:pPr>
              <w:overflowPunct w:val="0"/>
              <w:adjustRightInd w:val="0"/>
              <w:textAlignment w:val="baseline"/>
              <w:rPr>
                <w:rFonts w:cs="Arial"/>
                <w:sz w:val="18"/>
                <w:szCs w:val="20"/>
              </w:rPr>
            </w:pPr>
          </w:p>
          <w:p w:rsidR="005624E3" w:rsidRPr="00C903F8" w:rsidRDefault="005624E3" w:rsidP="00101A80">
            <w:pPr>
              <w:overflowPunct w:val="0"/>
              <w:adjustRightInd w:val="0"/>
              <w:jc w:val="center"/>
              <w:textAlignment w:val="baseline"/>
              <w:rPr>
                <w:rFonts w:cs="Arial"/>
                <w:sz w:val="18"/>
                <w:szCs w:val="20"/>
              </w:rPr>
            </w:pPr>
            <w:r>
              <w:rPr>
                <w:rFonts w:cs="Arial"/>
                <w:noProof/>
                <w:szCs w:val="20"/>
              </w:rPr>
              <w:drawing>
                <wp:inline distT="0" distB="0" distL="0" distR="0" wp14:anchorId="78FB8974" wp14:editId="64D5112A">
                  <wp:extent cx="1282700" cy="12827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5624E3" w:rsidRPr="00C903F8" w:rsidRDefault="005624E3" w:rsidP="00101A80">
            <w:pPr>
              <w:overflowPunct w:val="0"/>
              <w:adjustRightInd w:val="0"/>
              <w:textAlignment w:val="baseline"/>
              <w:rPr>
                <w:rFonts w:cs="Arial"/>
                <w:sz w:val="18"/>
                <w:szCs w:val="20"/>
              </w:rPr>
            </w:pPr>
          </w:p>
        </w:tc>
        <w:tc>
          <w:tcPr>
            <w:tcW w:w="3328" w:type="dxa"/>
            <w:vAlign w:val="center"/>
          </w:tcPr>
          <w:p w:rsidR="005624E3" w:rsidRPr="00C903F8" w:rsidRDefault="005624E3" w:rsidP="00101A80">
            <w:pPr>
              <w:overflowPunct w:val="0"/>
              <w:adjustRightInd w:val="0"/>
              <w:textAlignment w:val="baseline"/>
              <w:rPr>
                <w:rFonts w:cs="Arial"/>
                <w:szCs w:val="20"/>
              </w:rPr>
            </w:pPr>
            <w:r>
              <w:t>Szín: piros / fehér / fekete</w:t>
            </w:r>
          </w:p>
        </w:tc>
      </w:tr>
      <w:tr w:rsidR="005624E3" w:rsidRPr="00C903F8" w:rsidTr="00101A80">
        <w:tc>
          <w:tcPr>
            <w:tcW w:w="3331" w:type="dxa"/>
            <w:vAlign w:val="center"/>
          </w:tcPr>
          <w:p w:rsidR="005624E3" w:rsidRPr="00C903F8" w:rsidRDefault="005624E3" w:rsidP="00101A80">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3. ábra</w:t>
            </w:r>
          </w:p>
          <w:p w:rsidR="005624E3" w:rsidRPr="00C903F8" w:rsidRDefault="005624E3" w:rsidP="00101A80">
            <w:pPr>
              <w:overflowPunct w:val="0"/>
              <w:adjustRightInd w:val="0"/>
              <w:textAlignment w:val="baseline"/>
              <w:rPr>
                <w:rFonts w:cs="Arial"/>
                <w:szCs w:val="20"/>
              </w:rPr>
            </w:pPr>
            <w:r>
              <w:t>Tűzoltó készülék</w:t>
            </w:r>
          </w:p>
        </w:tc>
        <w:tc>
          <w:tcPr>
            <w:tcW w:w="2551" w:type="dxa"/>
          </w:tcPr>
          <w:p w:rsidR="005624E3" w:rsidRPr="00C903F8" w:rsidRDefault="005624E3" w:rsidP="00101A80">
            <w:pPr>
              <w:overflowPunct w:val="0"/>
              <w:adjustRightInd w:val="0"/>
              <w:textAlignment w:val="baseline"/>
              <w:rPr>
                <w:rFonts w:cs="Arial"/>
                <w:sz w:val="18"/>
                <w:szCs w:val="20"/>
              </w:rPr>
            </w:pPr>
          </w:p>
          <w:p w:rsidR="005624E3" w:rsidRPr="00C903F8" w:rsidRDefault="005624E3" w:rsidP="00101A80">
            <w:pPr>
              <w:overflowPunct w:val="0"/>
              <w:adjustRightInd w:val="0"/>
              <w:jc w:val="center"/>
              <w:textAlignment w:val="baseline"/>
              <w:rPr>
                <w:rFonts w:cs="Arial"/>
                <w:sz w:val="18"/>
                <w:szCs w:val="20"/>
              </w:rPr>
            </w:pPr>
            <w:r>
              <w:rPr>
                <w:rFonts w:cs="Arial"/>
                <w:noProof/>
                <w:szCs w:val="20"/>
              </w:rPr>
              <w:drawing>
                <wp:inline distT="0" distB="0" distL="0" distR="0" wp14:anchorId="5D0052FF" wp14:editId="707CD933">
                  <wp:extent cx="1282700" cy="1282700"/>
                  <wp:effectExtent l="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5624E3" w:rsidRPr="00C903F8" w:rsidRDefault="005624E3" w:rsidP="00101A80">
            <w:pPr>
              <w:overflowPunct w:val="0"/>
              <w:adjustRightInd w:val="0"/>
              <w:textAlignment w:val="baseline"/>
              <w:rPr>
                <w:rFonts w:cs="Arial"/>
                <w:sz w:val="18"/>
                <w:szCs w:val="20"/>
              </w:rPr>
            </w:pPr>
          </w:p>
        </w:tc>
        <w:tc>
          <w:tcPr>
            <w:tcW w:w="3328" w:type="dxa"/>
            <w:vAlign w:val="center"/>
          </w:tcPr>
          <w:p w:rsidR="005624E3" w:rsidRPr="00C903F8" w:rsidRDefault="005624E3" w:rsidP="00101A80">
            <w:pPr>
              <w:overflowPunct w:val="0"/>
              <w:adjustRightInd w:val="0"/>
              <w:textAlignment w:val="baseline"/>
              <w:rPr>
                <w:rFonts w:cs="Arial"/>
                <w:szCs w:val="20"/>
              </w:rPr>
            </w:pPr>
            <w:r>
              <w:t>Szín: piros / fehér</w:t>
            </w:r>
          </w:p>
        </w:tc>
      </w:tr>
      <w:tr w:rsidR="005624E3" w:rsidRPr="00C903F8" w:rsidTr="00101A80">
        <w:tc>
          <w:tcPr>
            <w:tcW w:w="3331" w:type="dxa"/>
            <w:vAlign w:val="center"/>
          </w:tcPr>
          <w:p w:rsidR="005624E3" w:rsidRPr="00C903F8" w:rsidRDefault="005624E3" w:rsidP="00101A80">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4. ábra</w:t>
            </w:r>
          </w:p>
          <w:p w:rsidR="005624E3" w:rsidRPr="00C903F8" w:rsidRDefault="005624E3" w:rsidP="00101A80">
            <w:pPr>
              <w:overflowPunct w:val="0"/>
              <w:adjustRightInd w:val="0"/>
              <w:textAlignment w:val="baseline"/>
              <w:rPr>
                <w:rFonts w:cs="Arial"/>
                <w:szCs w:val="20"/>
              </w:rPr>
            </w:pPr>
            <w:r>
              <w:t>Általános veszély figyelmeztetés</w:t>
            </w:r>
          </w:p>
        </w:tc>
        <w:tc>
          <w:tcPr>
            <w:tcW w:w="2551" w:type="dxa"/>
          </w:tcPr>
          <w:p w:rsidR="005624E3" w:rsidRPr="00C903F8" w:rsidRDefault="005624E3" w:rsidP="00101A80">
            <w:pPr>
              <w:overflowPunct w:val="0"/>
              <w:adjustRightInd w:val="0"/>
              <w:textAlignment w:val="baseline"/>
              <w:rPr>
                <w:rFonts w:cs="Arial"/>
                <w:sz w:val="18"/>
                <w:szCs w:val="20"/>
              </w:rPr>
            </w:pPr>
          </w:p>
          <w:p w:rsidR="005624E3" w:rsidRPr="00C903F8" w:rsidRDefault="005624E3" w:rsidP="00101A80">
            <w:pPr>
              <w:overflowPunct w:val="0"/>
              <w:adjustRightInd w:val="0"/>
              <w:jc w:val="center"/>
              <w:textAlignment w:val="baseline"/>
              <w:rPr>
                <w:rFonts w:cs="Arial"/>
                <w:sz w:val="18"/>
                <w:szCs w:val="20"/>
              </w:rPr>
            </w:pPr>
            <w:r>
              <w:rPr>
                <w:rFonts w:cs="Arial"/>
                <w:noProof/>
                <w:szCs w:val="20"/>
              </w:rPr>
              <w:drawing>
                <wp:inline distT="0" distB="0" distL="0" distR="0" wp14:anchorId="00A56E32" wp14:editId="65812098">
                  <wp:extent cx="1460500" cy="1282700"/>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60500" cy="1282700"/>
                          </a:xfrm>
                          <a:prstGeom prst="rect">
                            <a:avLst/>
                          </a:prstGeom>
                          <a:noFill/>
                          <a:ln>
                            <a:noFill/>
                          </a:ln>
                        </pic:spPr>
                      </pic:pic>
                    </a:graphicData>
                  </a:graphic>
                </wp:inline>
              </w:drawing>
            </w:r>
          </w:p>
          <w:p w:rsidR="005624E3" w:rsidRPr="00C903F8" w:rsidRDefault="005624E3" w:rsidP="00101A80">
            <w:pPr>
              <w:overflowPunct w:val="0"/>
              <w:adjustRightInd w:val="0"/>
              <w:textAlignment w:val="baseline"/>
              <w:rPr>
                <w:rFonts w:cs="Arial"/>
                <w:sz w:val="18"/>
                <w:szCs w:val="20"/>
              </w:rPr>
            </w:pPr>
          </w:p>
        </w:tc>
        <w:tc>
          <w:tcPr>
            <w:tcW w:w="3328" w:type="dxa"/>
            <w:vAlign w:val="center"/>
          </w:tcPr>
          <w:p w:rsidR="005624E3" w:rsidRPr="00C903F8" w:rsidRDefault="005624E3" w:rsidP="00101A80">
            <w:pPr>
              <w:overflowPunct w:val="0"/>
              <w:adjustRightInd w:val="0"/>
              <w:textAlignment w:val="baseline"/>
              <w:rPr>
                <w:rFonts w:cs="Arial"/>
                <w:szCs w:val="20"/>
              </w:rPr>
            </w:pPr>
            <w:r>
              <w:t>Szín: fekete / sárga</w:t>
            </w:r>
          </w:p>
        </w:tc>
      </w:tr>
    </w:tbl>
    <w:p w:rsidR="005624E3" w:rsidRPr="00C903F8" w:rsidRDefault="005624E3" w:rsidP="005624E3">
      <w:pPr>
        <w:overflowPunct w:val="0"/>
        <w:adjustRightInd w:val="0"/>
        <w:textAlignment w:val="baseline"/>
        <w:rPr>
          <w:rFonts w:cs="Arial"/>
          <w:szCs w:val="20"/>
        </w:rPr>
      </w:pPr>
    </w:p>
    <w:p w:rsidR="005624E3" w:rsidRPr="00C903F8" w:rsidRDefault="005624E3" w:rsidP="005624E3">
      <w:pPr>
        <w:overflowPunct w:val="0"/>
        <w:adjustRightInd w:val="0"/>
        <w:textAlignment w:val="baseline"/>
        <w:rPr>
          <w:rFonts w:cs="Arial"/>
          <w:szCs w:val="20"/>
        </w:rPr>
      </w:pPr>
    </w:p>
    <w:p w:rsidR="005624E3" w:rsidRPr="00C903F8" w:rsidRDefault="005624E3" w:rsidP="005624E3">
      <w:pPr>
        <w:overflowPunct w:val="0"/>
        <w:adjustRightInd w:val="0"/>
        <w:textAlignment w:val="baseline"/>
        <w:rPr>
          <w:rFonts w:cs="Arial"/>
          <w:szCs w:val="20"/>
        </w:rPr>
      </w:pPr>
    </w:p>
    <w:p w:rsidR="005624E3" w:rsidRPr="00C903F8" w:rsidRDefault="005624E3" w:rsidP="005624E3">
      <w:pPr>
        <w:overflowPunct w:val="0"/>
        <w:adjustRightInd w:val="0"/>
        <w:textAlignment w:val="baseline"/>
        <w:rPr>
          <w:rFonts w:cs="Arial"/>
          <w:szCs w:val="20"/>
        </w:rPr>
      </w:pPr>
      <w: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5624E3" w:rsidRPr="00C903F8" w:rsidTr="00101A80">
        <w:tc>
          <w:tcPr>
            <w:tcW w:w="3331" w:type="dxa"/>
            <w:vAlign w:val="center"/>
          </w:tcPr>
          <w:p w:rsidR="005624E3" w:rsidRPr="00C903F8" w:rsidRDefault="005624E3" w:rsidP="00101A80">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5. ábra</w:t>
            </w:r>
          </w:p>
          <w:p w:rsidR="005624E3" w:rsidRPr="00C903F8" w:rsidRDefault="005624E3" w:rsidP="00101A80">
            <w:pPr>
              <w:overflowPunct w:val="0"/>
              <w:adjustRightInd w:val="0"/>
              <w:textAlignment w:val="baseline"/>
              <w:rPr>
                <w:rFonts w:cs="Arial"/>
                <w:szCs w:val="20"/>
              </w:rPr>
            </w:pPr>
            <w:r>
              <w:t>Tűzoltótömlő</w:t>
            </w:r>
          </w:p>
        </w:tc>
        <w:tc>
          <w:tcPr>
            <w:tcW w:w="2551" w:type="dxa"/>
          </w:tcPr>
          <w:p w:rsidR="005624E3" w:rsidRPr="00C903F8" w:rsidRDefault="005624E3" w:rsidP="00101A80">
            <w:pPr>
              <w:overflowPunct w:val="0"/>
              <w:adjustRightInd w:val="0"/>
              <w:textAlignment w:val="baseline"/>
              <w:rPr>
                <w:rFonts w:cs="Arial"/>
                <w:sz w:val="18"/>
                <w:szCs w:val="20"/>
              </w:rPr>
            </w:pPr>
          </w:p>
          <w:p w:rsidR="005624E3" w:rsidRPr="00C903F8" w:rsidRDefault="005624E3" w:rsidP="00101A80">
            <w:pPr>
              <w:overflowPunct w:val="0"/>
              <w:adjustRightInd w:val="0"/>
              <w:jc w:val="center"/>
              <w:textAlignment w:val="baseline"/>
              <w:rPr>
                <w:rFonts w:cs="Arial"/>
                <w:sz w:val="18"/>
                <w:szCs w:val="20"/>
              </w:rPr>
            </w:pPr>
            <w:r>
              <w:rPr>
                <w:rFonts w:cs="Arial"/>
                <w:noProof/>
                <w:szCs w:val="20"/>
              </w:rPr>
              <w:drawing>
                <wp:inline distT="0" distB="0" distL="0" distR="0" wp14:anchorId="25CC5C69" wp14:editId="2C01EA62">
                  <wp:extent cx="1282700" cy="1282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5624E3" w:rsidRPr="00C903F8" w:rsidRDefault="005624E3" w:rsidP="00101A80">
            <w:pPr>
              <w:overflowPunct w:val="0"/>
              <w:adjustRightInd w:val="0"/>
              <w:textAlignment w:val="baseline"/>
              <w:rPr>
                <w:rFonts w:cs="Arial"/>
                <w:sz w:val="18"/>
                <w:szCs w:val="20"/>
              </w:rPr>
            </w:pPr>
          </w:p>
        </w:tc>
        <w:tc>
          <w:tcPr>
            <w:tcW w:w="3328" w:type="dxa"/>
            <w:vAlign w:val="center"/>
          </w:tcPr>
          <w:p w:rsidR="005624E3" w:rsidRPr="00C903F8" w:rsidRDefault="005624E3" w:rsidP="00101A80">
            <w:pPr>
              <w:overflowPunct w:val="0"/>
              <w:adjustRightInd w:val="0"/>
              <w:textAlignment w:val="baseline"/>
              <w:rPr>
                <w:rFonts w:cs="Arial"/>
                <w:szCs w:val="20"/>
              </w:rPr>
            </w:pPr>
            <w:r>
              <w:t>Szín: piros / fehér</w:t>
            </w:r>
          </w:p>
        </w:tc>
      </w:tr>
      <w:tr w:rsidR="005624E3" w:rsidRPr="00C903F8" w:rsidTr="00101A80">
        <w:tc>
          <w:tcPr>
            <w:tcW w:w="3331" w:type="dxa"/>
            <w:vAlign w:val="center"/>
          </w:tcPr>
          <w:p w:rsidR="005624E3" w:rsidRPr="00C903F8" w:rsidRDefault="005624E3" w:rsidP="00101A80">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6. ábra</w:t>
            </w:r>
          </w:p>
          <w:p w:rsidR="005624E3" w:rsidRPr="00C903F8" w:rsidRDefault="005624E3" w:rsidP="00101A80">
            <w:pPr>
              <w:overflowPunct w:val="0"/>
              <w:adjustRightInd w:val="0"/>
              <w:textAlignment w:val="baseline"/>
              <w:rPr>
                <w:rFonts w:cs="Arial"/>
                <w:szCs w:val="20"/>
              </w:rPr>
            </w:pPr>
            <w:r>
              <w:t>Tűzvédelmi rendszer</w:t>
            </w:r>
          </w:p>
        </w:tc>
        <w:tc>
          <w:tcPr>
            <w:tcW w:w="2551" w:type="dxa"/>
          </w:tcPr>
          <w:p w:rsidR="005624E3" w:rsidRPr="00C903F8" w:rsidRDefault="005624E3" w:rsidP="00101A80">
            <w:pPr>
              <w:overflowPunct w:val="0"/>
              <w:adjustRightInd w:val="0"/>
              <w:textAlignment w:val="baseline"/>
              <w:rPr>
                <w:rFonts w:cs="Arial"/>
                <w:sz w:val="18"/>
                <w:szCs w:val="20"/>
              </w:rPr>
            </w:pPr>
          </w:p>
          <w:p w:rsidR="005624E3" w:rsidRPr="00C903F8" w:rsidRDefault="005624E3" w:rsidP="00101A80">
            <w:pPr>
              <w:overflowPunct w:val="0"/>
              <w:adjustRightInd w:val="0"/>
              <w:jc w:val="center"/>
              <w:textAlignment w:val="baseline"/>
              <w:rPr>
                <w:rFonts w:cs="Arial"/>
                <w:sz w:val="18"/>
                <w:szCs w:val="20"/>
              </w:rPr>
            </w:pPr>
            <w:r>
              <w:rPr>
                <w:rFonts w:cs="Arial"/>
                <w:noProof/>
                <w:szCs w:val="20"/>
              </w:rPr>
              <w:drawing>
                <wp:inline distT="0" distB="0" distL="0" distR="0" wp14:anchorId="60897AF4" wp14:editId="153EDC2D">
                  <wp:extent cx="1282700" cy="1282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5624E3" w:rsidRPr="00C903F8" w:rsidRDefault="005624E3" w:rsidP="00101A80">
            <w:pPr>
              <w:overflowPunct w:val="0"/>
              <w:adjustRightInd w:val="0"/>
              <w:textAlignment w:val="baseline"/>
              <w:rPr>
                <w:rFonts w:cs="Arial"/>
                <w:sz w:val="18"/>
                <w:szCs w:val="20"/>
              </w:rPr>
            </w:pPr>
          </w:p>
        </w:tc>
        <w:tc>
          <w:tcPr>
            <w:tcW w:w="3328" w:type="dxa"/>
            <w:vAlign w:val="center"/>
          </w:tcPr>
          <w:p w:rsidR="005624E3" w:rsidRPr="00C903F8" w:rsidRDefault="005624E3" w:rsidP="00101A80">
            <w:pPr>
              <w:overflowPunct w:val="0"/>
              <w:adjustRightInd w:val="0"/>
              <w:textAlignment w:val="baseline"/>
              <w:rPr>
                <w:rFonts w:cs="Arial"/>
                <w:szCs w:val="20"/>
              </w:rPr>
            </w:pPr>
            <w:r>
              <w:t>Szín: piros / fehér</w:t>
            </w:r>
          </w:p>
        </w:tc>
      </w:tr>
      <w:tr w:rsidR="005624E3" w:rsidRPr="00C903F8" w:rsidTr="00101A80">
        <w:tc>
          <w:tcPr>
            <w:tcW w:w="3331" w:type="dxa"/>
            <w:vAlign w:val="center"/>
          </w:tcPr>
          <w:p w:rsidR="005624E3" w:rsidRPr="00C903F8" w:rsidRDefault="005624E3" w:rsidP="00101A80">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7. ábra</w:t>
            </w:r>
          </w:p>
          <w:p w:rsidR="005624E3" w:rsidRPr="00C903F8" w:rsidRDefault="005624E3" w:rsidP="00101A80">
            <w:pPr>
              <w:overflowPunct w:val="0"/>
              <w:adjustRightInd w:val="0"/>
              <w:textAlignment w:val="baseline"/>
              <w:rPr>
                <w:rFonts w:cs="Arial"/>
                <w:szCs w:val="20"/>
              </w:rPr>
            </w:pPr>
            <w:r>
              <w:t>Hallásvédő felszerelés használata kötelező</w:t>
            </w:r>
          </w:p>
        </w:tc>
        <w:tc>
          <w:tcPr>
            <w:tcW w:w="2551" w:type="dxa"/>
          </w:tcPr>
          <w:p w:rsidR="005624E3" w:rsidRPr="00C903F8" w:rsidRDefault="005624E3" w:rsidP="00101A80">
            <w:pPr>
              <w:overflowPunct w:val="0"/>
              <w:adjustRightInd w:val="0"/>
              <w:textAlignment w:val="baseline"/>
              <w:rPr>
                <w:rFonts w:cs="Arial"/>
                <w:sz w:val="18"/>
                <w:szCs w:val="20"/>
              </w:rPr>
            </w:pPr>
          </w:p>
          <w:p w:rsidR="005624E3" w:rsidRPr="00C903F8" w:rsidRDefault="005624E3" w:rsidP="00101A80">
            <w:pPr>
              <w:overflowPunct w:val="0"/>
              <w:adjustRightInd w:val="0"/>
              <w:jc w:val="center"/>
              <w:textAlignment w:val="baseline"/>
              <w:rPr>
                <w:rFonts w:cs="Arial"/>
                <w:sz w:val="18"/>
                <w:szCs w:val="20"/>
              </w:rPr>
            </w:pPr>
            <w:r>
              <w:rPr>
                <w:rFonts w:cs="Arial"/>
                <w:noProof/>
                <w:szCs w:val="20"/>
              </w:rPr>
              <w:drawing>
                <wp:inline distT="0" distB="0" distL="0" distR="0" wp14:anchorId="279175A7" wp14:editId="125B5034">
                  <wp:extent cx="1282700" cy="1282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5624E3" w:rsidRPr="00C903F8" w:rsidRDefault="005624E3" w:rsidP="00101A80">
            <w:pPr>
              <w:overflowPunct w:val="0"/>
              <w:adjustRightInd w:val="0"/>
              <w:textAlignment w:val="baseline"/>
              <w:rPr>
                <w:rFonts w:cs="Arial"/>
                <w:sz w:val="18"/>
                <w:szCs w:val="20"/>
              </w:rPr>
            </w:pPr>
          </w:p>
        </w:tc>
        <w:tc>
          <w:tcPr>
            <w:tcW w:w="3328" w:type="dxa"/>
            <w:vAlign w:val="center"/>
          </w:tcPr>
          <w:p w:rsidR="005624E3" w:rsidRPr="00C903F8" w:rsidRDefault="005624E3" w:rsidP="00101A80">
            <w:pPr>
              <w:overflowPunct w:val="0"/>
              <w:adjustRightInd w:val="0"/>
              <w:textAlignment w:val="baseline"/>
              <w:rPr>
                <w:rFonts w:cs="Arial"/>
                <w:szCs w:val="20"/>
              </w:rPr>
            </w:pPr>
            <w:r>
              <w:t>Szín: kék / fehér</w:t>
            </w:r>
          </w:p>
        </w:tc>
      </w:tr>
      <w:tr w:rsidR="005624E3" w:rsidRPr="00C903F8" w:rsidTr="00101A80">
        <w:tc>
          <w:tcPr>
            <w:tcW w:w="3331" w:type="dxa"/>
            <w:tcBorders>
              <w:bottom w:val="single" w:sz="6" w:space="0" w:color="auto"/>
            </w:tcBorders>
            <w:vAlign w:val="center"/>
          </w:tcPr>
          <w:p w:rsidR="005624E3" w:rsidRPr="00C903F8" w:rsidRDefault="005624E3" w:rsidP="00101A80">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8. ábra</w:t>
            </w:r>
          </w:p>
          <w:p w:rsidR="005624E3" w:rsidRPr="00C903F8" w:rsidRDefault="005624E3" w:rsidP="00101A80">
            <w:pPr>
              <w:overflowPunct w:val="0"/>
              <w:adjustRightInd w:val="0"/>
              <w:textAlignment w:val="baseline"/>
              <w:rPr>
                <w:rFonts w:cs="Arial"/>
                <w:szCs w:val="20"/>
              </w:rPr>
            </w:pPr>
            <w:r>
              <w:t>Elsősegélycsomag</w:t>
            </w:r>
          </w:p>
        </w:tc>
        <w:tc>
          <w:tcPr>
            <w:tcW w:w="2551" w:type="dxa"/>
            <w:tcBorders>
              <w:bottom w:val="single" w:sz="6" w:space="0" w:color="auto"/>
            </w:tcBorders>
          </w:tcPr>
          <w:p w:rsidR="005624E3" w:rsidRPr="00C903F8" w:rsidRDefault="005624E3" w:rsidP="00101A80">
            <w:pPr>
              <w:overflowPunct w:val="0"/>
              <w:adjustRightInd w:val="0"/>
              <w:spacing w:line="240" w:lineRule="atLeast"/>
              <w:textAlignment w:val="baseline"/>
              <w:rPr>
                <w:rFonts w:cs="Arial"/>
                <w:sz w:val="18"/>
                <w:szCs w:val="20"/>
              </w:rPr>
            </w:pPr>
            <w:r>
              <w:rPr>
                <w:rFonts w:cs="Arial"/>
                <w:noProof/>
                <w:sz w:val="18"/>
                <w:szCs w:val="20"/>
              </w:rPr>
              <w:drawing>
                <wp:inline distT="0" distB="0" distL="0" distR="0" wp14:anchorId="542087C6" wp14:editId="7F058933">
                  <wp:extent cx="1438275" cy="1438275"/>
                  <wp:effectExtent l="0" t="0" r="9525" b="9525"/>
                  <wp:docPr id="70" name="Image 70" descr="Verbandska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Verbandskasten"/>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328" w:type="dxa"/>
            <w:tcBorders>
              <w:bottom w:val="single" w:sz="6" w:space="0" w:color="auto"/>
            </w:tcBorders>
            <w:vAlign w:val="center"/>
          </w:tcPr>
          <w:p w:rsidR="005624E3" w:rsidRPr="00C903F8" w:rsidRDefault="005624E3" w:rsidP="00101A80">
            <w:pPr>
              <w:overflowPunct w:val="0"/>
              <w:adjustRightInd w:val="0"/>
              <w:textAlignment w:val="baseline"/>
              <w:rPr>
                <w:rFonts w:cs="Arial"/>
                <w:szCs w:val="20"/>
              </w:rPr>
            </w:pPr>
            <w:r>
              <w:t>Szín: zöld / fehér</w:t>
            </w:r>
          </w:p>
        </w:tc>
      </w:tr>
      <w:tr w:rsidR="005624E3" w:rsidRPr="00C903F8" w:rsidTr="00101A80">
        <w:tc>
          <w:tcPr>
            <w:tcW w:w="3331" w:type="dxa"/>
            <w:tcBorders>
              <w:bottom w:val="single" w:sz="4" w:space="0" w:color="auto"/>
            </w:tcBorders>
            <w:vAlign w:val="center"/>
          </w:tcPr>
          <w:p w:rsidR="005624E3" w:rsidRPr="00C903F8" w:rsidRDefault="005624E3" w:rsidP="00101A80">
            <w:pPr>
              <w:rPr>
                <w:rFonts w:cs="Arial"/>
                <w:noProof/>
                <w:szCs w:val="20"/>
              </w:rPr>
            </w:pPr>
            <w:r>
              <w:t>9. ábra</w:t>
            </w:r>
          </w:p>
          <w:p w:rsidR="005624E3" w:rsidRPr="00C903F8" w:rsidRDefault="005624E3" w:rsidP="00101A80">
            <w:pPr>
              <w:overflowPunct w:val="0"/>
              <w:adjustRightInd w:val="0"/>
              <w:textAlignment w:val="baseline"/>
              <w:rPr>
                <w:rFonts w:cs="Arial"/>
                <w:szCs w:val="20"/>
              </w:rPr>
            </w:pPr>
            <w:r>
              <w:t>Gyorszáró szelep a tartályon </w:t>
            </w:r>
          </w:p>
        </w:tc>
        <w:tc>
          <w:tcPr>
            <w:tcW w:w="2551" w:type="dxa"/>
            <w:tcBorders>
              <w:bottom w:val="single" w:sz="4" w:space="0" w:color="auto"/>
            </w:tcBorders>
          </w:tcPr>
          <w:p w:rsidR="005624E3" w:rsidRPr="00C903F8" w:rsidRDefault="005624E3" w:rsidP="00101A80">
            <w:pPr>
              <w:overflowPunct w:val="0"/>
              <w:adjustRightInd w:val="0"/>
              <w:spacing w:line="240" w:lineRule="atLeast"/>
              <w:textAlignment w:val="baseline"/>
              <w:rPr>
                <w:rFonts w:cs="Arial"/>
                <w:sz w:val="18"/>
                <w:szCs w:val="20"/>
              </w:rPr>
            </w:pPr>
            <w:r>
              <w:rPr>
                <w:rFonts w:cs="Arial"/>
                <w:noProof/>
                <w:sz w:val="18"/>
                <w:szCs w:val="20"/>
              </w:rPr>
              <w:drawing>
                <wp:anchor distT="0" distB="0" distL="0" distR="0" simplePos="0" relativeHeight="251659264" behindDoc="0" locked="0" layoutInCell="1" allowOverlap="1" wp14:anchorId="126D544E" wp14:editId="0747E1AC">
                  <wp:simplePos x="0" y="0"/>
                  <wp:positionH relativeFrom="column">
                    <wp:posOffset>34290</wp:posOffset>
                  </wp:positionH>
                  <wp:positionV relativeFrom="paragraph">
                    <wp:posOffset>-1162050</wp:posOffset>
                  </wp:positionV>
                  <wp:extent cx="1463040" cy="1167765"/>
                  <wp:effectExtent l="0" t="0" r="3810" b="0"/>
                  <wp:wrapTopAndBottom/>
                  <wp:docPr id="28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63040" cy="1167765"/>
                          </a:xfrm>
                          <a:prstGeom prst="rect">
                            <a:avLst/>
                          </a:prstGeom>
                          <a:solidFill>
                            <a:srgbClr val="FFFFFF"/>
                          </a:solidFill>
                          <a:ln>
                            <a:noFill/>
                          </a:ln>
                        </pic:spPr>
                      </pic:pic>
                    </a:graphicData>
                  </a:graphic>
                </wp:anchor>
              </w:drawing>
            </w:r>
          </w:p>
        </w:tc>
        <w:tc>
          <w:tcPr>
            <w:tcW w:w="3328" w:type="dxa"/>
            <w:tcBorders>
              <w:bottom w:val="single" w:sz="4" w:space="0" w:color="auto"/>
            </w:tcBorders>
            <w:vAlign w:val="center"/>
          </w:tcPr>
          <w:p w:rsidR="005624E3" w:rsidRPr="00C903F8" w:rsidRDefault="005624E3" w:rsidP="00101A80">
            <w:pPr>
              <w:overflowPunct w:val="0"/>
              <w:adjustRightInd w:val="0"/>
              <w:textAlignment w:val="baseline"/>
              <w:rPr>
                <w:rFonts w:cs="Arial"/>
                <w:szCs w:val="20"/>
              </w:rPr>
            </w:pPr>
            <w:r>
              <w:t>Szín: barna / fehér</w:t>
            </w:r>
          </w:p>
        </w:tc>
      </w:tr>
    </w:tbl>
    <w:p w:rsidR="005624E3" w:rsidRPr="00C903F8" w:rsidRDefault="005624E3" w:rsidP="005624E3">
      <w:pPr>
        <w:overflowPunct w:val="0"/>
        <w:adjustRightInd w:val="0"/>
        <w:textAlignment w:val="baseline"/>
        <w:rPr>
          <w:rFonts w:cs="Arial"/>
          <w:szCs w:val="20"/>
        </w:rPr>
      </w:pPr>
    </w:p>
    <w:p w:rsidR="005624E3" w:rsidRPr="00C903F8" w:rsidRDefault="005624E3" w:rsidP="005624E3">
      <w:pPr>
        <w:overflowPunct w:val="0"/>
        <w:adjustRightInd w:val="0"/>
        <w:textAlignment w:val="baseline"/>
        <w:rPr>
          <w:rFonts w:cs="Arial"/>
          <w:szCs w:val="20"/>
        </w:rPr>
      </w:pPr>
      <w: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5624E3" w:rsidRPr="00C903F8" w:rsidTr="00101A80">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5624E3" w:rsidRPr="00C903F8" w:rsidRDefault="005624E3" w:rsidP="00101A80">
            <w:pPr>
              <w:rPr>
                <w:rFonts w:cs="Arial"/>
                <w:noProof/>
                <w:szCs w:val="20"/>
              </w:rPr>
            </w:pPr>
            <w:r>
              <w:t>10. ábra</w:t>
            </w:r>
          </w:p>
          <w:p w:rsidR="005624E3" w:rsidRPr="00C903F8" w:rsidRDefault="005624E3" w:rsidP="00101A80">
            <w:pPr>
              <w:overflowPunct w:val="0"/>
              <w:adjustRightInd w:val="0"/>
              <w:textAlignment w:val="baseline"/>
              <w:rPr>
                <w:rFonts w:cs="Arial"/>
                <w:szCs w:val="20"/>
              </w:rPr>
            </w:pPr>
            <w:r>
              <w:t>Mentőmellény használata kötelező</w:t>
            </w:r>
          </w:p>
        </w:tc>
        <w:tc>
          <w:tcPr>
            <w:tcW w:w="2551"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overflowPunct w:val="0"/>
              <w:adjustRightInd w:val="0"/>
              <w:spacing w:line="240" w:lineRule="atLeast"/>
              <w:textAlignment w:val="baseline"/>
              <w:rPr>
                <w:rFonts w:cs="Arial"/>
                <w:noProof/>
                <w:sz w:val="18"/>
                <w:szCs w:val="20"/>
              </w:rPr>
            </w:pPr>
            <w:r>
              <w:rPr>
                <w:rFonts w:cs="Arial"/>
                <w:noProof/>
                <w:sz w:val="18"/>
                <w:szCs w:val="20"/>
              </w:rPr>
              <w:drawing>
                <wp:anchor distT="0" distB="0" distL="114300" distR="114300" simplePos="0" relativeHeight="251660288" behindDoc="0" locked="0" layoutInCell="1" allowOverlap="1" wp14:anchorId="6BA932D6" wp14:editId="55103427">
                  <wp:simplePos x="0" y="0"/>
                  <wp:positionH relativeFrom="column">
                    <wp:posOffset>-3810</wp:posOffset>
                  </wp:positionH>
                  <wp:positionV relativeFrom="paragraph">
                    <wp:posOffset>51435</wp:posOffset>
                  </wp:positionV>
                  <wp:extent cx="1530985" cy="1530985"/>
                  <wp:effectExtent l="0" t="0" r="0" b="0"/>
                  <wp:wrapNone/>
                  <wp:docPr id="28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530985" cy="1530985"/>
                          </a:xfrm>
                          <a:prstGeom prst="rect">
                            <a:avLst/>
                          </a:prstGeom>
                          <a:noFill/>
                          <a:ln>
                            <a:noFill/>
                          </a:ln>
                        </pic:spPr>
                      </pic:pic>
                    </a:graphicData>
                  </a:graphic>
                </wp:anchor>
              </w:drawing>
            </w:r>
          </w:p>
        </w:tc>
        <w:tc>
          <w:tcPr>
            <w:tcW w:w="3328" w:type="dxa"/>
            <w:tcBorders>
              <w:top w:val="single" w:sz="6" w:space="0" w:color="auto"/>
              <w:left w:val="single" w:sz="6" w:space="0" w:color="auto"/>
              <w:bottom w:val="single" w:sz="6" w:space="0" w:color="auto"/>
              <w:right w:val="single" w:sz="6" w:space="0" w:color="auto"/>
            </w:tcBorders>
            <w:vAlign w:val="center"/>
          </w:tcPr>
          <w:p w:rsidR="005624E3" w:rsidRPr="00C903F8" w:rsidRDefault="005624E3" w:rsidP="00101A80">
            <w:pPr>
              <w:rPr>
                <w:rFonts w:cs="Arial"/>
                <w:szCs w:val="20"/>
              </w:rPr>
            </w:pPr>
            <w:r>
              <w:t>Szín: kék / fehér</w:t>
            </w:r>
          </w:p>
        </w:tc>
      </w:tr>
      <w:tr w:rsidR="005624E3" w:rsidRPr="00C903F8" w:rsidTr="00101A80">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5624E3" w:rsidRPr="00C903F8" w:rsidRDefault="005624E3" w:rsidP="00101A80">
            <w:pPr>
              <w:tabs>
                <w:tab w:val="left" w:pos="454"/>
                <w:tab w:val="left" w:pos="907"/>
                <w:tab w:val="left" w:pos="1361"/>
                <w:tab w:val="left" w:pos="1814"/>
              </w:tabs>
              <w:overflowPunct w:val="0"/>
              <w:adjustRightInd w:val="0"/>
              <w:spacing w:before="240" w:line="240" w:lineRule="exact"/>
              <w:textAlignment w:val="baseline"/>
              <w:rPr>
                <w:noProof/>
                <w:szCs w:val="20"/>
              </w:rPr>
            </w:pPr>
            <w:r>
              <w:t>11. ábra</w:t>
            </w:r>
          </w:p>
          <w:p w:rsidR="005624E3" w:rsidRPr="00C903F8" w:rsidRDefault="005624E3" w:rsidP="00101A80">
            <w:pPr>
              <w:overflowPunct w:val="0"/>
              <w:adjustRightInd w:val="0"/>
              <w:textAlignment w:val="baseline"/>
              <w:rPr>
                <w:szCs w:val="20"/>
              </w:rPr>
            </w:pPr>
            <w:r>
              <w:t>LNG-figyelmeztetés</w:t>
            </w:r>
          </w:p>
        </w:tc>
        <w:tc>
          <w:tcPr>
            <w:tcW w:w="2551" w:type="dxa"/>
            <w:tcBorders>
              <w:top w:val="single" w:sz="6" w:space="0" w:color="auto"/>
              <w:left w:val="single" w:sz="6" w:space="0" w:color="auto"/>
              <w:bottom w:val="single" w:sz="6" w:space="0" w:color="auto"/>
              <w:right w:val="single" w:sz="6" w:space="0" w:color="auto"/>
            </w:tcBorders>
          </w:tcPr>
          <w:p w:rsidR="005624E3" w:rsidRPr="00C903F8" w:rsidRDefault="005624E3" w:rsidP="00101A80">
            <w:pPr>
              <w:overflowPunct w:val="0"/>
              <w:adjustRightInd w:val="0"/>
              <w:jc w:val="center"/>
              <w:textAlignment w:val="baseline"/>
              <w:rPr>
                <w:szCs w:val="20"/>
              </w:rPr>
            </w:pPr>
            <w:r>
              <w:rPr>
                <w:noProof/>
                <w:szCs w:val="20"/>
              </w:rPr>
              <w:drawing>
                <wp:inline distT="0" distB="0" distL="0" distR="0" wp14:anchorId="69AD921C" wp14:editId="42CB2320">
                  <wp:extent cx="1585240" cy="1457325"/>
                  <wp:effectExtent l="0" t="0" r="0" b="0"/>
                  <wp:docPr id="4" name="Image 4" descr="panneau L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nneau L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593290" cy="1464725"/>
                          </a:xfrm>
                          <a:prstGeom prst="rect">
                            <a:avLst/>
                          </a:prstGeom>
                          <a:noFill/>
                          <a:ln>
                            <a:noFill/>
                          </a:ln>
                        </pic:spPr>
                      </pic:pic>
                    </a:graphicData>
                  </a:graphic>
                </wp:inline>
              </w:drawing>
            </w:r>
          </w:p>
        </w:tc>
        <w:tc>
          <w:tcPr>
            <w:tcW w:w="3328" w:type="dxa"/>
            <w:tcBorders>
              <w:top w:val="single" w:sz="6" w:space="0" w:color="auto"/>
              <w:left w:val="single" w:sz="6" w:space="0" w:color="auto"/>
              <w:bottom w:val="single" w:sz="6" w:space="0" w:color="auto"/>
              <w:right w:val="single" w:sz="6" w:space="0" w:color="auto"/>
            </w:tcBorders>
            <w:vAlign w:val="center"/>
          </w:tcPr>
          <w:p w:rsidR="005624E3" w:rsidRPr="00C903F8" w:rsidRDefault="005624E3" w:rsidP="00101A80">
            <w:pPr>
              <w:overflowPunct w:val="0"/>
              <w:adjustRightInd w:val="0"/>
              <w:textAlignment w:val="baseline"/>
              <w:rPr>
                <w:szCs w:val="20"/>
              </w:rPr>
            </w:pPr>
            <w:r>
              <w:t>Szín: fekete / sárga</w:t>
            </w:r>
          </w:p>
        </w:tc>
      </w:tr>
    </w:tbl>
    <w:p w:rsidR="005624E3" w:rsidRPr="00C903F8" w:rsidRDefault="005624E3" w:rsidP="005624E3">
      <w:pPr>
        <w:tabs>
          <w:tab w:val="left" w:pos="6237"/>
        </w:tabs>
        <w:overflowPunct w:val="0"/>
        <w:adjustRightInd w:val="0"/>
        <w:textAlignment w:val="baseline"/>
        <w:rPr>
          <w:rFonts w:cs="Arial"/>
          <w:sz w:val="18"/>
          <w:szCs w:val="20"/>
        </w:rPr>
      </w:pPr>
    </w:p>
    <w:p w:rsidR="005624E3" w:rsidRPr="00C903F8" w:rsidRDefault="005624E3" w:rsidP="005624E3">
      <w:pPr>
        <w:tabs>
          <w:tab w:val="left" w:pos="284"/>
          <w:tab w:val="left" w:leader="dot" w:pos="3402"/>
          <w:tab w:val="left" w:pos="4536"/>
          <w:tab w:val="left" w:leader="dot" w:pos="8505"/>
        </w:tabs>
        <w:overflowPunct w:val="0"/>
        <w:adjustRightInd w:val="0"/>
        <w:textAlignment w:val="baseline"/>
        <w:rPr>
          <w:rFonts w:cs="Arial"/>
          <w:szCs w:val="20"/>
        </w:rPr>
      </w:pPr>
      <w:r>
        <w:t>A ténylegesen alkalmazott szimbólumok kis mértékben eltérhetnek az e mellékletben bemutatott grafikáktól, illetve lehetnek részletesebben kidolgozottak, feltéve hogy a jelentésük ettől nem változik, és az eltérések és módosítások a jelentéstartalmat nem teszik érthetetlenné.</w:t>
      </w:r>
    </w:p>
    <w:p w:rsidR="005624E3" w:rsidRPr="00C903F8" w:rsidRDefault="005624E3" w:rsidP="005624E3">
      <w:pPr>
        <w:tabs>
          <w:tab w:val="left" w:pos="284"/>
          <w:tab w:val="left" w:leader="dot" w:pos="3402"/>
          <w:tab w:val="left" w:pos="4536"/>
          <w:tab w:val="left" w:leader="dot" w:pos="8505"/>
        </w:tabs>
        <w:overflowPunct w:val="0"/>
        <w:adjustRightInd w:val="0"/>
        <w:textAlignment w:val="baseline"/>
        <w:rPr>
          <w:rFonts w:cs="Arial"/>
          <w:szCs w:val="20"/>
        </w:rPr>
      </w:pPr>
    </w:p>
    <w:p w:rsidR="005624E3" w:rsidRPr="00C903F8" w:rsidRDefault="005624E3" w:rsidP="005624E3">
      <w:pPr>
        <w:tabs>
          <w:tab w:val="left" w:pos="284"/>
          <w:tab w:val="left" w:leader="dot" w:pos="3402"/>
          <w:tab w:val="left" w:pos="4536"/>
          <w:tab w:val="left" w:leader="dot" w:pos="8505"/>
        </w:tabs>
        <w:overflowPunct w:val="0"/>
        <w:adjustRightInd w:val="0"/>
        <w:textAlignment w:val="baseline"/>
        <w:rPr>
          <w:rFonts w:cs="Arial"/>
          <w:szCs w:val="20"/>
        </w:rPr>
      </w:pPr>
      <w:r>
        <w:br w:type="page"/>
      </w:r>
    </w:p>
    <w:p w:rsidR="005624E3" w:rsidRPr="00C903F8" w:rsidRDefault="005624E3" w:rsidP="005624E3">
      <w:pPr>
        <w:tabs>
          <w:tab w:val="left" w:pos="284"/>
          <w:tab w:val="left" w:leader="dot" w:pos="3402"/>
          <w:tab w:val="left" w:pos="4536"/>
          <w:tab w:val="left" w:leader="dot" w:pos="8505"/>
        </w:tabs>
        <w:overflowPunct w:val="0"/>
        <w:adjustRightInd w:val="0"/>
        <w:textAlignment w:val="baseline"/>
        <w:rPr>
          <w:rFonts w:cs="Arial"/>
          <w:szCs w:val="20"/>
        </w:rPr>
      </w:pPr>
    </w:p>
    <w:p w:rsidR="005624E3" w:rsidRPr="00C903F8" w:rsidRDefault="005624E3" w:rsidP="005624E3">
      <w:pPr>
        <w:tabs>
          <w:tab w:val="left" w:pos="284"/>
          <w:tab w:val="left" w:leader="dot" w:pos="3402"/>
          <w:tab w:val="left" w:pos="4536"/>
          <w:tab w:val="left" w:leader="dot" w:pos="8505"/>
        </w:tabs>
        <w:overflowPunct w:val="0"/>
        <w:adjustRightInd w:val="0"/>
        <w:textAlignment w:val="baseline"/>
        <w:rPr>
          <w:rFonts w:cs="Arial"/>
          <w:szCs w:val="20"/>
        </w:rPr>
      </w:pPr>
    </w:p>
    <w:p w:rsidR="005624E3" w:rsidRPr="00C903F8" w:rsidRDefault="005624E3" w:rsidP="005624E3">
      <w:pPr>
        <w:tabs>
          <w:tab w:val="left" w:pos="284"/>
          <w:tab w:val="left" w:leader="dot" w:pos="3402"/>
          <w:tab w:val="left" w:pos="4536"/>
          <w:tab w:val="left" w:leader="dot" w:pos="8505"/>
        </w:tabs>
        <w:overflowPunct w:val="0"/>
        <w:adjustRightInd w:val="0"/>
        <w:textAlignment w:val="baseline"/>
        <w:rPr>
          <w:rFonts w:cs="Arial"/>
          <w:szCs w:val="20"/>
        </w:rPr>
      </w:pPr>
    </w:p>
    <w:p w:rsidR="005624E3" w:rsidRPr="00C903F8" w:rsidRDefault="005624E3" w:rsidP="005624E3">
      <w:pPr>
        <w:overflowPunct w:val="0"/>
        <w:adjustRightInd w:val="0"/>
        <w:textAlignment w:val="baseline"/>
        <w:rPr>
          <w:szCs w:val="20"/>
        </w:rPr>
      </w:pPr>
      <w:r>
        <w:br w:type="page"/>
      </w:r>
    </w:p>
    <w:p w:rsidR="005624E3" w:rsidRPr="00C903F8" w:rsidRDefault="005624E3" w:rsidP="005624E3">
      <w:pPr>
        <w:pStyle w:val="ES-Titre2"/>
        <w:pageBreakBefore w:val="0"/>
      </w:pPr>
      <w:bookmarkStart w:id="636" w:name="_Toc491854309"/>
      <w:bookmarkStart w:id="637" w:name="_Toc535854090"/>
      <w:r>
        <w:t>5. melléklet</w:t>
      </w:r>
      <w:r>
        <w:br/>
        <w:t>Navigációs és információs eszközök</w:t>
      </w:r>
      <w:bookmarkEnd w:id="636"/>
      <w:bookmarkEnd w:id="637"/>
    </w:p>
    <w:p w:rsidR="005624E3" w:rsidRPr="00C903F8" w:rsidRDefault="005624E3" w:rsidP="005624E3">
      <w:pPr>
        <w:overflowPunct w:val="0"/>
        <w:adjustRightInd w:val="0"/>
        <w:textAlignment w:val="baseline"/>
        <w:rPr>
          <w:rFonts w:cs="Arial"/>
          <w:szCs w:val="20"/>
        </w:rPr>
      </w:pPr>
    </w:p>
    <w:p w:rsidR="005624E3" w:rsidRPr="00C903F8" w:rsidRDefault="005624E3" w:rsidP="005624E3">
      <w:pPr>
        <w:overflowPunct w:val="0"/>
        <w:adjustRightInd w:val="0"/>
        <w:spacing w:line="240" w:lineRule="atLeast"/>
        <w:jc w:val="center"/>
        <w:textAlignment w:val="baseline"/>
        <w:rPr>
          <w:rFonts w:cs="Arial"/>
          <w:bCs/>
        </w:rPr>
      </w:pPr>
    </w:p>
    <w:p w:rsidR="005624E3" w:rsidRPr="00C903F8" w:rsidRDefault="005624E3" w:rsidP="005624E3">
      <w:pPr>
        <w:overflowPunct w:val="0"/>
        <w:adjustRightInd w:val="0"/>
        <w:spacing w:line="240" w:lineRule="atLeast"/>
        <w:jc w:val="center"/>
        <w:textAlignment w:val="baseline"/>
        <w:rPr>
          <w:rFonts w:cs="Arial"/>
          <w:b/>
          <w:bCs/>
        </w:rPr>
      </w:pPr>
      <w:r>
        <w:rPr>
          <w:b/>
          <w:noProof/>
        </w:rPr>
        <w:t>Tartalom</w:t>
      </w:r>
    </w:p>
    <w:p w:rsidR="005624E3" w:rsidRPr="00C903F8" w:rsidRDefault="005624E3" w:rsidP="005624E3">
      <w:pPr>
        <w:overflowPunct w:val="0"/>
        <w:adjustRightInd w:val="0"/>
        <w:spacing w:line="240" w:lineRule="atLeast"/>
        <w:jc w:val="center"/>
        <w:textAlignment w:val="baseline"/>
        <w:rPr>
          <w:rFonts w:cs="Arial"/>
        </w:rPr>
      </w:pPr>
    </w:p>
    <w:p w:rsidR="005624E3" w:rsidRPr="00C903F8" w:rsidRDefault="005624E3" w:rsidP="005624E3">
      <w:pPr>
        <w:overflowPunct w:val="0"/>
        <w:adjustRightInd w:val="0"/>
        <w:spacing w:line="240" w:lineRule="atLeast"/>
        <w:ind w:left="1134" w:hanging="1134"/>
        <w:textAlignment w:val="baseline"/>
        <w:rPr>
          <w:rFonts w:cs="Arial"/>
          <w:b/>
          <w:bCs/>
          <w:noProof/>
          <w:szCs w:val="20"/>
        </w:rPr>
      </w:pPr>
      <w:r>
        <w:rPr>
          <w:b/>
          <w:noProof/>
        </w:rPr>
        <w:t>Fogalommeghatározások</w:t>
      </w:r>
    </w:p>
    <w:p w:rsidR="005624E3" w:rsidRPr="00C903F8" w:rsidRDefault="005624E3" w:rsidP="005624E3">
      <w:pPr>
        <w:overflowPunct w:val="0"/>
        <w:adjustRightInd w:val="0"/>
        <w:spacing w:line="240" w:lineRule="atLeast"/>
        <w:ind w:left="1134" w:hanging="1134"/>
        <w:textAlignment w:val="baseline"/>
        <w:rPr>
          <w:rFonts w:cs="Arial"/>
          <w:b/>
          <w:bCs/>
          <w:noProof/>
          <w:szCs w:val="20"/>
        </w:rPr>
      </w:pPr>
    </w:p>
    <w:p w:rsidR="005624E3" w:rsidRDefault="005624E3" w:rsidP="005624E3">
      <w:pPr>
        <w:overflowPunct w:val="0"/>
        <w:adjustRightInd w:val="0"/>
        <w:spacing w:line="240" w:lineRule="atLeast"/>
        <w:ind w:left="1134" w:hanging="1134"/>
        <w:textAlignment w:val="baseline"/>
        <w:rPr>
          <w:rFonts w:cs="Arial"/>
          <w:noProof/>
          <w:szCs w:val="20"/>
        </w:rPr>
      </w:pPr>
      <w:r>
        <w:rPr>
          <w:b/>
          <w:noProof/>
        </w:rPr>
        <w:t>I. szakasz</w:t>
      </w:r>
      <w:r>
        <w:tab/>
        <w:t>A belvízi hajók fedélzetén használt navigációs radarberendezésekre vonatkozó minimumkövetelmények és vizsgálati feltételek</w:t>
      </w:r>
    </w:p>
    <w:p w:rsidR="005624E3" w:rsidRPr="00C903F8" w:rsidRDefault="005624E3" w:rsidP="005624E3">
      <w:pPr>
        <w:overflowPunct w:val="0"/>
        <w:adjustRightInd w:val="0"/>
        <w:spacing w:line="240" w:lineRule="atLeast"/>
        <w:ind w:left="2410" w:hanging="1276"/>
        <w:textAlignment w:val="baseline"/>
        <w:rPr>
          <w:rFonts w:cs="Arial"/>
          <w:szCs w:val="20"/>
        </w:rPr>
      </w:pPr>
      <w:r>
        <w:t>Függelék:</w:t>
      </w:r>
      <w:r>
        <w:tab/>
        <w:t>Önálló belvízi ECDIS-berendezés radarberendezéssel összekötve</w:t>
      </w:r>
    </w:p>
    <w:p w:rsidR="005624E3" w:rsidRPr="00C903F8" w:rsidRDefault="005624E3" w:rsidP="005624E3">
      <w:pPr>
        <w:overflowPunct w:val="0"/>
        <w:adjustRightInd w:val="0"/>
        <w:spacing w:line="240" w:lineRule="atLeast"/>
        <w:ind w:left="1134" w:hanging="1134"/>
        <w:textAlignment w:val="baseline"/>
        <w:rPr>
          <w:rFonts w:cs="Arial"/>
          <w:szCs w:val="20"/>
        </w:rPr>
      </w:pPr>
    </w:p>
    <w:p w:rsidR="005624E3" w:rsidRPr="00C903F8" w:rsidRDefault="005624E3" w:rsidP="005624E3">
      <w:pPr>
        <w:overflowPunct w:val="0"/>
        <w:adjustRightInd w:val="0"/>
        <w:spacing w:line="240" w:lineRule="atLeast"/>
        <w:ind w:left="1134" w:hanging="1134"/>
        <w:textAlignment w:val="baseline"/>
        <w:rPr>
          <w:rFonts w:cs="Arial"/>
          <w:szCs w:val="20"/>
        </w:rPr>
      </w:pPr>
      <w:r>
        <w:rPr>
          <w:b/>
          <w:noProof/>
        </w:rPr>
        <w:t>II. szakasz</w:t>
      </w:r>
      <w:r>
        <w:tab/>
        <w:t>A belvízi hajók fedélzetén használt fordulási szögsebességjelzőkre vonatkozó minimumkövetelmények és vizsgálati feltételek</w:t>
      </w:r>
    </w:p>
    <w:p w:rsidR="005624E3" w:rsidRPr="00C903F8" w:rsidRDefault="005624E3" w:rsidP="005624E3">
      <w:pPr>
        <w:overflowPunct w:val="0"/>
        <w:adjustRightInd w:val="0"/>
        <w:spacing w:line="240" w:lineRule="atLeast"/>
        <w:ind w:left="2410" w:hanging="1276"/>
        <w:textAlignment w:val="baseline"/>
        <w:rPr>
          <w:rFonts w:cs="Arial"/>
          <w:szCs w:val="20"/>
        </w:rPr>
      </w:pPr>
      <w:r>
        <w:t>1. fejezet</w:t>
      </w:r>
      <w:r>
        <w:tab/>
        <w:t>Általános rendelkezések</w:t>
      </w:r>
    </w:p>
    <w:p w:rsidR="005624E3" w:rsidRPr="00C903F8" w:rsidRDefault="005624E3" w:rsidP="005624E3">
      <w:pPr>
        <w:tabs>
          <w:tab w:val="left" w:pos="2410"/>
        </w:tabs>
        <w:overflowPunct w:val="0"/>
        <w:adjustRightInd w:val="0"/>
        <w:spacing w:before="60" w:line="240" w:lineRule="atLeast"/>
        <w:ind w:left="2410" w:hanging="1276"/>
        <w:textAlignment w:val="baseline"/>
        <w:rPr>
          <w:rFonts w:cs="Arial"/>
          <w:szCs w:val="20"/>
        </w:rPr>
      </w:pPr>
      <w:r>
        <w:t xml:space="preserve">2. fejezet </w:t>
      </w:r>
      <w:r>
        <w:tab/>
        <w:t>A fordulási szögsebességjelzőkre vonatkozó általános minimumkövetelmények</w:t>
      </w:r>
    </w:p>
    <w:p w:rsidR="005624E3" w:rsidRPr="00C903F8" w:rsidRDefault="005624E3" w:rsidP="005624E3">
      <w:pPr>
        <w:tabs>
          <w:tab w:val="left" w:pos="2410"/>
        </w:tabs>
        <w:overflowPunct w:val="0"/>
        <w:adjustRightInd w:val="0"/>
        <w:spacing w:before="60" w:line="240" w:lineRule="atLeast"/>
        <w:ind w:left="2410" w:hanging="1276"/>
        <w:textAlignment w:val="baseline"/>
        <w:rPr>
          <w:rFonts w:cs="Arial"/>
          <w:szCs w:val="20"/>
        </w:rPr>
      </w:pPr>
      <w:r>
        <w:t xml:space="preserve">3. fejezet </w:t>
      </w:r>
      <w:r>
        <w:tab/>
        <w:t>A fordulási szögsebességjelzőkre vonatkozó működési minimumkövetelmények</w:t>
      </w:r>
    </w:p>
    <w:p w:rsidR="005624E3" w:rsidRPr="00C903F8" w:rsidRDefault="005624E3" w:rsidP="005624E3">
      <w:pPr>
        <w:tabs>
          <w:tab w:val="left" w:pos="2410"/>
        </w:tabs>
        <w:overflowPunct w:val="0"/>
        <w:adjustRightInd w:val="0"/>
        <w:spacing w:before="60" w:line="240" w:lineRule="atLeast"/>
        <w:ind w:left="2410" w:hanging="1276"/>
        <w:textAlignment w:val="baseline"/>
        <w:rPr>
          <w:rFonts w:cs="Arial"/>
          <w:szCs w:val="20"/>
        </w:rPr>
      </w:pPr>
      <w:r>
        <w:t xml:space="preserve">4. fejezet </w:t>
      </w:r>
      <w:r>
        <w:tab/>
        <w:t>A fordulási szögsebességjelzőkre vonatkozó műszaki minimumkövetelmények</w:t>
      </w:r>
    </w:p>
    <w:p w:rsidR="005624E3" w:rsidRPr="00C903F8" w:rsidRDefault="005624E3" w:rsidP="005624E3">
      <w:pPr>
        <w:tabs>
          <w:tab w:val="left" w:pos="2410"/>
        </w:tabs>
        <w:overflowPunct w:val="0"/>
        <w:adjustRightInd w:val="0"/>
        <w:spacing w:before="60" w:line="240" w:lineRule="atLeast"/>
        <w:ind w:left="2410" w:hanging="1276"/>
        <w:textAlignment w:val="baseline"/>
        <w:rPr>
          <w:rFonts w:cs="Arial"/>
          <w:szCs w:val="20"/>
        </w:rPr>
      </w:pPr>
      <w:r>
        <w:t xml:space="preserve">5. fejezet </w:t>
      </w:r>
      <w:r>
        <w:tab/>
        <w:t>A fordulási szögsebességjelzőkre vonatkozó vizsgálati feltételek és eljárások</w:t>
      </w:r>
    </w:p>
    <w:p w:rsidR="005624E3" w:rsidRPr="00C903F8" w:rsidRDefault="005624E3" w:rsidP="005624E3">
      <w:pPr>
        <w:tabs>
          <w:tab w:val="left" w:pos="1418"/>
          <w:tab w:val="left" w:pos="3544"/>
        </w:tabs>
        <w:overflowPunct w:val="0"/>
        <w:adjustRightInd w:val="0"/>
        <w:spacing w:before="60" w:line="240" w:lineRule="atLeast"/>
        <w:ind w:left="3544" w:hanging="1134"/>
        <w:textAlignment w:val="baseline"/>
        <w:rPr>
          <w:rFonts w:cs="Arial"/>
          <w:noProof/>
          <w:szCs w:val="20"/>
        </w:rPr>
      </w:pPr>
      <w:r>
        <w:t>Függelék:</w:t>
      </w:r>
      <w:r>
        <w:tab/>
        <w:t>A fordulási szögsebességjelzők kijelzési hibaértékeinek maximális toleranciaszintje</w:t>
      </w:r>
    </w:p>
    <w:p w:rsidR="005624E3" w:rsidRPr="00C903F8" w:rsidRDefault="005624E3" w:rsidP="005624E3">
      <w:pPr>
        <w:overflowPunct w:val="0"/>
        <w:adjustRightInd w:val="0"/>
        <w:spacing w:line="240" w:lineRule="atLeast"/>
        <w:ind w:left="1134" w:hanging="1134"/>
        <w:textAlignment w:val="baseline"/>
        <w:rPr>
          <w:rFonts w:cs="Arial"/>
          <w:szCs w:val="20"/>
        </w:rPr>
      </w:pPr>
    </w:p>
    <w:p w:rsidR="005624E3" w:rsidRPr="00C903F8" w:rsidRDefault="005624E3" w:rsidP="005624E3">
      <w:pPr>
        <w:overflowPunct w:val="0"/>
        <w:adjustRightInd w:val="0"/>
        <w:spacing w:line="240" w:lineRule="atLeast"/>
        <w:ind w:left="1134" w:hanging="1134"/>
        <w:textAlignment w:val="baseline"/>
        <w:rPr>
          <w:rFonts w:cs="Arial"/>
          <w:szCs w:val="20"/>
        </w:rPr>
      </w:pPr>
      <w:r>
        <w:rPr>
          <w:b/>
          <w:noProof/>
        </w:rPr>
        <w:t>III. szakasz</w:t>
      </w:r>
      <w:r>
        <w:tab/>
        <w:t>A belvízi hajók fedélzetén használt navigációs radarberendezések és fordulási szögsebességjelzők beszerelésére és teljesítménypróbájára vonatkozó követelmények</w:t>
      </w:r>
    </w:p>
    <w:p w:rsidR="005624E3" w:rsidRPr="00C903F8" w:rsidRDefault="005624E3" w:rsidP="005624E3">
      <w:pPr>
        <w:overflowPunct w:val="0"/>
        <w:adjustRightInd w:val="0"/>
        <w:spacing w:line="240" w:lineRule="atLeast"/>
        <w:ind w:left="1134" w:hanging="1134"/>
        <w:textAlignment w:val="baseline"/>
        <w:rPr>
          <w:rFonts w:cs="Arial"/>
          <w:szCs w:val="20"/>
        </w:rPr>
      </w:pPr>
    </w:p>
    <w:p w:rsidR="005624E3" w:rsidRPr="00C903F8" w:rsidRDefault="005624E3" w:rsidP="005624E3">
      <w:pPr>
        <w:overflowPunct w:val="0"/>
        <w:adjustRightInd w:val="0"/>
        <w:spacing w:line="240" w:lineRule="atLeast"/>
        <w:ind w:left="1134" w:hanging="1134"/>
        <w:textAlignment w:val="baseline"/>
        <w:rPr>
          <w:rFonts w:cs="Arial"/>
          <w:noProof/>
          <w:szCs w:val="20"/>
        </w:rPr>
      </w:pPr>
      <w:r>
        <w:rPr>
          <w:b/>
          <w:noProof/>
        </w:rPr>
        <w:t>IV. szakasz</w:t>
      </w:r>
      <w:r>
        <w:tab/>
        <w:t>A belvízi hajók fedélzetén használt belvízi AIS-berendezések beszerelésére és teljesítménypróbájára vonatkozó minimumkövetelmények és követelmények</w:t>
      </w:r>
    </w:p>
    <w:p w:rsidR="005624E3" w:rsidRPr="00C903F8" w:rsidRDefault="005624E3" w:rsidP="005624E3">
      <w:pPr>
        <w:overflowPunct w:val="0"/>
        <w:adjustRightInd w:val="0"/>
        <w:spacing w:line="240" w:lineRule="atLeast"/>
        <w:ind w:left="1134" w:hanging="1134"/>
        <w:textAlignment w:val="baseline"/>
        <w:rPr>
          <w:rFonts w:cs="Arial"/>
          <w:noProof/>
          <w:szCs w:val="20"/>
        </w:rPr>
      </w:pPr>
    </w:p>
    <w:p w:rsidR="005624E3" w:rsidRPr="00C903F8" w:rsidRDefault="005624E3" w:rsidP="005624E3">
      <w:pPr>
        <w:tabs>
          <w:tab w:val="left" w:pos="284"/>
        </w:tabs>
        <w:overflowPunct w:val="0"/>
        <w:adjustRightInd w:val="0"/>
        <w:ind w:left="1134" w:hanging="1134"/>
        <w:textAlignment w:val="baseline"/>
        <w:rPr>
          <w:rFonts w:cs="Arial"/>
          <w:noProof/>
          <w:szCs w:val="20"/>
        </w:rPr>
      </w:pPr>
      <w:r>
        <w:rPr>
          <w:b/>
          <w:noProof/>
          <w:color w:val="000000"/>
        </w:rPr>
        <w:t>V. szakasz</w:t>
      </w:r>
      <w:r>
        <w:tab/>
        <w:t>A belvízi hajók fedélzetén használt menetíró készülékek beszerelésére és teljesítménypróbájára vonatkozó minimumkövetelmények és követelmények</w:t>
      </w:r>
    </w:p>
    <w:p w:rsidR="005624E3" w:rsidRPr="00C903F8" w:rsidRDefault="005624E3" w:rsidP="005624E3">
      <w:pPr>
        <w:tabs>
          <w:tab w:val="left" w:pos="284"/>
          <w:tab w:val="left" w:leader="dot" w:pos="9072"/>
        </w:tabs>
        <w:overflowPunct w:val="0"/>
        <w:adjustRightInd w:val="0"/>
        <w:ind w:left="1134" w:hanging="1134"/>
        <w:textAlignment w:val="baseline"/>
        <w:rPr>
          <w:rFonts w:cs="Arial"/>
          <w:szCs w:val="20"/>
        </w:rPr>
      </w:pPr>
    </w:p>
    <w:p w:rsidR="005624E3" w:rsidRPr="00C903F8" w:rsidRDefault="005624E3" w:rsidP="005624E3">
      <w:pPr>
        <w:overflowPunct w:val="0"/>
        <w:adjustRightInd w:val="0"/>
        <w:spacing w:line="240" w:lineRule="atLeast"/>
        <w:ind w:left="1134" w:hanging="1134"/>
        <w:textAlignment w:val="baseline"/>
        <w:rPr>
          <w:rFonts w:cs="Arial"/>
          <w:noProof/>
          <w:szCs w:val="20"/>
        </w:rPr>
      </w:pPr>
      <w:r>
        <w:rPr>
          <w:b/>
          <w:noProof/>
        </w:rPr>
        <w:t>VI. szakasz</w:t>
      </w:r>
      <w:r>
        <w:tab/>
        <w:t>A belvízi hajók fedélzetén használt navigációs radarberendezések, fordulási szögsebességjelzők, belvízi AIS-berendezések és menetíró készülékek beszerelési és teljesítményigazolási bizonyítványa</w:t>
      </w:r>
    </w:p>
    <w:p w:rsidR="005624E3" w:rsidRPr="00C903F8" w:rsidRDefault="005624E3" w:rsidP="005624E3">
      <w:pPr>
        <w:overflowPunct w:val="0"/>
        <w:adjustRightInd w:val="0"/>
        <w:spacing w:line="240" w:lineRule="atLeast"/>
        <w:ind w:left="1134" w:hanging="1134"/>
        <w:textAlignment w:val="baseline"/>
        <w:rPr>
          <w:rFonts w:cs="Arial"/>
          <w:szCs w:val="20"/>
        </w:rPr>
      </w:pPr>
    </w:p>
    <w:p w:rsidR="005624E3" w:rsidRDefault="005624E3" w:rsidP="005624E3">
      <w:pPr>
        <w:overflowPunct w:val="0"/>
        <w:adjustRightInd w:val="0"/>
        <w:spacing w:line="240" w:lineRule="atLeast"/>
        <w:ind w:left="1134" w:hanging="1134"/>
        <w:textAlignment w:val="baseline"/>
        <w:rPr>
          <w:rFonts w:cs="Arial"/>
          <w:szCs w:val="20"/>
        </w:rPr>
      </w:pPr>
    </w:p>
    <w:p w:rsidR="005624E3" w:rsidRPr="00C903F8" w:rsidRDefault="005624E3" w:rsidP="005624E3">
      <w:pPr>
        <w:overflowPunct w:val="0"/>
        <w:adjustRightInd w:val="0"/>
        <w:spacing w:line="240" w:lineRule="atLeast"/>
        <w:ind w:left="1134" w:hanging="1134"/>
        <w:textAlignment w:val="baseline"/>
        <w:rPr>
          <w:rFonts w:cs="Arial"/>
          <w:szCs w:val="20"/>
        </w:rPr>
      </w:pPr>
    </w:p>
    <w:p w:rsidR="005624E3" w:rsidRPr="00C903F8" w:rsidRDefault="005624E3" w:rsidP="005624E3">
      <w:pPr>
        <w:overflowPunct w:val="0"/>
        <w:adjustRightInd w:val="0"/>
        <w:spacing w:line="240" w:lineRule="exact"/>
        <w:jc w:val="center"/>
        <w:textAlignment w:val="baseline"/>
        <w:rPr>
          <w:rFonts w:eastAsia="Calibri"/>
          <w:b/>
          <w:noProof/>
        </w:rPr>
      </w:pPr>
      <w:r>
        <w:rPr>
          <w:b/>
          <w:noProof/>
        </w:rPr>
        <w:t>Fogalommeghatározások</w:t>
      </w:r>
    </w:p>
    <w:p w:rsidR="005624E3" w:rsidRPr="00C903F8" w:rsidRDefault="005624E3" w:rsidP="005624E3">
      <w:pPr>
        <w:overflowPunct w:val="0"/>
        <w:adjustRightInd w:val="0"/>
        <w:spacing w:line="240" w:lineRule="atLeast"/>
        <w:ind w:left="1134" w:hanging="1134"/>
        <w:textAlignment w:val="baseline"/>
        <w:rPr>
          <w:rFonts w:cs="Arial"/>
          <w:szCs w:val="20"/>
        </w:rPr>
      </w:pPr>
    </w:p>
    <w:p w:rsidR="005624E3" w:rsidRPr="00C903F8" w:rsidRDefault="005624E3" w:rsidP="005624E3">
      <w:pPr>
        <w:spacing w:line="240" w:lineRule="atLeast"/>
        <w:rPr>
          <w:rFonts w:cs="Arial"/>
          <w:color w:val="000000"/>
        </w:rPr>
      </w:pPr>
      <w:r>
        <w:rPr>
          <w:color w:val="000000"/>
        </w:rPr>
        <w:t>1.</w:t>
      </w:r>
      <w:r>
        <w:tab/>
      </w:r>
      <w:r>
        <w:rPr>
          <w:color w:val="000000"/>
        </w:rPr>
        <w:t>„típuspróba”: az I. szakasz 4. cikkében vagy a II. szakasz 1.03. cikkében említett vizsgálati eljárás, amellyel a műszaki szolgálat e melléklet előírásainak teljesítését vizsgálja. A típuspróba a típusjóváhagyás szerves részét képezi;</w:t>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r>
        <w:rPr>
          <w:color w:val="000000"/>
        </w:rPr>
        <w:t>2.</w:t>
      </w:r>
      <w:r>
        <w:tab/>
      </w:r>
      <w:r>
        <w:rPr>
          <w:color w:val="000000"/>
        </w:rPr>
        <w:t>„típusjóváhagyás”: közigazgatási eljárás, amelynek alapján a tagállam megerősíti, hogy a berendezések megfelelnek e melléklet előírásainak;</w:t>
      </w:r>
    </w:p>
    <w:p w:rsidR="005624E3" w:rsidRPr="00C903F8" w:rsidRDefault="005624E3" w:rsidP="005624E3">
      <w:pPr>
        <w:spacing w:line="240" w:lineRule="atLeast"/>
        <w:rPr>
          <w:rFonts w:cs="Arial"/>
          <w:strike/>
          <w:noProof/>
          <w:color w:val="000000"/>
        </w:rPr>
      </w:pPr>
    </w:p>
    <w:p w:rsidR="005624E3" w:rsidRPr="00C903F8" w:rsidRDefault="005624E3" w:rsidP="005624E3">
      <w:pPr>
        <w:spacing w:line="240" w:lineRule="atLeast"/>
        <w:rPr>
          <w:rFonts w:cs="Arial"/>
          <w:noProof/>
          <w:color w:val="000000"/>
        </w:rPr>
      </w:pPr>
      <w:r>
        <w:br w:type="page"/>
      </w:r>
    </w:p>
    <w:p w:rsidR="005624E3" w:rsidRPr="00C903F8" w:rsidRDefault="005624E3" w:rsidP="005624E3">
      <w:pPr>
        <w:spacing w:line="240" w:lineRule="atLeast"/>
        <w:rPr>
          <w:rFonts w:cs="Arial"/>
          <w:noProof/>
          <w:color w:val="000000"/>
        </w:rPr>
      </w:pPr>
      <w:r>
        <w:rPr>
          <w:noProof/>
          <w:color w:val="000000"/>
        </w:rPr>
        <w:t>3.</w:t>
      </w:r>
      <w:r>
        <w:tab/>
      </w:r>
      <w:r>
        <w:rPr>
          <w:noProof/>
          <w:color w:val="000000"/>
        </w:rPr>
        <w:t>„vizsgálati tanúsítvány”: a típuspróba eredményeit tartalmazó dokumentum;</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4.</w:t>
      </w:r>
      <w:r>
        <w:tab/>
      </w:r>
      <w:r>
        <w:rPr>
          <w:noProof/>
          <w:color w:val="000000"/>
        </w:rPr>
        <w:t>„kérelmező” vagy „gyártó”: az a jogi vagy természetes személy, akinek neve, márkaneve vagy bármilyen egyéb azonosítója alatt a vizsgálatra benyújtott berendezést gyártják vagy forgalmazzák, és aki a típusvizsgálati és a típusjóváhagyási eljárással kapcsolatos minden kérdésben felelősséggel tartozik a műszaki szolgálat és a jóváhagyó hatóság felé;</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5.</w:t>
      </w:r>
      <w:r>
        <w:tab/>
      </w:r>
      <w:r>
        <w:rPr>
          <w:noProof/>
          <w:color w:val="000000"/>
        </w:rPr>
        <w:t>„műszaki szolgálat”: az az intézmény, hatóság vagy szervezet, amely a típusvizsgálatokat végrehajtja;</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6.</w:t>
      </w:r>
      <w:r>
        <w:tab/>
      </w:r>
      <w:r>
        <w:rPr>
          <w:noProof/>
          <w:color w:val="000000"/>
        </w:rPr>
        <w:t>„gyártói nyilatkozat”: az a nyilatkozat, amellyel a gyártó igazolja, hogy a berendezés megfelel az érvényes minimumkövetelményeknek, és minden tekintetben azonos a vizsgálatra benyújtott berendezéstípussal;</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7.</w:t>
      </w:r>
      <w:r>
        <w:tab/>
      </w:r>
      <w:r>
        <w:rPr>
          <w:noProof/>
          <w:color w:val="000000"/>
        </w:rPr>
        <w:t>„a 2014/53/EU irányelv</w:t>
      </w:r>
      <w:r>
        <w:rPr>
          <w:noProof/>
          <w:vertAlign w:val="superscript"/>
        </w:rPr>
        <w:footnoteReference w:id="52"/>
      </w:r>
      <w:r>
        <w:rPr>
          <w:noProof/>
          <w:color w:val="000000"/>
        </w:rPr>
        <w:t xml:space="preserve"> szerinti megfelelőségi nyilatkozat”: a 2014/53/EU irányelv II. mellékletének 4. pontja szerinti nyilatkozat, amellyel a gyártó megerősíti, hogy az adott termékek megfelelnek az irányelv alkalmazandó követelményeinek.</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color w:val="000000"/>
          <w:szCs w:val="20"/>
        </w:rPr>
      </w:pPr>
    </w:p>
    <w:p w:rsidR="005624E3" w:rsidRPr="00C903F8" w:rsidRDefault="005624E3" w:rsidP="005624E3">
      <w:pPr>
        <w:overflowPunct w:val="0"/>
        <w:adjustRightInd w:val="0"/>
        <w:spacing w:line="240" w:lineRule="atLeast"/>
        <w:ind w:left="1134" w:hanging="1134"/>
        <w:textAlignment w:val="baseline"/>
        <w:rPr>
          <w:rFonts w:cs="Arial"/>
          <w:szCs w:val="20"/>
        </w:rPr>
      </w:pPr>
    </w:p>
    <w:p w:rsidR="005624E3" w:rsidRPr="00C903F8" w:rsidRDefault="005624E3" w:rsidP="005624E3">
      <w:pPr>
        <w:overflowPunct w:val="0"/>
        <w:adjustRightInd w:val="0"/>
        <w:spacing w:line="240" w:lineRule="atLeast"/>
        <w:ind w:left="1134" w:hanging="1134"/>
        <w:textAlignment w:val="baseline"/>
        <w:rPr>
          <w:rFonts w:cs="Arial"/>
          <w:szCs w:val="20"/>
        </w:rPr>
      </w:pPr>
    </w:p>
    <w:p w:rsidR="005624E3" w:rsidRPr="00C903F8" w:rsidRDefault="005624E3" w:rsidP="005624E3">
      <w:pPr>
        <w:overflowPunct w:val="0"/>
        <w:adjustRightInd w:val="0"/>
        <w:spacing w:line="240" w:lineRule="atLeast"/>
        <w:jc w:val="center"/>
        <w:textAlignment w:val="baseline"/>
        <w:rPr>
          <w:rFonts w:cs="Arial"/>
          <w:szCs w:val="20"/>
        </w:rPr>
        <w:sectPr w:rsidR="005624E3" w:rsidRPr="00C903F8" w:rsidSect="00FB55E9">
          <w:headerReference w:type="default" r:id="rId64"/>
          <w:footerReference w:type="default" r:id="rId65"/>
          <w:footnotePr>
            <w:numRestart w:val="eachPage"/>
          </w:footnotePr>
          <w:pgSz w:w="11907" w:h="16840" w:code="9"/>
          <w:pgMar w:top="1361" w:right="1418" w:bottom="1361" w:left="1418" w:header="680" w:footer="680" w:gutter="0"/>
          <w:cols w:space="720"/>
          <w:docGrid w:linePitch="326"/>
        </w:sectPr>
      </w:pPr>
    </w:p>
    <w:p w:rsidR="005624E3" w:rsidRPr="00C903F8" w:rsidRDefault="005624E3" w:rsidP="005624E3">
      <w:pPr>
        <w:overflowPunct w:val="0"/>
        <w:adjustRightInd w:val="0"/>
        <w:spacing w:line="240" w:lineRule="atLeast"/>
        <w:jc w:val="center"/>
        <w:textAlignment w:val="baseline"/>
        <w:rPr>
          <w:rFonts w:cs="Arial"/>
          <w:szCs w:val="20"/>
        </w:rPr>
      </w:pPr>
    </w:p>
    <w:p w:rsidR="005624E3" w:rsidRPr="00C903F8" w:rsidRDefault="005624E3" w:rsidP="005624E3">
      <w:pPr>
        <w:pStyle w:val="ES-Titre3"/>
        <w:rPr>
          <w:noProof/>
        </w:rPr>
      </w:pPr>
      <w:bookmarkStart w:id="638" w:name="_Toc491854310"/>
      <w:bookmarkStart w:id="639" w:name="_Toc535854091"/>
      <w:r>
        <w:t>I. szakasz</w:t>
      </w:r>
      <w:bookmarkEnd w:id="638"/>
      <w:bookmarkEnd w:id="639"/>
    </w:p>
    <w:p w:rsidR="005624E3" w:rsidRPr="00C903F8" w:rsidRDefault="005624E3" w:rsidP="005624E3">
      <w:pPr>
        <w:pStyle w:val="ES-Titre3a"/>
        <w:rPr>
          <w:rFonts w:cs="Arial"/>
          <w:bCs/>
          <w:szCs w:val="20"/>
        </w:rPr>
      </w:pPr>
      <w:bookmarkStart w:id="640" w:name="_Toc491854311"/>
      <w:bookmarkStart w:id="641" w:name="_Toc535854092"/>
      <w:r>
        <w:t>A belvízi hajók fedélzetén használt navigációs radarberendezésekre vonatkozó minimumkövetelmények és vizsgálati feltételek</w:t>
      </w:r>
      <w:bookmarkEnd w:id="640"/>
      <w:bookmarkEnd w:id="641"/>
    </w:p>
    <w:p w:rsidR="005624E3" w:rsidRPr="00C903F8" w:rsidRDefault="005624E3" w:rsidP="005624E3">
      <w:pPr>
        <w:tabs>
          <w:tab w:val="right" w:pos="9072"/>
        </w:tabs>
        <w:overflowPunct w:val="0"/>
        <w:adjustRightInd w:val="0"/>
        <w:spacing w:line="240" w:lineRule="atLeast"/>
        <w:textAlignment w:val="baseline"/>
        <w:rPr>
          <w:rFonts w:cs="Arial"/>
          <w:szCs w:val="20"/>
        </w:rPr>
      </w:pPr>
    </w:p>
    <w:p w:rsidR="005624E3" w:rsidRPr="00C903F8" w:rsidRDefault="005624E3" w:rsidP="005624E3">
      <w:pPr>
        <w:spacing w:line="240" w:lineRule="atLeast"/>
        <w:jc w:val="center"/>
        <w:rPr>
          <w:rFonts w:cs="Arial"/>
          <w:i/>
          <w:noProof/>
        </w:rPr>
      </w:pPr>
      <w:r>
        <w:rPr>
          <w:b/>
          <w:noProof/>
        </w:rPr>
        <w:t>1. cikk</w:t>
      </w:r>
      <w:r>
        <w:rPr>
          <w:rFonts w:cs="Arial"/>
          <w:b/>
          <w:noProof/>
        </w:rPr>
        <w:br/>
      </w:r>
      <w:r>
        <w:rPr>
          <w:i/>
          <w:noProof/>
        </w:rPr>
        <w:t>Alkalmazási kör</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r>
        <w:t xml:space="preserve">Ezek a rendelkezések a belvízi hajók fedélzetén használt navigációs radarberendezésekre vonatkozó minimumkövetelményeket, valamint az e minimumkövetelményeknek való megfelelés vizsgálatának feltételeit határozzák meg. </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spacing w:line="240" w:lineRule="atLeast"/>
        <w:jc w:val="center"/>
        <w:rPr>
          <w:rFonts w:cs="Arial"/>
          <w:i/>
          <w:noProof/>
        </w:rPr>
      </w:pPr>
      <w:r>
        <w:rPr>
          <w:b/>
          <w:noProof/>
        </w:rPr>
        <w:t>2. cikk</w:t>
      </w:r>
      <w:r>
        <w:rPr>
          <w:rFonts w:cs="Arial"/>
          <w:b/>
          <w:noProof/>
        </w:rPr>
        <w:br/>
      </w:r>
      <w:r>
        <w:rPr>
          <w:i/>
          <w:noProof/>
        </w:rPr>
        <w:t>A navigációs radarberendezés funkciója</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r>
        <w:t>A navigációs radarberendezés segíti a hajó kormányzását azzal, hogy érthető radarképet ad annak helyzetéről, a bójákhoz, a partvonalhoz és a hajózási építményekhez viszonyítva, valamint lehetővé teszi más hajók vagy a vízi út felszíne fölé nyúló akadályok megbízható és időben történő felismerését.</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spacing w:line="240" w:lineRule="atLeast"/>
        <w:jc w:val="center"/>
        <w:rPr>
          <w:rFonts w:cs="Arial"/>
          <w:i/>
          <w:noProof/>
        </w:rPr>
      </w:pPr>
      <w:r>
        <w:rPr>
          <w:b/>
          <w:noProof/>
        </w:rPr>
        <w:t>3. cikk</w:t>
      </w:r>
      <w:r>
        <w:rPr>
          <w:rFonts w:cs="Arial"/>
          <w:b/>
          <w:noProof/>
        </w:rPr>
        <w:br/>
      </w:r>
      <w:r>
        <w:rPr>
          <w:i/>
          <w:noProof/>
        </w:rPr>
        <w:t>Minimumkövetelmények</w:t>
      </w:r>
    </w:p>
    <w:p w:rsidR="005624E3" w:rsidRPr="00C903F8" w:rsidRDefault="005624E3" w:rsidP="005624E3">
      <w:pPr>
        <w:spacing w:line="240" w:lineRule="atLeast"/>
        <w:jc w:val="center"/>
        <w:rPr>
          <w:rFonts w:cs="Arial"/>
          <w:noProof/>
        </w:rPr>
      </w:pPr>
    </w:p>
    <w:p w:rsidR="005624E3" w:rsidRPr="00C92875" w:rsidRDefault="005624E3" w:rsidP="005624E3">
      <w:pPr>
        <w:spacing w:line="240" w:lineRule="atLeast"/>
        <w:ind w:left="426" w:hanging="426"/>
        <w:rPr>
          <w:rFonts w:eastAsia="Batang" w:cs="Arial"/>
          <w:noProof/>
          <w:color w:val="000000"/>
        </w:rPr>
      </w:pPr>
      <w:r>
        <w:rPr>
          <w:color w:val="000000"/>
        </w:rPr>
        <w:t>1.</w:t>
      </w:r>
      <w:r>
        <w:tab/>
      </w:r>
      <w:r>
        <w:rPr>
          <w:color w:val="000000"/>
        </w:rPr>
        <w:t xml:space="preserve">A navigációs radarberendezéseknek meg kell felelniük a </w:t>
      </w:r>
      <w:r>
        <w:rPr>
          <w:rFonts w:ascii="ArialMT" w:hAnsi="ArialMT"/>
        </w:rPr>
        <w:t>2014/53/EU</w:t>
      </w:r>
      <w:r>
        <w:t xml:space="preserve"> irányelv követelményeinek</w:t>
      </w:r>
      <w:r>
        <w:rPr>
          <w:noProof/>
          <w:color w:val="000000"/>
        </w:rPr>
        <w:t>.</w:t>
      </w:r>
    </w:p>
    <w:p w:rsidR="005624E3" w:rsidRPr="00C92875" w:rsidRDefault="005624E3" w:rsidP="005624E3">
      <w:pPr>
        <w:spacing w:line="240" w:lineRule="atLeast"/>
        <w:ind w:left="426" w:hanging="426"/>
        <w:rPr>
          <w:rFonts w:eastAsia="Batang" w:cs="Arial"/>
          <w:noProof/>
          <w:color w:val="000000"/>
        </w:rPr>
      </w:pPr>
    </w:p>
    <w:p w:rsidR="005624E3" w:rsidRPr="00C92875" w:rsidRDefault="005624E3" w:rsidP="005624E3">
      <w:pPr>
        <w:spacing w:line="240" w:lineRule="atLeast"/>
        <w:ind w:left="426" w:hanging="426"/>
        <w:rPr>
          <w:rFonts w:cs="Arial"/>
          <w:noProof/>
          <w:color w:val="000000"/>
        </w:rPr>
      </w:pPr>
      <w:r>
        <w:rPr>
          <w:color w:val="000000"/>
        </w:rPr>
        <w:t>2.</w:t>
      </w:r>
      <w:r>
        <w:tab/>
      </w:r>
      <w:r>
        <w:rPr>
          <w:color w:val="000000"/>
        </w:rPr>
        <w:t>A navigációs radarberendezéseknek ezenkívül meg kell felelniük az EN 302 194-1:2006 európai szabvány követelményeinek: Elektromágneses összeférhetőségi és rádióspektrumügyek (ERM); Belvízi utakon használt navigációs radarberendezések: 1. rész: Műszaki jellemzők és mérési módszerek.</w:t>
      </w:r>
    </w:p>
    <w:p w:rsidR="005624E3" w:rsidRPr="00C92875" w:rsidRDefault="005624E3" w:rsidP="005624E3">
      <w:pPr>
        <w:spacing w:line="240" w:lineRule="atLeast"/>
        <w:ind w:left="426" w:hanging="426"/>
        <w:rPr>
          <w:rFonts w:cs="Arial"/>
          <w:noProof/>
          <w:color w:val="000000"/>
        </w:rPr>
      </w:pPr>
    </w:p>
    <w:p w:rsidR="005624E3" w:rsidRPr="00C92875" w:rsidRDefault="005624E3" w:rsidP="005624E3">
      <w:pPr>
        <w:spacing w:line="240" w:lineRule="atLeast"/>
        <w:ind w:left="426" w:hanging="426"/>
        <w:rPr>
          <w:rFonts w:cs="Arial"/>
          <w:color w:val="000000"/>
        </w:rPr>
      </w:pPr>
      <w:r>
        <w:rPr>
          <w:color w:val="000000"/>
        </w:rPr>
        <w:t>3.</w:t>
      </w:r>
      <w:r>
        <w:tab/>
      </w:r>
      <w:r>
        <w:rPr>
          <w:color w:val="000000"/>
        </w:rPr>
        <w:t>A fenti 2. bekezdés nem vonatkozik a belvízi ECDIS-berendezés azon hardverösszetevőjére, amely – a belvízi ECDIS-szabvány 1. szakaszának 5.2. pontjával összhangban, összefüggésben a 4. szakasz 2.2.2. vagy 2.2.3 pontjával – a 2. vagy 3. rendszerkonfiguráció szerinti navigációs üzemmódban működik, amennyiben gyártói megfelelőségi tanúsítványt állítottak ki. A megfelelőségi tanúsítványnak igazolnia kell, hogy:</w:t>
      </w:r>
    </w:p>
    <w:p w:rsidR="005624E3" w:rsidRPr="00C92875" w:rsidRDefault="005624E3" w:rsidP="005624E3">
      <w:pPr>
        <w:tabs>
          <w:tab w:val="left" w:pos="0"/>
        </w:tabs>
        <w:overflowPunct w:val="0"/>
        <w:adjustRightInd w:val="0"/>
        <w:spacing w:before="60" w:line="240" w:lineRule="atLeast"/>
        <w:ind w:left="850"/>
        <w:textAlignment w:val="baseline"/>
        <w:rPr>
          <w:rFonts w:cs="Arial"/>
          <w:szCs w:val="20"/>
        </w:rPr>
      </w:pPr>
      <w:r>
        <w:rPr>
          <w:color w:val="000000"/>
        </w:rPr>
        <w:t>a)</w:t>
      </w:r>
      <w:r>
        <w:tab/>
      </w:r>
      <w:r>
        <w:rPr>
          <w:color w:val="000000"/>
        </w:rPr>
        <w:t>a hardvert úgy tervezték és gyártották, hogy képes legyen ellenállni a hajó fedélzetén jellemző igénybevételnek és környezeti feltételeknek, anélkül, hogy ez a minőség vagy a megbízhatóság rovására menne, és</w:t>
      </w:r>
    </w:p>
    <w:p w:rsidR="005624E3" w:rsidRPr="00C92875" w:rsidRDefault="005624E3" w:rsidP="005624E3">
      <w:pPr>
        <w:tabs>
          <w:tab w:val="left" w:pos="0"/>
        </w:tabs>
        <w:overflowPunct w:val="0"/>
        <w:adjustRightInd w:val="0"/>
        <w:spacing w:before="60" w:line="240" w:lineRule="atLeast"/>
        <w:ind w:left="850"/>
        <w:textAlignment w:val="baseline"/>
        <w:rPr>
          <w:rFonts w:cs="Arial"/>
          <w:color w:val="000000"/>
          <w:szCs w:val="20"/>
        </w:rPr>
      </w:pPr>
      <w:r>
        <w:t>b)</w:t>
      </w:r>
      <w:r>
        <w:tab/>
      </w:r>
      <w:r>
        <w:rPr>
          <w:color w:val="000000"/>
        </w:rPr>
        <w:t>a hardver nem zavarja más fedélzeti kommunikációs és navigációs berendezések működését.</w:t>
      </w:r>
    </w:p>
    <w:p w:rsidR="005624E3" w:rsidRPr="00C92875" w:rsidRDefault="005624E3" w:rsidP="005624E3">
      <w:pPr>
        <w:tabs>
          <w:tab w:val="left" w:pos="495"/>
        </w:tabs>
        <w:overflowPunct w:val="0"/>
        <w:adjustRightInd w:val="0"/>
        <w:spacing w:line="240" w:lineRule="atLeast"/>
        <w:ind w:left="426" w:hanging="426"/>
        <w:textAlignment w:val="baseline"/>
        <w:rPr>
          <w:rFonts w:cs="Arial"/>
          <w:b/>
          <w:bCs/>
          <w:noProof/>
          <w:szCs w:val="20"/>
        </w:rPr>
      </w:pPr>
    </w:p>
    <w:p w:rsidR="005624E3" w:rsidRPr="001077F3" w:rsidRDefault="005624E3" w:rsidP="005624E3">
      <w:pPr>
        <w:spacing w:line="240" w:lineRule="atLeast"/>
        <w:ind w:left="426"/>
        <w:rPr>
          <w:rFonts w:cs="Arial"/>
          <w:color w:val="000000"/>
        </w:rPr>
      </w:pPr>
      <w:r>
        <w:rPr>
          <w:color w:val="000000"/>
        </w:rPr>
        <w:t>Az első mondat nem vonatkozik sem a 3. rendszerkonfiguráció szerinti navigációs módban működő vizuális kijelzőegységekre, sem azokra a hardverösszetevőkre, amelyeknek az a rendeltetésük, hogy a radarprocesszor radarinformációit megjelenítsék a belvízi ECDIS-berendezés képernyőjén.</w:t>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p>
    <w:p w:rsidR="005624E3" w:rsidRDefault="005624E3" w:rsidP="005624E3">
      <w:pPr>
        <w:rPr>
          <w:rFonts w:cs="Arial"/>
          <w:b/>
          <w:noProof/>
        </w:rPr>
      </w:pPr>
      <w:r>
        <w:br w:type="page"/>
      </w:r>
    </w:p>
    <w:p w:rsidR="005624E3" w:rsidRDefault="005624E3" w:rsidP="005624E3">
      <w:pPr>
        <w:spacing w:line="240" w:lineRule="atLeast"/>
        <w:jc w:val="center"/>
        <w:rPr>
          <w:rFonts w:cs="Arial"/>
          <w:b/>
          <w:noProof/>
        </w:rPr>
      </w:pPr>
    </w:p>
    <w:p w:rsidR="005624E3" w:rsidRPr="00C903F8" w:rsidRDefault="005624E3" w:rsidP="005624E3">
      <w:pPr>
        <w:spacing w:line="240" w:lineRule="atLeast"/>
        <w:jc w:val="center"/>
        <w:rPr>
          <w:rFonts w:cs="Arial"/>
          <w:i/>
          <w:noProof/>
        </w:rPr>
      </w:pPr>
      <w:r>
        <w:rPr>
          <w:b/>
          <w:noProof/>
        </w:rPr>
        <w:t>4. cikk</w:t>
      </w:r>
      <w:r>
        <w:rPr>
          <w:rFonts w:cs="Arial"/>
          <w:b/>
          <w:noProof/>
        </w:rPr>
        <w:br/>
      </w:r>
      <w:r>
        <w:rPr>
          <w:i/>
          <w:noProof/>
        </w:rPr>
        <w:t>Típuspróbák</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r>
        <w:t>A 3. cikk 2. bekezdésében megállapított minimumkövetelmények teljesítését típuspróbával kell igazolni.</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r>
        <w:t>Ha a berendezés teljesíti a típuspróbát, a műszaki szolgálat vizsgálati tanúsítványt ad ki. Ha a berendezés nem felel meg a minimumkövetelményeknek, a kérelmezőt írásban értesítik az elutasítás indokairól.</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spacing w:line="240" w:lineRule="atLeast"/>
        <w:jc w:val="center"/>
        <w:rPr>
          <w:rFonts w:cs="Arial"/>
          <w:i/>
          <w:noProof/>
        </w:rPr>
      </w:pPr>
      <w:r>
        <w:rPr>
          <w:b/>
          <w:noProof/>
        </w:rPr>
        <w:t>5. cikk</w:t>
      </w:r>
      <w:r>
        <w:rPr>
          <w:rFonts w:cs="Arial"/>
          <w:b/>
          <w:noProof/>
        </w:rPr>
        <w:br/>
      </w:r>
      <w:r>
        <w:rPr>
          <w:i/>
          <w:noProof/>
        </w:rPr>
        <w:t>Típuspróba iránti kérelem</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A navigációs radarberendezés típuspróbája iránti kérelmet egy illetékes műszaki szolgálathoz kell benyújtani.</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2.</w:t>
      </w:r>
      <w:r>
        <w:tab/>
      </w:r>
      <w:r>
        <w:rPr>
          <w:noProof/>
          <w:color w:val="000000"/>
        </w:rPr>
        <w:t>Minden kérelemhez csatolni kell az alábbi dokumentumokat:</w:t>
      </w:r>
    </w:p>
    <w:p w:rsidR="005624E3" w:rsidRPr="00C903F8" w:rsidRDefault="005624E3" w:rsidP="005624E3">
      <w:pPr>
        <w:spacing w:before="60" w:line="240" w:lineRule="atLeast"/>
        <w:ind w:left="851"/>
        <w:rPr>
          <w:rFonts w:cs="Arial"/>
          <w:noProof/>
        </w:rPr>
      </w:pPr>
      <w:r>
        <w:t>a)</w:t>
      </w:r>
      <w:r>
        <w:tab/>
        <w:t>két részletes műszaki leírás;</w:t>
      </w:r>
    </w:p>
    <w:p w:rsidR="005624E3" w:rsidRPr="00C903F8" w:rsidRDefault="005624E3" w:rsidP="005624E3">
      <w:pPr>
        <w:spacing w:before="60" w:line="240" w:lineRule="atLeast"/>
        <w:ind w:left="851"/>
        <w:rPr>
          <w:rFonts w:cs="Arial"/>
          <w:noProof/>
        </w:rPr>
      </w:pPr>
      <w:r>
        <w:t>b)</w:t>
      </w:r>
      <w:r>
        <w:tab/>
        <w:t>beszerelési és szervizelési dokumentáció két teljes összeállításban;</w:t>
      </w:r>
    </w:p>
    <w:p w:rsidR="005624E3" w:rsidRPr="00C903F8" w:rsidRDefault="005624E3" w:rsidP="005624E3">
      <w:pPr>
        <w:spacing w:before="60" w:line="240" w:lineRule="atLeast"/>
        <w:ind w:left="851"/>
        <w:rPr>
          <w:rFonts w:cs="Arial"/>
          <w:noProof/>
        </w:rPr>
      </w:pPr>
      <w:r>
        <w:t>c)</w:t>
      </w:r>
      <w:r>
        <w:tab/>
        <w:t xml:space="preserve">két részletes kezelési útmutató; </w:t>
      </w:r>
    </w:p>
    <w:p w:rsidR="005624E3" w:rsidRPr="00C903F8" w:rsidRDefault="005624E3" w:rsidP="005624E3">
      <w:pPr>
        <w:spacing w:before="60" w:line="240" w:lineRule="atLeast"/>
        <w:ind w:left="851"/>
        <w:rPr>
          <w:rFonts w:cs="Arial"/>
          <w:noProof/>
        </w:rPr>
      </w:pPr>
      <w:r>
        <w:t>d)</w:t>
      </w:r>
      <w:r>
        <w:tab/>
        <w:t>két rövid kezelési útmutató; és</w:t>
      </w:r>
    </w:p>
    <w:p w:rsidR="005624E3" w:rsidRPr="00C903F8" w:rsidRDefault="005624E3" w:rsidP="005624E3">
      <w:pPr>
        <w:spacing w:before="60" w:line="240" w:lineRule="atLeast"/>
        <w:ind w:left="851"/>
        <w:rPr>
          <w:rFonts w:cs="Arial"/>
          <w:noProof/>
        </w:rPr>
      </w:pPr>
      <w:r>
        <w:t>e)</w:t>
      </w:r>
      <w:r>
        <w:tab/>
        <w:t>a korábban elvégzett próbák igazolásai, adott esetben.</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3.</w:t>
      </w:r>
      <w:r>
        <w:tab/>
      </w:r>
      <w:r>
        <w:rPr>
          <w:noProof/>
          <w:color w:val="000000"/>
        </w:rPr>
        <w:t>Amennyiben a kérelmezőnek nem áll szándékában a 2014/53/EU irányelv szerinti megfelelőségi nyilatkozatot a típusjóváhagyással egyidejűleg megszerezni, akkor a megfelelőségi nyilatkozatot a típuspróba iránti kérelemmel együtt kell benyújtani.</w:t>
      </w:r>
    </w:p>
    <w:p w:rsidR="005624E3" w:rsidRPr="00C903F8" w:rsidRDefault="005624E3" w:rsidP="005624E3">
      <w:pPr>
        <w:spacing w:line="240" w:lineRule="atLeast"/>
        <w:rPr>
          <w:rFonts w:cs="Arial"/>
          <w:noProof/>
          <w:color w:val="000000"/>
        </w:rPr>
      </w:pPr>
    </w:p>
    <w:p w:rsidR="005624E3" w:rsidRDefault="005624E3" w:rsidP="005624E3">
      <w:pPr>
        <w:spacing w:line="240" w:lineRule="atLeast"/>
        <w:jc w:val="center"/>
        <w:rPr>
          <w:rFonts w:cs="Arial"/>
          <w:b/>
          <w:noProof/>
        </w:rPr>
      </w:pPr>
    </w:p>
    <w:p w:rsidR="005624E3" w:rsidRPr="00C903F8" w:rsidRDefault="005624E3" w:rsidP="005624E3">
      <w:pPr>
        <w:spacing w:line="240" w:lineRule="atLeast"/>
        <w:jc w:val="center"/>
        <w:rPr>
          <w:rFonts w:cs="Arial"/>
          <w:i/>
          <w:noProof/>
        </w:rPr>
      </w:pPr>
      <w:r>
        <w:rPr>
          <w:b/>
          <w:noProof/>
        </w:rPr>
        <w:t>6. cikk</w:t>
      </w:r>
      <w:r>
        <w:rPr>
          <w:rFonts w:cs="Arial"/>
          <w:b/>
          <w:noProof/>
        </w:rPr>
        <w:br/>
      </w:r>
      <w:r>
        <w:rPr>
          <w:i/>
          <w:noProof/>
        </w:rPr>
        <w:t>Típusjóváhagyás</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 xml:space="preserve">A típusjóváhagyást az illetékes hatóság a vizsgálati tanúsítvány alapján adja meg. </w:t>
      </w:r>
    </w:p>
    <w:p w:rsidR="005624E3" w:rsidRPr="00C903F8" w:rsidRDefault="005624E3" w:rsidP="005624E3">
      <w:pPr>
        <w:ind w:left="851"/>
      </w:pPr>
    </w:p>
    <w:p w:rsidR="005624E3" w:rsidRPr="00C903F8" w:rsidRDefault="005624E3" w:rsidP="005624E3">
      <w:pPr>
        <w:spacing w:line="240" w:lineRule="atLeast"/>
        <w:rPr>
          <w:rFonts w:cs="Arial"/>
          <w:noProof/>
          <w:color w:val="000000"/>
        </w:rPr>
      </w:pPr>
      <w:r>
        <w:rPr>
          <w:noProof/>
          <w:color w:val="000000"/>
        </w:rPr>
        <w:t>2.</w:t>
      </w:r>
      <w:r>
        <w:tab/>
      </w:r>
      <w:r>
        <w:rPr>
          <w:noProof/>
          <w:color w:val="000000"/>
        </w:rPr>
        <w:t>Az illetékes hatóság vagy az illetékes hatóság által kijelölt műszaki szolgálat ellenőrzési céllal bármikor kiválaszthat berendezéseket a gyártási sorozatból.</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Amennyiben az ellenőrzés a berendezésben hibákat tár fel, a típusjóváhagyás visszavonható.</w:t>
      </w:r>
    </w:p>
    <w:p w:rsidR="005624E3" w:rsidRPr="00C903F8" w:rsidRDefault="005624E3" w:rsidP="005624E3">
      <w:pPr>
        <w:ind w:left="850"/>
        <w:rPr>
          <w:noProof/>
        </w:rPr>
      </w:pPr>
    </w:p>
    <w:p w:rsidR="005624E3" w:rsidRPr="00C903F8" w:rsidRDefault="005624E3" w:rsidP="005624E3">
      <w:pPr>
        <w:spacing w:line="240" w:lineRule="atLeast"/>
        <w:ind w:left="426"/>
        <w:rPr>
          <w:noProof/>
        </w:rPr>
      </w:pPr>
      <w:r>
        <w:t>A típusjóváhagyást az a hatóság vonja vissza, amelyik kiadta.</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p>
    <w:p w:rsidR="005624E3" w:rsidRPr="00C903F8" w:rsidRDefault="005624E3" w:rsidP="005624E3">
      <w:pPr>
        <w:spacing w:line="240" w:lineRule="atLeast"/>
        <w:jc w:val="center"/>
        <w:rPr>
          <w:rFonts w:cs="Arial"/>
          <w:i/>
          <w:noProof/>
        </w:rPr>
      </w:pPr>
      <w:r>
        <w:rPr>
          <w:b/>
          <w:noProof/>
        </w:rPr>
        <w:t>7. cikk</w:t>
      </w:r>
      <w:r>
        <w:rPr>
          <w:rFonts w:cs="Arial"/>
          <w:b/>
          <w:noProof/>
        </w:rPr>
        <w:br/>
      </w:r>
      <w:r>
        <w:rPr>
          <w:i/>
          <w:noProof/>
        </w:rPr>
        <w:t>A berendezésen lévő jelölések és a típusjóváhagyási szám</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A berendezés minden alkatrészén letörölhetetlenül fel kell tüntetni a gyártó nevét, a berendezés kereskedelmi célját, a berendezés típusát és sorozatszámát.</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2.</w:t>
      </w:r>
      <w:r>
        <w:tab/>
      </w:r>
      <w:r>
        <w:rPr>
          <w:noProof/>
          <w:color w:val="000000"/>
        </w:rPr>
        <w:t>A kijelzőegységen letörölhetetlen módon fel kell tüntetni az illetékes hatóság által kiadott típusjóváhagyási számot, és annak a beszerelés után is jól láthatónak kell lennie.</w:t>
      </w:r>
    </w:p>
    <w:p w:rsidR="005624E3" w:rsidRPr="00C903F8" w:rsidRDefault="005624E3" w:rsidP="005624E3">
      <w:pPr>
        <w:spacing w:line="240" w:lineRule="atLeast"/>
        <w:ind w:left="426"/>
        <w:rPr>
          <w:noProof/>
        </w:rPr>
      </w:pPr>
    </w:p>
    <w:p w:rsidR="005624E3" w:rsidRDefault="005624E3" w:rsidP="005624E3">
      <w:pPr>
        <w:rPr>
          <w:noProof/>
        </w:rPr>
      </w:pPr>
      <w:r>
        <w:br w:type="page"/>
      </w:r>
    </w:p>
    <w:p w:rsidR="005624E3" w:rsidRPr="00C903F8" w:rsidRDefault="005624E3" w:rsidP="005624E3">
      <w:pPr>
        <w:spacing w:line="240" w:lineRule="atLeast"/>
        <w:ind w:left="426"/>
      </w:pPr>
      <w:r>
        <w:t>A típusjóváhagyási szám felépítése: R-NN-NNN vagy e-NN-NNN</w:t>
      </w:r>
    </w:p>
    <w:p w:rsidR="005624E3" w:rsidRPr="00C903F8" w:rsidRDefault="005624E3" w:rsidP="005624E3">
      <w:pPr>
        <w:tabs>
          <w:tab w:val="left" w:pos="993"/>
        </w:tabs>
        <w:spacing w:before="60" w:line="240" w:lineRule="atLeast"/>
        <w:ind w:left="1418" w:hanging="993"/>
        <w:rPr>
          <w:rFonts w:cs="Arial"/>
          <w:noProof/>
          <w:szCs w:val="20"/>
        </w:rPr>
      </w:pPr>
      <w:r>
        <w:t>R</w:t>
      </w:r>
      <w:r>
        <w:tab/>
        <w:t>=</w:t>
      </w:r>
      <w:r>
        <w:tab/>
        <w:t>Rajna</w:t>
      </w:r>
    </w:p>
    <w:p w:rsidR="005624E3" w:rsidRPr="00C903F8" w:rsidRDefault="005624E3" w:rsidP="005624E3">
      <w:pPr>
        <w:tabs>
          <w:tab w:val="left" w:pos="993"/>
        </w:tabs>
        <w:spacing w:before="60" w:line="240" w:lineRule="atLeast"/>
        <w:ind w:left="1418" w:hanging="993"/>
        <w:rPr>
          <w:noProof/>
        </w:rPr>
      </w:pPr>
      <w:r>
        <w:t>e</w:t>
      </w:r>
      <w:r>
        <w:tab/>
        <w:t>=</w:t>
      </w:r>
      <w:r>
        <w:tab/>
        <w:t>Európai Unió</w:t>
      </w:r>
    </w:p>
    <w:p w:rsidR="005624E3" w:rsidRPr="00C903F8" w:rsidRDefault="005624E3" w:rsidP="005624E3">
      <w:pPr>
        <w:tabs>
          <w:tab w:val="left" w:pos="993"/>
        </w:tabs>
        <w:spacing w:before="60" w:line="240" w:lineRule="atLeast"/>
        <w:ind w:left="1418" w:hanging="993"/>
        <w:rPr>
          <w:noProof/>
        </w:rPr>
      </w:pPr>
      <w:r>
        <w:t>NN</w:t>
      </w:r>
      <w:r>
        <w:tab/>
        <w:t>=</w:t>
      </w:r>
      <w:r>
        <w:tab/>
        <w:t>a típusjóváhagyás szerinti ország száma, ahol</w:t>
      </w:r>
    </w:p>
    <w:p w:rsidR="005624E3" w:rsidRPr="00C903F8" w:rsidRDefault="005624E3" w:rsidP="005624E3">
      <w:pPr>
        <w:spacing w:line="240" w:lineRule="atLeast"/>
        <w:ind w:left="426"/>
        <w:rPr>
          <w:noProof/>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01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Németország</w:t>
            </w:r>
          </w:p>
        </w:tc>
        <w:tc>
          <w:tcPr>
            <w:tcW w:w="724" w:type="dxa"/>
          </w:tcPr>
          <w:p w:rsidR="005624E3" w:rsidRPr="00C903F8" w:rsidRDefault="005624E3" w:rsidP="00101A80">
            <w:pPr>
              <w:spacing w:before="40" w:after="40" w:line="240" w:lineRule="atLeast"/>
              <w:rPr>
                <w:noProof/>
                <w:szCs w:val="20"/>
              </w:rPr>
            </w:pPr>
            <w:r>
              <w:t>19</w:t>
            </w:r>
          </w:p>
        </w:tc>
        <w:tc>
          <w:tcPr>
            <w:tcW w:w="416" w:type="dxa"/>
          </w:tcPr>
          <w:p w:rsidR="005624E3" w:rsidRPr="00C903F8" w:rsidRDefault="005624E3" w:rsidP="00101A80">
            <w:pPr>
              <w:spacing w:before="40" w:after="40" w:line="240" w:lineRule="atLeast"/>
              <w:rPr>
                <w:noProof/>
                <w:szCs w:val="20"/>
              </w:rPr>
            </w:pPr>
            <w:r>
              <w:t>=</w:t>
            </w:r>
          </w:p>
        </w:tc>
        <w:tc>
          <w:tcPr>
            <w:tcW w:w="2205" w:type="dxa"/>
          </w:tcPr>
          <w:p w:rsidR="005624E3" w:rsidRPr="00C903F8" w:rsidRDefault="005624E3" w:rsidP="00101A80">
            <w:pPr>
              <w:spacing w:before="40" w:after="40" w:line="240" w:lineRule="atLeast"/>
              <w:rPr>
                <w:noProof/>
                <w:szCs w:val="20"/>
              </w:rPr>
            </w:pPr>
            <w:r>
              <w:t>Románia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02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Franciaország </w:t>
            </w:r>
          </w:p>
        </w:tc>
        <w:tc>
          <w:tcPr>
            <w:tcW w:w="724" w:type="dxa"/>
          </w:tcPr>
          <w:p w:rsidR="005624E3" w:rsidRPr="00C903F8" w:rsidRDefault="005624E3" w:rsidP="00101A80">
            <w:pPr>
              <w:spacing w:before="40" w:after="40" w:line="240" w:lineRule="atLeast"/>
              <w:rPr>
                <w:noProof/>
                <w:szCs w:val="20"/>
              </w:rPr>
            </w:pPr>
            <w:r>
              <w:t xml:space="preserve">20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 xml:space="preserve">Lengyelország </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03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Olaszország</w:t>
            </w:r>
          </w:p>
        </w:tc>
        <w:tc>
          <w:tcPr>
            <w:tcW w:w="724" w:type="dxa"/>
          </w:tcPr>
          <w:p w:rsidR="005624E3" w:rsidRPr="00C903F8" w:rsidRDefault="005624E3" w:rsidP="00101A80">
            <w:pPr>
              <w:spacing w:before="40" w:after="40" w:line="240" w:lineRule="atLeast"/>
              <w:rPr>
                <w:noProof/>
                <w:szCs w:val="20"/>
              </w:rPr>
            </w:pPr>
            <w:r>
              <w:t xml:space="preserve">21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 xml:space="preserve">Portugália </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04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Hollandia </w:t>
            </w:r>
          </w:p>
        </w:tc>
        <w:tc>
          <w:tcPr>
            <w:tcW w:w="724" w:type="dxa"/>
          </w:tcPr>
          <w:p w:rsidR="005624E3" w:rsidRPr="00C903F8" w:rsidRDefault="005624E3" w:rsidP="00101A80">
            <w:pPr>
              <w:spacing w:before="40" w:after="40" w:line="240" w:lineRule="atLeast"/>
              <w:rPr>
                <w:noProof/>
                <w:szCs w:val="20"/>
              </w:rPr>
            </w:pPr>
            <w:r>
              <w:t xml:space="preserve">23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Görögország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05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Svédország</w:t>
            </w:r>
          </w:p>
        </w:tc>
        <w:tc>
          <w:tcPr>
            <w:tcW w:w="724" w:type="dxa"/>
          </w:tcPr>
          <w:p w:rsidR="005624E3" w:rsidRPr="00C903F8" w:rsidRDefault="005624E3" w:rsidP="00101A80">
            <w:pPr>
              <w:spacing w:before="40" w:after="40" w:line="240" w:lineRule="atLeast"/>
              <w:rPr>
                <w:noProof/>
                <w:szCs w:val="20"/>
              </w:rPr>
            </w:pPr>
            <w:r>
              <w:t xml:space="preserve">24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Írország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06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Belgium </w:t>
            </w:r>
          </w:p>
        </w:tc>
        <w:tc>
          <w:tcPr>
            <w:tcW w:w="724" w:type="dxa"/>
            <w:vAlign w:val="center"/>
          </w:tcPr>
          <w:p w:rsidR="005624E3" w:rsidRPr="00C903F8" w:rsidRDefault="005624E3" w:rsidP="00101A80">
            <w:pPr>
              <w:spacing w:before="40" w:after="40" w:line="240" w:lineRule="atLeast"/>
              <w:rPr>
                <w:noProof/>
                <w:szCs w:val="20"/>
              </w:rPr>
            </w:pPr>
            <w:r>
              <w:rPr>
                <w:color w:val="000000"/>
              </w:rPr>
              <w:t>25</w:t>
            </w:r>
          </w:p>
        </w:tc>
        <w:tc>
          <w:tcPr>
            <w:tcW w:w="416" w:type="dxa"/>
            <w:vAlign w:val="center"/>
          </w:tcPr>
          <w:p w:rsidR="005624E3" w:rsidRPr="00C903F8" w:rsidRDefault="005624E3" w:rsidP="00101A80">
            <w:pPr>
              <w:spacing w:before="40" w:after="40" w:line="240" w:lineRule="atLeast"/>
              <w:rPr>
                <w:noProof/>
                <w:szCs w:val="20"/>
              </w:rPr>
            </w:pPr>
            <w:r>
              <w:rPr>
                <w:color w:val="000000"/>
              </w:rPr>
              <w:t>=</w:t>
            </w:r>
          </w:p>
        </w:tc>
        <w:tc>
          <w:tcPr>
            <w:tcW w:w="2205" w:type="dxa"/>
            <w:vAlign w:val="center"/>
          </w:tcPr>
          <w:p w:rsidR="005624E3" w:rsidRPr="00C903F8" w:rsidRDefault="005624E3" w:rsidP="00101A80">
            <w:pPr>
              <w:spacing w:before="40" w:after="40" w:line="240" w:lineRule="atLeast"/>
              <w:rPr>
                <w:noProof/>
                <w:szCs w:val="20"/>
              </w:rPr>
            </w:pPr>
            <w:r>
              <w:t>Horvátország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07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Magyarország</w:t>
            </w:r>
          </w:p>
        </w:tc>
        <w:tc>
          <w:tcPr>
            <w:tcW w:w="724" w:type="dxa"/>
          </w:tcPr>
          <w:p w:rsidR="005624E3" w:rsidRPr="00C903F8" w:rsidRDefault="005624E3" w:rsidP="00101A80">
            <w:pPr>
              <w:spacing w:before="40" w:after="40" w:line="240" w:lineRule="atLeast"/>
              <w:rPr>
                <w:noProof/>
                <w:szCs w:val="20"/>
              </w:rPr>
            </w:pPr>
            <w:r>
              <w:t xml:space="preserve">26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Szlovénia</w:t>
            </w:r>
          </w:p>
        </w:tc>
      </w:tr>
      <w:tr w:rsidR="005624E3" w:rsidRPr="00C903F8" w:rsidTr="00101A80">
        <w:trPr>
          <w:jc w:val="center"/>
        </w:trPr>
        <w:tc>
          <w:tcPr>
            <w:tcW w:w="720" w:type="dxa"/>
          </w:tcPr>
          <w:p w:rsidR="005624E3" w:rsidRPr="00C903F8" w:rsidRDefault="005624E3" w:rsidP="00101A80">
            <w:pPr>
              <w:spacing w:before="40" w:after="160" w:line="240" w:lineRule="atLeast"/>
              <w:rPr>
                <w:noProof/>
                <w:szCs w:val="20"/>
              </w:rPr>
            </w:pPr>
            <w:r>
              <w:t xml:space="preserve">08 </w:t>
            </w:r>
          </w:p>
        </w:tc>
        <w:tc>
          <w:tcPr>
            <w:tcW w:w="360" w:type="dxa"/>
          </w:tcPr>
          <w:p w:rsidR="005624E3" w:rsidRPr="00C903F8" w:rsidRDefault="005624E3" w:rsidP="00101A80">
            <w:pPr>
              <w:spacing w:before="40" w:after="160" w:line="240" w:lineRule="atLeast"/>
              <w:rPr>
                <w:noProof/>
                <w:szCs w:val="20"/>
              </w:rPr>
            </w:pPr>
            <w:r>
              <w:t xml:space="preserve">= </w:t>
            </w:r>
          </w:p>
        </w:tc>
        <w:tc>
          <w:tcPr>
            <w:tcW w:w="3162" w:type="dxa"/>
          </w:tcPr>
          <w:p w:rsidR="005624E3" w:rsidRPr="00C903F8" w:rsidRDefault="005624E3" w:rsidP="00101A80">
            <w:pPr>
              <w:spacing w:before="40" w:after="160" w:line="240" w:lineRule="atLeast"/>
              <w:rPr>
                <w:noProof/>
                <w:szCs w:val="20"/>
              </w:rPr>
            </w:pPr>
            <w:r>
              <w:t>Cseh Köztársaság</w:t>
            </w:r>
          </w:p>
        </w:tc>
        <w:tc>
          <w:tcPr>
            <w:tcW w:w="724" w:type="dxa"/>
          </w:tcPr>
          <w:p w:rsidR="005624E3" w:rsidRPr="00C903F8" w:rsidRDefault="005624E3" w:rsidP="00101A80">
            <w:pPr>
              <w:spacing w:before="40" w:after="160" w:line="240" w:lineRule="atLeast"/>
              <w:rPr>
                <w:noProof/>
                <w:szCs w:val="20"/>
              </w:rPr>
            </w:pPr>
            <w:r>
              <w:t xml:space="preserve">27 </w:t>
            </w:r>
          </w:p>
        </w:tc>
        <w:tc>
          <w:tcPr>
            <w:tcW w:w="416" w:type="dxa"/>
          </w:tcPr>
          <w:p w:rsidR="005624E3" w:rsidRPr="00C903F8" w:rsidRDefault="005624E3" w:rsidP="00101A80">
            <w:pPr>
              <w:spacing w:before="40" w:after="160" w:line="240" w:lineRule="atLeast"/>
              <w:rPr>
                <w:noProof/>
                <w:szCs w:val="20"/>
              </w:rPr>
            </w:pPr>
            <w:r>
              <w:t xml:space="preserve">= </w:t>
            </w:r>
          </w:p>
        </w:tc>
        <w:tc>
          <w:tcPr>
            <w:tcW w:w="2205" w:type="dxa"/>
          </w:tcPr>
          <w:p w:rsidR="005624E3" w:rsidRPr="00C903F8" w:rsidRDefault="005624E3" w:rsidP="00101A80">
            <w:pPr>
              <w:spacing w:before="40" w:after="160" w:line="240" w:lineRule="atLeast"/>
              <w:rPr>
                <w:noProof/>
                <w:szCs w:val="20"/>
              </w:rPr>
            </w:pPr>
            <w:r>
              <w:t>Szlovákia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09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Spanyolország </w:t>
            </w:r>
          </w:p>
        </w:tc>
        <w:tc>
          <w:tcPr>
            <w:tcW w:w="724" w:type="dxa"/>
          </w:tcPr>
          <w:p w:rsidR="005624E3" w:rsidRPr="00C903F8" w:rsidRDefault="005624E3" w:rsidP="00101A80">
            <w:pPr>
              <w:spacing w:before="40" w:after="40" w:line="240" w:lineRule="atLeast"/>
              <w:rPr>
                <w:noProof/>
                <w:szCs w:val="20"/>
              </w:rPr>
            </w:pPr>
            <w:r>
              <w:t xml:space="preserve">29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Észtország</w:t>
            </w:r>
          </w:p>
        </w:tc>
      </w:tr>
    </w:tbl>
    <w:p w:rsidR="005624E3" w:rsidRPr="00C903F8" w:rsidRDefault="005624E3" w:rsidP="005624E3"/>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11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Egyesült Királyság</w:t>
            </w:r>
          </w:p>
        </w:tc>
        <w:tc>
          <w:tcPr>
            <w:tcW w:w="724" w:type="dxa"/>
          </w:tcPr>
          <w:p w:rsidR="005624E3" w:rsidRPr="00C903F8" w:rsidRDefault="005624E3" w:rsidP="00101A80">
            <w:pPr>
              <w:spacing w:before="40" w:after="40" w:line="240" w:lineRule="atLeast"/>
              <w:rPr>
                <w:noProof/>
                <w:szCs w:val="20"/>
              </w:rPr>
            </w:pPr>
            <w:r>
              <w:t xml:space="preserve">32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Lettország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12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Ausztria</w:t>
            </w:r>
          </w:p>
        </w:tc>
        <w:tc>
          <w:tcPr>
            <w:tcW w:w="724" w:type="dxa"/>
          </w:tcPr>
          <w:p w:rsidR="005624E3" w:rsidRPr="00C903F8" w:rsidRDefault="005624E3" w:rsidP="00101A80">
            <w:pPr>
              <w:spacing w:before="40" w:after="40" w:line="240" w:lineRule="atLeast"/>
              <w:rPr>
                <w:noProof/>
                <w:szCs w:val="20"/>
              </w:rPr>
            </w:pPr>
            <w:r>
              <w:t>34</w:t>
            </w:r>
          </w:p>
        </w:tc>
        <w:tc>
          <w:tcPr>
            <w:tcW w:w="416" w:type="dxa"/>
          </w:tcPr>
          <w:p w:rsidR="005624E3" w:rsidRPr="00C903F8" w:rsidRDefault="005624E3" w:rsidP="00101A80">
            <w:pPr>
              <w:spacing w:before="40" w:after="40" w:line="240" w:lineRule="atLeast"/>
              <w:rPr>
                <w:noProof/>
                <w:szCs w:val="20"/>
              </w:rPr>
            </w:pPr>
            <w:r>
              <w:t>=</w:t>
            </w:r>
          </w:p>
        </w:tc>
        <w:tc>
          <w:tcPr>
            <w:tcW w:w="2205" w:type="dxa"/>
          </w:tcPr>
          <w:p w:rsidR="005624E3" w:rsidRPr="00C903F8" w:rsidRDefault="005624E3" w:rsidP="00101A80">
            <w:pPr>
              <w:spacing w:before="40" w:after="40" w:line="240" w:lineRule="atLeast"/>
              <w:rPr>
                <w:noProof/>
                <w:szCs w:val="20"/>
              </w:rPr>
            </w:pPr>
            <w:r>
              <w:t>Bulgária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13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Luxemburg </w:t>
            </w:r>
          </w:p>
        </w:tc>
        <w:tc>
          <w:tcPr>
            <w:tcW w:w="724" w:type="dxa"/>
          </w:tcPr>
          <w:p w:rsidR="005624E3" w:rsidRPr="00C903F8" w:rsidRDefault="005624E3" w:rsidP="00101A80">
            <w:pPr>
              <w:spacing w:before="40" w:after="40" w:line="240" w:lineRule="atLeast"/>
              <w:rPr>
                <w:noProof/>
                <w:szCs w:val="20"/>
              </w:rPr>
            </w:pPr>
            <w:r>
              <w:t xml:space="preserve">36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Litvánia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14</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Svájc</w:t>
            </w:r>
          </w:p>
        </w:tc>
        <w:tc>
          <w:tcPr>
            <w:tcW w:w="724" w:type="dxa"/>
          </w:tcPr>
          <w:p w:rsidR="005624E3" w:rsidRPr="00C903F8" w:rsidRDefault="005624E3" w:rsidP="00101A80">
            <w:pPr>
              <w:spacing w:before="40" w:after="40" w:line="240" w:lineRule="atLeast"/>
              <w:rPr>
                <w:noProof/>
                <w:szCs w:val="20"/>
              </w:rPr>
            </w:pPr>
            <w:r>
              <w:t xml:space="preserve">49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Ciprus</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17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Finnország</w:t>
            </w:r>
          </w:p>
        </w:tc>
        <w:tc>
          <w:tcPr>
            <w:tcW w:w="724" w:type="dxa"/>
          </w:tcPr>
          <w:p w:rsidR="005624E3" w:rsidRPr="00C903F8" w:rsidRDefault="005624E3" w:rsidP="00101A80">
            <w:pPr>
              <w:spacing w:before="40" w:after="40" w:line="240" w:lineRule="atLeast"/>
              <w:rPr>
                <w:noProof/>
                <w:szCs w:val="20"/>
              </w:rPr>
            </w:pPr>
            <w:r>
              <w:t xml:space="preserve">50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Málta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18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Dánia </w:t>
            </w:r>
          </w:p>
        </w:tc>
        <w:tc>
          <w:tcPr>
            <w:tcW w:w="724" w:type="dxa"/>
          </w:tcPr>
          <w:p w:rsidR="005624E3" w:rsidRPr="00C903F8" w:rsidRDefault="005624E3" w:rsidP="00101A80">
            <w:pPr>
              <w:spacing w:before="40" w:after="40" w:line="240" w:lineRule="atLeast"/>
              <w:rPr>
                <w:noProof/>
                <w:szCs w:val="20"/>
              </w:rPr>
            </w:pPr>
          </w:p>
        </w:tc>
        <w:tc>
          <w:tcPr>
            <w:tcW w:w="416" w:type="dxa"/>
          </w:tcPr>
          <w:p w:rsidR="005624E3" w:rsidRPr="00C903F8" w:rsidRDefault="005624E3" w:rsidP="00101A80">
            <w:pPr>
              <w:spacing w:before="40" w:after="40" w:line="240" w:lineRule="atLeast"/>
              <w:rPr>
                <w:noProof/>
                <w:szCs w:val="20"/>
              </w:rPr>
            </w:pPr>
          </w:p>
        </w:tc>
        <w:tc>
          <w:tcPr>
            <w:tcW w:w="2205" w:type="dxa"/>
          </w:tcPr>
          <w:p w:rsidR="005624E3" w:rsidRPr="00C903F8" w:rsidRDefault="005624E3" w:rsidP="00101A80">
            <w:pPr>
              <w:spacing w:before="40" w:after="40" w:line="240" w:lineRule="atLeast"/>
              <w:rPr>
                <w:noProof/>
                <w:szCs w:val="20"/>
              </w:rPr>
            </w:pPr>
          </w:p>
        </w:tc>
      </w:tr>
    </w:tbl>
    <w:p w:rsidR="005624E3" w:rsidRPr="00C903F8" w:rsidRDefault="005624E3" w:rsidP="005624E3">
      <w:pPr>
        <w:tabs>
          <w:tab w:val="left" w:pos="993"/>
        </w:tabs>
        <w:spacing w:line="240" w:lineRule="atLeast"/>
        <w:ind w:left="1418" w:hanging="992"/>
        <w:rPr>
          <w:noProof/>
        </w:rPr>
      </w:pPr>
    </w:p>
    <w:p w:rsidR="005624E3" w:rsidRPr="00C903F8" w:rsidRDefault="005624E3" w:rsidP="005624E3">
      <w:pPr>
        <w:tabs>
          <w:tab w:val="left" w:pos="993"/>
        </w:tabs>
        <w:spacing w:line="240" w:lineRule="atLeast"/>
        <w:ind w:left="1418" w:hanging="992"/>
        <w:rPr>
          <w:noProof/>
        </w:rPr>
      </w:pPr>
      <w:r>
        <w:t>NNN</w:t>
      </w:r>
      <w:r>
        <w:tab/>
        <w:t>=</w:t>
      </w:r>
      <w:r>
        <w:tab/>
        <w:t>az illetékes hatóság által meghatározott háromjegyű szám.</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3.</w:t>
      </w:r>
      <w:r>
        <w:tab/>
      </w:r>
      <w:r>
        <w:rPr>
          <w:noProof/>
          <w:color w:val="000000"/>
        </w:rPr>
        <w:t xml:space="preserve">A típusjóváhagyási szám csak a hozzá kapcsolódó típusjóváhagyással összefüggésben használható. </w:t>
      </w:r>
    </w:p>
    <w:p w:rsidR="005624E3" w:rsidRPr="00C903F8" w:rsidRDefault="005624E3" w:rsidP="005624E3">
      <w:pPr>
        <w:spacing w:line="240" w:lineRule="atLeast"/>
        <w:ind w:left="426"/>
        <w:rPr>
          <w:noProof/>
        </w:rPr>
      </w:pPr>
      <w:r>
        <w:t>A típusjóváhagyási szám kinyomtatása és felragasztása a kérelmező feladata.</w:t>
      </w:r>
    </w:p>
    <w:p w:rsidR="005624E3" w:rsidRPr="00C903F8" w:rsidRDefault="005624E3" w:rsidP="005624E3">
      <w:pPr>
        <w:tabs>
          <w:tab w:val="left" w:leader="dot" w:pos="9072"/>
        </w:tabs>
        <w:spacing w:line="240" w:lineRule="atLeast"/>
        <w:rPr>
          <w:rFonts w:cs="Arial"/>
        </w:rPr>
      </w:pPr>
    </w:p>
    <w:p w:rsidR="005624E3" w:rsidRPr="00C903F8" w:rsidRDefault="005624E3" w:rsidP="005624E3">
      <w:pPr>
        <w:tabs>
          <w:tab w:val="left" w:leader="dot" w:pos="9072"/>
        </w:tabs>
        <w:spacing w:line="240" w:lineRule="atLeast"/>
        <w:rPr>
          <w:rFonts w:cs="Arial"/>
        </w:rPr>
      </w:pPr>
    </w:p>
    <w:p w:rsidR="005624E3" w:rsidRPr="00C903F8" w:rsidRDefault="005624E3" w:rsidP="005624E3">
      <w:pPr>
        <w:spacing w:line="240" w:lineRule="atLeast"/>
        <w:jc w:val="center"/>
        <w:rPr>
          <w:rFonts w:cs="Arial"/>
          <w:i/>
          <w:noProof/>
        </w:rPr>
      </w:pPr>
      <w:r>
        <w:rPr>
          <w:b/>
          <w:noProof/>
        </w:rPr>
        <w:t>8. cikk</w:t>
      </w:r>
      <w:r>
        <w:rPr>
          <w:rFonts w:cs="Arial"/>
          <w:b/>
          <w:noProof/>
        </w:rPr>
        <w:br/>
      </w:r>
      <w:r>
        <w:rPr>
          <w:i/>
          <w:noProof/>
        </w:rPr>
        <w:t>Gyártói nyilatkozat</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r>
        <w:t>Minden berendezéshez mellékelni kell a gyártói nyilatkozatot.</w:t>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jc w:val="center"/>
        <w:rPr>
          <w:rFonts w:cs="Arial"/>
          <w:i/>
          <w:noProof/>
        </w:rPr>
      </w:pPr>
      <w:r>
        <w:rPr>
          <w:b/>
          <w:noProof/>
        </w:rPr>
        <w:t>9. cikk</w:t>
      </w:r>
      <w:r>
        <w:rPr>
          <w:rFonts w:cs="Arial"/>
          <w:b/>
          <w:noProof/>
        </w:rPr>
        <w:br/>
      </w:r>
      <w:r>
        <w:rPr>
          <w:i/>
          <w:noProof/>
        </w:rPr>
        <w:t>Típusjóváhagyással ellátott berendezések módosítása</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 xml:space="preserve">A már jóváhagyott berendezéseken végzett bármely módosítás a típusjóváhagyás érvényességének elvesztését vonja maga után. </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A tervezett módosítások részleteiről írásban kell tájékoztatni az illetékes műszaki szolgálatot.</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2.</w:t>
      </w:r>
      <w:r>
        <w:tab/>
      </w:r>
      <w:r>
        <w:rPr>
          <w:noProof/>
          <w:color w:val="000000"/>
        </w:rPr>
        <w:t>A műszaki szolgálattal folytatott egyeztetést követően az illetékes hatóság dönti el, hogy a típusjóváhagyás továbbra is érvényes-e, vagy ellenőrzésre, illetve új típuspróbára van szükség.</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Amennyiben új típuspróbára kerül sor, és az sikerrel jár, új típusjóváhagyási számot kell kiadni.</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br w:type="page"/>
      </w:r>
    </w:p>
    <w:p w:rsidR="005624E3" w:rsidRPr="00C903F8" w:rsidRDefault="005624E3" w:rsidP="005624E3">
      <w:pPr>
        <w:spacing w:line="240" w:lineRule="atLeast"/>
        <w:ind w:left="426"/>
        <w:rPr>
          <w:noProof/>
        </w:rPr>
      </w:pPr>
    </w:p>
    <w:p w:rsidR="005624E3" w:rsidRPr="002043D6" w:rsidRDefault="005624E3" w:rsidP="005624E3">
      <w:pPr>
        <w:overflowPunct w:val="0"/>
        <w:adjustRightInd w:val="0"/>
        <w:spacing w:line="240" w:lineRule="atLeast"/>
        <w:jc w:val="center"/>
        <w:textAlignment w:val="baseline"/>
        <w:rPr>
          <w:rFonts w:cs="Arial"/>
          <w:b/>
          <w:bCs/>
          <w:noProof/>
        </w:rPr>
      </w:pPr>
      <w:r>
        <w:rPr>
          <w:b/>
          <w:noProof/>
        </w:rPr>
        <w:t>Függelék</w:t>
      </w:r>
    </w:p>
    <w:p w:rsidR="005624E3" w:rsidRPr="002043D6" w:rsidRDefault="005624E3" w:rsidP="005624E3">
      <w:pPr>
        <w:tabs>
          <w:tab w:val="left" w:pos="0"/>
        </w:tabs>
        <w:suppressAutoHyphens/>
        <w:spacing w:line="240" w:lineRule="atLeast"/>
        <w:ind w:left="1276" w:hanging="992"/>
        <w:jc w:val="center"/>
        <w:rPr>
          <w:b/>
          <w:szCs w:val="20"/>
        </w:rPr>
      </w:pPr>
      <w:r>
        <w:rPr>
          <w:b/>
        </w:rPr>
        <w:t>1. ábra:</w:t>
      </w:r>
      <w:r>
        <w:tab/>
      </w:r>
      <w:r>
        <w:rPr>
          <w:b/>
        </w:rPr>
        <w:t>Önálló belvízi ECDIS-berendezés radarberendezéssel összekötve (2. rendszerkonfiguráció)</w:t>
      </w:r>
    </w:p>
    <w:p w:rsidR="005624E3" w:rsidRPr="002043D6" w:rsidRDefault="005624E3" w:rsidP="005624E3">
      <w:pPr>
        <w:tabs>
          <w:tab w:val="left" w:pos="0"/>
        </w:tabs>
        <w:suppressAutoHyphens/>
        <w:spacing w:line="240" w:lineRule="atLeast"/>
        <w:ind w:left="993" w:hanging="709"/>
        <w:rPr>
          <w:b/>
          <w:i/>
          <w:sz w:val="18"/>
        </w:rPr>
      </w:pPr>
    </w:p>
    <w:p w:rsidR="005624E3" w:rsidRPr="002043D6" w:rsidRDefault="005624E3" w:rsidP="005624E3">
      <w:pPr>
        <w:tabs>
          <w:tab w:val="left" w:pos="0"/>
        </w:tabs>
        <w:suppressAutoHyphens/>
        <w:spacing w:line="240" w:lineRule="atLeast"/>
        <w:ind w:left="993" w:hanging="709"/>
        <w:rPr>
          <w:b/>
          <w:i/>
          <w:sz w:val="18"/>
        </w:rPr>
      </w:pPr>
      <w:r>
        <w:rPr>
          <w:noProof/>
        </w:rPr>
        <mc:AlternateContent>
          <mc:Choice Requires="wps">
            <w:drawing>
              <wp:anchor distT="0" distB="0" distL="114300" distR="114300" simplePos="0" relativeHeight="251680768" behindDoc="0" locked="0" layoutInCell="1" allowOverlap="1" wp14:anchorId="060F4C22" wp14:editId="13E86F19">
                <wp:simplePos x="0" y="0"/>
                <wp:positionH relativeFrom="column">
                  <wp:posOffset>252095</wp:posOffset>
                </wp:positionH>
                <wp:positionV relativeFrom="paragraph">
                  <wp:posOffset>130175</wp:posOffset>
                </wp:positionV>
                <wp:extent cx="2333625" cy="3438525"/>
                <wp:effectExtent l="0" t="0" r="28575" b="28575"/>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3438525"/>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4" o:spid="_x0000_s1026" style="position:absolute;margin-left:19.85pt;margin-top:10.25pt;width:183.75pt;height:270.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" filled="f" strokecolor="#f79646" strokeweight="2pt">
                <v:stroke dashstyle="dash"/>
              </v:rect>
            </w:pict>
          </mc:Fallback>
        </mc:AlternateContent>
      </w:r>
      <w:r>
        <w:rPr>
          <w:b/>
          <w:i/>
          <w:noProof/>
          <w:sz w:val="18"/>
        </w:rPr>
        <w:drawing>
          <wp:inline distT="0" distB="0" distL="0" distR="0" wp14:anchorId="56FAD524" wp14:editId="6FCFB5B8">
            <wp:extent cx="5362575" cy="3913309"/>
            <wp:effectExtent l="0" t="0" r="0"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367317" cy="3916769"/>
                    </a:xfrm>
                    <a:prstGeom prst="rect">
                      <a:avLst/>
                    </a:prstGeom>
                    <a:noFill/>
                  </pic:spPr>
                </pic:pic>
              </a:graphicData>
            </a:graphic>
          </wp:inline>
        </w:drawing>
      </w:r>
    </w:p>
    <w:p w:rsidR="005624E3" w:rsidRPr="00C15BF5" w:rsidRDefault="005624E3" w:rsidP="005624E3">
      <w:pPr>
        <w:tabs>
          <w:tab w:val="left" w:pos="0"/>
        </w:tabs>
        <w:suppressAutoHyphens/>
        <w:spacing w:line="240" w:lineRule="atLeast"/>
        <w:ind w:left="1276" w:hanging="992"/>
        <w:rPr>
          <w:b/>
          <w:szCs w:val="20"/>
        </w:rPr>
      </w:pPr>
      <w:r>
        <w:rPr>
          <w:b/>
        </w:rPr>
        <w:t>2. ábra:</w:t>
      </w:r>
      <w:r>
        <w:tab/>
      </w:r>
      <w:r>
        <w:rPr>
          <w:b/>
        </w:rPr>
        <w:t>Önálló belvízi ECDIS-berendezés radarberendezéssel és közös képernyővel összekötve (3. rendszerkonfiguráció)</w:t>
      </w:r>
    </w:p>
    <w:p w:rsidR="005624E3" w:rsidRPr="00C15BF5" w:rsidRDefault="005624E3" w:rsidP="005624E3">
      <w:pPr>
        <w:tabs>
          <w:tab w:val="left" w:pos="0"/>
        </w:tabs>
        <w:suppressAutoHyphens/>
        <w:spacing w:line="240" w:lineRule="atLeast"/>
        <w:ind w:left="1276" w:hanging="992"/>
        <w:rPr>
          <w:b/>
          <w:i/>
          <w:sz w:val="18"/>
        </w:rPr>
      </w:pPr>
    </w:p>
    <w:p w:rsidR="005624E3" w:rsidRPr="00C15BF5" w:rsidRDefault="005624E3" w:rsidP="005624E3">
      <w:pPr>
        <w:tabs>
          <w:tab w:val="left" w:pos="0"/>
        </w:tabs>
        <w:suppressAutoHyphens/>
        <w:spacing w:line="240" w:lineRule="atLeast"/>
        <w:ind w:left="993" w:hanging="709"/>
        <w:rPr>
          <w:rFonts w:cs="Arial"/>
          <w:b/>
          <w:i/>
          <w:sz w:val="18"/>
          <w:szCs w:val="18"/>
        </w:rPr>
      </w:pPr>
      <w:r>
        <w:rPr>
          <w:noProof/>
        </w:rPr>
        <mc:AlternateContent>
          <mc:Choice Requires="wps">
            <w:drawing>
              <wp:anchor distT="0" distB="0" distL="114300" distR="114300" simplePos="0" relativeHeight="251681792" behindDoc="0" locked="0" layoutInCell="1" allowOverlap="1" wp14:anchorId="0E7B466A" wp14:editId="2A48F9A5">
                <wp:simplePos x="0" y="0"/>
                <wp:positionH relativeFrom="column">
                  <wp:posOffset>213995</wp:posOffset>
                </wp:positionH>
                <wp:positionV relativeFrom="paragraph">
                  <wp:posOffset>84455</wp:posOffset>
                </wp:positionV>
                <wp:extent cx="2133600" cy="2867025"/>
                <wp:effectExtent l="0" t="0" r="19050" b="28575"/>
                <wp:wrapNone/>
                <wp:docPr id="1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3600" cy="2867025"/>
                        </a:xfrm>
                        <a:custGeom>
                          <a:avLst/>
                          <a:gdLst>
                            <a:gd name="T0" fmla="*/ 0 w 2019300"/>
                            <a:gd name="T1" fmla="*/ 1466850 h 2867025"/>
                            <a:gd name="T2" fmla="*/ 0 w 2019300"/>
                            <a:gd name="T3" fmla="*/ 0 h 2867025"/>
                            <a:gd name="T4" fmla="*/ 781050 w 2019300"/>
                            <a:gd name="T5" fmla="*/ 0 h 2867025"/>
                            <a:gd name="T6" fmla="*/ 771525 w 2019300"/>
                            <a:gd name="T7" fmla="*/ 1457325 h 2867025"/>
                            <a:gd name="T8" fmla="*/ 2019300 w 2019300"/>
                            <a:gd name="T9" fmla="*/ 1466850 h 2867025"/>
                            <a:gd name="T10" fmla="*/ 2019300 w 2019300"/>
                            <a:gd name="T11" fmla="*/ 2867025 h 2867025"/>
                            <a:gd name="T12" fmla="*/ 0 w 2019300"/>
                            <a:gd name="T13" fmla="*/ 2867025 h 2867025"/>
                            <a:gd name="T14" fmla="*/ 0 w 2019300"/>
                            <a:gd name="T15" fmla="*/ 1466850 h 286702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2019300" h="2867025">
                              <a:moveTo>
                                <a:pt x="0" y="1466850"/>
                              </a:moveTo>
                              <a:lnTo>
                                <a:pt x="0" y="0"/>
                              </a:lnTo>
                              <a:lnTo>
                                <a:pt x="781050" y="0"/>
                              </a:lnTo>
                              <a:lnTo>
                                <a:pt x="771525" y="1457325"/>
                              </a:lnTo>
                              <a:lnTo>
                                <a:pt x="2019300" y="1466850"/>
                              </a:lnTo>
                              <a:lnTo>
                                <a:pt x="2019300" y="2867025"/>
                              </a:lnTo>
                              <a:lnTo>
                                <a:pt x="0" y="2867025"/>
                              </a:lnTo>
                              <a:lnTo>
                                <a:pt x="0" y="1466850"/>
                              </a:lnTo>
                              <a:close/>
                            </a:path>
                          </a:pathLst>
                        </a:custGeom>
                        <a:noFill/>
                        <a:ln w="25400">
                          <a:solidFill>
                            <a:srgbClr val="F79646"/>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Rectangle 5" o:spid="_x0000_s1026" style="position:absolute;margin-left:16.85pt;margin-top:6.65pt;width:168pt;height:225.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19300,286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" path="m,1466850l,,781050,r-9525,1457325l2019300,1466850r,1400175l,2867025,,1466850xe" filled="f" strokecolor="#f79646" strokeweight="2pt">
                <v:stroke dashstyle="dash"/>
                <v:path arrowok="t" o:connecttype="custom" o:connectlocs="0,1466850;0,0;825260,0;815196,1457325;2133600,1466850;2133600,2867025;0,2867025;0,1466850" o:connectangles="0,0,0,0,0,0,0,0"/>
              </v:shape>
            </w:pict>
          </mc:Fallback>
        </mc:AlternateContent>
      </w:r>
      <w:r>
        <w:rPr>
          <w:rFonts w:cs="Arial"/>
          <w:b/>
          <w:i/>
          <w:noProof/>
          <w:sz w:val="18"/>
          <w:szCs w:val="18"/>
        </w:rPr>
        <w:drawing>
          <wp:inline distT="0" distB="0" distL="0" distR="0" wp14:anchorId="4C9DFE11" wp14:editId="6428A4D2">
            <wp:extent cx="5362575" cy="3005907"/>
            <wp:effectExtent l="0" t="0" r="0" b="4445"/>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362939" cy="3006111"/>
                    </a:xfrm>
                    <a:prstGeom prst="rect">
                      <a:avLst/>
                    </a:prstGeom>
                    <a:noFill/>
                  </pic:spPr>
                </pic:pic>
              </a:graphicData>
            </a:graphic>
          </wp:inline>
        </w:drawing>
      </w:r>
    </w:p>
    <w:p w:rsidR="005624E3" w:rsidRPr="00C15BF5" w:rsidRDefault="005624E3" w:rsidP="005624E3">
      <w:pPr>
        <w:adjustRightInd w:val="0"/>
        <w:spacing w:line="240" w:lineRule="atLeast"/>
        <w:jc w:val="center"/>
      </w:pPr>
      <w:r>
        <w:rPr>
          <w:noProof/>
        </w:rPr>
        <mc:AlternateContent>
          <mc:Choice Requires="wps">
            <w:drawing>
              <wp:anchor distT="0" distB="0" distL="114300" distR="114300" simplePos="0" relativeHeight="251679744" behindDoc="0" locked="0" layoutInCell="1" allowOverlap="1" wp14:anchorId="0647F38B" wp14:editId="1156DA84">
                <wp:simplePos x="0" y="0"/>
                <wp:positionH relativeFrom="column">
                  <wp:posOffset>194945</wp:posOffset>
                </wp:positionH>
                <wp:positionV relativeFrom="paragraph">
                  <wp:posOffset>125095</wp:posOffset>
                </wp:positionV>
                <wp:extent cx="1943100" cy="304800"/>
                <wp:effectExtent l="0" t="0" r="19050" b="19050"/>
                <wp:wrapNone/>
                <wp:docPr id="29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304800"/>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842442" w:rsidRPr="00CC14C6" w:rsidRDefault="00842442" w:rsidP="005624E3">
                            <w:pPr>
                              <w:rPr>
                                <w:szCs w:val="20"/>
                              </w:rPr>
                            </w:pPr>
                            <w:r>
                              <w:t>Belvízi AIS-berendezés hardvere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 o:spid="_x0000_s1026" style="position:absolute;left:0;text-align:left;margin-left:15.35pt;margin-top:9.85pt;width:153pt;height:2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" filled="f" strokecolor="#f79646" strokeweight="2pt">
                <v:stroke dashstyle="dash"/>
                <v:textbox>
                  <w:txbxContent>
                    <w:p w:rsidR="00842442" w:rsidRPr="00CC14C6" w:rsidRDefault="00842442" w:rsidP="005624E3">
                      <w:pPr>
                        <w:rPr>
                          <w:szCs w:val="20"/>
                        </w:rPr>
                      </w:pPr>
                      <w:r>
                        <w:t>Belvízi AIS-berendezés hardvere</w:t>
                      </w:r>
                    </w:p>
                  </w:txbxContent>
                </v:textbox>
              </v:rect>
            </w:pict>
          </mc:Fallback>
        </mc:AlternateContent>
      </w:r>
    </w:p>
    <w:p w:rsidR="005624E3" w:rsidRPr="00C15BF5" w:rsidRDefault="005624E3" w:rsidP="005624E3">
      <w:pPr>
        <w:tabs>
          <w:tab w:val="left" w:pos="1985"/>
        </w:tabs>
        <w:suppressAutoHyphens/>
        <w:spacing w:line="240" w:lineRule="atLeast"/>
        <w:ind w:left="1985" w:hanging="1276"/>
      </w:pPr>
    </w:p>
    <w:p w:rsidR="005624E3" w:rsidRDefault="005624E3" w:rsidP="005624E3">
      <w:pPr>
        <w:spacing w:line="240" w:lineRule="atLeast"/>
        <w:ind w:left="851"/>
        <w:rPr>
          <w:rFonts w:cs="Arial"/>
          <w:bCs/>
          <w:i/>
        </w:rPr>
      </w:pPr>
    </w:p>
    <w:p w:rsidR="005624E3" w:rsidRDefault="005624E3" w:rsidP="005624E3">
      <w:pPr>
        <w:rPr>
          <w:rFonts w:cs="Arial"/>
          <w:b/>
          <w:bCs/>
          <w:szCs w:val="20"/>
        </w:rPr>
      </w:pPr>
      <w:r>
        <w:br w:type="page"/>
      </w:r>
    </w:p>
    <w:p w:rsidR="005624E3" w:rsidRPr="00C903F8" w:rsidRDefault="005624E3" w:rsidP="005624E3">
      <w:pPr>
        <w:tabs>
          <w:tab w:val="right" w:pos="9072"/>
        </w:tabs>
        <w:overflowPunct w:val="0"/>
        <w:adjustRightInd w:val="0"/>
        <w:spacing w:line="240" w:lineRule="atLeast"/>
        <w:textAlignment w:val="baseline"/>
        <w:rPr>
          <w:rFonts w:cs="Arial"/>
          <w:b/>
          <w:bCs/>
          <w:szCs w:val="20"/>
        </w:rPr>
      </w:pPr>
    </w:p>
    <w:p w:rsidR="005624E3" w:rsidRPr="00C903F8" w:rsidRDefault="005624E3" w:rsidP="005624E3">
      <w:pPr>
        <w:pStyle w:val="ES-Titre3"/>
        <w:rPr>
          <w:noProof/>
        </w:rPr>
      </w:pPr>
      <w:bookmarkStart w:id="642" w:name="_Toc491854312"/>
      <w:bookmarkStart w:id="643" w:name="_Toc535854093"/>
      <w:r>
        <w:t>II. szakasz</w:t>
      </w:r>
      <w:bookmarkEnd w:id="642"/>
      <w:bookmarkEnd w:id="643"/>
      <w:r>
        <w:t xml:space="preserve"> </w:t>
      </w:r>
    </w:p>
    <w:p w:rsidR="005624E3" w:rsidRPr="00C903F8" w:rsidRDefault="005624E3" w:rsidP="005624E3">
      <w:pPr>
        <w:pStyle w:val="ES-Titre3a"/>
        <w:rPr>
          <w:rFonts w:cs="Arial"/>
          <w:szCs w:val="20"/>
        </w:rPr>
      </w:pPr>
      <w:bookmarkStart w:id="644" w:name="_Toc491854313"/>
      <w:bookmarkStart w:id="645" w:name="_Toc535854094"/>
      <w:r>
        <w:t>A belvízi hajók fedélzetén használt fordulási szögsebességjelzőkre vonatkozó minimumkövetelmények és vizsgálati feltételek</w:t>
      </w:r>
      <w:bookmarkEnd w:id="644"/>
      <w:bookmarkEnd w:id="645"/>
    </w:p>
    <w:p w:rsidR="005624E3" w:rsidRPr="00C903F8" w:rsidRDefault="005624E3" w:rsidP="005624E3">
      <w:pPr>
        <w:tabs>
          <w:tab w:val="right" w:pos="9072"/>
        </w:tabs>
        <w:overflowPunct w:val="0"/>
        <w:adjustRightInd w:val="0"/>
        <w:spacing w:line="240" w:lineRule="atLeast"/>
        <w:textAlignment w:val="baseline"/>
        <w:rPr>
          <w:rFonts w:cs="Arial"/>
          <w:szCs w:val="20"/>
        </w:rPr>
      </w:pPr>
    </w:p>
    <w:p w:rsidR="005624E3" w:rsidRPr="00C903F8" w:rsidRDefault="005624E3" w:rsidP="005624E3">
      <w:pPr>
        <w:spacing w:line="240" w:lineRule="atLeast"/>
        <w:jc w:val="center"/>
        <w:rPr>
          <w:rFonts w:cs="Arial"/>
          <w:b/>
          <w:noProof/>
        </w:rPr>
      </w:pPr>
      <w:r>
        <w:rPr>
          <w:b/>
          <w:noProof/>
        </w:rPr>
        <w:t>1. fejezet</w:t>
      </w:r>
    </w:p>
    <w:p w:rsidR="005624E3" w:rsidRPr="00C903F8" w:rsidRDefault="005624E3" w:rsidP="005624E3">
      <w:pPr>
        <w:spacing w:line="240" w:lineRule="atLeast"/>
        <w:jc w:val="center"/>
        <w:rPr>
          <w:rFonts w:cs="Arial"/>
          <w:b/>
          <w:caps/>
          <w:noProof/>
        </w:rPr>
      </w:pPr>
      <w:r>
        <w:rPr>
          <w:b/>
          <w:noProof/>
        </w:rPr>
        <w:t>Általános rendelkezések</w:t>
      </w:r>
    </w:p>
    <w:p w:rsidR="005624E3" w:rsidRPr="00C903F8" w:rsidRDefault="005624E3" w:rsidP="005624E3">
      <w:pPr>
        <w:tabs>
          <w:tab w:val="left" w:pos="284"/>
          <w:tab w:val="left" w:pos="454"/>
          <w:tab w:val="left" w:pos="680"/>
          <w:tab w:val="left" w:pos="1021"/>
        </w:tabs>
        <w:overflowPunct w:val="0"/>
        <w:adjustRightInd w:val="0"/>
        <w:jc w:val="center"/>
        <w:textAlignment w:val="baseline"/>
        <w:rPr>
          <w:rFonts w:cs="Arial"/>
          <w:szCs w:val="20"/>
        </w:rPr>
      </w:pPr>
    </w:p>
    <w:p w:rsidR="005624E3" w:rsidRPr="00C903F8" w:rsidRDefault="005624E3" w:rsidP="005624E3">
      <w:pPr>
        <w:spacing w:line="240" w:lineRule="atLeast"/>
        <w:jc w:val="center"/>
        <w:rPr>
          <w:rFonts w:cs="Arial"/>
          <w:b/>
          <w:noProof/>
        </w:rPr>
      </w:pPr>
      <w:r>
        <w:rPr>
          <w:b/>
          <w:noProof/>
        </w:rPr>
        <w:t>1.01. cikk</w:t>
      </w:r>
    </w:p>
    <w:p w:rsidR="005624E3" w:rsidRPr="00C903F8" w:rsidRDefault="005624E3" w:rsidP="005624E3">
      <w:pPr>
        <w:spacing w:line="240" w:lineRule="atLeast"/>
        <w:jc w:val="center"/>
        <w:rPr>
          <w:rFonts w:cs="Arial"/>
          <w:i/>
          <w:noProof/>
        </w:rPr>
      </w:pPr>
      <w:r>
        <w:rPr>
          <w:i/>
          <w:noProof/>
        </w:rPr>
        <w:t>Alkalmazási kör</w:t>
      </w:r>
    </w:p>
    <w:p w:rsidR="005624E3" w:rsidRPr="00C903F8"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C903F8" w:rsidRDefault="005624E3" w:rsidP="005624E3">
      <w:pPr>
        <w:tabs>
          <w:tab w:val="left" w:leader="dot" w:pos="9072"/>
        </w:tabs>
        <w:spacing w:line="240" w:lineRule="atLeast"/>
        <w:rPr>
          <w:rFonts w:cs="Arial"/>
          <w:szCs w:val="20"/>
        </w:rPr>
      </w:pPr>
      <w:r>
        <w:t>Ezek a rendelkezések a belvízi hajók fedélzetén használt fordulási szögsebességjelzőkre vonatkozó minimumkövetelményeket, valamint az e minimumkövetelményeknek való megfelelés vizsgálatának feltételeit határozzák meg.</w:t>
      </w:r>
    </w:p>
    <w:p w:rsidR="005624E3" w:rsidRPr="00C903F8" w:rsidRDefault="005624E3" w:rsidP="005624E3">
      <w:pPr>
        <w:tabs>
          <w:tab w:val="left" w:leader="dot" w:pos="9072"/>
        </w:tabs>
        <w:spacing w:line="240" w:lineRule="atLeast"/>
        <w:rPr>
          <w:rFonts w:cs="Arial"/>
          <w:szCs w:val="20"/>
        </w:rPr>
      </w:pPr>
    </w:p>
    <w:p w:rsidR="005624E3" w:rsidRPr="00C903F8" w:rsidRDefault="005624E3" w:rsidP="005624E3">
      <w:pPr>
        <w:tabs>
          <w:tab w:val="left" w:leader="dot" w:pos="9072"/>
        </w:tabs>
        <w:spacing w:line="240" w:lineRule="atLeast"/>
        <w:rPr>
          <w:rFonts w:cs="Arial"/>
          <w:szCs w:val="20"/>
        </w:rPr>
      </w:pPr>
    </w:p>
    <w:p w:rsidR="005624E3" w:rsidRPr="00C903F8" w:rsidRDefault="005624E3" w:rsidP="005624E3">
      <w:pPr>
        <w:spacing w:line="240" w:lineRule="atLeast"/>
        <w:jc w:val="center"/>
        <w:rPr>
          <w:rFonts w:cs="Arial"/>
          <w:b/>
          <w:noProof/>
        </w:rPr>
      </w:pPr>
      <w:r>
        <w:rPr>
          <w:b/>
          <w:noProof/>
        </w:rPr>
        <w:t>1.02. cikk</w:t>
      </w:r>
    </w:p>
    <w:p w:rsidR="005624E3" w:rsidRPr="00C903F8" w:rsidRDefault="005624E3" w:rsidP="005624E3">
      <w:pPr>
        <w:overflowPunct w:val="0"/>
        <w:adjustRightInd w:val="0"/>
        <w:jc w:val="center"/>
        <w:textAlignment w:val="baseline"/>
        <w:rPr>
          <w:rFonts w:cs="Arial"/>
          <w:szCs w:val="20"/>
        </w:rPr>
      </w:pPr>
      <w:r>
        <w:rPr>
          <w:i/>
          <w:noProof/>
        </w:rPr>
        <w:t>A fordulási szögsebességjelző funkciója</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szCs w:val="20"/>
        </w:rPr>
      </w:pPr>
      <w:r>
        <w:t>A fordulási szögsebességjelző a radarral történő hajózást segíti azáltal, hogy méri és kijelzi a hajó balra vagy jobbra fordulásának szögsebességét.</w:t>
      </w:r>
    </w:p>
    <w:p w:rsidR="005624E3" w:rsidRPr="00C903F8" w:rsidRDefault="005624E3" w:rsidP="005624E3">
      <w:pPr>
        <w:tabs>
          <w:tab w:val="left" w:leader="dot" w:pos="9072"/>
        </w:tabs>
        <w:spacing w:line="240" w:lineRule="atLeast"/>
        <w:rPr>
          <w:rFonts w:cs="Arial"/>
          <w:szCs w:val="20"/>
        </w:rPr>
      </w:pPr>
    </w:p>
    <w:p w:rsidR="005624E3" w:rsidRPr="00C903F8" w:rsidRDefault="005624E3" w:rsidP="005624E3">
      <w:pPr>
        <w:tabs>
          <w:tab w:val="left" w:leader="dot" w:pos="9072"/>
        </w:tabs>
        <w:spacing w:line="240" w:lineRule="atLeast"/>
        <w:rPr>
          <w:rFonts w:cs="Arial"/>
          <w:szCs w:val="20"/>
        </w:rPr>
      </w:pPr>
    </w:p>
    <w:p w:rsidR="005624E3" w:rsidRPr="00C903F8" w:rsidRDefault="005624E3" w:rsidP="005624E3">
      <w:pPr>
        <w:spacing w:line="240" w:lineRule="atLeast"/>
        <w:jc w:val="center"/>
        <w:rPr>
          <w:rFonts w:cs="Arial"/>
          <w:b/>
          <w:noProof/>
        </w:rPr>
      </w:pPr>
      <w:r>
        <w:rPr>
          <w:b/>
          <w:noProof/>
        </w:rPr>
        <w:t>1.03. cikk</w:t>
      </w:r>
    </w:p>
    <w:p w:rsidR="005624E3" w:rsidRPr="00C903F8" w:rsidRDefault="005624E3" w:rsidP="005624E3">
      <w:pPr>
        <w:spacing w:line="240" w:lineRule="atLeast"/>
        <w:jc w:val="center"/>
        <w:rPr>
          <w:rFonts w:cs="Arial"/>
          <w:noProof/>
        </w:rPr>
      </w:pPr>
      <w:r>
        <w:rPr>
          <w:i/>
          <w:noProof/>
        </w:rPr>
        <w:t>Típuspróba</w:t>
      </w:r>
    </w:p>
    <w:p w:rsidR="005624E3" w:rsidRPr="00C903F8"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A 2–4. fejezet szerinti, fordulási szögsebességjelzőkre vonatkozó minimumkövetelmények teljesítését típuspróbával kell igazolni.</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szCs w:val="20"/>
        </w:rPr>
      </w:pPr>
      <w:r>
        <w:rPr>
          <w:noProof/>
          <w:color w:val="000000"/>
        </w:rPr>
        <w:t>2.</w:t>
      </w:r>
      <w:r>
        <w:tab/>
      </w:r>
      <w:r>
        <w:rPr>
          <w:noProof/>
          <w:color w:val="000000"/>
        </w:rPr>
        <w:t>Ha a berendezés teljesíti a típuspróbát, a műszaki szolgálat vizsgálati tanúsítványt ad ki. Ha a berendezés nem felel meg a minimumkövetelményeknek, a kérelmezőt írásban értesítik az elutasítás indokairól.</w:t>
      </w:r>
    </w:p>
    <w:p w:rsidR="005624E3" w:rsidRPr="00C903F8" w:rsidRDefault="005624E3" w:rsidP="005624E3">
      <w:pPr>
        <w:spacing w:line="240" w:lineRule="atLeast"/>
        <w:ind w:left="567" w:hanging="567"/>
        <w:rPr>
          <w:rFonts w:cs="Arial"/>
          <w:szCs w:val="20"/>
        </w:rPr>
      </w:pPr>
    </w:p>
    <w:p w:rsidR="005624E3" w:rsidRPr="00C903F8"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C903F8" w:rsidRDefault="005624E3" w:rsidP="005624E3">
      <w:pPr>
        <w:spacing w:line="240" w:lineRule="atLeast"/>
        <w:jc w:val="center"/>
        <w:rPr>
          <w:rFonts w:cs="Arial"/>
          <w:b/>
          <w:noProof/>
        </w:rPr>
      </w:pPr>
      <w:r>
        <w:rPr>
          <w:b/>
          <w:noProof/>
        </w:rPr>
        <w:t>1.04. cikk</w:t>
      </w:r>
    </w:p>
    <w:p w:rsidR="005624E3" w:rsidRPr="00C903F8" w:rsidRDefault="005624E3" w:rsidP="005624E3">
      <w:pPr>
        <w:tabs>
          <w:tab w:val="left" w:pos="284"/>
          <w:tab w:val="left" w:pos="454"/>
          <w:tab w:val="left" w:pos="680"/>
          <w:tab w:val="left" w:pos="1021"/>
        </w:tabs>
        <w:overflowPunct w:val="0"/>
        <w:adjustRightInd w:val="0"/>
        <w:jc w:val="center"/>
        <w:textAlignment w:val="baseline"/>
        <w:rPr>
          <w:rFonts w:cs="Arial"/>
          <w:i/>
          <w:iCs/>
          <w:noProof/>
        </w:rPr>
      </w:pPr>
      <w:r>
        <w:rPr>
          <w:i/>
          <w:noProof/>
        </w:rPr>
        <w:t>Típuspróba iránti kérelem</w:t>
      </w:r>
    </w:p>
    <w:p w:rsidR="005624E3" w:rsidRPr="00C903F8" w:rsidRDefault="005624E3" w:rsidP="005624E3">
      <w:pPr>
        <w:tabs>
          <w:tab w:val="left" w:pos="284"/>
          <w:tab w:val="left" w:pos="454"/>
          <w:tab w:val="left" w:pos="680"/>
          <w:tab w:val="left" w:pos="1021"/>
        </w:tabs>
        <w:overflowPunct w:val="0"/>
        <w:adjustRightInd w:val="0"/>
        <w:jc w:val="center"/>
        <w:textAlignment w:val="baseline"/>
        <w:rPr>
          <w:rFonts w:cs="Arial"/>
          <w:szCs w:val="2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A fordulási szögsebességjelző típuspróbája iránti kérelmet egy illetékes műszaki szolgálathoz kell benyújtani.</w:t>
      </w:r>
    </w:p>
    <w:p w:rsidR="005624E3" w:rsidRPr="00C903F8" w:rsidRDefault="005624E3" w:rsidP="005624E3">
      <w:pPr>
        <w:spacing w:line="240" w:lineRule="atLeast"/>
        <w:rPr>
          <w:rFonts w:cs="Arial"/>
          <w:color w:val="000000"/>
          <w:szCs w:val="20"/>
        </w:rPr>
      </w:pPr>
    </w:p>
    <w:p w:rsidR="005624E3" w:rsidRPr="00C903F8" w:rsidRDefault="005624E3" w:rsidP="005624E3">
      <w:pPr>
        <w:spacing w:line="240" w:lineRule="atLeast"/>
        <w:rPr>
          <w:rFonts w:cs="Arial"/>
          <w:color w:val="000000"/>
        </w:rPr>
      </w:pPr>
      <w:r>
        <w:rPr>
          <w:color w:val="000000"/>
        </w:rPr>
        <w:t>2.</w:t>
      </w:r>
      <w:r>
        <w:tab/>
      </w:r>
      <w:r>
        <w:rPr>
          <w:noProof/>
          <w:color w:val="000000"/>
        </w:rPr>
        <w:t>Minden kérelemhez csatolni kell az alábbi dokumentumokat:</w:t>
      </w:r>
    </w:p>
    <w:p w:rsidR="005624E3" w:rsidRPr="00C903F8" w:rsidRDefault="005624E3" w:rsidP="005624E3">
      <w:pPr>
        <w:spacing w:before="60" w:line="240" w:lineRule="atLeast"/>
        <w:ind w:left="851"/>
        <w:rPr>
          <w:rFonts w:cs="Arial"/>
          <w:noProof/>
        </w:rPr>
      </w:pPr>
      <w:r>
        <w:t>a)</w:t>
      </w:r>
      <w:r>
        <w:tab/>
        <w:t>két részletes műszaki leírás;</w:t>
      </w:r>
    </w:p>
    <w:p w:rsidR="005624E3" w:rsidRPr="00C903F8" w:rsidRDefault="005624E3" w:rsidP="005624E3">
      <w:pPr>
        <w:spacing w:before="60" w:line="240" w:lineRule="atLeast"/>
        <w:ind w:left="851"/>
        <w:rPr>
          <w:rFonts w:cs="Arial"/>
          <w:noProof/>
        </w:rPr>
      </w:pPr>
      <w:r>
        <w:t>b)</w:t>
      </w:r>
      <w:r>
        <w:tab/>
        <w:t>beszerelési és szervizelési dokumentáció két teljes összeállításban;</w:t>
      </w:r>
    </w:p>
    <w:p w:rsidR="005624E3" w:rsidRPr="00C903F8" w:rsidRDefault="005624E3" w:rsidP="005624E3">
      <w:pPr>
        <w:spacing w:before="60" w:line="240" w:lineRule="atLeast"/>
        <w:ind w:left="851"/>
        <w:rPr>
          <w:rFonts w:cs="Arial"/>
          <w:noProof/>
        </w:rPr>
      </w:pPr>
      <w:r>
        <w:t>c)</w:t>
      </w:r>
      <w:r>
        <w:tab/>
        <w:t>két kezelési utasítás.</w:t>
      </w:r>
    </w:p>
    <w:p w:rsidR="005624E3" w:rsidRPr="00C903F8" w:rsidRDefault="005624E3" w:rsidP="005624E3">
      <w:pPr>
        <w:overflowPunct w:val="0"/>
        <w:adjustRightInd w:val="0"/>
        <w:textAlignment w:val="baseline"/>
        <w:rPr>
          <w:rFonts w:cs="Arial"/>
          <w:szCs w:val="20"/>
        </w:rPr>
      </w:pPr>
    </w:p>
    <w:p w:rsidR="005624E3" w:rsidRPr="00C903F8" w:rsidRDefault="005624E3" w:rsidP="005624E3">
      <w:pPr>
        <w:spacing w:line="240" w:lineRule="atLeast"/>
        <w:rPr>
          <w:rFonts w:cs="Arial"/>
          <w:color w:val="000000"/>
        </w:rPr>
      </w:pPr>
      <w:r>
        <w:rPr>
          <w:color w:val="000000"/>
        </w:rPr>
        <w:t>3.</w:t>
      </w:r>
      <w:r>
        <w:tab/>
      </w:r>
      <w:r>
        <w:rPr>
          <w:color w:val="000000"/>
        </w:rPr>
        <w:t>A kérelmező próbák segítségével igazolja vagy igazoltatja, hogy a berendezés megfelel e rendelkezések minimumkövetelményeinek.</w:t>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ind w:left="426"/>
      </w:pPr>
      <w:r>
        <w:t>A kérelemhez csatolni kell a próbák eredményeit és a mérési jegyzőkönyveket.</w:t>
      </w:r>
    </w:p>
    <w:p w:rsidR="005624E3" w:rsidRPr="00C903F8" w:rsidRDefault="005624E3" w:rsidP="005624E3">
      <w:pPr>
        <w:spacing w:line="240" w:lineRule="atLeast"/>
        <w:ind w:left="426"/>
      </w:pPr>
    </w:p>
    <w:p w:rsidR="005624E3" w:rsidRPr="00C903F8" w:rsidRDefault="005624E3" w:rsidP="005624E3">
      <w:pPr>
        <w:spacing w:line="240" w:lineRule="atLeast"/>
        <w:ind w:left="426"/>
        <w:rPr>
          <w:szCs w:val="20"/>
        </w:rPr>
      </w:pPr>
      <w:r>
        <w:t>Ezeket a dokumentumokat és a próbák során nyert adatokat az illetékes hatóság megőrzi.</w:t>
      </w:r>
    </w:p>
    <w:p w:rsidR="005624E3" w:rsidRPr="00C903F8" w:rsidRDefault="005624E3" w:rsidP="005624E3">
      <w:pPr>
        <w:tabs>
          <w:tab w:val="left" w:pos="425"/>
        </w:tabs>
        <w:overflowPunct w:val="0"/>
        <w:adjustRightInd w:val="0"/>
        <w:spacing w:line="240" w:lineRule="atLeast"/>
        <w:textAlignment w:val="baseline"/>
        <w:rPr>
          <w:rFonts w:cs="Arial"/>
          <w:szCs w:val="20"/>
        </w:rPr>
      </w:pPr>
      <w:r>
        <w:br w:type="page"/>
      </w:r>
    </w:p>
    <w:p w:rsidR="005624E3" w:rsidRPr="00C903F8"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Pr>
          <w:b/>
          <w:noProof/>
        </w:rPr>
        <w:t>1.05. cikk</w:t>
      </w:r>
    </w:p>
    <w:p w:rsidR="005624E3" w:rsidRPr="00C903F8" w:rsidRDefault="005624E3" w:rsidP="005624E3">
      <w:pPr>
        <w:tabs>
          <w:tab w:val="left" w:pos="284"/>
          <w:tab w:val="left" w:pos="454"/>
          <w:tab w:val="left" w:pos="680"/>
          <w:tab w:val="left" w:pos="1021"/>
        </w:tabs>
        <w:overflowPunct w:val="0"/>
        <w:adjustRightInd w:val="0"/>
        <w:jc w:val="center"/>
        <w:textAlignment w:val="baseline"/>
        <w:rPr>
          <w:rFonts w:cs="Arial"/>
          <w:szCs w:val="20"/>
        </w:rPr>
      </w:pPr>
      <w:r>
        <w:rPr>
          <w:i/>
          <w:noProof/>
        </w:rPr>
        <w:t>Típusjóváhagyás</w:t>
      </w:r>
    </w:p>
    <w:p w:rsidR="005624E3" w:rsidRPr="00C903F8" w:rsidRDefault="005624E3" w:rsidP="005624E3">
      <w:pPr>
        <w:tabs>
          <w:tab w:val="left" w:pos="284"/>
          <w:tab w:val="left" w:pos="454"/>
          <w:tab w:val="left" w:pos="680"/>
          <w:tab w:val="left" w:pos="1021"/>
        </w:tabs>
        <w:overflowPunct w:val="0"/>
        <w:adjustRightInd w:val="0"/>
        <w:jc w:val="center"/>
        <w:textAlignment w:val="baseline"/>
        <w:rPr>
          <w:rFonts w:cs="Arial"/>
          <w:szCs w:val="20"/>
        </w:rPr>
      </w:pPr>
    </w:p>
    <w:p w:rsidR="005624E3" w:rsidRPr="00C903F8" w:rsidRDefault="005624E3" w:rsidP="005624E3">
      <w:pPr>
        <w:spacing w:line="240" w:lineRule="atLeast"/>
        <w:rPr>
          <w:rFonts w:cs="Arial"/>
          <w:color w:val="000000"/>
        </w:rPr>
      </w:pPr>
      <w:r>
        <w:rPr>
          <w:color w:val="000000"/>
        </w:rPr>
        <w:t>1.</w:t>
      </w:r>
      <w:r>
        <w:tab/>
      </w:r>
      <w:r>
        <w:rPr>
          <w:color w:val="000000"/>
        </w:rPr>
        <w:t>A típusjóváhagyást az illetékes hatóság a vizsgálati tanúsítvány alapján adja meg.</w:t>
      </w:r>
    </w:p>
    <w:p w:rsidR="005624E3" w:rsidRPr="00C903F8" w:rsidRDefault="005624E3" w:rsidP="005624E3">
      <w:pPr>
        <w:spacing w:line="240" w:lineRule="atLeast"/>
        <w:ind w:left="426"/>
        <w:rPr>
          <w:noProof/>
        </w:rPr>
      </w:pPr>
    </w:p>
    <w:p w:rsidR="005624E3" w:rsidRPr="00C903F8" w:rsidRDefault="005624E3" w:rsidP="005624E3">
      <w:pPr>
        <w:spacing w:line="240" w:lineRule="atLeast"/>
        <w:rPr>
          <w:rFonts w:cs="Arial"/>
          <w:noProof/>
          <w:color w:val="000000"/>
        </w:rPr>
      </w:pPr>
      <w:r>
        <w:rPr>
          <w:color w:val="000000"/>
        </w:rPr>
        <w:t>2.</w:t>
      </w:r>
      <w:r>
        <w:tab/>
      </w:r>
      <w:r>
        <w:rPr>
          <w:noProof/>
          <w:color w:val="000000"/>
        </w:rPr>
        <w:t>Az illetékes hatóság vagy az illetékes hatóság által kijelölt műszaki szolgálat ellenőrzési céllal bármikor kiválaszthat berendezéseket a gyártási sorozatból.</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ind w:left="426"/>
        <w:rPr>
          <w:noProof/>
        </w:rPr>
      </w:pPr>
      <w:r>
        <w:t>Amennyiben az ellenőrzés a berendezésben hibákat tár fel, a típusjóváhagyás visszavonható.</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szCs w:val="20"/>
        </w:rPr>
      </w:pPr>
      <w:r>
        <w:t>A típusjóváhagyást az a hatóság vonja vissza, amelyik kiadta.</w:t>
      </w:r>
    </w:p>
    <w:p w:rsidR="005624E3" w:rsidRPr="00C903F8" w:rsidRDefault="005624E3" w:rsidP="005624E3">
      <w:pPr>
        <w:tabs>
          <w:tab w:val="left" w:leader="dot" w:pos="9072"/>
        </w:tabs>
        <w:spacing w:line="240" w:lineRule="atLeast"/>
        <w:rPr>
          <w:rFonts w:cs="Arial"/>
        </w:rPr>
      </w:pPr>
    </w:p>
    <w:p w:rsidR="005624E3" w:rsidRPr="00C903F8" w:rsidRDefault="005624E3" w:rsidP="005624E3">
      <w:pPr>
        <w:tabs>
          <w:tab w:val="left" w:leader="dot" w:pos="9072"/>
        </w:tabs>
        <w:spacing w:line="240" w:lineRule="atLeast"/>
        <w:rPr>
          <w:rFonts w:cs="Arial"/>
        </w:rPr>
      </w:pPr>
    </w:p>
    <w:p w:rsidR="005624E3" w:rsidRPr="00C903F8"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Pr>
          <w:b/>
          <w:noProof/>
        </w:rPr>
        <w:t>1.06. cikk</w:t>
      </w:r>
    </w:p>
    <w:p w:rsidR="005624E3" w:rsidRPr="00C903F8" w:rsidRDefault="005624E3" w:rsidP="005624E3">
      <w:pPr>
        <w:tabs>
          <w:tab w:val="left" w:pos="284"/>
          <w:tab w:val="left" w:pos="454"/>
          <w:tab w:val="left" w:pos="680"/>
          <w:tab w:val="left" w:pos="1021"/>
        </w:tabs>
        <w:overflowPunct w:val="0"/>
        <w:adjustRightInd w:val="0"/>
        <w:jc w:val="center"/>
        <w:textAlignment w:val="baseline"/>
        <w:rPr>
          <w:rFonts w:cs="Arial"/>
          <w:i/>
          <w:iCs/>
          <w:noProof/>
          <w:szCs w:val="20"/>
        </w:rPr>
      </w:pPr>
      <w:r>
        <w:rPr>
          <w:i/>
          <w:noProof/>
        </w:rPr>
        <w:t>A berendezésen lévő jelölések és a típusjóváhagyási szám</w:t>
      </w:r>
    </w:p>
    <w:p w:rsidR="005624E3" w:rsidRPr="00C903F8" w:rsidRDefault="005624E3" w:rsidP="005624E3">
      <w:pPr>
        <w:tabs>
          <w:tab w:val="left" w:leader="dot" w:pos="9072"/>
        </w:tabs>
        <w:spacing w:line="240" w:lineRule="atLeast"/>
        <w:rPr>
          <w:rFonts w:cs="Arial"/>
        </w:rPr>
      </w:pPr>
    </w:p>
    <w:p w:rsidR="005624E3" w:rsidRPr="00C903F8" w:rsidRDefault="005624E3" w:rsidP="005624E3">
      <w:pPr>
        <w:spacing w:line="240" w:lineRule="atLeast"/>
        <w:rPr>
          <w:rFonts w:cs="Arial"/>
          <w:color w:val="000000"/>
        </w:rPr>
      </w:pPr>
      <w:r>
        <w:rPr>
          <w:color w:val="000000"/>
        </w:rPr>
        <w:t>1.</w:t>
      </w:r>
      <w:r>
        <w:tab/>
      </w:r>
      <w:r>
        <w:rPr>
          <w:noProof/>
          <w:color w:val="000000"/>
        </w:rPr>
        <w:t xml:space="preserve">A berendezés minden alkatrészén letörölhetetlenül fel kell tüntetni a gyártó nevét, </w:t>
      </w:r>
      <w:r>
        <w:tab/>
      </w:r>
      <w:r>
        <w:rPr>
          <w:noProof/>
          <w:color w:val="000000"/>
        </w:rPr>
        <w:t xml:space="preserve">a berendezés kereskedelmi célját, </w:t>
      </w:r>
      <w:r>
        <w:tab/>
      </w:r>
      <w:r>
        <w:rPr>
          <w:noProof/>
          <w:color w:val="000000"/>
        </w:rPr>
        <w:t>a berendezés típusát és sorozatszámát.</w:t>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noProof/>
          <w:color w:val="000000"/>
        </w:rPr>
      </w:pPr>
      <w:r>
        <w:rPr>
          <w:color w:val="000000"/>
        </w:rPr>
        <w:t>2.</w:t>
      </w:r>
      <w:r>
        <w:tab/>
      </w:r>
      <w:r>
        <w:rPr>
          <w:noProof/>
          <w:color w:val="000000"/>
        </w:rPr>
        <w:t>A vezérlőegységen letörölhetetlen módon fel kell tüntetni az illetékes hatóság által kiadott típusjóváhagyási számot, és annak a beszerelés után is jól láthatónak kell lennie.</w:t>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ind w:left="426"/>
      </w:pPr>
      <w:r>
        <w:t>A típusjóváhagyási szám felépítése: R-NN-NNN vagy e-NN-NNN</w:t>
      </w:r>
    </w:p>
    <w:p w:rsidR="005624E3" w:rsidRPr="00C903F8" w:rsidRDefault="005624E3" w:rsidP="005624E3">
      <w:pPr>
        <w:tabs>
          <w:tab w:val="left" w:pos="425"/>
          <w:tab w:val="left" w:pos="993"/>
          <w:tab w:val="left" w:pos="1418"/>
        </w:tabs>
        <w:overflowPunct w:val="0"/>
        <w:adjustRightInd w:val="0"/>
        <w:spacing w:before="60" w:line="240" w:lineRule="atLeast"/>
        <w:ind w:left="992" w:hanging="567"/>
        <w:textAlignment w:val="baseline"/>
        <w:rPr>
          <w:rFonts w:cs="Arial"/>
          <w:noProof/>
          <w:szCs w:val="20"/>
        </w:rPr>
      </w:pPr>
      <w:r>
        <w:t>R</w:t>
      </w:r>
      <w:r>
        <w:tab/>
        <w:t>=</w:t>
      </w:r>
      <w:r>
        <w:tab/>
        <w:t>Rajna</w:t>
      </w:r>
    </w:p>
    <w:p w:rsidR="005624E3" w:rsidRPr="00C903F8" w:rsidRDefault="005624E3" w:rsidP="005624E3">
      <w:pPr>
        <w:tabs>
          <w:tab w:val="left" w:pos="993"/>
          <w:tab w:val="left" w:pos="1418"/>
        </w:tabs>
        <w:ind w:left="992" w:hanging="567"/>
        <w:rPr>
          <w:noProof/>
        </w:rPr>
      </w:pPr>
      <w:r>
        <w:t>e</w:t>
      </w:r>
      <w:r>
        <w:tab/>
        <w:t>=</w:t>
      </w:r>
      <w:r>
        <w:tab/>
        <w:t>Európai Unió</w:t>
      </w:r>
    </w:p>
    <w:p w:rsidR="005624E3" w:rsidRPr="00C903F8" w:rsidRDefault="005624E3" w:rsidP="005624E3">
      <w:pPr>
        <w:tabs>
          <w:tab w:val="left" w:pos="993"/>
          <w:tab w:val="left" w:pos="1418"/>
        </w:tabs>
        <w:ind w:left="992" w:hanging="567"/>
        <w:rPr>
          <w:noProof/>
        </w:rPr>
      </w:pPr>
      <w:r>
        <w:t>NN</w:t>
      </w:r>
      <w:r>
        <w:tab/>
        <w:t>=</w:t>
      </w:r>
      <w:r>
        <w:tab/>
        <w:t>a típusjóváhagyás szerinti ország száma, ahol</w:t>
      </w:r>
    </w:p>
    <w:p w:rsidR="005624E3" w:rsidRPr="00C903F8" w:rsidRDefault="005624E3" w:rsidP="005624E3">
      <w:pPr>
        <w:ind w:left="850"/>
        <w:rPr>
          <w:noProof/>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01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Németország</w:t>
            </w:r>
          </w:p>
        </w:tc>
        <w:tc>
          <w:tcPr>
            <w:tcW w:w="724" w:type="dxa"/>
          </w:tcPr>
          <w:p w:rsidR="005624E3" w:rsidRPr="00C903F8" w:rsidRDefault="005624E3" w:rsidP="00101A80">
            <w:pPr>
              <w:spacing w:before="40" w:after="40" w:line="240" w:lineRule="atLeast"/>
              <w:rPr>
                <w:noProof/>
                <w:szCs w:val="20"/>
              </w:rPr>
            </w:pPr>
            <w:r>
              <w:t>19</w:t>
            </w:r>
          </w:p>
        </w:tc>
        <w:tc>
          <w:tcPr>
            <w:tcW w:w="416" w:type="dxa"/>
          </w:tcPr>
          <w:p w:rsidR="005624E3" w:rsidRPr="00C903F8" w:rsidRDefault="005624E3" w:rsidP="00101A80">
            <w:pPr>
              <w:spacing w:before="40" w:after="40" w:line="240" w:lineRule="atLeast"/>
              <w:rPr>
                <w:noProof/>
                <w:szCs w:val="20"/>
              </w:rPr>
            </w:pPr>
            <w:r>
              <w:t>=</w:t>
            </w:r>
          </w:p>
        </w:tc>
        <w:tc>
          <w:tcPr>
            <w:tcW w:w="2205" w:type="dxa"/>
          </w:tcPr>
          <w:p w:rsidR="005624E3" w:rsidRPr="00C903F8" w:rsidRDefault="005624E3" w:rsidP="00101A80">
            <w:pPr>
              <w:spacing w:before="40" w:after="40" w:line="240" w:lineRule="atLeast"/>
              <w:rPr>
                <w:noProof/>
                <w:szCs w:val="20"/>
              </w:rPr>
            </w:pPr>
            <w:r>
              <w:t>Románia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02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Franciaország </w:t>
            </w:r>
          </w:p>
        </w:tc>
        <w:tc>
          <w:tcPr>
            <w:tcW w:w="724" w:type="dxa"/>
          </w:tcPr>
          <w:p w:rsidR="005624E3" w:rsidRPr="00C903F8" w:rsidRDefault="005624E3" w:rsidP="00101A80">
            <w:pPr>
              <w:spacing w:before="40" w:after="40" w:line="240" w:lineRule="atLeast"/>
              <w:rPr>
                <w:noProof/>
                <w:szCs w:val="20"/>
              </w:rPr>
            </w:pPr>
            <w:r>
              <w:t xml:space="preserve">20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 xml:space="preserve">Lengyelország </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03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Olaszország</w:t>
            </w:r>
          </w:p>
        </w:tc>
        <w:tc>
          <w:tcPr>
            <w:tcW w:w="724" w:type="dxa"/>
          </w:tcPr>
          <w:p w:rsidR="005624E3" w:rsidRPr="00C903F8" w:rsidRDefault="005624E3" w:rsidP="00101A80">
            <w:pPr>
              <w:spacing w:before="40" w:after="40" w:line="240" w:lineRule="atLeast"/>
              <w:rPr>
                <w:noProof/>
                <w:szCs w:val="20"/>
              </w:rPr>
            </w:pPr>
            <w:r>
              <w:t xml:space="preserve">21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 xml:space="preserve">Portugália </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04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Hollandia </w:t>
            </w:r>
          </w:p>
        </w:tc>
        <w:tc>
          <w:tcPr>
            <w:tcW w:w="724" w:type="dxa"/>
          </w:tcPr>
          <w:p w:rsidR="005624E3" w:rsidRPr="00C903F8" w:rsidRDefault="005624E3" w:rsidP="00101A80">
            <w:pPr>
              <w:spacing w:before="40" w:after="40" w:line="240" w:lineRule="atLeast"/>
              <w:rPr>
                <w:noProof/>
                <w:szCs w:val="20"/>
              </w:rPr>
            </w:pPr>
            <w:r>
              <w:t xml:space="preserve">23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Görögország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05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Svédország</w:t>
            </w:r>
          </w:p>
        </w:tc>
        <w:tc>
          <w:tcPr>
            <w:tcW w:w="724" w:type="dxa"/>
          </w:tcPr>
          <w:p w:rsidR="005624E3" w:rsidRPr="00C903F8" w:rsidRDefault="005624E3" w:rsidP="00101A80">
            <w:pPr>
              <w:spacing w:before="40" w:after="40" w:line="240" w:lineRule="atLeast"/>
              <w:rPr>
                <w:noProof/>
                <w:szCs w:val="20"/>
              </w:rPr>
            </w:pPr>
            <w:r>
              <w:t xml:space="preserve">24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Írország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06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Belgium </w:t>
            </w:r>
          </w:p>
        </w:tc>
        <w:tc>
          <w:tcPr>
            <w:tcW w:w="724" w:type="dxa"/>
            <w:vAlign w:val="center"/>
          </w:tcPr>
          <w:p w:rsidR="005624E3" w:rsidRPr="00C903F8" w:rsidRDefault="005624E3" w:rsidP="00101A80">
            <w:pPr>
              <w:spacing w:before="40" w:after="40" w:line="240" w:lineRule="atLeast"/>
              <w:rPr>
                <w:noProof/>
                <w:szCs w:val="20"/>
              </w:rPr>
            </w:pPr>
            <w:r>
              <w:rPr>
                <w:color w:val="000000"/>
              </w:rPr>
              <w:t>25</w:t>
            </w:r>
          </w:p>
        </w:tc>
        <w:tc>
          <w:tcPr>
            <w:tcW w:w="416" w:type="dxa"/>
            <w:vAlign w:val="center"/>
          </w:tcPr>
          <w:p w:rsidR="005624E3" w:rsidRPr="00C903F8" w:rsidRDefault="005624E3" w:rsidP="00101A80">
            <w:pPr>
              <w:spacing w:before="40" w:after="40" w:line="240" w:lineRule="atLeast"/>
              <w:rPr>
                <w:noProof/>
                <w:szCs w:val="20"/>
              </w:rPr>
            </w:pPr>
            <w:r>
              <w:rPr>
                <w:color w:val="000000"/>
              </w:rPr>
              <w:t>=</w:t>
            </w:r>
          </w:p>
        </w:tc>
        <w:tc>
          <w:tcPr>
            <w:tcW w:w="2205" w:type="dxa"/>
            <w:vAlign w:val="center"/>
          </w:tcPr>
          <w:p w:rsidR="005624E3" w:rsidRPr="00C903F8" w:rsidRDefault="005624E3" w:rsidP="00101A80">
            <w:pPr>
              <w:spacing w:before="40" w:after="40" w:line="240" w:lineRule="atLeast"/>
              <w:rPr>
                <w:noProof/>
                <w:szCs w:val="20"/>
              </w:rPr>
            </w:pPr>
            <w:r>
              <w:t>Horvátország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07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Magyarország</w:t>
            </w:r>
          </w:p>
        </w:tc>
        <w:tc>
          <w:tcPr>
            <w:tcW w:w="724" w:type="dxa"/>
          </w:tcPr>
          <w:p w:rsidR="005624E3" w:rsidRPr="00C903F8" w:rsidRDefault="005624E3" w:rsidP="00101A80">
            <w:pPr>
              <w:spacing w:before="40" w:after="40" w:line="240" w:lineRule="atLeast"/>
              <w:rPr>
                <w:noProof/>
                <w:szCs w:val="20"/>
              </w:rPr>
            </w:pPr>
            <w:r>
              <w:t xml:space="preserve">26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Szlovénia</w:t>
            </w:r>
          </w:p>
        </w:tc>
      </w:tr>
      <w:tr w:rsidR="005624E3" w:rsidRPr="00C903F8" w:rsidTr="00101A80">
        <w:trPr>
          <w:jc w:val="center"/>
        </w:trPr>
        <w:tc>
          <w:tcPr>
            <w:tcW w:w="720" w:type="dxa"/>
          </w:tcPr>
          <w:p w:rsidR="005624E3" w:rsidRPr="00C903F8" w:rsidRDefault="005624E3" w:rsidP="00101A80">
            <w:pPr>
              <w:spacing w:before="40" w:after="160" w:line="240" w:lineRule="atLeast"/>
              <w:rPr>
                <w:noProof/>
                <w:szCs w:val="20"/>
              </w:rPr>
            </w:pPr>
            <w:r>
              <w:t xml:space="preserve">08 </w:t>
            </w:r>
          </w:p>
        </w:tc>
        <w:tc>
          <w:tcPr>
            <w:tcW w:w="360" w:type="dxa"/>
          </w:tcPr>
          <w:p w:rsidR="005624E3" w:rsidRPr="00C903F8" w:rsidRDefault="005624E3" w:rsidP="00101A80">
            <w:pPr>
              <w:spacing w:before="40" w:after="160" w:line="240" w:lineRule="atLeast"/>
              <w:rPr>
                <w:noProof/>
                <w:szCs w:val="20"/>
              </w:rPr>
            </w:pPr>
            <w:r>
              <w:t xml:space="preserve">= </w:t>
            </w:r>
          </w:p>
        </w:tc>
        <w:tc>
          <w:tcPr>
            <w:tcW w:w="3162" w:type="dxa"/>
          </w:tcPr>
          <w:p w:rsidR="005624E3" w:rsidRPr="00C903F8" w:rsidRDefault="005624E3" w:rsidP="00101A80">
            <w:pPr>
              <w:spacing w:before="40" w:after="160" w:line="240" w:lineRule="atLeast"/>
              <w:rPr>
                <w:noProof/>
                <w:szCs w:val="20"/>
              </w:rPr>
            </w:pPr>
            <w:r>
              <w:t>Cseh Köztársaság</w:t>
            </w:r>
          </w:p>
        </w:tc>
        <w:tc>
          <w:tcPr>
            <w:tcW w:w="724" w:type="dxa"/>
          </w:tcPr>
          <w:p w:rsidR="005624E3" w:rsidRPr="00C903F8" w:rsidRDefault="005624E3" w:rsidP="00101A80">
            <w:pPr>
              <w:spacing w:before="40" w:after="160" w:line="240" w:lineRule="atLeast"/>
              <w:rPr>
                <w:noProof/>
                <w:szCs w:val="20"/>
              </w:rPr>
            </w:pPr>
            <w:r>
              <w:t xml:space="preserve">27 </w:t>
            </w:r>
          </w:p>
        </w:tc>
        <w:tc>
          <w:tcPr>
            <w:tcW w:w="416" w:type="dxa"/>
          </w:tcPr>
          <w:p w:rsidR="005624E3" w:rsidRPr="00C903F8" w:rsidRDefault="005624E3" w:rsidP="00101A80">
            <w:pPr>
              <w:spacing w:before="40" w:after="160" w:line="240" w:lineRule="atLeast"/>
              <w:rPr>
                <w:noProof/>
                <w:szCs w:val="20"/>
              </w:rPr>
            </w:pPr>
            <w:r>
              <w:t xml:space="preserve">= </w:t>
            </w:r>
          </w:p>
        </w:tc>
        <w:tc>
          <w:tcPr>
            <w:tcW w:w="2205" w:type="dxa"/>
          </w:tcPr>
          <w:p w:rsidR="005624E3" w:rsidRPr="00C903F8" w:rsidRDefault="005624E3" w:rsidP="00101A80">
            <w:pPr>
              <w:spacing w:before="40" w:after="160" w:line="240" w:lineRule="atLeast"/>
              <w:rPr>
                <w:noProof/>
                <w:szCs w:val="20"/>
              </w:rPr>
            </w:pPr>
            <w:r>
              <w:t>Szlovákia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09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Spanyolország </w:t>
            </w:r>
          </w:p>
        </w:tc>
        <w:tc>
          <w:tcPr>
            <w:tcW w:w="724" w:type="dxa"/>
          </w:tcPr>
          <w:p w:rsidR="005624E3" w:rsidRPr="00C903F8" w:rsidRDefault="005624E3" w:rsidP="00101A80">
            <w:pPr>
              <w:spacing w:before="40" w:after="40" w:line="240" w:lineRule="atLeast"/>
              <w:rPr>
                <w:noProof/>
                <w:szCs w:val="20"/>
              </w:rPr>
            </w:pPr>
            <w:r>
              <w:t xml:space="preserve">29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Észtország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11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Egyesült Királyság</w:t>
            </w:r>
          </w:p>
        </w:tc>
        <w:tc>
          <w:tcPr>
            <w:tcW w:w="724" w:type="dxa"/>
          </w:tcPr>
          <w:p w:rsidR="005624E3" w:rsidRPr="00C903F8" w:rsidRDefault="005624E3" w:rsidP="00101A80">
            <w:pPr>
              <w:spacing w:before="40" w:after="40" w:line="240" w:lineRule="atLeast"/>
              <w:rPr>
                <w:noProof/>
                <w:szCs w:val="20"/>
              </w:rPr>
            </w:pPr>
            <w:r>
              <w:t xml:space="preserve">32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Lettország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12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Ausztria</w:t>
            </w:r>
          </w:p>
        </w:tc>
        <w:tc>
          <w:tcPr>
            <w:tcW w:w="724" w:type="dxa"/>
          </w:tcPr>
          <w:p w:rsidR="005624E3" w:rsidRPr="00C903F8" w:rsidRDefault="005624E3" w:rsidP="00101A80">
            <w:pPr>
              <w:spacing w:before="40" w:after="40" w:line="240" w:lineRule="atLeast"/>
              <w:rPr>
                <w:noProof/>
                <w:szCs w:val="20"/>
              </w:rPr>
            </w:pPr>
            <w:r>
              <w:t>34</w:t>
            </w:r>
          </w:p>
        </w:tc>
        <w:tc>
          <w:tcPr>
            <w:tcW w:w="416" w:type="dxa"/>
          </w:tcPr>
          <w:p w:rsidR="005624E3" w:rsidRPr="00C903F8" w:rsidRDefault="005624E3" w:rsidP="00101A80">
            <w:pPr>
              <w:spacing w:before="40" w:after="40" w:line="240" w:lineRule="atLeast"/>
              <w:rPr>
                <w:noProof/>
                <w:szCs w:val="20"/>
              </w:rPr>
            </w:pPr>
            <w:r>
              <w:t>=</w:t>
            </w:r>
          </w:p>
        </w:tc>
        <w:tc>
          <w:tcPr>
            <w:tcW w:w="2205" w:type="dxa"/>
          </w:tcPr>
          <w:p w:rsidR="005624E3" w:rsidRPr="00C903F8" w:rsidRDefault="005624E3" w:rsidP="00101A80">
            <w:pPr>
              <w:spacing w:before="40" w:after="40" w:line="240" w:lineRule="atLeast"/>
              <w:rPr>
                <w:noProof/>
                <w:szCs w:val="20"/>
              </w:rPr>
            </w:pPr>
            <w:r>
              <w:t>Bulgária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13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Luxemburg </w:t>
            </w:r>
          </w:p>
        </w:tc>
        <w:tc>
          <w:tcPr>
            <w:tcW w:w="724" w:type="dxa"/>
          </w:tcPr>
          <w:p w:rsidR="005624E3" w:rsidRPr="00C903F8" w:rsidRDefault="005624E3" w:rsidP="00101A80">
            <w:pPr>
              <w:spacing w:before="40" w:after="40" w:line="240" w:lineRule="atLeast"/>
              <w:rPr>
                <w:noProof/>
                <w:szCs w:val="20"/>
              </w:rPr>
            </w:pPr>
            <w:r>
              <w:t xml:space="preserve">36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Litvánia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14</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Svájc</w:t>
            </w:r>
          </w:p>
        </w:tc>
        <w:tc>
          <w:tcPr>
            <w:tcW w:w="724" w:type="dxa"/>
          </w:tcPr>
          <w:p w:rsidR="005624E3" w:rsidRPr="00C903F8" w:rsidRDefault="005624E3" w:rsidP="00101A80">
            <w:pPr>
              <w:spacing w:before="40" w:after="40" w:line="240" w:lineRule="atLeast"/>
              <w:rPr>
                <w:noProof/>
                <w:szCs w:val="20"/>
              </w:rPr>
            </w:pPr>
            <w:r>
              <w:t xml:space="preserve">49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Ciprus</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17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Finnország</w:t>
            </w:r>
          </w:p>
        </w:tc>
        <w:tc>
          <w:tcPr>
            <w:tcW w:w="724" w:type="dxa"/>
          </w:tcPr>
          <w:p w:rsidR="005624E3" w:rsidRPr="00C903F8" w:rsidRDefault="005624E3" w:rsidP="00101A80">
            <w:pPr>
              <w:spacing w:before="40" w:after="40" w:line="240" w:lineRule="atLeast"/>
              <w:rPr>
                <w:noProof/>
                <w:szCs w:val="20"/>
              </w:rPr>
            </w:pPr>
            <w:r>
              <w:t xml:space="preserve">50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Málta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18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Dánia </w:t>
            </w:r>
          </w:p>
        </w:tc>
        <w:tc>
          <w:tcPr>
            <w:tcW w:w="724" w:type="dxa"/>
          </w:tcPr>
          <w:p w:rsidR="005624E3" w:rsidRPr="00C903F8" w:rsidRDefault="005624E3" w:rsidP="00101A80">
            <w:pPr>
              <w:spacing w:before="40" w:after="40" w:line="240" w:lineRule="atLeast"/>
              <w:rPr>
                <w:noProof/>
                <w:szCs w:val="20"/>
              </w:rPr>
            </w:pPr>
          </w:p>
        </w:tc>
        <w:tc>
          <w:tcPr>
            <w:tcW w:w="416" w:type="dxa"/>
          </w:tcPr>
          <w:p w:rsidR="005624E3" w:rsidRPr="00C903F8" w:rsidRDefault="005624E3" w:rsidP="00101A80">
            <w:pPr>
              <w:spacing w:before="40" w:after="40" w:line="240" w:lineRule="atLeast"/>
              <w:rPr>
                <w:noProof/>
                <w:szCs w:val="20"/>
              </w:rPr>
            </w:pPr>
          </w:p>
        </w:tc>
        <w:tc>
          <w:tcPr>
            <w:tcW w:w="2205" w:type="dxa"/>
          </w:tcPr>
          <w:p w:rsidR="005624E3" w:rsidRPr="00C903F8" w:rsidRDefault="005624E3" w:rsidP="00101A80">
            <w:pPr>
              <w:spacing w:before="40" w:after="40" w:line="240" w:lineRule="atLeast"/>
              <w:rPr>
                <w:noProof/>
                <w:szCs w:val="20"/>
              </w:rPr>
            </w:pPr>
          </w:p>
        </w:tc>
      </w:tr>
    </w:tbl>
    <w:p w:rsidR="005624E3" w:rsidRPr="00C903F8" w:rsidRDefault="005624E3" w:rsidP="005624E3">
      <w:pPr>
        <w:tabs>
          <w:tab w:val="left" w:pos="993"/>
        </w:tabs>
        <w:spacing w:line="240" w:lineRule="atLeast"/>
        <w:ind w:left="1418" w:hanging="992"/>
        <w:rPr>
          <w:noProof/>
        </w:rPr>
      </w:pPr>
    </w:p>
    <w:p w:rsidR="005624E3" w:rsidRPr="00C903F8" w:rsidRDefault="005624E3" w:rsidP="005624E3">
      <w:pPr>
        <w:tabs>
          <w:tab w:val="left" w:pos="993"/>
        </w:tabs>
        <w:spacing w:line="240" w:lineRule="atLeast"/>
        <w:ind w:left="1418" w:hanging="992"/>
        <w:rPr>
          <w:noProof/>
        </w:rPr>
      </w:pPr>
      <w:r>
        <w:t>NNN</w:t>
      </w:r>
      <w:r>
        <w:tab/>
        <w:t>=</w:t>
      </w:r>
      <w:r>
        <w:tab/>
        <w:t>az illetékes hatóság által meghatározott háromjegyű szám.</w:t>
      </w:r>
    </w:p>
    <w:p w:rsidR="005624E3" w:rsidRPr="00C903F8" w:rsidRDefault="005624E3" w:rsidP="005624E3">
      <w:pPr>
        <w:tabs>
          <w:tab w:val="left" w:pos="288"/>
          <w:tab w:val="left" w:pos="432"/>
        </w:tabs>
        <w:overflowPunct w:val="0"/>
        <w:adjustRightInd w:val="0"/>
        <w:textAlignment w:val="baseline"/>
        <w:rPr>
          <w:rFonts w:cs="Arial"/>
          <w:szCs w:val="20"/>
        </w:rPr>
      </w:pPr>
    </w:p>
    <w:p w:rsidR="005624E3" w:rsidRPr="00B70FC2" w:rsidRDefault="005624E3" w:rsidP="005624E3">
      <w:pPr>
        <w:pStyle w:val="Esannch"/>
        <w:rPr>
          <w:noProof/>
        </w:rPr>
      </w:pPr>
      <w:r>
        <w:t>3.</w:t>
      </w:r>
      <w:r>
        <w:tab/>
        <w:t xml:space="preserve">A típusjóváhagyási szám csak a hozzá kapcsolódó típusjóváhagyással összefüggésben használható. </w:t>
      </w:r>
    </w:p>
    <w:p w:rsidR="005624E3" w:rsidRPr="00D50F76" w:rsidRDefault="005624E3" w:rsidP="005624E3">
      <w:pPr>
        <w:spacing w:line="240" w:lineRule="atLeast"/>
        <w:ind w:left="426"/>
        <w:rPr>
          <w:noProof/>
        </w:rPr>
      </w:pPr>
      <w:r w:rsidRPr="00D50F76">
        <w:t>A típusjóváhagyási szám kinyomtatása és felragasztása a kérelmező feladata.</w:t>
      </w:r>
    </w:p>
    <w:p w:rsidR="005624E3" w:rsidRPr="00D50F76" w:rsidRDefault="005624E3" w:rsidP="005624E3">
      <w:pPr>
        <w:tabs>
          <w:tab w:val="left" w:pos="288"/>
          <w:tab w:val="left" w:pos="432"/>
        </w:tabs>
        <w:overflowPunct w:val="0"/>
        <w:adjustRightInd w:val="0"/>
        <w:textAlignment w:val="baseline"/>
        <w:rPr>
          <w:rFonts w:cs="Arial"/>
          <w:szCs w:val="20"/>
        </w:rPr>
      </w:pPr>
    </w:p>
    <w:p w:rsidR="005624E3" w:rsidRPr="00D50F76" w:rsidRDefault="005624E3" w:rsidP="005624E3">
      <w:pPr>
        <w:rPr>
          <w:rFonts w:cs="Arial"/>
          <w:szCs w:val="20"/>
        </w:rPr>
      </w:pPr>
      <w:r w:rsidRPr="00D50F76">
        <w:br w:type="page"/>
      </w:r>
    </w:p>
    <w:p w:rsidR="005624E3" w:rsidRPr="00D50F76" w:rsidRDefault="005624E3" w:rsidP="005624E3">
      <w:pPr>
        <w:tabs>
          <w:tab w:val="left" w:pos="288"/>
          <w:tab w:val="left" w:pos="432"/>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1.07.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r w:rsidRPr="00D50F76">
        <w:rPr>
          <w:i/>
          <w:noProof/>
        </w:rPr>
        <w:t>Gyártói nyilatkozat</w:t>
      </w:r>
    </w:p>
    <w:p w:rsidR="005624E3" w:rsidRPr="00D50F76" w:rsidRDefault="005624E3" w:rsidP="005624E3">
      <w:pPr>
        <w:tabs>
          <w:tab w:val="left" w:pos="288"/>
          <w:tab w:val="left" w:pos="432"/>
        </w:tabs>
        <w:overflowPunct w:val="0"/>
        <w:adjustRightInd w:val="0"/>
        <w:textAlignment w:val="baseline"/>
        <w:rPr>
          <w:rFonts w:cs="Arial"/>
          <w:szCs w:val="20"/>
        </w:rPr>
      </w:pPr>
    </w:p>
    <w:p w:rsidR="005624E3" w:rsidRPr="00D50F76" w:rsidRDefault="005624E3" w:rsidP="005624E3">
      <w:pPr>
        <w:tabs>
          <w:tab w:val="left" w:leader="dot" w:pos="9072"/>
        </w:tabs>
        <w:spacing w:line="240" w:lineRule="atLeast"/>
        <w:rPr>
          <w:rFonts w:cs="Arial"/>
          <w:szCs w:val="20"/>
        </w:rPr>
      </w:pPr>
      <w:r w:rsidRPr="00D50F76">
        <w:t>Minden berendezéshez mellékelni kell a gyártói nyilatkozatot.</w:t>
      </w:r>
    </w:p>
    <w:p w:rsidR="005624E3" w:rsidRPr="00D50F76" w:rsidRDefault="005624E3" w:rsidP="005624E3">
      <w:pPr>
        <w:tabs>
          <w:tab w:val="left" w:leader="dot" w:pos="9072"/>
        </w:tabs>
        <w:spacing w:line="240" w:lineRule="atLeast"/>
        <w:rPr>
          <w:rFonts w:cs="Arial"/>
        </w:rPr>
      </w:pPr>
    </w:p>
    <w:p w:rsidR="005624E3" w:rsidRPr="00D50F76" w:rsidRDefault="005624E3" w:rsidP="005624E3">
      <w:pPr>
        <w:tabs>
          <w:tab w:val="left" w:leader="dot" w:pos="9072"/>
        </w:tabs>
        <w:spacing w:line="240" w:lineRule="atLeast"/>
        <w:rPr>
          <w:rFonts w:cs="Arial"/>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1.08.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i/>
          <w:iCs/>
          <w:noProof/>
          <w:szCs w:val="20"/>
        </w:rPr>
      </w:pPr>
      <w:r w:rsidRPr="00D50F76">
        <w:rPr>
          <w:i/>
          <w:noProof/>
        </w:rPr>
        <w:t>Típusjóváhagyással ellátott berendezések módosítása</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p>
    <w:p w:rsidR="005624E3" w:rsidRPr="00D50F76" w:rsidRDefault="005624E3" w:rsidP="005624E3">
      <w:pPr>
        <w:spacing w:line="240" w:lineRule="atLeast"/>
        <w:rPr>
          <w:rFonts w:cs="Arial"/>
          <w:color w:val="000000"/>
        </w:rPr>
      </w:pPr>
      <w:r w:rsidRPr="00D50F76">
        <w:rPr>
          <w:color w:val="000000"/>
        </w:rPr>
        <w:t>1.</w:t>
      </w:r>
      <w:r w:rsidRPr="00D50F76">
        <w:tab/>
      </w:r>
      <w:r w:rsidRPr="00D50F76">
        <w:rPr>
          <w:color w:val="000000"/>
        </w:rPr>
        <w:t>A már jóváhagyott berendezéseken végzett bármely módosítás a típusjóváhagyás érvényességének elvesztését vonja maga után.</w:t>
      </w:r>
    </w:p>
    <w:p w:rsidR="005624E3" w:rsidRPr="00D50F76" w:rsidRDefault="005624E3" w:rsidP="005624E3">
      <w:pPr>
        <w:spacing w:line="240" w:lineRule="atLeast"/>
        <w:ind w:left="426"/>
      </w:pPr>
    </w:p>
    <w:p w:rsidR="005624E3" w:rsidRPr="00D50F76" w:rsidRDefault="005624E3" w:rsidP="005624E3">
      <w:pPr>
        <w:spacing w:line="240" w:lineRule="atLeast"/>
        <w:ind w:left="426"/>
      </w:pPr>
      <w:r w:rsidRPr="00D50F76">
        <w:t>A tervezett módosítások részleteiről írásban kell tájékoztatni az illetékes műszaki szolgálatot.</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2.</w:t>
      </w:r>
      <w:r w:rsidRPr="00D50F76">
        <w:tab/>
      </w:r>
      <w:r w:rsidRPr="00D50F76">
        <w:rPr>
          <w:color w:val="000000"/>
        </w:rPr>
        <w:t>A műszaki szolgálattal folytatott egyeztetést követően az illetékes hatóság dönti el, hogy a típusjóváhagyás továbbra is érvényes-e, vagy ellenőrzésre, illetve új típuspróbára van szükség.</w:t>
      </w:r>
    </w:p>
    <w:p w:rsidR="005624E3" w:rsidRPr="00D50F76" w:rsidRDefault="005624E3" w:rsidP="005624E3">
      <w:pPr>
        <w:spacing w:line="240" w:lineRule="atLeast"/>
        <w:ind w:left="426"/>
      </w:pPr>
    </w:p>
    <w:p w:rsidR="005624E3" w:rsidRPr="00D50F76" w:rsidRDefault="005624E3" w:rsidP="005624E3">
      <w:pPr>
        <w:spacing w:line="240" w:lineRule="atLeast"/>
        <w:ind w:left="426"/>
        <w:rPr>
          <w:szCs w:val="20"/>
        </w:rPr>
      </w:pPr>
      <w:r w:rsidRPr="00D50F76">
        <w:t>Amennyiben új típuspróbára kerül sor, új típusjóváhagyási számot kell kiadni.</w:t>
      </w: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overflowPunct w:val="0"/>
        <w:adjustRightInd w:val="0"/>
        <w:jc w:val="center"/>
        <w:textAlignment w:val="baseline"/>
        <w:rPr>
          <w:rFonts w:cs="Arial"/>
          <w:b/>
          <w:bCs/>
          <w:szCs w:val="20"/>
        </w:rPr>
      </w:pPr>
      <w:r w:rsidRPr="00D50F76">
        <w:rPr>
          <w:b/>
          <w:noProof/>
        </w:rPr>
        <w:t>2. fejezet</w:t>
      </w:r>
    </w:p>
    <w:p w:rsidR="005624E3" w:rsidRPr="00D50F76" w:rsidRDefault="005624E3" w:rsidP="005624E3">
      <w:pPr>
        <w:overflowPunct w:val="0"/>
        <w:adjustRightInd w:val="0"/>
        <w:jc w:val="center"/>
        <w:textAlignment w:val="baseline"/>
        <w:rPr>
          <w:rFonts w:cs="Arial"/>
          <w:b/>
          <w:bCs/>
          <w:caps/>
          <w:szCs w:val="20"/>
        </w:rPr>
      </w:pPr>
      <w:r w:rsidRPr="00D50F76">
        <w:rPr>
          <w:b/>
          <w:noProof/>
        </w:rPr>
        <w:t>A fordulási szögsebességjelzőkre vonatkozó általános minimumkövetelmények</w:t>
      </w:r>
    </w:p>
    <w:p w:rsidR="005624E3" w:rsidRPr="00D50F76" w:rsidRDefault="005624E3" w:rsidP="005624E3">
      <w:pPr>
        <w:overflowPunct w:val="0"/>
        <w:adjustRightInd w:val="0"/>
        <w:jc w:val="center"/>
        <w:textAlignment w:val="baseline"/>
        <w:rPr>
          <w:rFonts w:cs="Arial"/>
          <w:szCs w:val="20"/>
        </w:rPr>
      </w:pPr>
    </w:p>
    <w:p w:rsidR="005624E3" w:rsidRPr="00D50F76" w:rsidRDefault="005624E3" w:rsidP="005624E3">
      <w:pPr>
        <w:overflowPunct w:val="0"/>
        <w:adjustRightInd w:val="0"/>
        <w:jc w:val="center"/>
        <w:textAlignment w:val="baseline"/>
        <w:rPr>
          <w:rFonts w:cs="Arial"/>
          <w:b/>
          <w:bCs/>
          <w:szCs w:val="20"/>
        </w:rPr>
      </w:pPr>
      <w:r w:rsidRPr="00D50F76">
        <w:rPr>
          <w:b/>
          <w:noProof/>
        </w:rPr>
        <w:t>2.01.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i/>
          <w:iCs/>
          <w:noProof/>
          <w:szCs w:val="20"/>
        </w:rPr>
      </w:pPr>
      <w:r w:rsidRPr="00D50F76">
        <w:rPr>
          <w:i/>
          <w:noProof/>
        </w:rPr>
        <w:t>Szerkezet, kialakítás</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p>
    <w:p w:rsidR="005624E3" w:rsidRPr="00D50F76" w:rsidRDefault="005624E3" w:rsidP="005624E3">
      <w:pPr>
        <w:spacing w:line="240" w:lineRule="atLeast"/>
        <w:rPr>
          <w:rFonts w:cs="Arial"/>
          <w:snapToGrid w:val="0"/>
          <w:color w:val="000000"/>
        </w:rPr>
      </w:pPr>
      <w:r w:rsidRPr="00D50F76">
        <w:rPr>
          <w:snapToGrid w:val="0"/>
          <w:color w:val="000000"/>
        </w:rPr>
        <w:t>1.</w:t>
      </w:r>
      <w:r w:rsidRPr="00D50F76">
        <w:tab/>
      </w:r>
      <w:r w:rsidRPr="00D50F76">
        <w:rPr>
          <w:noProof/>
          <w:snapToGrid w:val="0"/>
          <w:color w:val="000000"/>
        </w:rPr>
        <w:t>A fordulási szögsebességjelzőknek alkalmasaknak kell lenniük a belvízi utakon közlekedő hajók fedélzetén való működésre.</w:t>
      </w:r>
    </w:p>
    <w:p w:rsidR="005624E3" w:rsidRPr="00D50F76" w:rsidRDefault="005624E3" w:rsidP="005624E3">
      <w:pPr>
        <w:spacing w:line="240" w:lineRule="atLeast"/>
        <w:rPr>
          <w:rFonts w:cs="Arial"/>
          <w:snapToGrid w:val="0"/>
          <w:color w:val="000000"/>
        </w:rPr>
      </w:pPr>
    </w:p>
    <w:p w:rsidR="005624E3" w:rsidRPr="00D50F76" w:rsidRDefault="005624E3" w:rsidP="005624E3">
      <w:pPr>
        <w:spacing w:line="240" w:lineRule="atLeast"/>
        <w:rPr>
          <w:rFonts w:cs="Arial"/>
          <w:snapToGrid w:val="0"/>
          <w:color w:val="000000"/>
        </w:rPr>
      </w:pPr>
      <w:r w:rsidRPr="00D50F76">
        <w:rPr>
          <w:snapToGrid w:val="0"/>
          <w:color w:val="000000"/>
        </w:rPr>
        <w:t>2.</w:t>
      </w:r>
      <w:r w:rsidRPr="00D50F76">
        <w:tab/>
      </w:r>
      <w:r w:rsidRPr="00D50F76">
        <w:rPr>
          <w:noProof/>
          <w:snapToGrid w:val="0"/>
          <w:color w:val="000000"/>
        </w:rPr>
        <w:t>A berendezés szerkezetének és kialakításának mind mechanikai, mind pedig villamossági szempontból meg kell felelnie a mindenkori helyes mérnöki gyakorlatnak.</w:t>
      </w:r>
    </w:p>
    <w:p w:rsidR="005624E3" w:rsidRPr="00D50F76" w:rsidRDefault="005624E3" w:rsidP="005624E3">
      <w:pPr>
        <w:tabs>
          <w:tab w:val="left" w:leader="dot" w:pos="9072"/>
        </w:tabs>
        <w:spacing w:line="240" w:lineRule="atLeast"/>
        <w:rPr>
          <w:rFonts w:cs="Arial"/>
          <w:snapToGrid w:val="0"/>
        </w:rPr>
      </w:pPr>
    </w:p>
    <w:p w:rsidR="005624E3" w:rsidRPr="00D50F76" w:rsidRDefault="005624E3" w:rsidP="005624E3">
      <w:pPr>
        <w:spacing w:line="240" w:lineRule="atLeast"/>
        <w:rPr>
          <w:rFonts w:cs="Arial"/>
          <w:snapToGrid w:val="0"/>
          <w:color w:val="000000"/>
        </w:rPr>
      </w:pPr>
      <w:r w:rsidRPr="00D50F76">
        <w:rPr>
          <w:snapToGrid w:val="0"/>
          <w:color w:val="000000"/>
        </w:rPr>
        <w:t>3.</w:t>
      </w:r>
      <w:r w:rsidRPr="00D50F76">
        <w:tab/>
      </w:r>
      <w:r w:rsidRPr="00D50F76">
        <w:rPr>
          <w:noProof/>
          <w:color w:val="000000"/>
        </w:rPr>
        <w:t>E szabvány eltérő rendelkezései hiányában a hajón lévő berendezések áramforrására, biztonságára, kölcsönhatására, a tájoló biztonságos távolságára, a klimatikus hatásoknak való ellenállásra, a mechanikai szilárdságra, a környezeti hatásokra, a hallható zajkibocsátásokra és a berendezések jelölésére az EN 60945:2002 európai szabvány követelményei és vizsgálati módszerei vonatkoznak.</w:t>
      </w:r>
    </w:p>
    <w:p w:rsidR="005624E3" w:rsidRPr="00D50F76" w:rsidRDefault="005624E3" w:rsidP="005624E3">
      <w:pPr>
        <w:spacing w:line="240" w:lineRule="atLeast"/>
        <w:ind w:left="426"/>
        <w:rPr>
          <w:noProof/>
          <w:snapToGrid w:val="0"/>
        </w:rPr>
      </w:pPr>
    </w:p>
    <w:p w:rsidR="005624E3" w:rsidRPr="00D50F76" w:rsidRDefault="005624E3" w:rsidP="005624E3">
      <w:pPr>
        <w:spacing w:line="240" w:lineRule="atLeast"/>
        <w:ind w:left="426"/>
        <w:rPr>
          <w:snapToGrid w:val="0"/>
        </w:rPr>
      </w:pPr>
      <w:r w:rsidRPr="00D50F76">
        <w:t>A berendezésnek 0 °C és +40 °C közötti környezeti hőmérsékleten teljesítenie kell e melléklet valamennyi követelményét.</w:t>
      </w: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r w:rsidRPr="00D50F76">
        <w:br w:type="page"/>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2.02.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r w:rsidRPr="00D50F76">
        <w:rPr>
          <w:i/>
          <w:noProof/>
        </w:rPr>
        <w:t>Zavaró sugárzások és elektromágneses összeférhetőség</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1.</w:t>
      </w:r>
      <w:r w:rsidRPr="00D50F76">
        <w:tab/>
      </w:r>
      <w:r w:rsidRPr="00D50F76">
        <w:rPr>
          <w:noProof/>
          <w:color w:val="000000"/>
          <w:w w:val="103"/>
        </w:rPr>
        <w:t>Általános követelmények</w:t>
      </w:r>
    </w:p>
    <w:p w:rsidR="005624E3" w:rsidRPr="00D50F76" w:rsidRDefault="005624E3" w:rsidP="005624E3">
      <w:pPr>
        <w:spacing w:line="240" w:lineRule="atLeast"/>
        <w:rPr>
          <w:rFonts w:cs="Arial"/>
          <w:color w:val="000000"/>
          <w:szCs w:val="20"/>
        </w:rPr>
      </w:pPr>
    </w:p>
    <w:p w:rsidR="005624E3" w:rsidRPr="00D50F76" w:rsidRDefault="005624E3" w:rsidP="005624E3">
      <w:pPr>
        <w:spacing w:line="240" w:lineRule="atLeast"/>
        <w:rPr>
          <w:szCs w:val="20"/>
        </w:rPr>
      </w:pPr>
      <w:r w:rsidRPr="00D50F76">
        <w:t>A fordulási szögsebességjelzőknek meg kell felelniük a 2014/30/EU irányelv</w:t>
      </w:r>
      <w:r>
        <w:rPr>
          <w:noProof/>
          <w:vertAlign w:val="superscript"/>
        </w:rPr>
        <w:footnoteReference w:id="53"/>
      </w:r>
      <w:r w:rsidRPr="00D50F76">
        <w:t xml:space="preserve"> követelményeinek.</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2.</w:t>
      </w:r>
      <w:r w:rsidRPr="00D50F76">
        <w:tab/>
      </w:r>
      <w:r w:rsidRPr="00D50F76">
        <w:rPr>
          <w:noProof/>
          <w:color w:val="000000"/>
        </w:rPr>
        <w:t>Zavaró sugárzások</w:t>
      </w:r>
    </w:p>
    <w:p w:rsidR="005624E3" w:rsidRPr="00D50F76" w:rsidRDefault="005624E3" w:rsidP="005624E3">
      <w:pPr>
        <w:spacing w:line="240" w:lineRule="atLeast"/>
        <w:rPr>
          <w:rFonts w:cs="Arial"/>
          <w:color w:val="000000"/>
          <w:szCs w:val="20"/>
        </w:rPr>
      </w:pPr>
    </w:p>
    <w:p w:rsidR="005624E3" w:rsidRPr="00D50F76" w:rsidRDefault="005624E3" w:rsidP="005624E3">
      <w:pPr>
        <w:spacing w:line="240" w:lineRule="atLeast"/>
        <w:ind w:left="426"/>
      </w:pPr>
      <w:r w:rsidRPr="00D50F76">
        <w:t xml:space="preserve">A 156–165 MHz, 450–470 MHz és 1,53–1,544 GHz frekvenciatartományokban a térerősség nem haladhatja meg a 15 </w:t>
      </w:r>
      <w:r>
        <w:t>μ</w:t>
      </w:r>
      <w:r w:rsidRPr="00D50F76">
        <w:t>V/m-t. Ezek a térerősségek a vizsgált berendezéstől számított 3 m-es vizsgálati távolságban érvényesek.</w:t>
      </w:r>
    </w:p>
    <w:p w:rsidR="005624E3" w:rsidRPr="00D50F76" w:rsidRDefault="005624E3" w:rsidP="005624E3">
      <w:pPr>
        <w:tabs>
          <w:tab w:val="left" w:pos="425"/>
        </w:tabs>
        <w:overflowPunct w:val="0"/>
        <w:adjustRightInd w:val="0"/>
        <w:spacing w:line="240" w:lineRule="atLeast"/>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2.03.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r w:rsidRPr="00D50F76">
        <w:rPr>
          <w:i/>
          <w:noProof/>
        </w:rPr>
        <w:t>Működtetés</w:t>
      </w: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spacing w:line="240" w:lineRule="atLeast"/>
        <w:rPr>
          <w:rFonts w:cs="Arial"/>
          <w:noProof/>
          <w:color w:val="000000"/>
        </w:rPr>
      </w:pPr>
      <w:r w:rsidRPr="00D50F76">
        <w:rPr>
          <w:color w:val="000000"/>
        </w:rPr>
        <w:t>1.</w:t>
      </w:r>
      <w:r w:rsidRPr="00D50F76">
        <w:tab/>
      </w:r>
      <w:r w:rsidRPr="00D50F76">
        <w:rPr>
          <w:color w:val="000000"/>
        </w:rPr>
        <w:t>A berendezés nem rendelkezhet a megfelelő működtetéshez szükségesnél több kezelőszervvel.</w:t>
      </w:r>
    </w:p>
    <w:p w:rsidR="005624E3" w:rsidRPr="00D50F76" w:rsidRDefault="005624E3" w:rsidP="005624E3">
      <w:pPr>
        <w:tabs>
          <w:tab w:val="left" w:pos="425"/>
        </w:tabs>
        <w:overflowPunct w:val="0"/>
        <w:adjustRightInd w:val="0"/>
        <w:spacing w:line="240" w:lineRule="atLeast"/>
        <w:textAlignment w:val="baseline"/>
        <w:rPr>
          <w:rFonts w:cs="Arial"/>
          <w:szCs w:val="20"/>
        </w:rPr>
      </w:pPr>
    </w:p>
    <w:p w:rsidR="005624E3" w:rsidRPr="00D50F76" w:rsidRDefault="005624E3" w:rsidP="005624E3">
      <w:pPr>
        <w:spacing w:line="240" w:lineRule="atLeast"/>
        <w:ind w:left="426"/>
      </w:pPr>
      <w:r w:rsidRPr="00D50F76">
        <w:t xml:space="preserve">A kezelőszervek kialakításának, jelölésének és mozgatásának egyszerűnek és egyértelműnek kell lennie, és biztosítania kell a gyors működtetést. </w:t>
      </w:r>
    </w:p>
    <w:p w:rsidR="005624E3" w:rsidRPr="00D50F76" w:rsidRDefault="005624E3" w:rsidP="005624E3">
      <w:pPr>
        <w:spacing w:line="240" w:lineRule="atLeast"/>
        <w:ind w:left="426"/>
      </w:pPr>
    </w:p>
    <w:p w:rsidR="005624E3" w:rsidRPr="00D50F76" w:rsidRDefault="005624E3" w:rsidP="005624E3">
      <w:pPr>
        <w:spacing w:line="240" w:lineRule="atLeast"/>
        <w:ind w:left="426"/>
      </w:pPr>
      <w:r w:rsidRPr="00D50F76">
        <w:t>Elrendezésüknek lehetőség szerint biztosítania kell a működtetési hibák elkerülését.</w:t>
      </w:r>
    </w:p>
    <w:p w:rsidR="005624E3" w:rsidRPr="00D50F76" w:rsidRDefault="005624E3" w:rsidP="005624E3">
      <w:pPr>
        <w:spacing w:line="240" w:lineRule="atLeast"/>
        <w:ind w:left="426"/>
      </w:pPr>
    </w:p>
    <w:p w:rsidR="005624E3" w:rsidRPr="00D50F76" w:rsidRDefault="005624E3" w:rsidP="005624E3">
      <w:pPr>
        <w:spacing w:line="240" w:lineRule="atLeast"/>
        <w:ind w:left="426"/>
        <w:rPr>
          <w:noProof/>
        </w:rPr>
      </w:pPr>
      <w:r w:rsidRPr="00D50F76">
        <w:t>A szokásos működéshez nem szükséges kezelőszerveknek nem kell közvetlenül hozzáférhetőknek lenniük.</w:t>
      </w:r>
    </w:p>
    <w:p w:rsidR="005624E3" w:rsidRPr="00D50F76" w:rsidRDefault="005624E3" w:rsidP="005624E3">
      <w:pPr>
        <w:tabs>
          <w:tab w:val="left" w:pos="425"/>
        </w:tabs>
        <w:overflowPunct w:val="0"/>
        <w:adjustRightInd w:val="0"/>
        <w:spacing w:line="240" w:lineRule="atLeast"/>
        <w:textAlignment w:val="baseline"/>
        <w:rPr>
          <w:rFonts w:cs="Arial"/>
          <w:szCs w:val="20"/>
        </w:rPr>
      </w:pPr>
    </w:p>
    <w:p w:rsidR="005624E3" w:rsidRPr="00D50F76" w:rsidRDefault="005624E3" w:rsidP="005624E3">
      <w:pPr>
        <w:spacing w:line="240" w:lineRule="atLeast"/>
        <w:rPr>
          <w:rFonts w:cs="Arial"/>
          <w:noProof/>
          <w:color w:val="000000"/>
        </w:rPr>
      </w:pPr>
      <w:r w:rsidRPr="00D50F76">
        <w:rPr>
          <w:color w:val="000000"/>
        </w:rPr>
        <w:t xml:space="preserve">2. </w:t>
      </w:r>
      <w:r w:rsidRPr="00D50F76">
        <w:tab/>
      </w:r>
      <w:r w:rsidRPr="00D50F76">
        <w:rPr>
          <w:rFonts w:ascii="ArialMT" w:hAnsi="ArialMT"/>
        </w:rPr>
        <w:t>Minden kezelőszervet és kijelzőt el kell látni szimbólumokkal és/vagy angol nyelvű jelöléssel. A szimbólumoknak meg kell felelniük az EN 60417:2002 európai szabvány követelményeinek: Az elektromos berendezéseken alkalmazott grafikus szimbólumok.</w:t>
      </w:r>
    </w:p>
    <w:p w:rsidR="005624E3" w:rsidRPr="00D50F76" w:rsidRDefault="005624E3" w:rsidP="005624E3">
      <w:pPr>
        <w:tabs>
          <w:tab w:val="left" w:pos="425"/>
        </w:tabs>
        <w:overflowPunct w:val="0"/>
        <w:adjustRightInd w:val="0"/>
        <w:spacing w:line="240" w:lineRule="atLeast"/>
        <w:textAlignment w:val="baseline"/>
        <w:rPr>
          <w:rFonts w:cs="Arial"/>
          <w:szCs w:val="20"/>
        </w:rPr>
      </w:pPr>
    </w:p>
    <w:p w:rsidR="005624E3" w:rsidRPr="00D50F76" w:rsidRDefault="005624E3" w:rsidP="005624E3">
      <w:pPr>
        <w:spacing w:line="240" w:lineRule="atLeast"/>
        <w:ind w:left="426"/>
      </w:pPr>
      <w:r w:rsidRPr="00D50F76">
        <w:t>Minden karakternek legalább 4 mm magasnak kell lennie. Ha igazolható, hogy technikai okok miatt nem lehetséges 4 mm magasságú karakterek kivitelezése, és ha a működés céljára alacsonyabb karakterek is megfelelnek, a karaktermagasság 3 mm-re csökkenthető.</w:t>
      </w:r>
    </w:p>
    <w:p w:rsidR="005624E3" w:rsidRPr="00D50F76" w:rsidRDefault="005624E3" w:rsidP="005624E3">
      <w:pPr>
        <w:tabs>
          <w:tab w:val="left" w:pos="425"/>
        </w:tabs>
        <w:overflowPunct w:val="0"/>
        <w:adjustRightInd w:val="0"/>
        <w:spacing w:line="240" w:lineRule="atLeast"/>
        <w:textAlignment w:val="baseline"/>
        <w:rPr>
          <w:rFonts w:cs="Arial"/>
          <w:szCs w:val="20"/>
        </w:rPr>
      </w:pPr>
    </w:p>
    <w:p w:rsidR="005624E3" w:rsidRPr="00D50F76" w:rsidRDefault="005624E3" w:rsidP="005624E3">
      <w:pPr>
        <w:spacing w:line="240" w:lineRule="atLeast"/>
        <w:rPr>
          <w:rFonts w:cs="Arial"/>
          <w:color w:val="000000"/>
        </w:rPr>
      </w:pPr>
      <w:r w:rsidRPr="00D50F76">
        <w:rPr>
          <w:color w:val="000000"/>
        </w:rPr>
        <w:t>3.</w:t>
      </w:r>
      <w:r w:rsidRPr="00D50F76">
        <w:tab/>
      </w:r>
      <w:r w:rsidRPr="00D50F76">
        <w:rPr>
          <w:noProof/>
          <w:color w:val="000000"/>
        </w:rPr>
        <w:t>A berendezéseket úgy kell megtervezni, hogy a működtetési hibák ne vezethessenek leálláshoz.</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4.</w:t>
      </w:r>
      <w:r w:rsidRPr="00D50F76">
        <w:tab/>
      </w:r>
      <w:r w:rsidRPr="00D50F76">
        <w:rPr>
          <w:noProof/>
          <w:color w:val="000000"/>
        </w:rPr>
        <w:t>A minimumkövetelményeken felüli funkciókat, például a másik berendezéshez történő csatlakozást úgy kell biztosítani, hogy a berendezés minden körülmények között megfeleljen a minimumkövetelményeknek.</w:t>
      </w:r>
    </w:p>
    <w:p w:rsidR="005624E3" w:rsidRPr="00D50F76" w:rsidRDefault="005624E3" w:rsidP="005624E3">
      <w:pPr>
        <w:tabs>
          <w:tab w:val="right" w:pos="9072"/>
        </w:tabs>
        <w:overflowPunct w:val="0"/>
        <w:adjustRightInd w:val="0"/>
        <w:spacing w:line="240" w:lineRule="atLeast"/>
        <w:textAlignment w:val="baseline"/>
        <w:rPr>
          <w:rFonts w:cs="Arial"/>
          <w:szCs w:val="20"/>
        </w:rPr>
      </w:pPr>
    </w:p>
    <w:p w:rsidR="005624E3" w:rsidRPr="00D50F76" w:rsidRDefault="005624E3" w:rsidP="005624E3">
      <w:pPr>
        <w:tabs>
          <w:tab w:val="right" w:pos="9072"/>
        </w:tabs>
        <w:overflowPunct w:val="0"/>
        <w:adjustRightInd w:val="0"/>
        <w:spacing w:line="240" w:lineRule="atLeast"/>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2.04.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r w:rsidRPr="00D50F76">
        <w:rPr>
          <w:i/>
          <w:noProof/>
        </w:rPr>
        <w:t>Kezelési útmutató</w:t>
      </w:r>
    </w:p>
    <w:p w:rsidR="005624E3" w:rsidRPr="00D50F76" w:rsidRDefault="005624E3" w:rsidP="005624E3">
      <w:pPr>
        <w:tabs>
          <w:tab w:val="left" w:leader="dot" w:pos="9072"/>
        </w:tabs>
        <w:spacing w:line="240" w:lineRule="atLeast"/>
        <w:rPr>
          <w:rFonts w:cs="Arial"/>
        </w:rPr>
      </w:pPr>
    </w:p>
    <w:p w:rsidR="005624E3" w:rsidRPr="00D50F76" w:rsidRDefault="005624E3" w:rsidP="005624E3">
      <w:pPr>
        <w:tabs>
          <w:tab w:val="left" w:leader="dot" w:pos="9072"/>
        </w:tabs>
        <w:spacing w:line="240" w:lineRule="atLeast"/>
        <w:rPr>
          <w:rFonts w:cs="Arial"/>
        </w:rPr>
      </w:pPr>
      <w:r w:rsidRPr="00D50F76">
        <w:t>Minden egységhez biztosítani kell részletes kezelési útmutatót. Biztosítani kell, hogy a kezelési útmutató hozzáférhető legyen angol, francia, holland és német nyelven, és tartalmazza az alábbi információkat:</w:t>
      </w:r>
    </w:p>
    <w:p w:rsidR="005624E3" w:rsidRPr="00D50F76" w:rsidRDefault="005624E3" w:rsidP="005624E3">
      <w:pPr>
        <w:spacing w:before="60" w:line="240" w:lineRule="atLeast"/>
        <w:rPr>
          <w:rFonts w:cs="Arial"/>
          <w:noProof/>
        </w:rPr>
      </w:pPr>
      <w:r w:rsidRPr="00D50F76">
        <w:t>a)</w:t>
      </w:r>
      <w:r w:rsidRPr="00D50F76">
        <w:tab/>
        <w:t>indítás és működtetés;</w:t>
      </w:r>
    </w:p>
    <w:p w:rsidR="005624E3" w:rsidRPr="00D50F76" w:rsidRDefault="005624E3" w:rsidP="005624E3">
      <w:pPr>
        <w:spacing w:before="60" w:line="240" w:lineRule="atLeast"/>
        <w:rPr>
          <w:rFonts w:cs="Arial"/>
          <w:noProof/>
        </w:rPr>
      </w:pPr>
      <w:r w:rsidRPr="00D50F76">
        <w:t>b)</w:t>
      </w:r>
      <w:r w:rsidRPr="00D50F76">
        <w:tab/>
        <w:t>karbantartás és szervizelés;</w:t>
      </w:r>
    </w:p>
    <w:p w:rsidR="005624E3" w:rsidRPr="00D50F76" w:rsidRDefault="005624E3" w:rsidP="005624E3">
      <w:pPr>
        <w:spacing w:before="60" w:line="240" w:lineRule="atLeast"/>
        <w:rPr>
          <w:rFonts w:cs="Arial"/>
          <w:noProof/>
          <w:szCs w:val="20"/>
        </w:rPr>
      </w:pPr>
      <w:r w:rsidRPr="00D50F76">
        <w:t>c)</w:t>
      </w:r>
      <w:r w:rsidRPr="00D50F76">
        <w:tab/>
        <w:t>általános biztonsági utasítások.</w:t>
      </w: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r w:rsidRPr="00D50F76">
        <w:br w:type="page"/>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2.05.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r w:rsidRPr="00D50F76">
        <w:rPr>
          <w:i/>
          <w:noProof/>
        </w:rPr>
        <w:t>Az érzékelő beszerelése</w:t>
      </w:r>
    </w:p>
    <w:p w:rsidR="005624E3" w:rsidRPr="00D50F76" w:rsidRDefault="005624E3" w:rsidP="005624E3">
      <w:pPr>
        <w:tabs>
          <w:tab w:val="left" w:pos="425"/>
        </w:tabs>
        <w:overflowPunct w:val="0"/>
        <w:adjustRightInd w:val="0"/>
        <w:spacing w:line="240" w:lineRule="atLeast"/>
        <w:textAlignment w:val="baseline"/>
        <w:rPr>
          <w:rFonts w:eastAsia="Batang" w:cs="Arial"/>
        </w:rPr>
      </w:pPr>
    </w:p>
    <w:p w:rsidR="005624E3" w:rsidRPr="00D50F76" w:rsidRDefault="005624E3" w:rsidP="005624E3">
      <w:pPr>
        <w:tabs>
          <w:tab w:val="left" w:leader="dot" w:pos="9072"/>
        </w:tabs>
        <w:spacing w:line="240" w:lineRule="atLeast"/>
        <w:rPr>
          <w:rFonts w:cs="Arial"/>
          <w:szCs w:val="20"/>
        </w:rPr>
      </w:pPr>
      <w:r w:rsidRPr="00D50F76">
        <w:t>A beszerelésnek a hajógerincvonalhoz viszonyított irányát fel kell tüntetni a fordulási szögsebességjelző érzékelőegységén. A beszerelési utasításoknak biztosítaniuk kell a hajó egyéb szokásos mozgásai iránti lehető legnagyobb érzéketlenséget.</w:t>
      </w:r>
    </w:p>
    <w:p w:rsidR="005624E3" w:rsidRPr="00D50F76" w:rsidRDefault="005624E3" w:rsidP="005624E3">
      <w:pPr>
        <w:tabs>
          <w:tab w:val="left" w:pos="425"/>
        </w:tabs>
        <w:overflowPunct w:val="0"/>
        <w:adjustRightInd w:val="0"/>
        <w:spacing w:line="240" w:lineRule="atLeast"/>
        <w:textAlignment w:val="baseline"/>
        <w:rPr>
          <w:rFonts w:cs="Arial"/>
          <w:szCs w:val="20"/>
        </w:rPr>
      </w:pPr>
    </w:p>
    <w:p w:rsidR="005624E3" w:rsidRPr="00D50F76" w:rsidRDefault="005624E3" w:rsidP="005624E3">
      <w:pPr>
        <w:tabs>
          <w:tab w:val="left" w:pos="425"/>
        </w:tabs>
        <w:overflowPunct w:val="0"/>
        <w:adjustRightInd w:val="0"/>
        <w:spacing w:line="240" w:lineRule="atLeast"/>
        <w:textAlignment w:val="baseline"/>
        <w:rPr>
          <w:rFonts w:cs="Arial"/>
          <w:szCs w:val="20"/>
        </w:rPr>
      </w:pPr>
    </w:p>
    <w:p w:rsidR="005624E3" w:rsidRPr="00D50F76" w:rsidRDefault="005624E3" w:rsidP="005624E3">
      <w:pPr>
        <w:overflowPunct w:val="0"/>
        <w:adjustRightInd w:val="0"/>
        <w:spacing w:line="240" w:lineRule="atLeast"/>
        <w:jc w:val="center"/>
        <w:textAlignment w:val="baseline"/>
        <w:rPr>
          <w:rFonts w:cs="Arial"/>
          <w:b/>
          <w:bCs/>
          <w:szCs w:val="20"/>
        </w:rPr>
      </w:pPr>
      <w:r w:rsidRPr="00D50F76">
        <w:rPr>
          <w:b/>
          <w:noProof/>
        </w:rPr>
        <w:t>3. fejezet</w:t>
      </w:r>
    </w:p>
    <w:p w:rsidR="005624E3" w:rsidRPr="00D50F76" w:rsidRDefault="005624E3" w:rsidP="005624E3">
      <w:pPr>
        <w:overflowPunct w:val="0"/>
        <w:adjustRightInd w:val="0"/>
        <w:jc w:val="center"/>
        <w:textAlignment w:val="baseline"/>
        <w:rPr>
          <w:rFonts w:cs="Arial"/>
          <w:b/>
          <w:bCs/>
          <w:noProof/>
          <w:szCs w:val="20"/>
        </w:rPr>
      </w:pPr>
      <w:r w:rsidRPr="00D50F76">
        <w:rPr>
          <w:b/>
          <w:noProof/>
        </w:rPr>
        <w:t>A fordulási szögsebességjelzőkre vonatkozó működési minimumkövetelmények</w:t>
      </w:r>
    </w:p>
    <w:p w:rsidR="005624E3" w:rsidRPr="00D50F76" w:rsidRDefault="005624E3" w:rsidP="005624E3">
      <w:pPr>
        <w:overflowPunct w:val="0"/>
        <w:adjustRightInd w:val="0"/>
        <w:jc w:val="center"/>
        <w:textAlignment w:val="baseline"/>
        <w:rPr>
          <w:rFonts w:cs="Arial"/>
          <w:szCs w:val="20"/>
        </w:rPr>
      </w:pPr>
    </w:p>
    <w:p w:rsidR="005624E3" w:rsidRPr="00D50F76" w:rsidRDefault="005624E3" w:rsidP="005624E3">
      <w:pPr>
        <w:overflowPunct w:val="0"/>
        <w:adjustRightInd w:val="0"/>
        <w:jc w:val="center"/>
        <w:textAlignment w:val="baseline"/>
        <w:rPr>
          <w:rFonts w:cs="Arial"/>
          <w:b/>
          <w:bCs/>
          <w:szCs w:val="20"/>
        </w:rPr>
      </w:pPr>
      <w:r w:rsidRPr="00D50F76">
        <w:rPr>
          <w:b/>
          <w:noProof/>
        </w:rPr>
        <w:t>3.01.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i/>
          <w:iCs/>
          <w:noProof/>
          <w:szCs w:val="20"/>
        </w:rPr>
      </w:pPr>
      <w:r w:rsidRPr="00D50F76">
        <w:rPr>
          <w:i/>
          <w:noProof/>
        </w:rPr>
        <w:t>A fordulási szögsebességjelző üzemkész állapota</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p>
    <w:p w:rsidR="005624E3" w:rsidRPr="00D50F76" w:rsidRDefault="005624E3" w:rsidP="005624E3">
      <w:pPr>
        <w:spacing w:line="240" w:lineRule="atLeast"/>
        <w:rPr>
          <w:rFonts w:cs="Arial"/>
          <w:color w:val="000000"/>
        </w:rPr>
      </w:pPr>
      <w:r w:rsidRPr="00D50F76">
        <w:rPr>
          <w:color w:val="000000"/>
        </w:rPr>
        <w:t>1.</w:t>
      </w:r>
      <w:r w:rsidRPr="00D50F76">
        <w:tab/>
      </w:r>
      <w:r w:rsidRPr="00D50F76">
        <w:rPr>
          <w:noProof/>
          <w:color w:val="000000"/>
        </w:rPr>
        <w:t>Biztosítani kell, hogy a fordulási szögsebességjelző a hidegindítást követő 4 percen belül teljesen üzemkész állapotban legyen, és a megkívánt pontossági tűréshatárokon belül működjön.</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2.</w:t>
      </w:r>
      <w:r w:rsidRPr="00D50F76">
        <w:tab/>
      </w:r>
      <w:r w:rsidRPr="00D50F76">
        <w:rPr>
          <w:noProof/>
          <w:color w:val="000000"/>
        </w:rPr>
        <w:t>A bekapcsolt állapotról figyelmeztető jelzést kell megjeleníteni. Lehetővé kell tenni a fordulási szögsebességjelző egyidejű megfigyelését és kezelését.</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3.</w:t>
      </w:r>
      <w:r w:rsidRPr="00D50F76">
        <w:tab/>
      </w:r>
      <w:r w:rsidRPr="00D50F76">
        <w:rPr>
          <w:noProof/>
          <w:color w:val="000000"/>
        </w:rPr>
        <w:t>Vezeték nélküli táv</w:t>
      </w:r>
      <w:r w:rsidR="000855F0">
        <w:rPr>
          <w:noProof/>
          <w:color w:val="000000"/>
        </w:rPr>
        <w:t>vezérlés</w:t>
      </w:r>
      <w:r w:rsidRPr="00D50F76">
        <w:rPr>
          <w:noProof/>
          <w:color w:val="000000"/>
        </w:rPr>
        <w:t xml:space="preserve"> nem megengedett.</w:t>
      </w: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3.02.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i/>
          <w:iCs/>
          <w:noProof/>
          <w:szCs w:val="20"/>
        </w:rPr>
      </w:pPr>
      <w:r w:rsidRPr="00D50F76">
        <w:rPr>
          <w:i/>
          <w:noProof/>
        </w:rPr>
        <w:t>A fordulási szögsebesség kijelzése</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1.</w:t>
      </w:r>
      <w:r w:rsidRPr="00D50F76">
        <w:tab/>
      </w:r>
      <w:r w:rsidRPr="00D50F76">
        <w:rPr>
          <w:noProof/>
          <w:color w:val="000000"/>
        </w:rPr>
        <w:t>A fordulási szögsebességet vonalakra osztott lineáris skálán kell kijelezni, amelynek nullapontja középen helyezkedik el. Lehetővé kell tenni a fordulási szögsebesség irányának és mértékének a szükséges pontossággal való leolvasását. Mutatós és oszlopdiagramos kijelzőktől eltérő műszerek használata nem megengedett.</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2.</w:t>
      </w:r>
      <w:r w:rsidRPr="00D50F76">
        <w:tab/>
      </w:r>
      <w:r w:rsidRPr="00D50F76">
        <w:rPr>
          <w:noProof/>
          <w:color w:val="000000"/>
        </w:rPr>
        <w:t>A kijelző skálájának legalább 20 cm hosszúnak, és körkörösnek vagy egyenes vonalúnak kell lennie.</w:t>
      </w:r>
    </w:p>
    <w:p w:rsidR="005624E3" w:rsidRPr="00D50F76" w:rsidRDefault="005624E3" w:rsidP="005624E3">
      <w:pPr>
        <w:tabs>
          <w:tab w:val="left" w:pos="425"/>
        </w:tabs>
        <w:overflowPunct w:val="0"/>
        <w:adjustRightInd w:val="0"/>
        <w:spacing w:line="240" w:lineRule="atLeast"/>
        <w:textAlignment w:val="baseline"/>
        <w:rPr>
          <w:rFonts w:cs="Arial"/>
          <w:szCs w:val="20"/>
        </w:rPr>
      </w:pPr>
    </w:p>
    <w:p w:rsidR="005624E3" w:rsidRPr="00D50F76" w:rsidRDefault="005624E3" w:rsidP="005624E3">
      <w:pPr>
        <w:tabs>
          <w:tab w:val="left" w:pos="425"/>
        </w:tabs>
        <w:overflowPunct w:val="0"/>
        <w:adjustRightInd w:val="0"/>
        <w:spacing w:line="240" w:lineRule="atLeast"/>
        <w:textAlignment w:val="baseline"/>
        <w:rPr>
          <w:noProof/>
        </w:rPr>
      </w:pPr>
      <w:r w:rsidRPr="00D50F76">
        <w:tab/>
        <w:t>Egyenes vonalú skálát csak vízszintesen lehet elhelyezni.</w:t>
      </w:r>
    </w:p>
    <w:p w:rsidR="005624E3" w:rsidRPr="00D50F76" w:rsidRDefault="005624E3" w:rsidP="005624E3">
      <w:pPr>
        <w:tabs>
          <w:tab w:val="left" w:pos="425"/>
        </w:tabs>
        <w:overflowPunct w:val="0"/>
        <w:adjustRightInd w:val="0"/>
        <w:spacing w:line="240" w:lineRule="atLeast"/>
        <w:textAlignment w:val="baseline"/>
        <w:rPr>
          <w:rFonts w:cs="Arial"/>
          <w:szCs w:val="20"/>
        </w:rPr>
      </w:pPr>
    </w:p>
    <w:p w:rsidR="005624E3" w:rsidRPr="00D50F76" w:rsidRDefault="005624E3" w:rsidP="005624E3">
      <w:pPr>
        <w:spacing w:line="240" w:lineRule="atLeast"/>
        <w:rPr>
          <w:rFonts w:cs="Arial"/>
          <w:noProof/>
          <w:color w:val="000000"/>
        </w:rPr>
      </w:pPr>
      <w:r w:rsidRPr="00D50F76">
        <w:rPr>
          <w:noProof/>
          <w:color w:val="000000"/>
        </w:rPr>
        <w:t>3.</w:t>
      </w:r>
      <w:r w:rsidRPr="00D50F76">
        <w:tab/>
      </w:r>
      <w:r w:rsidRPr="00D50F76">
        <w:rPr>
          <w:noProof/>
          <w:color w:val="000000"/>
        </w:rPr>
        <w:t>A kizárólag digitális kijelzők alkalmazása nem megengedett.</w:t>
      </w: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3.03.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i/>
          <w:iCs/>
          <w:noProof/>
          <w:szCs w:val="20"/>
        </w:rPr>
      </w:pPr>
      <w:r w:rsidRPr="00D50F76">
        <w:rPr>
          <w:i/>
          <w:noProof/>
        </w:rPr>
        <w:t>Mérési tartományok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p>
    <w:p w:rsidR="005624E3" w:rsidRPr="00D50F76" w:rsidRDefault="005624E3" w:rsidP="005624E3">
      <w:pPr>
        <w:tabs>
          <w:tab w:val="left" w:leader="dot" w:pos="9072"/>
        </w:tabs>
        <w:spacing w:line="240" w:lineRule="atLeast"/>
        <w:rPr>
          <w:rFonts w:cs="Arial"/>
        </w:rPr>
      </w:pPr>
      <w:r w:rsidRPr="00D50F76">
        <w:t>A fordulási szögsebességjelzők egy vagy több mérési tartománnyal rendelkezhetnek. Az alábbi mérési tartományok ajánlottak:</w:t>
      </w:r>
    </w:p>
    <w:p w:rsidR="005624E3" w:rsidRPr="00D50F76" w:rsidRDefault="005624E3" w:rsidP="005624E3">
      <w:pPr>
        <w:tabs>
          <w:tab w:val="left" w:pos="-340"/>
          <w:tab w:val="decimal" w:pos="709"/>
          <w:tab w:val="left" w:pos="851"/>
        </w:tabs>
        <w:overflowPunct w:val="0"/>
        <w:adjustRightInd w:val="0"/>
        <w:textAlignment w:val="baseline"/>
        <w:rPr>
          <w:rFonts w:cs="Arial"/>
          <w:szCs w:val="20"/>
        </w:rPr>
      </w:pPr>
      <w:r w:rsidRPr="00D50F76">
        <w:tab/>
        <w:t>30°/min</w:t>
      </w:r>
    </w:p>
    <w:p w:rsidR="005624E3" w:rsidRPr="00D50F76" w:rsidRDefault="005624E3" w:rsidP="005624E3">
      <w:pPr>
        <w:tabs>
          <w:tab w:val="left" w:pos="-340"/>
          <w:tab w:val="decimal" w:pos="709"/>
          <w:tab w:val="left" w:pos="851"/>
        </w:tabs>
        <w:overflowPunct w:val="0"/>
        <w:adjustRightInd w:val="0"/>
        <w:textAlignment w:val="baseline"/>
        <w:rPr>
          <w:rFonts w:cs="Arial"/>
          <w:szCs w:val="20"/>
        </w:rPr>
      </w:pPr>
      <w:r w:rsidRPr="00D50F76">
        <w:tab/>
        <w:t>60 °/min</w:t>
      </w:r>
    </w:p>
    <w:p w:rsidR="005624E3" w:rsidRPr="00D50F76" w:rsidRDefault="005624E3" w:rsidP="005624E3">
      <w:pPr>
        <w:tabs>
          <w:tab w:val="left" w:pos="-340"/>
          <w:tab w:val="decimal" w:pos="709"/>
          <w:tab w:val="left" w:pos="851"/>
        </w:tabs>
        <w:overflowPunct w:val="0"/>
        <w:adjustRightInd w:val="0"/>
        <w:textAlignment w:val="baseline"/>
        <w:rPr>
          <w:rFonts w:cs="Arial"/>
          <w:szCs w:val="20"/>
        </w:rPr>
      </w:pPr>
      <w:r w:rsidRPr="00D50F76">
        <w:tab/>
        <w:t>90 °/min</w:t>
      </w:r>
    </w:p>
    <w:p w:rsidR="005624E3" w:rsidRPr="00D50F76" w:rsidRDefault="005624E3" w:rsidP="005624E3">
      <w:pPr>
        <w:tabs>
          <w:tab w:val="left" w:pos="-340"/>
          <w:tab w:val="decimal" w:pos="709"/>
          <w:tab w:val="left" w:pos="851"/>
        </w:tabs>
        <w:overflowPunct w:val="0"/>
        <w:adjustRightInd w:val="0"/>
        <w:textAlignment w:val="baseline"/>
        <w:rPr>
          <w:rFonts w:cs="Arial"/>
          <w:szCs w:val="20"/>
        </w:rPr>
      </w:pPr>
      <w:r w:rsidRPr="00D50F76">
        <w:tab/>
        <w:t>180 °/min</w:t>
      </w:r>
    </w:p>
    <w:p w:rsidR="005624E3" w:rsidRPr="00D50F76" w:rsidRDefault="005624E3" w:rsidP="005624E3">
      <w:pPr>
        <w:tabs>
          <w:tab w:val="left" w:pos="-340"/>
          <w:tab w:val="decimal" w:pos="709"/>
          <w:tab w:val="left" w:pos="851"/>
        </w:tabs>
        <w:overflowPunct w:val="0"/>
        <w:adjustRightInd w:val="0"/>
        <w:textAlignment w:val="baseline"/>
        <w:rPr>
          <w:rFonts w:cs="Arial"/>
          <w:szCs w:val="20"/>
        </w:rPr>
      </w:pPr>
      <w:r w:rsidRPr="00D50F76">
        <w:tab/>
        <w:t>300°/min.</w:t>
      </w:r>
    </w:p>
    <w:p w:rsidR="005624E3" w:rsidRPr="00D50F76" w:rsidRDefault="005624E3" w:rsidP="005624E3">
      <w:pPr>
        <w:tabs>
          <w:tab w:val="right" w:pos="9072"/>
        </w:tabs>
        <w:overflowPunct w:val="0"/>
        <w:adjustRightInd w:val="0"/>
        <w:spacing w:line="240" w:lineRule="atLeast"/>
        <w:textAlignment w:val="baseline"/>
        <w:rPr>
          <w:rFonts w:cs="Arial"/>
          <w:szCs w:val="20"/>
        </w:rPr>
      </w:pPr>
    </w:p>
    <w:p w:rsidR="005624E3" w:rsidRPr="00D50F76" w:rsidRDefault="005624E3" w:rsidP="005624E3">
      <w:pPr>
        <w:tabs>
          <w:tab w:val="right" w:pos="9072"/>
        </w:tabs>
        <w:overflowPunct w:val="0"/>
        <w:adjustRightInd w:val="0"/>
        <w:spacing w:line="240" w:lineRule="atLeast"/>
        <w:textAlignment w:val="baseline"/>
        <w:rPr>
          <w:rFonts w:cs="Arial"/>
          <w:szCs w:val="20"/>
        </w:rPr>
      </w:pPr>
      <w:r w:rsidRPr="00D50F76">
        <w:br w:type="page"/>
      </w:r>
    </w:p>
    <w:p w:rsidR="005624E3" w:rsidRPr="00D50F76" w:rsidRDefault="005624E3" w:rsidP="005624E3">
      <w:pPr>
        <w:overflowPunct w:val="0"/>
        <w:adjustRightInd w:val="0"/>
        <w:jc w:val="center"/>
        <w:textAlignment w:val="baseline"/>
        <w:rPr>
          <w:rFonts w:cs="Arial"/>
          <w:b/>
          <w:bCs/>
          <w:szCs w:val="20"/>
        </w:rPr>
      </w:pPr>
      <w:r w:rsidRPr="00D50F76">
        <w:rPr>
          <w:b/>
          <w:noProof/>
        </w:rPr>
        <w:t>3.04. cikk</w:t>
      </w:r>
    </w:p>
    <w:p w:rsidR="005624E3" w:rsidRPr="00D50F76" w:rsidRDefault="005624E3" w:rsidP="005624E3">
      <w:pPr>
        <w:tabs>
          <w:tab w:val="left" w:leader="dot" w:pos="9072"/>
        </w:tabs>
        <w:spacing w:line="240" w:lineRule="atLeast"/>
        <w:jc w:val="center"/>
        <w:rPr>
          <w:rFonts w:cs="Arial"/>
          <w:i/>
          <w:iCs/>
          <w:noProof/>
          <w:szCs w:val="20"/>
        </w:rPr>
      </w:pPr>
      <w:r w:rsidRPr="00D50F76">
        <w:rPr>
          <w:i/>
          <w:noProof/>
        </w:rPr>
        <w:t>A kijelzett fordulási szögsebesség pontossága</w:t>
      </w:r>
    </w:p>
    <w:p w:rsidR="005624E3" w:rsidRPr="00D50F76" w:rsidRDefault="005624E3" w:rsidP="005624E3">
      <w:pPr>
        <w:tabs>
          <w:tab w:val="left" w:leader="dot" w:pos="9072"/>
        </w:tabs>
        <w:spacing w:line="240" w:lineRule="atLeast"/>
        <w:jc w:val="center"/>
        <w:rPr>
          <w:rFonts w:cs="Arial"/>
        </w:rPr>
      </w:pPr>
    </w:p>
    <w:p w:rsidR="005624E3" w:rsidRPr="00D50F76" w:rsidRDefault="005624E3" w:rsidP="005624E3">
      <w:pPr>
        <w:tabs>
          <w:tab w:val="left" w:leader="dot" w:pos="9072"/>
        </w:tabs>
        <w:spacing w:line="240" w:lineRule="atLeast"/>
        <w:rPr>
          <w:rFonts w:cs="Arial"/>
        </w:rPr>
      </w:pPr>
      <w:r w:rsidRPr="00D50F76">
        <w:t>A kijelzett fordulási szögsebesség legfeljebb 2 %-kal térhet el a maximális mérhető értéktől, illetve legfeljebb 10 %-kal a tényleges értéktől, amelyek közül a nagyobb érték a mérvadó (lásd a függeléket).</w:t>
      </w:r>
    </w:p>
    <w:p w:rsidR="005624E3" w:rsidRPr="00D50F76" w:rsidRDefault="005624E3" w:rsidP="005624E3">
      <w:pPr>
        <w:tabs>
          <w:tab w:val="left" w:leader="dot" w:pos="9072"/>
        </w:tabs>
        <w:spacing w:line="240" w:lineRule="atLeast"/>
        <w:rPr>
          <w:rFonts w:cs="Arial"/>
        </w:rPr>
      </w:pPr>
    </w:p>
    <w:p w:rsidR="005624E3" w:rsidRPr="00D50F76" w:rsidRDefault="005624E3" w:rsidP="005624E3">
      <w:pPr>
        <w:tabs>
          <w:tab w:val="left" w:leader="dot" w:pos="9072"/>
        </w:tabs>
        <w:spacing w:line="240" w:lineRule="atLeast"/>
        <w:rPr>
          <w:rFonts w:cs="Arial"/>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3.05. cikk</w:t>
      </w:r>
    </w:p>
    <w:p w:rsidR="005624E3" w:rsidRPr="00D50F76" w:rsidRDefault="005624E3" w:rsidP="005624E3">
      <w:pPr>
        <w:tabs>
          <w:tab w:val="left" w:leader="dot" w:pos="9072"/>
        </w:tabs>
        <w:spacing w:line="240" w:lineRule="atLeast"/>
        <w:jc w:val="center"/>
        <w:rPr>
          <w:rFonts w:cs="Arial"/>
        </w:rPr>
      </w:pPr>
      <w:r w:rsidRPr="00D50F76">
        <w:rPr>
          <w:i/>
          <w:noProof/>
        </w:rPr>
        <w:t>Érzékenység</w:t>
      </w:r>
    </w:p>
    <w:p w:rsidR="005624E3" w:rsidRPr="00D50F76" w:rsidRDefault="005624E3" w:rsidP="005624E3">
      <w:pPr>
        <w:tabs>
          <w:tab w:val="left" w:leader="dot" w:pos="9072"/>
        </w:tabs>
        <w:spacing w:line="240" w:lineRule="atLeast"/>
        <w:rPr>
          <w:rFonts w:cs="Arial"/>
          <w:noProof/>
        </w:rPr>
      </w:pPr>
    </w:p>
    <w:p w:rsidR="005624E3" w:rsidRPr="00D50F76" w:rsidRDefault="005624E3" w:rsidP="005624E3">
      <w:pPr>
        <w:tabs>
          <w:tab w:val="left" w:leader="dot" w:pos="9072"/>
        </w:tabs>
        <w:spacing w:line="240" w:lineRule="atLeast"/>
        <w:rPr>
          <w:rFonts w:cs="Arial"/>
        </w:rPr>
      </w:pPr>
      <w:r w:rsidRPr="00D50F76">
        <w:t>Az üzemi küszöbértéknek a kijelzett érték 1 %-ának megfelelő szögsebesség változásával egyenlőnek vagy annál alacsonyabbnak kell lennie.</w:t>
      </w:r>
    </w:p>
    <w:p w:rsidR="005624E3" w:rsidRPr="00D50F76" w:rsidRDefault="005624E3" w:rsidP="005624E3">
      <w:pPr>
        <w:tabs>
          <w:tab w:val="left" w:leader="dot" w:pos="9072"/>
        </w:tabs>
        <w:spacing w:line="240" w:lineRule="atLeast"/>
        <w:rPr>
          <w:rFonts w:cs="Arial"/>
        </w:rPr>
      </w:pPr>
    </w:p>
    <w:p w:rsidR="005624E3" w:rsidRPr="00D50F76" w:rsidRDefault="005624E3" w:rsidP="005624E3">
      <w:pPr>
        <w:tabs>
          <w:tab w:val="left" w:leader="dot" w:pos="9072"/>
        </w:tabs>
        <w:spacing w:line="240" w:lineRule="atLeast"/>
        <w:rPr>
          <w:rFonts w:cs="Arial"/>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3.06.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r w:rsidRPr="00D50F76">
        <w:rPr>
          <w:i/>
          <w:noProof/>
        </w:rPr>
        <w:t>A működés ellenőrzése</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1.</w:t>
      </w:r>
      <w:r w:rsidRPr="00D50F76">
        <w:tab/>
      </w:r>
      <w:r w:rsidRPr="00D50F76">
        <w:rPr>
          <w:noProof/>
          <w:color w:val="000000"/>
        </w:rPr>
        <w:t>Jelzésnek kell mutatnia, ha a fordulási szögsebességjelző nem a megkívánt pontossági tartományban üzemel.</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2.</w:t>
      </w:r>
      <w:r w:rsidRPr="00D50F76">
        <w:tab/>
      </w:r>
      <w:r w:rsidRPr="00D50F76">
        <w:rPr>
          <w:noProof/>
          <w:color w:val="000000"/>
        </w:rPr>
        <w:t>Ha giroszkópot használnak, a giroszkóp forgási sebességében bekövetkezett bármilyen kritikus esést jelzésnek kell mutatnia. A giroszkóp forgási sebességében bekövetkezett kritikus esés az, amelyik a pontosságot 10 %-kal csökkenti.</w:t>
      </w: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3.07.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i/>
          <w:iCs/>
          <w:noProof/>
          <w:szCs w:val="20"/>
        </w:rPr>
      </w:pPr>
      <w:r w:rsidRPr="00D50F76">
        <w:rPr>
          <w:i/>
          <w:noProof/>
        </w:rPr>
        <w:t>A hajó szokásos mozgásai iránti érzéketlenség</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1.</w:t>
      </w:r>
      <w:r w:rsidRPr="00D50F76">
        <w:tab/>
      </w:r>
      <w:r w:rsidRPr="00D50F76">
        <w:rPr>
          <w:color w:val="000000"/>
        </w:rPr>
        <w:t>A hajó 4°/s-ig terjedő fordulási szögsebesség melletti legfeljebb 10°-os elfordulása nem okozhat az előírt tűréshatárokon túli mérési hibákat.</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2.</w:t>
      </w:r>
      <w:r w:rsidRPr="00D50F76">
        <w:tab/>
      </w:r>
      <w:r w:rsidRPr="00D50F76">
        <w:rPr>
          <w:noProof/>
          <w:color w:val="000000"/>
        </w:rPr>
        <w:t>Az olyan hatások, amelyek például kikötéskor fordulhatnak elő, nem okozhatnak az előírt tűréshatárokon túli mérési hibákat.</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p>
    <w:p w:rsidR="005624E3" w:rsidRPr="00D50F76" w:rsidRDefault="005624E3" w:rsidP="005624E3">
      <w:pPr>
        <w:overflowPunct w:val="0"/>
        <w:adjustRightInd w:val="0"/>
        <w:jc w:val="center"/>
        <w:textAlignment w:val="baseline"/>
        <w:rPr>
          <w:rFonts w:cs="Arial"/>
          <w:b/>
          <w:bCs/>
          <w:szCs w:val="20"/>
        </w:rPr>
      </w:pPr>
      <w:r w:rsidRPr="00D50F76">
        <w:rPr>
          <w:b/>
          <w:noProof/>
        </w:rPr>
        <w:t>3.08.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r w:rsidRPr="00D50F76">
        <w:rPr>
          <w:i/>
          <w:noProof/>
        </w:rPr>
        <w:t>A mágneses mezők iránti érzéketlenség</w:t>
      </w:r>
    </w:p>
    <w:p w:rsidR="005624E3" w:rsidRPr="00D50F76" w:rsidRDefault="005624E3" w:rsidP="005624E3">
      <w:pPr>
        <w:tabs>
          <w:tab w:val="left" w:leader="dot" w:pos="9072"/>
        </w:tabs>
        <w:spacing w:line="240" w:lineRule="atLeast"/>
        <w:rPr>
          <w:rFonts w:cs="Arial"/>
          <w:noProof/>
        </w:rPr>
      </w:pPr>
    </w:p>
    <w:p w:rsidR="005624E3" w:rsidRPr="00D50F76" w:rsidRDefault="005624E3" w:rsidP="005624E3">
      <w:pPr>
        <w:tabs>
          <w:tab w:val="left" w:leader="dot" w:pos="9072"/>
        </w:tabs>
        <w:spacing w:line="240" w:lineRule="atLeast"/>
        <w:rPr>
          <w:rFonts w:cs="Arial"/>
          <w:szCs w:val="20"/>
        </w:rPr>
      </w:pPr>
      <w:r w:rsidRPr="00D50F76">
        <w:t>A fordulási szögsebességjelzőnek nem szabad érzékelnie a hajó fedélzetén szokásosan előforduló mágneses mezőket.</w:t>
      </w: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overflowPunct w:val="0"/>
        <w:adjustRightInd w:val="0"/>
        <w:jc w:val="center"/>
        <w:textAlignment w:val="baseline"/>
        <w:rPr>
          <w:rFonts w:cs="Arial"/>
          <w:b/>
          <w:bCs/>
          <w:szCs w:val="20"/>
        </w:rPr>
      </w:pPr>
      <w:r w:rsidRPr="00D50F76">
        <w:rPr>
          <w:b/>
          <w:noProof/>
        </w:rPr>
        <w:t>3.09.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i/>
          <w:iCs/>
          <w:noProof/>
          <w:szCs w:val="20"/>
        </w:rPr>
      </w:pPr>
      <w:r w:rsidRPr="00D50F76">
        <w:rPr>
          <w:i/>
          <w:noProof/>
        </w:rPr>
        <w:t>Segédkijelzők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p>
    <w:p w:rsidR="005624E3" w:rsidRPr="00D50F76" w:rsidRDefault="005624E3" w:rsidP="005624E3">
      <w:pPr>
        <w:tabs>
          <w:tab w:val="left" w:leader="dot" w:pos="9072"/>
        </w:tabs>
        <w:spacing w:line="240" w:lineRule="atLeast"/>
        <w:rPr>
          <w:rFonts w:cs="Arial"/>
          <w:noProof/>
        </w:rPr>
      </w:pPr>
      <w:r w:rsidRPr="00D50F76">
        <w:t>A segédkijelzőknek meg kell felelniük a fordulási szögsebességjelzőkre vonatkozó valamennyi követelménynek.</w:t>
      </w:r>
    </w:p>
    <w:p w:rsidR="005624E3" w:rsidRPr="00D50F76" w:rsidRDefault="005624E3" w:rsidP="005624E3">
      <w:pPr>
        <w:tabs>
          <w:tab w:val="left" w:leader="dot" w:pos="9072"/>
        </w:tabs>
        <w:spacing w:line="240" w:lineRule="atLeast"/>
        <w:rPr>
          <w:rFonts w:cs="Arial"/>
        </w:rPr>
      </w:pPr>
    </w:p>
    <w:p w:rsidR="005624E3" w:rsidRPr="00D50F76" w:rsidRDefault="005624E3" w:rsidP="005624E3">
      <w:pPr>
        <w:tabs>
          <w:tab w:val="right" w:pos="9072"/>
        </w:tabs>
        <w:overflowPunct w:val="0"/>
        <w:adjustRightInd w:val="0"/>
        <w:spacing w:line="240" w:lineRule="atLeast"/>
        <w:textAlignment w:val="baseline"/>
        <w:rPr>
          <w:rFonts w:cs="Arial"/>
          <w:szCs w:val="20"/>
        </w:rPr>
      </w:pPr>
      <w:r w:rsidRPr="00D50F76">
        <w:br w:type="page"/>
      </w:r>
    </w:p>
    <w:p w:rsidR="005624E3" w:rsidRPr="00D50F76" w:rsidRDefault="005624E3" w:rsidP="005624E3">
      <w:pPr>
        <w:tabs>
          <w:tab w:val="left" w:pos="284"/>
          <w:tab w:val="left" w:pos="454"/>
          <w:tab w:val="left" w:pos="680"/>
          <w:tab w:val="left" w:pos="1021"/>
        </w:tabs>
        <w:overflowPunct w:val="0"/>
        <w:adjustRightInd w:val="0"/>
        <w:spacing w:line="240" w:lineRule="atLeast"/>
        <w:jc w:val="center"/>
        <w:textAlignment w:val="baseline"/>
        <w:rPr>
          <w:rFonts w:cs="Arial"/>
          <w:b/>
          <w:bCs/>
          <w:szCs w:val="20"/>
        </w:rPr>
      </w:pPr>
      <w:r w:rsidRPr="00D50F76">
        <w:rPr>
          <w:b/>
          <w:noProof/>
        </w:rPr>
        <w:t>4. fejezet</w:t>
      </w:r>
    </w:p>
    <w:p w:rsidR="005624E3" w:rsidRPr="00D50F76" w:rsidRDefault="005624E3" w:rsidP="005624E3">
      <w:pPr>
        <w:tabs>
          <w:tab w:val="left" w:pos="284"/>
          <w:tab w:val="left" w:pos="454"/>
          <w:tab w:val="left" w:pos="680"/>
          <w:tab w:val="left" w:pos="1021"/>
        </w:tabs>
        <w:overflowPunct w:val="0"/>
        <w:adjustRightInd w:val="0"/>
        <w:spacing w:line="240" w:lineRule="atLeast"/>
        <w:jc w:val="center"/>
        <w:textAlignment w:val="baseline"/>
        <w:rPr>
          <w:rFonts w:cs="Arial"/>
          <w:szCs w:val="20"/>
        </w:rPr>
      </w:pPr>
      <w:r w:rsidRPr="00D50F76">
        <w:rPr>
          <w:b/>
          <w:noProof/>
        </w:rPr>
        <w:t>A fordulási szögsebességjelzőre vonatkozó műszaki minimumkövetelmények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noProof/>
          <w:szCs w:val="20"/>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rPr>
      </w:pPr>
      <w:r w:rsidRPr="00D50F76">
        <w:rPr>
          <w:b/>
          <w:noProof/>
        </w:rPr>
        <w:t>4.01.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i/>
          <w:iCs/>
          <w:noProof/>
          <w:szCs w:val="20"/>
        </w:rPr>
      </w:pPr>
      <w:r w:rsidRPr="00D50F76">
        <w:rPr>
          <w:i/>
          <w:noProof/>
        </w:rPr>
        <w:t>Működtetés</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p>
    <w:p w:rsidR="005624E3" w:rsidRPr="00D50F76" w:rsidRDefault="005624E3" w:rsidP="005624E3">
      <w:pPr>
        <w:rPr>
          <w:noProof/>
        </w:rPr>
      </w:pPr>
      <w:r w:rsidRPr="00D50F76">
        <w:t>1.</w:t>
      </w:r>
      <w:r w:rsidRPr="00D50F76">
        <w:tab/>
        <w:t>Minden kezelőszervet úgy kell elrendezni, hogy működésük során semmilyen információ ne kerüljön takarásba, és a radarhajózást semmi ne befolyásolja hátrányosan.</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2.</w:t>
      </w:r>
      <w:r w:rsidRPr="00D50F76">
        <w:tab/>
      </w:r>
      <w:r w:rsidRPr="00D50F76">
        <w:rPr>
          <w:noProof/>
          <w:color w:val="000000"/>
        </w:rPr>
        <w:t>Minden kezelőszervet és kijelzőt el kell látni nem vakító fényforrással, amely minden környezeti fényviszonynál megfelelő, és amely független szabályzóval nullára állítható.</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3.</w:t>
      </w:r>
      <w:r w:rsidRPr="00D50F76">
        <w:tab/>
      </w:r>
      <w:r w:rsidRPr="00D50F76">
        <w:rPr>
          <w:noProof/>
          <w:color w:val="000000"/>
        </w:rPr>
        <w:t>A kezelőszervek beállításának olyannak kell lennie, hogy a jobbra vagy felfelé történő mozgatás pozitív hatással, míg a balra vagy lefelé történő mozgatás negatív hatással legyen a változóra.</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rPr>
      </w:pPr>
      <w:r w:rsidRPr="00D50F76">
        <w:rPr>
          <w:color w:val="000000"/>
        </w:rPr>
        <w:t>4.</w:t>
      </w:r>
      <w:r w:rsidRPr="00D50F76">
        <w:tab/>
      </w:r>
      <w:r w:rsidRPr="00D50F76">
        <w:rPr>
          <w:noProof/>
          <w:color w:val="000000"/>
        </w:rPr>
        <w:t>Amennyiben nyomógombokat használnak, lehetővé kell tenni érintéssel való azonosításukat és működtetésüket. A kapcsolt állapot megszűnésének továbbá jól érzékelhetőnek kell lennie. Amennyiben a nyomógombok több funkcióval rendelkeznek, egyértelműnek kell lennie, hogy melyik hierarchikus szint aktív.</w:t>
      </w: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rPr>
      </w:pPr>
    </w:p>
    <w:p w:rsidR="005624E3" w:rsidRPr="00D50F76" w:rsidRDefault="005624E3" w:rsidP="005624E3">
      <w:pPr>
        <w:overflowPunct w:val="0"/>
        <w:adjustRightInd w:val="0"/>
        <w:jc w:val="center"/>
        <w:textAlignment w:val="baseline"/>
        <w:rPr>
          <w:rFonts w:cs="Arial"/>
          <w:b/>
          <w:bCs/>
          <w:szCs w:val="20"/>
        </w:rPr>
      </w:pPr>
      <w:r w:rsidRPr="00D50F76">
        <w:rPr>
          <w:b/>
          <w:noProof/>
        </w:rPr>
        <w:t>4.02.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rPr>
      </w:pPr>
      <w:r w:rsidRPr="00D50F76">
        <w:rPr>
          <w:i/>
          <w:noProof/>
        </w:rPr>
        <w:t>Csillapító eszközök</w:t>
      </w:r>
    </w:p>
    <w:p w:rsidR="005624E3" w:rsidRPr="00D50F76"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lang w:val="pt-PT"/>
        </w:rPr>
      </w:pPr>
      <w:r w:rsidRPr="00D50F76">
        <w:rPr>
          <w:color w:val="000000"/>
        </w:rPr>
        <w:t>1.</w:t>
      </w:r>
      <w:r w:rsidRPr="00D50F76">
        <w:tab/>
      </w:r>
      <w:r w:rsidRPr="00D50F76">
        <w:rPr>
          <w:noProof/>
          <w:color w:val="000000"/>
        </w:rPr>
        <w:t xml:space="preserve">Az érzékelőrendszert a kritikus értékeknél csillapítani kell. </w:t>
      </w:r>
      <w:r w:rsidRPr="00D50F76">
        <w:rPr>
          <w:noProof/>
          <w:color w:val="000000"/>
          <w:lang w:val="pt-PT"/>
        </w:rPr>
        <w:t>A csillapítási tényező (a határérték 63 %-a) nem haladhatja meg a 0,4 s-t.</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noProof/>
          <w:color w:val="000000"/>
          <w:lang w:val="pt-PT"/>
        </w:rPr>
      </w:pPr>
      <w:r w:rsidRPr="00D50F76">
        <w:rPr>
          <w:color w:val="000000"/>
          <w:lang w:val="pt-PT"/>
        </w:rPr>
        <w:t>2.</w:t>
      </w:r>
      <w:r w:rsidRPr="00D50F76">
        <w:rPr>
          <w:lang w:val="pt-PT"/>
        </w:rPr>
        <w:tab/>
      </w:r>
      <w:r w:rsidRPr="00D50F76">
        <w:rPr>
          <w:noProof/>
          <w:color w:val="000000"/>
          <w:lang w:val="pt-PT"/>
        </w:rPr>
        <w:t>A kijelzőt a kritikus értékeknél csillapítani kell.</w:t>
      </w:r>
    </w:p>
    <w:p w:rsidR="005624E3" w:rsidRPr="00D50F76" w:rsidRDefault="005624E3" w:rsidP="005624E3">
      <w:pPr>
        <w:spacing w:line="240" w:lineRule="atLeast"/>
        <w:ind w:left="426"/>
        <w:rPr>
          <w:noProof/>
          <w:lang w:val="pt-PT"/>
        </w:rPr>
      </w:pPr>
      <w:r w:rsidRPr="00D50F76">
        <w:rPr>
          <w:lang w:val="pt-PT"/>
        </w:rPr>
        <w:t>A csillapítást fokozó kezelőszervek alkalmazása megengedett.</w:t>
      </w:r>
    </w:p>
    <w:p w:rsidR="005624E3" w:rsidRPr="00D50F76" w:rsidRDefault="005624E3" w:rsidP="005624E3">
      <w:pPr>
        <w:spacing w:line="240" w:lineRule="atLeast"/>
        <w:ind w:left="426"/>
        <w:rPr>
          <w:lang w:val="pt-PT"/>
        </w:rPr>
      </w:pPr>
      <w:r w:rsidRPr="00D50F76">
        <w:rPr>
          <w:lang w:val="pt-PT"/>
        </w:rPr>
        <w:t>A csillapítási tényező semmilyen körülmények között nem haladhatja meg az 5 s-t.</w:t>
      </w:r>
    </w:p>
    <w:p w:rsidR="005624E3" w:rsidRPr="00D50F76" w:rsidRDefault="005624E3" w:rsidP="005624E3">
      <w:pPr>
        <w:tabs>
          <w:tab w:val="left" w:pos="425"/>
        </w:tabs>
        <w:overflowPunct w:val="0"/>
        <w:adjustRightInd w:val="0"/>
        <w:spacing w:line="240" w:lineRule="atLeast"/>
        <w:textAlignment w:val="baseline"/>
        <w:rPr>
          <w:rFonts w:cs="Arial"/>
          <w:szCs w:val="20"/>
          <w:lang w:val="pt-PT"/>
        </w:rPr>
      </w:pPr>
    </w:p>
    <w:p w:rsidR="005624E3" w:rsidRPr="00D50F76" w:rsidRDefault="005624E3" w:rsidP="005624E3">
      <w:pPr>
        <w:tabs>
          <w:tab w:val="right" w:pos="9072"/>
        </w:tabs>
        <w:overflowPunct w:val="0"/>
        <w:adjustRightInd w:val="0"/>
        <w:spacing w:line="240" w:lineRule="atLeast"/>
        <w:textAlignment w:val="baseline"/>
        <w:rPr>
          <w:rFonts w:cs="Arial"/>
          <w:szCs w:val="20"/>
          <w:lang w:val="pt-PT"/>
        </w:rPr>
      </w:pPr>
    </w:p>
    <w:p w:rsidR="005624E3" w:rsidRPr="00D50F76" w:rsidRDefault="005624E3" w:rsidP="005624E3">
      <w:pPr>
        <w:overflowPunct w:val="0"/>
        <w:adjustRightInd w:val="0"/>
        <w:jc w:val="center"/>
        <w:textAlignment w:val="baseline"/>
        <w:rPr>
          <w:rFonts w:cs="Arial"/>
          <w:b/>
          <w:bCs/>
          <w:szCs w:val="20"/>
          <w:lang w:val="pt-PT"/>
        </w:rPr>
      </w:pPr>
      <w:r w:rsidRPr="00D50F76">
        <w:rPr>
          <w:b/>
          <w:noProof/>
          <w:lang w:val="pt-PT"/>
        </w:rPr>
        <w:t>4.03.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i/>
          <w:noProof/>
          <w:lang w:val="pt-PT"/>
        </w:rPr>
      </w:pPr>
      <w:r w:rsidRPr="00D50F76">
        <w:rPr>
          <w:i/>
          <w:noProof/>
          <w:lang w:val="pt-PT"/>
        </w:rPr>
        <w:t>Csatlakozás kiegészítő berendezéshez</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lang w:val="pt-PT"/>
        </w:rPr>
      </w:pPr>
    </w:p>
    <w:p w:rsidR="005624E3" w:rsidRPr="00D50F76" w:rsidRDefault="005624E3" w:rsidP="005624E3">
      <w:pPr>
        <w:spacing w:line="240" w:lineRule="atLeast"/>
        <w:rPr>
          <w:rFonts w:cs="Arial"/>
          <w:noProof/>
          <w:color w:val="000000"/>
          <w:lang w:val="pt-PT"/>
        </w:rPr>
      </w:pPr>
      <w:r w:rsidRPr="00D50F76">
        <w:rPr>
          <w:color w:val="000000"/>
          <w:lang w:val="pt-PT"/>
        </w:rPr>
        <w:t xml:space="preserve">1. </w:t>
      </w:r>
      <w:r w:rsidRPr="00D50F76">
        <w:rPr>
          <w:lang w:val="pt-PT"/>
        </w:rPr>
        <w:tab/>
      </w:r>
      <w:r w:rsidRPr="00D50F76">
        <w:rPr>
          <w:noProof/>
          <w:color w:val="000000"/>
          <w:lang w:val="pt-PT"/>
        </w:rPr>
        <w:t>Ha a fordulási szögsebességjelző segédkijelzőkhöz vagy hasonló berendezésekhez csatlakoztatható, a fordulási szögsebességjelzőnek mint analóg elektromos kijelzőnek használhatónak kell maradnia. A fordulási szögsebességjelző a 2. bekezdés szerinti digitális interfésszel is rendelkezhet.</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ind w:left="426"/>
        <w:rPr>
          <w:lang w:val="pt-PT"/>
        </w:rPr>
      </w:pPr>
      <w:r w:rsidRPr="00D50F76">
        <w:rPr>
          <w:lang w:val="pt-PT"/>
        </w:rPr>
        <w:t xml:space="preserve">A fordulási szögsebesség kijelzésének továbbra is 20 mV/°/perc ± 5 %-kal egyenértékű analóg feszültség, galván földszigetelés és maximum 100 </w:t>
      </w:r>
      <w:r>
        <w:rPr>
          <w:rFonts w:eastAsia="TimesNewRoman"/>
          <w:szCs w:val="20"/>
        </w:rPr>
        <w:sym w:font="Symbol" w:char="F057"/>
      </w:r>
      <w:r w:rsidRPr="00D50F76">
        <w:rPr>
          <w:lang w:val="pt-PT"/>
        </w:rPr>
        <w:t>-os belső ellenállás mellett kell történnie.</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noProof/>
          <w:lang w:val="pt-PT"/>
        </w:rPr>
      </w:pPr>
      <w:r w:rsidRPr="00D50F76">
        <w:rPr>
          <w:lang w:val="pt-PT"/>
        </w:rPr>
        <w:t>A polaritásnak a hajó jobbra fordulásakor pozitívnak, balra fordulásakor negatívnak kell lennie.</w:t>
      </w:r>
    </w:p>
    <w:p w:rsidR="005624E3" w:rsidRPr="00D50F76" w:rsidRDefault="005624E3" w:rsidP="005624E3">
      <w:pPr>
        <w:tabs>
          <w:tab w:val="left" w:pos="425"/>
        </w:tabs>
        <w:overflowPunct w:val="0"/>
        <w:adjustRightInd w:val="0"/>
        <w:spacing w:line="240" w:lineRule="atLeast"/>
        <w:ind w:firstLine="1"/>
        <w:textAlignment w:val="baseline"/>
        <w:rPr>
          <w:rFonts w:cs="Arial"/>
          <w:szCs w:val="20"/>
          <w:lang w:val="pt-PT"/>
        </w:rPr>
      </w:pPr>
      <w:r w:rsidRPr="00D50F76">
        <w:rPr>
          <w:lang w:val="pt-PT"/>
        </w:rPr>
        <w:br w:type="page"/>
      </w:r>
    </w:p>
    <w:p w:rsidR="005624E3" w:rsidRPr="00D50F76" w:rsidRDefault="005624E3" w:rsidP="005624E3">
      <w:pPr>
        <w:spacing w:line="240" w:lineRule="atLeast"/>
        <w:ind w:left="426"/>
        <w:rPr>
          <w:noProof/>
          <w:lang w:val="pt-PT"/>
        </w:rPr>
      </w:pPr>
      <w:r w:rsidRPr="00D50F76">
        <w:rPr>
          <w:lang w:val="pt-PT"/>
        </w:rPr>
        <w:t>Az üzemi küszöbérték nem haladhatja meg a 0,3 °/percet.</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A nullahiba nem haladhatja meg az 1 °/percet 0–40 °C közötti hőmérsékleten.</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noProof/>
          <w:lang w:val="pt-PT"/>
        </w:rPr>
      </w:pPr>
      <w:r w:rsidRPr="00D50F76">
        <w:rPr>
          <w:lang w:val="pt-PT"/>
        </w:rPr>
        <w:t>A kijelző bekapcsolt helyzetében, amikor az érzékelő mozgásból eredő hatásoknak nincs kitéve, a kimeneti jelnél a 10 Hz-es átviteli sávban mért, alulról áteresztett feszültség nem lehet több, mint 10 mV.</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noProof/>
          <w:lang w:val="pt-PT"/>
        </w:rPr>
      </w:pPr>
      <w:r w:rsidRPr="00D50F76">
        <w:rPr>
          <w:lang w:val="pt-PT"/>
        </w:rPr>
        <w:t>A fordulási szögsebességet leíró jelnek minden további csillapítás nélkül kell érkeznie a 4.02. cikk 1. bekezdésében említett határértékeken túl.</w:t>
      </w:r>
    </w:p>
    <w:p w:rsidR="005624E3" w:rsidRPr="00D50F76" w:rsidRDefault="005624E3" w:rsidP="005624E3">
      <w:pPr>
        <w:tabs>
          <w:tab w:val="left" w:pos="425"/>
        </w:tabs>
        <w:overflowPunct w:val="0"/>
        <w:adjustRightInd w:val="0"/>
        <w:spacing w:line="240" w:lineRule="atLeast"/>
        <w:textAlignment w:val="baseline"/>
        <w:rPr>
          <w:rFonts w:cs="Arial"/>
          <w:noProof/>
          <w:szCs w:val="20"/>
          <w:lang w:val="pt-PT"/>
        </w:rPr>
      </w:pPr>
    </w:p>
    <w:p w:rsidR="005624E3" w:rsidRPr="00D50F76" w:rsidRDefault="005624E3" w:rsidP="005624E3">
      <w:pPr>
        <w:spacing w:line="240" w:lineRule="atLeast"/>
        <w:rPr>
          <w:rFonts w:cs="Arial"/>
          <w:color w:val="000000"/>
          <w:lang w:val="pt-PT"/>
        </w:rPr>
      </w:pPr>
      <w:r w:rsidRPr="00D50F76">
        <w:rPr>
          <w:color w:val="000000"/>
          <w:lang w:val="pt-PT"/>
        </w:rPr>
        <w:t>2.</w:t>
      </w:r>
      <w:r w:rsidRPr="00D50F76">
        <w:rPr>
          <w:lang w:val="pt-PT"/>
        </w:rPr>
        <w:tab/>
      </w:r>
      <w:r w:rsidRPr="00D50F76">
        <w:rPr>
          <w:color w:val="000000"/>
          <w:lang w:val="pt-PT"/>
        </w:rPr>
        <w:t>A digitális interfészt az EN 61162</w:t>
      </w:r>
      <w:r w:rsidRPr="00D50F76">
        <w:rPr>
          <w:lang w:val="pt-PT"/>
        </w:rPr>
        <w:softHyphen/>
      </w:r>
      <w:r w:rsidRPr="00D50F76">
        <w:rPr>
          <w:color w:val="000000"/>
          <w:lang w:val="pt-PT"/>
        </w:rPr>
        <w:t>1:2011, az EN 61162-2:1998 és az EN 61162-3:2014 európai szabványnak megfelelően kell kialakítani.</w:t>
      </w:r>
    </w:p>
    <w:p w:rsidR="005624E3" w:rsidRPr="00D50F76" w:rsidRDefault="005624E3" w:rsidP="005624E3">
      <w:pPr>
        <w:spacing w:line="240" w:lineRule="atLeast"/>
        <w:rPr>
          <w:rFonts w:cs="Arial"/>
          <w:color w:val="000000"/>
          <w:szCs w:val="20"/>
          <w:lang w:val="pt-PT"/>
        </w:rPr>
      </w:pPr>
    </w:p>
    <w:p w:rsidR="005624E3" w:rsidRPr="00D50F76" w:rsidRDefault="005624E3" w:rsidP="005624E3">
      <w:pPr>
        <w:spacing w:line="240" w:lineRule="atLeast"/>
        <w:rPr>
          <w:rFonts w:cs="Arial"/>
          <w:noProof/>
          <w:color w:val="000000"/>
          <w:lang w:val="pt-PT"/>
        </w:rPr>
      </w:pPr>
      <w:r w:rsidRPr="00D50F76">
        <w:rPr>
          <w:color w:val="000000"/>
          <w:lang w:val="pt-PT"/>
        </w:rPr>
        <w:t>3.</w:t>
      </w:r>
      <w:r w:rsidRPr="00D50F76">
        <w:rPr>
          <w:lang w:val="pt-PT"/>
        </w:rPr>
        <w:tab/>
      </w:r>
      <w:r w:rsidRPr="00D50F76">
        <w:rPr>
          <w:noProof/>
          <w:color w:val="000000"/>
          <w:lang w:val="pt-PT"/>
        </w:rPr>
        <w:t>Biztosítani kell egy külső vészkapcsolót. A kapcsolót galvánszigeteléses megszakítóként kell beszerelni a kijelzőhöz.</w:t>
      </w:r>
    </w:p>
    <w:p w:rsidR="005624E3" w:rsidRPr="00D50F76" w:rsidRDefault="005624E3" w:rsidP="005624E3">
      <w:pPr>
        <w:spacing w:line="240" w:lineRule="atLeast"/>
        <w:ind w:left="426"/>
        <w:rPr>
          <w:noProof/>
          <w:lang w:val="pt-PT"/>
        </w:rPr>
      </w:pPr>
    </w:p>
    <w:p w:rsidR="005624E3" w:rsidRPr="00D50F76" w:rsidRDefault="005624E3" w:rsidP="005624E3">
      <w:pPr>
        <w:spacing w:line="240" w:lineRule="atLeast"/>
        <w:ind w:left="426"/>
        <w:rPr>
          <w:noProof/>
          <w:lang w:val="pt-PT"/>
        </w:rPr>
      </w:pPr>
      <w:r w:rsidRPr="00D50F76">
        <w:rPr>
          <w:lang w:val="pt-PT"/>
        </w:rPr>
        <w:t>A külső vészjelzést az alábbi érintkezészárások aktiválhatják:</w:t>
      </w:r>
    </w:p>
    <w:p w:rsidR="005624E3" w:rsidRPr="00D50F76" w:rsidRDefault="005624E3" w:rsidP="005624E3">
      <w:pPr>
        <w:spacing w:before="60" w:line="240" w:lineRule="atLeast"/>
        <w:ind w:left="851"/>
        <w:rPr>
          <w:rFonts w:cs="Arial"/>
          <w:noProof/>
          <w:lang w:val="pt-PT"/>
        </w:rPr>
      </w:pPr>
      <w:r w:rsidRPr="00D50F76">
        <w:rPr>
          <w:lang w:val="pt-PT"/>
        </w:rPr>
        <w:t>a)</w:t>
      </w:r>
      <w:r w:rsidRPr="00D50F76">
        <w:rPr>
          <w:lang w:val="pt-PT"/>
        </w:rPr>
        <w:tab/>
        <w:t>ha a fordulási szögsebességjelzőt kikötik; vagy</w:t>
      </w:r>
    </w:p>
    <w:p w:rsidR="005624E3" w:rsidRPr="00D50F76" w:rsidRDefault="005624E3" w:rsidP="005624E3">
      <w:pPr>
        <w:spacing w:before="60" w:line="240" w:lineRule="atLeast"/>
        <w:ind w:left="851"/>
        <w:rPr>
          <w:rFonts w:cs="Arial"/>
          <w:noProof/>
          <w:lang w:val="pt-PT"/>
        </w:rPr>
      </w:pPr>
      <w:r w:rsidRPr="00D50F76">
        <w:rPr>
          <w:lang w:val="pt-PT"/>
        </w:rPr>
        <w:t>b)</w:t>
      </w:r>
      <w:r w:rsidRPr="00D50F76">
        <w:rPr>
          <w:lang w:val="pt-PT"/>
        </w:rPr>
        <w:tab/>
        <w:t>ha a fordulási szögsebességjelző nem üzemel; vagy</w:t>
      </w:r>
    </w:p>
    <w:p w:rsidR="005624E3" w:rsidRPr="00D50F76" w:rsidRDefault="005624E3" w:rsidP="005624E3">
      <w:pPr>
        <w:spacing w:before="60" w:line="240" w:lineRule="atLeast"/>
        <w:ind w:left="851"/>
        <w:rPr>
          <w:rFonts w:cs="Arial"/>
          <w:noProof/>
          <w:lang w:val="pt-PT"/>
        </w:rPr>
      </w:pPr>
      <w:r w:rsidRPr="00D50F76">
        <w:rPr>
          <w:lang w:val="pt-PT"/>
        </w:rPr>
        <w:t>c)</w:t>
      </w:r>
      <w:r w:rsidRPr="00D50F76">
        <w:rPr>
          <w:lang w:val="pt-PT"/>
        </w:rPr>
        <w:tab/>
        <w:t>ha a működésvezérlés súlyos hiba után reagált (3.06. cikk).</w:t>
      </w:r>
    </w:p>
    <w:p w:rsidR="005624E3" w:rsidRPr="00D50F76" w:rsidRDefault="005624E3" w:rsidP="005624E3">
      <w:pPr>
        <w:tabs>
          <w:tab w:val="left" w:pos="425"/>
        </w:tabs>
        <w:overflowPunct w:val="0"/>
        <w:adjustRightInd w:val="0"/>
        <w:spacing w:line="240" w:lineRule="atLeast"/>
        <w:textAlignment w:val="baseline"/>
        <w:rPr>
          <w:rFonts w:cs="Arial"/>
          <w:szCs w:val="20"/>
          <w:lang w:val="pt-PT"/>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lang w:val="pt-PT"/>
        </w:rPr>
      </w:pPr>
    </w:p>
    <w:p w:rsidR="005624E3" w:rsidRPr="00D50F76" w:rsidRDefault="005624E3" w:rsidP="005624E3">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pt-PT"/>
        </w:rPr>
      </w:pPr>
      <w:r w:rsidRPr="00D50F76">
        <w:rPr>
          <w:b/>
          <w:noProof/>
          <w:lang w:val="pt-PT"/>
        </w:rPr>
        <w:t>5. fejezet</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lang w:val="pt-PT"/>
        </w:rPr>
      </w:pPr>
      <w:r w:rsidRPr="00D50F76">
        <w:rPr>
          <w:b/>
          <w:noProof/>
          <w:lang w:val="pt-PT"/>
        </w:rPr>
        <w:t>A fordulási szögsebességjelzőkre vonatkozó vizsgálati feltételek és eljárások</w:t>
      </w:r>
    </w:p>
    <w:p w:rsidR="005624E3" w:rsidRPr="00D50F76" w:rsidRDefault="005624E3" w:rsidP="005624E3">
      <w:pPr>
        <w:spacing w:line="240" w:lineRule="atLeast"/>
        <w:rPr>
          <w:rFonts w:cs="Arial"/>
          <w:noProof/>
          <w:color w:val="000000"/>
          <w:lang w:val="pt-PT"/>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lang w:val="pt-PT"/>
        </w:rPr>
      </w:pPr>
      <w:r w:rsidRPr="00D50F76">
        <w:rPr>
          <w:b/>
          <w:noProof/>
          <w:lang w:val="pt-PT"/>
        </w:rPr>
        <w:t>5.01.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lang w:val="pt-PT"/>
        </w:rPr>
      </w:pPr>
      <w:r w:rsidRPr="00D50F76">
        <w:rPr>
          <w:i/>
          <w:noProof/>
          <w:lang w:val="pt-PT"/>
        </w:rPr>
        <w:t>Biztonság, terhelési kapacitás és elektromágneses összeférhetőség</w:t>
      </w:r>
    </w:p>
    <w:p w:rsidR="005624E3" w:rsidRPr="00D50F76" w:rsidRDefault="005624E3" w:rsidP="005624E3">
      <w:pPr>
        <w:tabs>
          <w:tab w:val="left" w:leader="dot" w:pos="9072"/>
        </w:tabs>
        <w:spacing w:line="240" w:lineRule="atLeast"/>
        <w:rPr>
          <w:rFonts w:cs="Arial"/>
          <w:noProof/>
          <w:lang w:val="pt-PT"/>
        </w:rPr>
      </w:pPr>
    </w:p>
    <w:p w:rsidR="005624E3" w:rsidRPr="00D50F76" w:rsidRDefault="005624E3" w:rsidP="005624E3">
      <w:pPr>
        <w:tabs>
          <w:tab w:val="left" w:leader="dot" w:pos="9072"/>
        </w:tabs>
        <w:spacing w:line="240" w:lineRule="atLeast"/>
        <w:rPr>
          <w:rFonts w:cs="Arial"/>
          <w:noProof/>
          <w:lang w:val="pt-PT"/>
        </w:rPr>
      </w:pPr>
      <w:r w:rsidRPr="00D50F76">
        <w:rPr>
          <w:lang w:val="pt-PT"/>
        </w:rPr>
        <w:t xml:space="preserve">A hajón lévő berendezések áramforrását, biztonságát, kölcsönhatását, a tájoló biztonságos távolságát, a klimatikus hatásoknak való ellenállást, a mechanikai szilárdságot, a környezeti hatásokat, a hallható zajkibocsátásokat és az elektromágneses összeférhetőséget az EN 60945:2002 európai szabvány követelményei szerint kell vizsgálni. </w:t>
      </w: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lang w:val="pt-PT"/>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lang w:val="pt-PT"/>
        </w:rPr>
      </w:pPr>
    </w:p>
    <w:p w:rsidR="005624E3" w:rsidRPr="00D50F76" w:rsidRDefault="005624E3" w:rsidP="005624E3">
      <w:pPr>
        <w:overflowPunct w:val="0"/>
        <w:adjustRightInd w:val="0"/>
        <w:jc w:val="center"/>
        <w:textAlignment w:val="baseline"/>
        <w:rPr>
          <w:rFonts w:cs="Arial"/>
          <w:b/>
          <w:bCs/>
          <w:szCs w:val="20"/>
          <w:lang w:val="pt-PT"/>
        </w:rPr>
      </w:pPr>
      <w:r w:rsidRPr="00D50F76">
        <w:rPr>
          <w:b/>
          <w:noProof/>
          <w:lang w:val="pt-PT"/>
        </w:rPr>
        <w:t>5.02.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lang w:val="pt-PT"/>
        </w:rPr>
      </w:pPr>
      <w:r w:rsidRPr="00D50F76">
        <w:rPr>
          <w:i/>
          <w:noProof/>
          <w:lang w:val="pt-PT"/>
        </w:rPr>
        <w:t>Zavaró sugárzások</w:t>
      </w:r>
    </w:p>
    <w:p w:rsidR="005624E3" w:rsidRPr="00D50F76" w:rsidRDefault="005624E3" w:rsidP="005624E3">
      <w:pPr>
        <w:tabs>
          <w:tab w:val="left" w:leader="dot" w:pos="9072"/>
        </w:tabs>
        <w:spacing w:line="240" w:lineRule="atLeast"/>
        <w:rPr>
          <w:rFonts w:cs="Arial"/>
          <w:noProof/>
          <w:lang w:val="pt-PT"/>
        </w:rPr>
      </w:pPr>
    </w:p>
    <w:p w:rsidR="005624E3" w:rsidRPr="00D50F76" w:rsidRDefault="005624E3" w:rsidP="005624E3">
      <w:pPr>
        <w:tabs>
          <w:tab w:val="left" w:leader="dot" w:pos="9072"/>
        </w:tabs>
        <w:spacing w:line="240" w:lineRule="atLeast"/>
        <w:rPr>
          <w:rFonts w:cs="Arial"/>
          <w:noProof/>
          <w:lang w:val="pt-PT"/>
        </w:rPr>
      </w:pPr>
      <w:r w:rsidRPr="00D50F76">
        <w:rPr>
          <w:lang w:val="pt-PT"/>
        </w:rPr>
        <w:t xml:space="preserve">A zavaró sugárzásokat a 30–2000 MHz frekvenciatartományban az EN 60945:2002 európai szabvány szerint kell mérni. </w:t>
      </w:r>
    </w:p>
    <w:p w:rsidR="005624E3" w:rsidRPr="00D50F76" w:rsidRDefault="005624E3" w:rsidP="005624E3">
      <w:pPr>
        <w:tabs>
          <w:tab w:val="left" w:leader="dot" w:pos="9072"/>
        </w:tabs>
        <w:spacing w:line="240" w:lineRule="atLeast"/>
        <w:rPr>
          <w:rFonts w:cs="Arial"/>
          <w:noProof/>
          <w:lang w:val="pt-PT"/>
        </w:rPr>
      </w:pPr>
    </w:p>
    <w:p w:rsidR="005624E3" w:rsidRPr="00D50F76" w:rsidRDefault="005624E3" w:rsidP="005624E3">
      <w:pPr>
        <w:tabs>
          <w:tab w:val="left" w:leader="dot" w:pos="9072"/>
        </w:tabs>
        <w:spacing w:line="240" w:lineRule="atLeast"/>
        <w:rPr>
          <w:rFonts w:cs="Arial"/>
          <w:noProof/>
          <w:lang w:val="pt-PT"/>
        </w:rPr>
      </w:pPr>
      <w:r w:rsidRPr="00D50F76">
        <w:rPr>
          <w:lang w:val="pt-PT"/>
        </w:rPr>
        <w:t>A 2.02. cikk 2. bekezdésének követelményeit be kell tartani.</w:t>
      </w:r>
    </w:p>
    <w:p w:rsidR="005624E3" w:rsidRPr="00D50F76" w:rsidRDefault="005624E3" w:rsidP="005624E3">
      <w:pPr>
        <w:tabs>
          <w:tab w:val="left" w:pos="425"/>
        </w:tabs>
        <w:overflowPunct w:val="0"/>
        <w:adjustRightInd w:val="0"/>
        <w:spacing w:line="240" w:lineRule="atLeast"/>
        <w:textAlignment w:val="baseline"/>
        <w:rPr>
          <w:rFonts w:cs="Arial"/>
          <w:szCs w:val="20"/>
          <w:lang w:val="pt-PT"/>
        </w:rPr>
      </w:pPr>
    </w:p>
    <w:p w:rsidR="005624E3" w:rsidRPr="00D50F76" w:rsidRDefault="005624E3" w:rsidP="005624E3">
      <w:pPr>
        <w:tabs>
          <w:tab w:val="left" w:pos="284"/>
          <w:tab w:val="left" w:pos="454"/>
          <w:tab w:val="left" w:pos="680"/>
          <w:tab w:val="left" w:pos="1021"/>
        </w:tabs>
        <w:overflowPunct w:val="0"/>
        <w:adjustRightInd w:val="0"/>
        <w:textAlignment w:val="baseline"/>
        <w:rPr>
          <w:rFonts w:cs="Arial"/>
          <w:szCs w:val="20"/>
          <w:lang w:val="pt-PT"/>
        </w:rPr>
      </w:pP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b/>
          <w:bCs/>
          <w:szCs w:val="20"/>
          <w:lang w:val="pt-PT"/>
        </w:rPr>
      </w:pPr>
      <w:r w:rsidRPr="00D50F76">
        <w:rPr>
          <w:b/>
          <w:noProof/>
          <w:lang w:val="pt-PT"/>
        </w:rPr>
        <w:t>5.03. cikk</w:t>
      </w:r>
    </w:p>
    <w:p w:rsidR="005624E3" w:rsidRPr="00D50F76" w:rsidRDefault="005624E3" w:rsidP="005624E3">
      <w:pPr>
        <w:tabs>
          <w:tab w:val="left" w:pos="284"/>
          <w:tab w:val="left" w:pos="454"/>
          <w:tab w:val="left" w:pos="680"/>
          <w:tab w:val="left" w:pos="1021"/>
        </w:tabs>
        <w:overflowPunct w:val="0"/>
        <w:adjustRightInd w:val="0"/>
        <w:jc w:val="center"/>
        <w:textAlignment w:val="baseline"/>
        <w:rPr>
          <w:rFonts w:cs="Arial"/>
          <w:szCs w:val="20"/>
          <w:lang w:val="pt-PT"/>
        </w:rPr>
      </w:pPr>
      <w:r w:rsidRPr="00D50F76">
        <w:rPr>
          <w:i/>
          <w:noProof/>
          <w:lang w:val="pt-PT"/>
        </w:rPr>
        <w:t>Vizsgálati eljárás</w:t>
      </w:r>
    </w:p>
    <w:p w:rsidR="005624E3" w:rsidRPr="00D50F76" w:rsidRDefault="005624E3" w:rsidP="005624E3">
      <w:pPr>
        <w:overflowPunct w:val="0"/>
        <w:adjustRightInd w:val="0"/>
        <w:ind w:left="426" w:hanging="426"/>
        <w:textAlignment w:val="baseline"/>
        <w:rPr>
          <w:rFonts w:cs="Arial"/>
          <w:szCs w:val="20"/>
          <w:lang w:val="pt-PT"/>
        </w:rPr>
      </w:pPr>
    </w:p>
    <w:p w:rsidR="005624E3" w:rsidRPr="00D50F76" w:rsidRDefault="005624E3" w:rsidP="005624E3">
      <w:pPr>
        <w:spacing w:line="240" w:lineRule="atLeast"/>
        <w:rPr>
          <w:rFonts w:cs="Arial"/>
          <w:noProof/>
          <w:color w:val="000000"/>
          <w:lang w:val="pt-PT"/>
        </w:rPr>
      </w:pPr>
      <w:r w:rsidRPr="00D50F76">
        <w:rPr>
          <w:snapToGrid w:val="0"/>
          <w:color w:val="000000"/>
          <w:lang w:val="pt-PT"/>
        </w:rPr>
        <w:t>1.</w:t>
      </w:r>
      <w:r w:rsidRPr="00D50F76">
        <w:rPr>
          <w:lang w:val="pt-PT"/>
        </w:rPr>
        <w:tab/>
      </w:r>
      <w:r w:rsidRPr="00D50F76">
        <w:rPr>
          <w:noProof/>
          <w:color w:val="000000"/>
          <w:lang w:val="pt-PT"/>
        </w:rPr>
        <w:t>A fordulási szögsebességjelzőt névleges és peremfeltételek mellett kell vizsgálni. Ebben a tekintetben az üzemi feszültség és a környezeti hőmérséklet hatását az előírt határértékig vizsgálni kell.</w:t>
      </w:r>
    </w:p>
    <w:p w:rsidR="005624E3" w:rsidRPr="00D50F76" w:rsidRDefault="005624E3" w:rsidP="005624E3">
      <w:pPr>
        <w:spacing w:line="240" w:lineRule="atLeast"/>
        <w:ind w:left="426"/>
        <w:rPr>
          <w:noProof/>
          <w:lang w:val="pt-PT"/>
        </w:rPr>
      </w:pPr>
    </w:p>
    <w:p w:rsidR="005624E3" w:rsidRPr="00D50F76" w:rsidRDefault="005624E3" w:rsidP="005624E3">
      <w:pPr>
        <w:spacing w:line="240" w:lineRule="atLeast"/>
        <w:ind w:left="426"/>
        <w:rPr>
          <w:noProof/>
          <w:lang w:val="pt-PT"/>
        </w:rPr>
      </w:pPr>
      <w:r w:rsidRPr="00D50F76">
        <w:rPr>
          <w:lang w:val="pt-PT"/>
        </w:rPr>
        <w:t>Ezenkívül rádióadókat kell használni a maximális mágneses térerő létrehozásához a kijelzők közelében.</w:t>
      </w:r>
    </w:p>
    <w:p w:rsidR="005624E3" w:rsidRPr="00D50F76" w:rsidRDefault="005624E3" w:rsidP="005624E3">
      <w:pPr>
        <w:spacing w:line="240" w:lineRule="atLeast"/>
        <w:rPr>
          <w:rFonts w:cs="Arial"/>
          <w:color w:val="000000"/>
          <w:szCs w:val="20"/>
          <w:lang w:val="pt-PT"/>
        </w:rPr>
      </w:pPr>
    </w:p>
    <w:p w:rsidR="005624E3" w:rsidRPr="00D50F76" w:rsidRDefault="005624E3" w:rsidP="005624E3">
      <w:pPr>
        <w:overflowPunct w:val="0"/>
        <w:adjustRightInd w:val="0"/>
        <w:ind w:left="426" w:hanging="426"/>
        <w:textAlignment w:val="baseline"/>
        <w:rPr>
          <w:rFonts w:cs="Arial"/>
          <w:szCs w:val="20"/>
          <w:lang w:val="pt-PT"/>
        </w:rPr>
      </w:pPr>
      <w:r w:rsidRPr="00D50F76">
        <w:rPr>
          <w:lang w:val="pt-PT"/>
        </w:rPr>
        <w:br w:type="page"/>
      </w:r>
    </w:p>
    <w:p w:rsidR="005624E3" w:rsidRPr="00D50F76" w:rsidRDefault="005624E3" w:rsidP="005624E3">
      <w:pPr>
        <w:spacing w:line="240" w:lineRule="atLeast"/>
        <w:rPr>
          <w:rFonts w:cs="Arial"/>
          <w:snapToGrid w:val="0"/>
          <w:color w:val="000000"/>
          <w:lang w:val="pt-PT"/>
        </w:rPr>
      </w:pPr>
      <w:r w:rsidRPr="00D50F76">
        <w:rPr>
          <w:snapToGrid w:val="0"/>
          <w:color w:val="000000"/>
          <w:lang w:val="pt-PT"/>
        </w:rPr>
        <w:t>2.</w:t>
      </w:r>
      <w:r w:rsidRPr="00D50F76">
        <w:rPr>
          <w:lang w:val="pt-PT"/>
        </w:rPr>
        <w:tab/>
      </w:r>
      <w:r w:rsidRPr="00D50F76">
        <w:rPr>
          <w:noProof/>
          <w:color w:val="000000"/>
          <w:lang w:val="pt-PT"/>
        </w:rPr>
        <w:t>Az 1. bekezdésben leírt feltételek mellett a kijelzési hibáknak a függelékben megjelölt tűréshatárokon belül kell maradniuk.</w:t>
      </w:r>
    </w:p>
    <w:p w:rsidR="005624E3" w:rsidRPr="00D50F76" w:rsidRDefault="005624E3" w:rsidP="005624E3">
      <w:pPr>
        <w:spacing w:line="240" w:lineRule="atLeast"/>
        <w:ind w:left="426"/>
        <w:rPr>
          <w:noProof/>
          <w:lang w:val="pt-PT"/>
        </w:rPr>
      </w:pPr>
    </w:p>
    <w:p w:rsidR="005624E3" w:rsidRPr="00D50F76" w:rsidRDefault="005624E3" w:rsidP="005624E3">
      <w:pPr>
        <w:spacing w:line="240" w:lineRule="atLeast"/>
        <w:ind w:left="426"/>
        <w:rPr>
          <w:noProof/>
          <w:lang w:val="pt-PT"/>
        </w:rPr>
      </w:pPr>
      <w:r w:rsidRPr="00D50F76">
        <w:rPr>
          <w:lang w:val="pt-PT"/>
        </w:rPr>
        <w:t>A 2–4. fejezet valamennyi minimumkövetelményét teljesíteni kell.</w:t>
      </w:r>
    </w:p>
    <w:p w:rsidR="005624E3" w:rsidRPr="00D50F76" w:rsidRDefault="005624E3" w:rsidP="005624E3">
      <w:pPr>
        <w:spacing w:line="240" w:lineRule="atLeast"/>
        <w:ind w:left="426"/>
        <w:rPr>
          <w:lang w:val="pt-PT"/>
        </w:rPr>
      </w:pPr>
    </w:p>
    <w:p w:rsidR="005624E3" w:rsidRPr="00D50F76" w:rsidRDefault="005624E3" w:rsidP="005624E3">
      <w:pPr>
        <w:tabs>
          <w:tab w:val="right" w:pos="9072"/>
        </w:tabs>
        <w:overflowPunct w:val="0"/>
        <w:adjustRightInd w:val="0"/>
        <w:spacing w:line="240" w:lineRule="atLeast"/>
        <w:jc w:val="center"/>
        <w:textAlignment w:val="baseline"/>
        <w:rPr>
          <w:rFonts w:cs="Arial"/>
          <w:b/>
          <w:bCs/>
          <w:szCs w:val="20"/>
          <w:lang w:val="pt-PT"/>
        </w:rPr>
      </w:pPr>
      <w:r w:rsidRPr="00D50F76">
        <w:rPr>
          <w:b/>
          <w:noProof/>
          <w:lang w:val="pt-PT"/>
        </w:rPr>
        <w:t>Függelék</w:t>
      </w:r>
    </w:p>
    <w:p w:rsidR="005624E3" w:rsidRPr="00D50F76" w:rsidRDefault="005624E3" w:rsidP="005624E3">
      <w:pPr>
        <w:tabs>
          <w:tab w:val="decimal" w:pos="7056"/>
          <w:tab w:val="decimal" w:pos="9504"/>
        </w:tabs>
        <w:overflowPunct w:val="0"/>
        <w:adjustRightInd w:val="0"/>
        <w:jc w:val="center"/>
        <w:textAlignment w:val="baseline"/>
        <w:rPr>
          <w:rFonts w:cs="Arial"/>
          <w:b/>
          <w:bCs/>
          <w:szCs w:val="20"/>
          <w:lang w:val="pt-PT"/>
        </w:rPr>
      </w:pPr>
      <w:r w:rsidRPr="00D50F76">
        <w:rPr>
          <w:b/>
          <w:noProof/>
          <w:lang w:val="pt-PT"/>
        </w:rPr>
        <w:t>1. ábra: A fordulási szögsebességjelzők kijelzési hibaértékeinek maximális toleranciaszintje</w:t>
      </w:r>
    </w:p>
    <w:p w:rsidR="005624E3" w:rsidRPr="00D50F76" w:rsidRDefault="005624E3" w:rsidP="005624E3">
      <w:pPr>
        <w:tabs>
          <w:tab w:val="decimal" w:pos="7056"/>
          <w:tab w:val="decimal" w:pos="9504"/>
        </w:tabs>
        <w:overflowPunct w:val="0"/>
        <w:adjustRightInd w:val="0"/>
        <w:jc w:val="center"/>
        <w:textAlignment w:val="baseline"/>
        <w:rPr>
          <w:rFonts w:cs="Arial"/>
          <w:b/>
          <w:bCs/>
          <w:szCs w:val="20"/>
          <w:lang w:val="pt-PT"/>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r>
        <w:rPr>
          <w:noProof/>
        </w:rPr>
        <w:drawing>
          <wp:inline distT="0" distB="0" distL="0" distR="0" wp14:anchorId="4C09A436" wp14:editId="28ED968B">
            <wp:extent cx="5038725" cy="7334250"/>
            <wp:effectExtent l="0" t="0" r="952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038725" cy="7334250"/>
                    </a:xfrm>
                    <a:prstGeom prst="rect">
                      <a:avLst/>
                    </a:prstGeom>
                    <a:noFill/>
                    <a:ln>
                      <a:noFill/>
                    </a:ln>
                  </pic:spPr>
                </pic:pic>
              </a:graphicData>
            </a:graphic>
          </wp:inline>
        </w:drawing>
      </w: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decimal" w:pos="7056"/>
          <w:tab w:val="decimal" w:pos="9504"/>
        </w:tabs>
        <w:overflowPunct w:val="0"/>
        <w:adjustRightInd w:val="0"/>
        <w:jc w:val="center"/>
        <w:textAlignment w:val="baseline"/>
        <w:rPr>
          <w:rFonts w:cs="Arial"/>
          <w:b/>
          <w:bCs/>
          <w:szCs w:val="20"/>
        </w:rPr>
      </w:pPr>
    </w:p>
    <w:p w:rsidR="005624E3" w:rsidRPr="00C903F8" w:rsidRDefault="005624E3" w:rsidP="005624E3">
      <w:pPr>
        <w:tabs>
          <w:tab w:val="right" w:pos="9072"/>
        </w:tabs>
        <w:overflowPunct w:val="0"/>
        <w:adjustRightInd w:val="0"/>
        <w:spacing w:line="240" w:lineRule="atLeast"/>
        <w:textAlignment w:val="baseline"/>
        <w:rPr>
          <w:rFonts w:cs="Arial"/>
          <w:szCs w:val="20"/>
        </w:rPr>
      </w:pPr>
    </w:p>
    <w:p w:rsidR="005624E3" w:rsidRPr="00C903F8" w:rsidRDefault="005624E3" w:rsidP="005624E3">
      <w:pPr>
        <w:spacing w:line="240" w:lineRule="atLeast"/>
        <w:ind w:left="567" w:hanging="567"/>
      </w:pPr>
      <w:r>
        <w:br w:type="page"/>
      </w:r>
    </w:p>
    <w:p w:rsidR="005624E3" w:rsidRPr="00C903F8" w:rsidRDefault="005624E3" w:rsidP="005624E3">
      <w:pPr>
        <w:pStyle w:val="ES-Titre3"/>
        <w:rPr>
          <w:noProof/>
        </w:rPr>
      </w:pPr>
      <w:bookmarkStart w:id="646" w:name="_Toc491854314"/>
      <w:bookmarkStart w:id="647" w:name="_Toc535854095"/>
      <w:r>
        <w:t>III. szakasz</w:t>
      </w:r>
      <w:bookmarkEnd w:id="646"/>
      <w:bookmarkEnd w:id="647"/>
      <w:r>
        <w:t xml:space="preserve"> </w:t>
      </w:r>
    </w:p>
    <w:p w:rsidR="005624E3" w:rsidRPr="00C903F8" w:rsidRDefault="005624E3" w:rsidP="005624E3">
      <w:pPr>
        <w:pStyle w:val="ES-Titre3a"/>
        <w:rPr>
          <w:rFonts w:cs="Arial"/>
          <w:szCs w:val="20"/>
        </w:rPr>
      </w:pPr>
      <w:bookmarkStart w:id="648" w:name="_Toc491854315"/>
      <w:bookmarkStart w:id="649" w:name="_Toc535854096"/>
      <w:r>
        <w:t>A belvízi hajók fedélzetén használt navigációs radarberendezések és fordulási szögsebességjelzők beszerelésére és teljesítménypróbájára vonatkozó követelmények</w:t>
      </w:r>
      <w:bookmarkEnd w:id="648"/>
      <w:bookmarkEnd w:id="649"/>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jc w:val="center"/>
        <w:rPr>
          <w:rFonts w:cs="Arial"/>
          <w:i/>
          <w:noProof/>
        </w:rPr>
      </w:pPr>
      <w:r>
        <w:rPr>
          <w:b/>
          <w:noProof/>
        </w:rPr>
        <w:t>1. cikk</w:t>
      </w:r>
      <w:r>
        <w:rPr>
          <w:rFonts w:cs="Arial"/>
          <w:b/>
          <w:noProof/>
        </w:rPr>
        <w:br/>
      </w:r>
      <w:r>
        <w:rPr>
          <w:i/>
          <w:noProof/>
        </w:rPr>
        <w:t>Általános rendelkezések</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A navigációs radarberendezések és a fordulási szögsebességjelző rendszerek beszerelését és teljesítménypróbáját a következő rendelkezéseknek megfelelően kell elvégezni.</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2.</w:t>
      </w:r>
      <w:r>
        <w:tab/>
      </w:r>
      <w:r>
        <w:rPr>
          <w:noProof/>
          <w:color w:val="000000"/>
        </w:rPr>
        <w:t>Csak annak a berendezésnek a beszerelése engedélyezhető, amely az I. szakasz 6. cikkének vagy a II. szakasz 1.05. cikkének megfelelő típusjóváhagyással vagy ezzel egyenértékűként elismert típusjóváhagyással rendelkezik.</w:t>
      </w:r>
    </w:p>
    <w:p w:rsidR="005624E3" w:rsidRPr="00C903F8" w:rsidRDefault="005624E3" w:rsidP="005624E3">
      <w:pPr>
        <w:spacing w:line="240" w:lineRule="atLeast"/>
        <w:rPr>
          <w:rFonts w:cs="Arial"/>
          <w:noProof/>
          <w:color w:val="000000"/>
        </w:rPr>
      </w:pPr>
    </w:p>
    <w:p w:rsidR="005624E3" w:rsidRPr="001077F3" w:rsidRDefault="005624E3" w:rsidP="005624E3">
      <w:pPr>
        <w:spacing w:line="240" w:lineRule="atLeast"/>
        <w:rPr>
          <w:rFonts w:cs="Arial"/>
          <w:noProof/>
          <w:color w:val="000000"/>
        </w:rPr>
      </w:pPr>
      <w:r>
        <w:rPr>
          <w:noProof/>
          <w:color w:val="000000"/>
        </w:rPr>
        <w:t>3.</w:t>
      </w:r>
      <w:r>
        <w:tab/>
      </w:r>
      <w:r>
        <w:rPr>
          <w:noProof/>
          <w:color w:val="000000"/>
        </w:rPr>
        <w:t>A navigációs radarberendezésekhez típusjóváhagyással rendelkező külső érzékelőn kívül más berendezés nem csatlakoztatható. A navigációs radarberendezéshez csatlakozó külső érzékelőknek a következő tengerészeti szabványok szerinti típusjóváhagyással kell rendelkezniük:</w:t>
      </w:r>
    </w:p>
    <w:p w:rsidR="005624E3" w:rsidRPr="00F21CA2" w:rsidRDefault="005624E3" w:rsidP="005624E3">
      <w:pPr>
        <w:ind w:left="426" w:hanging="426"/>
        <w:rPr>
          <w:rFonts w:cs="Arial"/>
          <w:noProof/>
          <w:color w:val="000000"/>
          <w:highlight w:val="lightGray"/>
        </w:rPr>
      </w:pPr>
    </w:p>
    <w:tbl>
      <w:tblPr>
        <w:tblW w:w="0" w:type="auto"/>
        <w:jc w:val="right"/>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17"/>
        <w:gridCol w:w="2860"/>
        <w:gridCol w:w="2976"/>
      </w:tblGrid>
      <w:tr w:rsidR="005624E3" w:rsidRPr="00A0619C" w:rsidTr="00101A80">
        <w:trPr>
          <w:trHeight w:val="595"/>
          <w:jc w:val="right"/>
        </w:trPr>
        <w:tc>
          <w:tcPr>
            <w:tcW w:w="2917" w:type="dxa"/>
            <w:vMerge w:val="restart"/>
            <w:shd w:val="clear" w:color="auto" w:fill="auto"/>
          </w:tcPr>
          <w:p w:rsidR="005624E3" w:rsidRPr="003D0163" w:rsidRDefault="005624E3" w:rsidP="00101A80">
            <w:pPr>
              <w:spacing w:before="60" w:after="60" w:line="240" w:lineRule="atLeast"/>
              <w:jc w:val="center"/>
              <w:rPr>
                <w:sz w:val="18"/>
                <w:szCs w:val="18"/>
              </w:rPr>
            </w:pPr>
          </w:p>
          <w:p w:rsidR="005624E3" w:rsidRPr="003D0163" w:rsidRDefault="005624E3" w:rsidP="00101A80">
            <w:pPr>
              <w:spacing w:before="60" w:after="60" w:line="240" w:lineRule="atLeast"/>
              <w:jc w:val="center"/>
              <w:rPr>
                <w:b/>
                <w:sz w:val="18"/>
                <w:szCs w:val="18"/>
              </w:rPr>
            </w:pPr>
            <w:r>
              <w:rPr>
                <w:b/>
                <w:sz w:val="18"/>
              </w:rPr>
              <w:t>Érzékelő</w:t>
            </w:r>
          </w:p>
        </w:tc>
        <w:tc>
          <w:tcPr>
            <w:tcW w:w="5836" w:type="dxa"/>
            <w:gridSpan w:val="2"/>
            <w:shd w:val="clear" w:color="auto" w:fill="auto"/>
          </w:tcPr>
          <w:p w:rsidR="005624E3" w:rsidRPr="003D0163" w:rsidRDefault="005624E3" w:rsidP="00101A80">
            <w:pPr>
              <w:spacing w:before="60" w:after="60" w:line="240" w:lineRule="atLeast"/>
              <w:jc w:val="center"/>
              <w:rPr>
                <w:sz w:val="18"/>
                <w:szCs w:val="18"/>
              </w:rPr>
            </w:pPr>
            <w:r>
              <w:rPr>
                <w:b/>
                <w:sz w:val="18"/>
              </w:rPr>
              <w:t>Az alábbiak szerinti minimumkövetelmények:</w:t>
            </w:r>
          </w:p>
        </w:tc>
      </w:tr>
      <w:tr w:rsidR="005624E3" w:rsidRPr="00F21CA2" w:rsidTr="00101A80">
        <w:trPr>
          <w:trHeight w:val="516"/>
          <w:jc w:val="right"/>
        </w:trPr>
        <w:tc>
          <w:tcPr>
            <w:tcW w:w="2917" w:type="dxa"/>
            <w:vMerge/>
            <w:shd w:val="clear" w:color="auto" w:fill="auto"/>
          </w:tcPr>
          <w:p w:rsidR="005624E3" w:rsidRPr="003D0163" w:rsidRDefault="005624E3" w:rsidP="00101A80">
            <w:pPr>
              <w:spacing w:before="60" w:after="60" w:line="240" w:lineRule="atLeast"/>
              <w:jc w:val="center"/>
              <w:rPr>
                <w:color w:val="000000"/>
                <w:sz w:val="18"/>
                <w:szCs w:val="18"/>
              </w:rPr>
            </w:pPr>
          </w:p>
        </w:tc>
        <w:tc>
          <w:tcPr>
            <w:tcW w:w="2860" w:type="dxa"/>
            <w:shd w:val="clear" w:color="auto" w:fill="auto"/>
          </w:tcPr>
          <w:p w:rsidR="005624E3" w:rsidRPr="003D0163" w:rsidRDefault="005624E3" w:rsidP="00101A80">
            <w:pPr>
              <w:spacing w:before="60" w:after="60" w:line="240" w:lineRule="atLeast"/>
              <w:jc w:val="center"/>
              <w:rPr>
                <w:b/>
                <w:color w:val="000000"/>
                <w:sz w:val="18"/>
                <w:szCs w:val="18"/>
              </w:rPr>
            </w:pPr>
            <w:r>
              <w:rPr>
                <w:b/>
                <w:sz w:val="18"/>
              </w:rPr>
              <w:t>Szabvány (IMO)</w:t>
            </w:r>
          </w:p>
        </w:tc>
        <w:tc>
          <w:tcPr>
            <w:tcW w:w="2976" w:type="dxa"/>
            <w:shd w:val="clear" w:color="auto" w:fill="auto"/>
          </w:tcPr>
          <w:p w:rsidR="005624E3" w:rsidRPr="003D0163" w:rsidRDefault="005624E3" w:rsidP="00101A80">
            <w:pPr>
              <w:spacing w:before="60" w:after="60" w:line="240" w:lineRule="atLeast"/>
              <w:jc w:val="center"/>
              <w:rPr>
                <w:b/>
                <w:color w:val="000000"/>
                <w:sz w:val="18"/>
                <w:szCs w:val="18"/>
              </w:rPr>
            </w:pPr>
            <w:r>
              <w:rPr>
                <w:b/>
                <w:sz w:val="18"/>
              </w:rPr>
              <w:t>ISO / IEC szabvány</w:t>
            </w:r>
          </w:p>
        </w:tc>
      </w:tr>
      <w:tr w:rsidR="005624E3" w:rsidRPr="00F21CA2" w:rsidTr="00101A80">
        <w:trPr>
          <w:jc w:val="right"/>
        </w:trPr>
        <w:tc>
          <w:tcPr>
            <w:tcW w:w="2917" w:type="dxa"/>
            <w:shd w:val="clear" w:color="auto" w:fill="auto"/>
          </w:tcPr>
          <w:p w:rsidR="005624E3" w:rsidRPr="003D0163" w:rsidRDefault="005624E3" w:rsidP="00101A80">
            <w:pPr>
              <w:spacing w:before="60" w:after="60" w:line="240" w:lineRule="atLeast"/>
              <w:rPr>
                <w:color w:val="000000"/>
                <w:sz w:val="18"/>
                <w:szCs w:val="18"/>
              </w:rPr>
            </w:pPr>
            <w:r>
              <w:rPr>
                <w:sz w:val="18"/>
              </w:rPr>
              <w:t>GPS</w:t>
            </w:r>
          </w:p>
        </w:tc>
        <w:tc>
          <w:tcPr>
            <w:tcW w:w="2860" w:type="dxa"/>
            <w:shd w:val="clear" w:color="auto" w:fill="auto"/>
          </w:tcPr>
          <w:p w:rsidR="005624E3" w:rsidRPr="003D0163" w:rsidRDefault="005624E3" w:rsidP="00101A80">
            <w:pPr>
              <w:spacing w:before="60" w:after="60" w:line="240" w:lineRule="atLeast"/>
              <w:jc w:val="center"/>
              <w:rPr>
                <w:color w:val="000000"/>
                <w:sz w:val="18"/>
                <w:szCs w:val="18"/>
              </w:rPr>
            </w:pPr>
            <w:r>
              <w:rPr>
                <w:sz w:val="18"/>
              </w:rPr>
              <w:t>MSC.112(73)</w:t>
            </w:r>
            <w:r>
              <w:rPr>
                <w:sz w:val="18"/>
                <w:vertAlign w:val="superscript"/>
              </w:rPr>
              <w:footnoteReference w:id="54"/>
            </w:r>
          </w:p>
        </w:tc>
        <w:tc>
          <w:tcPr>
            <w:tcW w:w="2976" w:type="dxa"/>
            <w:shd w:val="clear" w:color="auto" w:fill="auto"/>
          </w:tcPr>
          <w:p w:rsidR="005624E3" w:rsidRPr="003D0163" w:rsidRDefault="005624E3" w:rsidP="00101A80">
            <w:pPr>
              <w:spacing w:before="60" w:after="60" w:line="240" w:lineRule="atLeast"/>
              <w:jc w:val="center"/>
              <w:rPr>
                <w:color w:val="000000"/>
                <w:sz w:val="18"/>
                <w:szCs w:val="18"/>
              </w:rPr>
            </w:pPr>
            <w:r>
              <w:rPr>
                <w:sz w:val="18"/>
              </w:rPr>
              <w:t>IEC 61108-1:2003</w:t>
            </w:r>
          </w:p>
        </w:tc>
      </w:tr>
      <w:tr w:rsidR="005624E3" w:rsidRPr="00F21CA2" w:rsidTr="00101A80">
        <w:trPr>
          <w:jc w:val="right"/>
        </w:trPr>
        <w:tc>
          <w:tcPr>
            <w:tcW w:w="2917" w:type="dxa"/>
            <w:shd w:val="clear" w:color="auto" w:fill="auto"/>
          </w:tcPr>
          <w:p w:rsidR="005624E3" w:rsidRPr="003D0163" w:rsidRDefault="005624E3" w:rsidP="00101A80">
            <w:pPr>
              <w:spacing w:before="60" w:after="60" w:line="240" w:lineRule="atLeast"/>
              <w:rPr>
                <w:color w:val="000000"/>
                <w:sz w:val="18"/>
                <w:szCs w:val="18"/>
              </w:rPr>
            </w:pPr>
            <w:r>
              <w:rPr>
                <w:sz w:val="18"/>
              </w:rPr>
              <w:t>DGPS/DGLONASS</w:t>
            </w:r>
          </w:p>
        </w:tc>
        <w:tc>
          <w:tcPr>
            <w:tcW w:w="2860" w:type="dxa"/>
            <w:shd w:val="clear" w:color="auto" w:fill="auto"/>
          </w:tcPr>
          <w:p w:rsidR="005624E3" w:rsidRPr="003D0163" w:rsidRDefault="005624E3" w:rsidP="00101A80">
            <w:pPr>
              <w:spacing w:before="60" w:after="60" w:line="240" w:lineRule="atLeast"/>
              <w:jc w:val="center"/>
              <w:rPr>
                <w:color w:val="000000"/>
                <w:sz w:val="18"/>
                <w:szCs w:val="18"/>
              </w:rPr>
            </w:pPr>
            <w:r>
              <w:rPr>
                <w:sz w:val="18"/>
              </w:rPr>
              <w:t>MSC.114(73)</w:t>
            </w:r>
            <w:r>
              <w:rPr>
                <w:sz w:val="18"/>
                <w:vertAlign w:val="superscript"/>
              </w:rPr>
              <w:footnoteReference w:id="55"/>
            </w:r>
          </w:p>
        </w:tc>
        <w:tc>
          <w:tcPr>
            <w:tcW w:w="2976" w:type="dxa"/>
            <w:shd w:val="clear" w:color="auto" w:fill="auto"/>
          </w:tcPr>
          <w:p w:rsidR="005624E3" w:rsidRPr="003D0163" w:rsidRDefault="005624E3" w:rsidP="00101A80">
            <w:pPr>
              <w:spacing w:before="60" w:after="60" w:line="240" w:lineRule="atLeast"/>
              <w:jc w:val="center"/>
              <w:rPr>
                <w:color w:val="000000"/>
                <w:sz w:val="18"/>
                <w:szCs w:val="18"/>
              </w:rPr>
            </w:pPr>
            <w:r>
              <w:rPr>
                <w:sz w:val="18"/>
              </w:rPr>
              <w:t>IEC 61108-4:2004</w:t>
            </w:r>
          </w:p>
        </w:tc>
      </w:tr>
      <w:tr w:rsidR="005624E3" w:rsidRPr="00F21CA2" w:rsidTr="00101A80">
        <w:trPr>
          <w:jc w:val="right"/>
        </w:trPr>
        <w:tc>
          <w:tcPr>
            <w:tcW w:w="2917" w:type="dxa"/>
            <w:shd w:val="clear" w:color="auto" w:fill="auto"/>
          </w:tcPr>
          <w:p w:rsidR="005624E3" w:rsidRPr="003D0163" w:rsidRDefault="005624E3" w:rsidP="00101A80">
            <w:pPr>
              <w:spacing w:before="60" w:after="60" w:line="240" w:lineRule="atLeast"/>
              <w:rPr>
                <w:color w:val="000000"/>
                <w:sz w:val="18"/>
                <w:szCs w:val="18"/>
              </w:rPr>
            </w:pPr>
            <w:r>
              <w:rPr>
                <w:sz w:val="18"/>
              </w:rPr>
              <w:t>Galileo</w:t>
            </w:r>
          </w:p>
        </w:tc>
        <w:tc>
          <w:tcPr>
            <w:tcW w:w="2860" w:type="dxa"/>
            <w:shd w:val="clear" w:color="auto" w:fill="auto"/>
          </w:tcPr>
          <w:p w:rsidR="005624E3" w:rsidRPr="003D0163" w:rsidRDefault="005624E3" w:rsidP="00101A80">
            <w:pPr>
              <w:spacing w:before="60" w:after="60" w:line="240" w:lineRule="atLeast"/>
              <w:jc w:val="center"/>
              <w:rPr>
                <w:color w:val="000000"/>
                <w:sz w:val="18"/>
                <w:szCs w:val="18"/>
              </w:rPr>
            </w:pPr>
            <w:r>
              <w:rPr>
                <w:sz w:val="18"/>
              </w:rPr>
              <w:t>MSC.233(82)</w:t>
            </w:r>
            <w:r>
              <w:rPr>
                <w:sz w:val="18"/>
                <w:vertAlign w:val="superscript"/>
              </w:rPr>
              <w:footnoteReference w:id="56"/>
            </w:r>
          </w:p>
        </w:tc>
        <w:tc>
          <w:tcPr>
            <w:tcW w:w="2976" w:type="dxa"/>
            <w:shd w:val="clear" w:color="auto" w:fill="auto"/>
          </w:tcPr>
          <w:p w:rsidR="005624E3" w:rsidRPr="003D0163" w:rsidRDefault="005624E3" w:rsidP="00101A80">
            <w:pPr>
              <w:spacing w:before="60" w:after="60" w:line="240" w:lineRule="atLeast"/>
              <w:jc w:val="center"/>
              <w:rPr>
                <w:color w:val="000000"/>
                <w:sz w:val="18"/>
                <w:szCs w:val="18"/>
              </w:rPr>
            </w:pPr>
            <w:r>
              <w:rPr>
                <w:sz w:val="18"/>
              </w:rPr>
              <w:t>IEC 61108-3:2010</w:t>
            </w:r>
          </w:p>
        </w:tc>
      </w:tr>
      <w:tr w:rsidR="005624E3" w:rsidRPr="00F21CA2" w:rsidTr="00101A80">
        <w:trPr>
          <w:jc w:val="right"/>
        </w:trPr>
        <w:tc>
          <w:tcPr>
            <w:tcW w:w="2917" w:type="dxa"/>
            <w:shd w:val="clear" w:color="auto" w:fill="auto"/>
          </w:tcPr>
          <w:p w:rsidR="005624E3" w:rsidRPr="003D0163" w:rsidRDefault="005624E3" w:rsidP="00101A80">
            <w:pPr>
              <w:spacing w:before="60" w:after="60" w:line="240" w:lineRule="atLeast"/>
              <w:rPr>
                <w:color w:val="000000"/>
                <w:sz w:val="18"/>
                <w:szCs w:val="18"/>
              </w:rPr>
            </w:pPr>
            <w:r>
              <w:rPr>
                <w:sz w:val="18"/>
              </w:rPr>
              <w:t>Haladási irány/GPS Compass</w:t>
            </w:r>
          </w:p>
        </w:tc>
        <w:tc>
          <w:tcPr>
            <w:tcW w:w="2860" w:type="dxa"/>
            <w:shd w:val="clear" w:color="auto" w:fill="auto"/>
          </w:tcPr>
          <w:p w:rsidR="005624E3" w:rsidRPr="003D0163" w:rsidRDefault="005624E3" w:rsidP="00101A80">
            <w:pPr>
              <w:spacing w:before="60" w:after="60" w:line="240" w:lineRule="atLeast"/>
              <w:jc w:val="center"/>
              <w:rPr>
                <w:color w:val="000000"/>
                <w:sz w:val="18"/>
                <w:szCs w:val="18"/>
              </w:rPr>
            </w:pPr>
            <w:r>
              <w:rPr>
                <w:sz w:val="18"/>
              </w:rPr>
              <w:t>MSC.116(73)</w:t>
            </w:r>
            <w:r>
              <w:rPr>
                <w:sz w:val="18"/>
                <w:vertAlign w:val="superscript"/>
              </w:rPr>
              <w:footnoteReference w:id="57"/>
            </w:r>
          </w:p>
        </w:tc>
        <w:tc>
          <w:tcPr>
            <w:tcW w:w="2976" w:type="dxa"/>
            <w:shd w:val="clear" w:color="auto" w:fill="auto"/>
          </w:tcPr>
          <w:p w:rsidR="005624E3" w:rsidRPr="003D0163" w:rsidRDefault="005624E3" w:rsidP="00101A80">
            <w:pPr>
              <w:spacing w:before="60" w:after="60" w:line="240" w:lineRule="atLeast"/>
              <w:jc w:val="center"/>
              <w:rPr>
                <w:color w:val="000000"/>
                <w:sz w:val="18"/>
                <w:szCs w:val="18"/>
              </w:rPr>
            </w:pPr>
            <w:r>
              <w:rPr>
                <w:sz w:val="18"/>
              </w:rPr>
              <w:t>ISO 22090-3:2014</w:t>
            </w:r>
            <w:r>
              <w:rPr>
                <w:sz w:val="18"/>
                <w:szCs w:val="18"/>
              </w:rPr>
              <w:br/>
            </w:r>
            <w:r>
              <w:rPr>
                <w:sz w:val="18"/>
              </w:rPr>
              <w:t>3. rész: GNSS-alapelvek</w:t>
            </w:r>
          </w:p>
        </w:tc>
      </w:tr>
    </w:tbl>
    <w:p w:rsidR="005624E3" w:rsidRPr="001077F3" w:rsidRDefault="005624E3" w:rsidP="005624E3">
      <w:pPr>
        <w:spacing w:line="240" w:lineRule="atLeast"/>
        <w:rPr>
          <w:rFonts w:cs="Arial"/>
          <w:color w:val="000000"/>
          <w:highlight w:val="lightGray"/>
        </w:rPr>
      </w:pPr>
    </w:p>
    <w:p w:rsidR="005624E3" w:rsidRPr="001077F3" w:rsidRDefault="005624E3" w:rsidP="005624E3">
      <w:pPr>
        <w:spacing w:line="240" w:lineRule="atLeast"/>
        <w:rPr>
          <w:rFonts w:cs="Arial"/>
          <w:noProof/>
          <w:color w:val="000000"/>
        </w:rPr>
      </w:pPr>
      <w:r>
        <w:rPr>
          <w:noProof/>
          <w:color w:val="000000"/>
        </w:rPr>
        <w:t>4.</w:t>
      </w:r>
      <w:r>
        <w:tab/>
      </w:r>
      <w:r>
        <w:rPr>
          <w:noProof/>
          <w:color w:val="000000"/>
        </w:rPr>
        <w:t>Ha belvízi AIS-berendezést olyan navigációs radarberendezéshez csatlakoztatnak, amely nem rende</w:t>
      </w:r>
      <w:r w:rsidR="00A74DAC">
        <w:rPr>
          <w:noProof/>
          <w:color w:val="000000"/>
        </w:rPr>
        <w:t xml:space="preserve">lkezik elektronikus belvízi navigációs </w:t>
      </w:r>
      <w:r>
        <w:rPr>
          <w:noProof/>
          <w:color w:val="000000"/>
        </w:rPr>
        <w:t>kártyával az AIS-szimbólumok megjelenítésére, akkor csatlakoztatni kell egy jóváhagyott tájolót is az 5. melléklet I. szakasza 2. pontjának való megfelelés érdekében.</w:t>
      </w:r>
    </w:p>
    <w:p w:rsidR="005624E3" w:rsidRPr="00C903F8" w:rsidRDefault="005624E3" w:rsidP="005624E3">
      <w:pPr>
        <w:spacing w:line="240" w:lineRule="atLeast"/>
        <w:rPr>
          <w:rFonts w:cs="Arial"/>
          <w:noProof/>
          <w:color w:val="000000"/>
        </w:rPr>
      </w:pPr>
    </w:p>
    <w:p w:rsidR="005624E3" w:rsidRDefault="005624E3" w:rsidP="005624E3">
      <w:pPr>
        <w:spacing w:line="240" w:lineRule="atLeast"/>
        <w:jc w:val="center"/>
        <w:rPr>
          <w:rFonts w:cs="Arial"/>
          <w:b/>
          <w:noProof/>
        </w:rPr>
      </w:pPr>
    </w:p>
    <w:p w:rsidR="005624E3" w:rsidRPr="00C903F8" w:rsidRDefault="005624E3" w:rsidP="005624E3">
      <w:pPr>
        <w:spacing w:line="240" w:lineRule="atLeast"/>
        <w:jc w:val="center"/>
        <w:rPr>
          <w:rFonts w:cs="Arial"/>
          <w:i/>
          <w:noProof/>
        </w:rPr>
      </w:pPr>
      <w:r>
        <w:rPr>
          <w:b/>
          <w:noProof/>
        </w:rPr>
        <w:t>2. cikk</w:t>
      </w:r>
      <w:r>
        <w:rPr>
          <w:rFonts w:cs="Arial"/>
          <w:b/>
          <w:noProof/>
        </w:rPr>
        <w:br/>
      </w:r>
      <w:r>
        <w:rPr>
          <w:i/>
          <w:noProof/>
        </w:rPr>
        <w:t>Jóváhagyott szakértő cégek</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 xml:space="preserve">A navigációs radarberendezések és fordulási szögsebességjelzők beszerelését, cseréjét, javítását és karbantartását csak az illetékes hatóság által jóváhagyott szakértő cégek végezhetik. </w:t>
      </w:r>
    </w:p>
    <w:p w:rsidR="005624E3" w:rsidRPr="00C903F8" w:rsidRDefault="005624E3" w:rsidP="005624E3">
      <w:pPr>
        <w:spacing w:line="240" w:lineRule="atLeast"/>
        <w:ind w:left="426"/>
        <w:rPr>
          <w:noProof/>
        </w:rPr>
      </w:pPr>
    </w:p>
    <w:p w:rsidR="005624E3" w:rsidRPr="00C903F8" w:rsidRDefault="005624E3" w:rsidP="005624E3">
      <w:pPr>
        <w:spacing w:line="240" w:lineRule="atLeast"/>
        <w:rPr>
          <w:rFonts w:cs="Arial"/>
          <w:noProof/>
          <w:color w:val="000000"/>
        </w:rPr>
      </w:pPr>
      <w:r>
        <w:rPr>
          <w:noProof/>
          <w:color w:val="000000"/>
        </w:rPr>
        <w:t>2.</w:t>
      </w:r>
      <w:r>
        <w:tab/>
      </w:r>
      <w:r>
        <w:rPr>
          <w:noProof/>
          <w:color w:val="000000"/>
        </w:rPr>
        <w:t>Az illetékes hatóság visszavonhatja a jóváhagyást.</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p>
    <w:p w:rsidR="005624E3" w:rsidRDefault="005624E3" w:rsidP="005624E3">
      <w:pPr>
        <w:rPr>
          <w:rFonts w:cs="Arial"/>
          <w:b/>
          <w:noProof/>
        </w:rPr>
      </w:pPr>
      <w:r>
        <w:br w:type="page"/>
      </w:r>
    </w:p>
    <w:p w:rsidR="005624E3" w:rsidRDefault="005624E3" w:rsidP="005624E3">
      <w:pPr>
        <w:spacing w:line="240" w:lineRule="atLeast"/>
        <w:jc w:val="center"/>
        <w:rPr>
          <w:rFonts w:cs="Arial"/>
          <w:b/>
          <w:noProof/>
        </w:rPr>
      </w:pPr>
    </w:p>
    <w:p w:rsidR="005624E3" w:rsidRPr="00C903F8" w:rsidRDefault="005624E3" w:rsidP="005624E3">
      <w:pPr>
        <w:spacing w:line="240" w:lineRule="atLeast"/>
        <w:jc w:val="center"/>
        <w:rPr>
          <w:rFonts w:cs="Arial"/>
          <w:i/>
          <w:noProof/>
        </w:rPr>
      </w:pPr>
      <w:r>
        <w:rPr>
          <w:b/>
          <w:noProof/>
        </w:rPr>
        <w:t>3. cikk</w:t>
      </w:r>
      <w:r>
        <w:rPr>
          <w:rFonts w:cs="Arial"/>
          <w:b/>
          <w:noProof/>
        </w:rPr>
        <w:br/>
      </w:r>
      <w:r>
        <w:rPr>
          <w:i/>
          <w:noProof/>
        </w:rPr>
        <w:t>A fedélzeti áramforrásra vonatkozó követelmények</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r>
        <w:t>A navigációs radarberendezések és fordulási szögsebességjelzők minden, áramforrást biztosító vezetékének saját külön biztonsági berendezéssel kell rendelkeznie, valamint a lehető legüzembiztosabbnak kell lennie.</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szCs w:val="20"/>
        </w:rPr>
      </w:pPr>
    </w:p>
    <w:p w:rsidR="005624E3" w:rsidRPr="00C903F8" w:rsidRDefault="005624E3" w:rsidP="005624E3">
      <w:pPr>
        <w:spacing w:line="240" w:lineRule="atLeast"/>
        <w:jc w:val="center"/>
        <w:rPr>
          <w:rFonts w:cs="Arial"/>
          <w:i/>
          <w:noProof/>
        </w:rPr>
      </w:pPr>
      <w:r>
        <w:rPr>
          <w:b/>
          <w:noProof/>
        </w:rPr>
        <w:t>4. cikk</w:t>
      </w:r>
      <w:r>
        <w:rPr>
          <w:rFonts w:cs="Arial"/>
          <w:b/>
          <w:noProof/>
        </w:rPr>
        <w:br/>
      </w:r>
      <w:r>
        <w:rPr>
          <w:i/>
          <w:noProof/>
        </w:rPr>
        <w:t>A radarantenna felszerelése</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A radarantennát a hossztengelyhez a lehető legközelebb kell felszerelni. Az antenna közelében nem lehet olyan akadály, amely hamis visszajelzéseket vagy nem kívánt árnyékokat ad; szükség esetén az antenna az orrfelépítményen is felállítható. A radarantenna üzemi helyén való felszerelésének és rögzítésének elég stabilnak kell lennie ahhoz, hogy a navigációs radarberendezés az előírt pontossági határértékeken belül tudjon működni.</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2.</w:t>
      </w:r>
      <w:r>
        <w:tab/>
      </w:r>
      <w:r>
        <w:rPr>
          <w:noProof/>
          <w:color w:val="000000"/>
        </w:rPr>
        <w:t>A rögzítési szöghiba kijavítása és a berendezés bekapcsolása után az irányvonal és a hajó hossztengelye közötti különbség nem lehet nagyobb 1°-nál.</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jc w:val="center"/>
        <w:rPr>
          <w:rFonts w:cs="Arial"/>
          <w:i/>
          <w:noProof/>
        </w:rPr>
      </w:pPr>
      <w:r>
        <w:rPr>
          <w:b/>
          <w:noProof/>
        </w:rPr>
        <w:t>5. cikk</w:t>
      </w:r>
      <w:r>
        <w:rPr>
          <w:rFonts w:cs="Arial"/>
          <w:b/>
          <w:noProof/>
        </w:rPr>
        <w:br/>
      </w:r>
      <w:r>
        <w:rPr>
          <w:i/>
          <w:noProof/>
        </w:rPr>
        <w:t>A kijelzőegység és a vezérlőegység beszerelése</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A kijelzőegységet és a vezérlőegységet a kormányállásban kell felszerelni úgy, hogy a radarkép értékelése és a navigációs radarberendezés működtetése ne okozzon nehézséget. A radarkép azimutális irányának meg kell felelnie a környezet normál helyzetének. A tartókat és a beállítható konzolokat úgy kell kialakítani, hogy bármilyen helyzetben rezgésmentesen rögzíthetők legyenek.</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2.</w:t>
      </w:r>
      <w:r>
        <w:tab/>
      </w:r>
      <w:r>
        <w:rPr>
          <w:noProof/>
          <w:color w:val="000000"/>
        </w:rPr>
        <w:t>Radarhajózás során a mesterséges megvilágítás nem tükröződhet vissza a radarkezelő irányába.</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3.</w:t>
      </w:r>
      <w:r>
        <w:tab/>
      </w:r>
      <w:r>
        <w:rPr>
          <w:noProof/>
          <w:color w:val="000000"/>
        </w:rPr>
        <w:t>Ha a vezérlőegység nem része a kijelzőegységnek, akkor azt burkolatban kell elhelyezni a kijelzőegységtől mért 1 m-en belül. Vezeték nélkül</w:t>
      </w:r>
      <w:r w:rsidR="000855F0">
        <w:rPr>
          <w:noProof/>
          <w:color w:val="000000"/>
        </w:rPr>
        <w:t>i távvezérlés nem megengedett</w:t>
      </w:r>
      <w:r>
        <w:rPr>
          <w:noProof/>
          <w:color w:val="000000"/>
        </w:rPr>
        <w:t>.</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4.</w:t>
      </w:r>
      <w:r>
        <w:tab/>
      </w:r>
      <w:r>
        <w:rPr>
          <w:noProof/>
          <w:color w:val="000000"/>
        </w:rPr>
        <w:t>Ha segédkijelzők vannak felszerelve, azoknak teljesíteniük kell a navigációs radarberendezésekre vonatkozó követelményeket.</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jc w:val="center"/>
        <w:rPr>
          <w:rFonts w:cs="Arial"/>
          <w:i/>
          <w:noProof/>
        </w:rPr>
      </w:pPr>
      <w:r>
        <w:rPr>
          <w:b/>
          <w:noProof/>
        </w:rPr>
        <w:t>6. cikk</w:t>
      </w:r>
      <w:r>
        <w:rPr>
          <w:rFonts w:cs="Arial"/>
          <w:b/>
          <w:noProof/>
        </w:rPr>
        <w:br/>
      </w:r>
      <w:r>
        <w:rPr>
          <w:i/>
          <w:noProof/>
        </w:rPr>
        <w:t>A fordulási szögsebességjelző beszerelése</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1.</w:t>
      </w:r>
      <w:r>
        <w:tab/>
      </w:r>
      <w:r>
        <w:rPr>
          <w:noProof/>
          <w:color w:val="000000"/>
        </w:rPr>
        <w:t>A fordulási szögsebességjelzőt a kormányos előtt, annak látó</w:t>
      </w:r>
      <w:r w:rsidR="00C323D2">
        <w:rPr>
          <w:noProof/>
          <w:color w:val="000000"/>
        </w:rPr>
        <w:t>ter</w:t>
      </w:r>
      <w:r>
        <w:rPr>
          <w:noProof/>
          <w:color w:val="000000"/>
        </w:rPr>
        <w:t>ében kell elhelyezni.</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2.</w:t>
      </w:r>
      <w:r>
        <w:tab/>
      </w:r>
      <w:r>
        <w:rPr>
          <w:noProof/>
          <w:color w:val="000000"/>
        </w:rPr>
        <w:t>Az érzékelőrendszert, amennyire csak lehet, középen és vízszintesen kell beszerelni, és a hajó hossztengelyéhez kell igazítani. A beszerelés helyének a lehető legteljesebb mértékben rezgésmentesnek kell lennie, és csak enyhe hőmérséklet-változások érhetik. A kijelzőegységet lehetőleg közvetlenül a radarkijelző felett kell beszerelni.</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3.</w:t>
      </w:r>
      <w:r>
        <w:tab/>
      </w:r>
      <w:r>
        <w:rPr>
          <w:noProof/>
          <w:color w:val="000000"/>
        </w:rPr>
        <w:t>Ha segédkijelzők vannak felszerelve, azoknak is eleget kell tenniük a fordulási szögsebességjelzőkre vonatkozó követelményeknek.</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p>
    <w:p w:rsidR="005624E3" w:rsidRDefault="005624E3" w:rsidP="005624E3">
      <w:pPr>
        <w:rPr>
          <w:rFonts w:cs="Arial"/>
          <w:b/>
          <w:noProof/>
        </w:rPr>
      </w:pPr>
      <w:r>
        <w:br w:type="page"/>
      </w:r>
    </w:p>
    <w:p w:rsidR="005624E3" w:rsidRDefault="005624E3" w:rsidP="005624E3">
      <w:pPr>
        <w:spacing w:line="240" w:lineRule="atLeast"/>
        <w:jc w:val="center"/>
        <w:rPr>
          <w:rFonts w:cs="Arial"/>
          <w:b/>
          <w:noProof/>
        </w:rPr>
      </w:pPr>
    </w:p>
    <w:p w:rsidR="005624E3" w:rsidRPr="00C903F8" w:rsidRDefault="005624E3" w:rsidP="005624E3">
      <w:pPr>
        <w:spacing w:line="240" w:lineRule="atLeast"/>
        <w:jc w:val="center"/>
        <w:rPr>
          <w:rFonts w:cs="Arial"/>
          <w:i/>
          <w:noProof/>
        </w:rPr>
      </w:pPr>
      <w:r>
        <w:rPr>
          <w:b/>
          <w:noProof/>
        </w:rPr>
        <w:t>7. cikk</w:t>
      </w:r>
      <w:r>
        <w:rPr>
          <w:rFonts w:cs="Arial"/>
          <w:b/>
          <w:noProof/>
        </w:rPr>
        <w:br/>
      </w:r>
      <w:r>
        <w:rPr>
          <w:i/>
          <w:noProof/>
        </w:rPr>
        <w:t>A helyzetérzékelő beszerelése</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r>
        <w:t>A navigációs üzemmódban működtetett belvízi ECDIS-berendezés esetében a helyzetérzékelőt (például DGPS-antennát) úgy kell felszerelni, hogy az a lehető legnagyobb pontossággal működhessen, és a hajó fedélzetén lévő felépítmények és sugárzó berendezések ne gyakorolhassanak rá zavaró hatást.</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spacing w:line="240" w:lineRule="atLeast"/>
        <w:jc w:val="center"/>
        <w:rPr>
          <w:rFonts w:cs="Arial"/>
          <w:i/>
          <w:noProof/>
        </w:rPr>
      </w:pPr>
      <w:r>
        <w:rPr>
          <w:b/>
          <w:noProof/>
        </w:rPr>
        <w:t>8. cikk</w:t>
      </w:r>
      <w:r>
        <w:rPr>
          <w:rFonts w:cs="Arial"/>
          <w:b/>
          <w:noProof/>
        </w:rPr>
        <w:br/>
      </w:r>
      <w:r>
        <w:rPr>
          <w:i/>
          <w:noProof/>
        </w:rPr>
        <w:t>Beszerelés és teljesítménypróba</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r>
        <w:t xml:space="preserve">A belvízi hajóbizonyítvány érvényességének meghosszabbítását célzó időszakos </w:t>
      </w:r>
      <w:r w:rsidR="0092642D">
        <w:t xml:space="preserve">vizsgálat </w:t>
      </w:r>
      <w:r>
        <w:t>esetében a berendezésnek a beszerelést követő első bekapcsolása előtt, valamint a hajó minden olyan módosítása után, amely vélhetően hatással van a berendezés üzemi feltételeire, az illetékes hatóság vagy a 2. cikk szerinti felhatalmazott szakértő cég beszerelési és teljesítménypróbát végez. E célból az alábbi feltételeknek kell teljesülniük:</w:t>
      </w:r>
    </w:p>
    <w:p w:rsidR="005624E3" w:rsidRPr="00C903F8" w:rsidRDefault="005624E3" w:rsidP="005624E3">
      <w:pPr>
        <w:spacing w:before="60" w:line="240" w:lineRule="atLeast"/>
        <w:rPr>
          <w:rFonts w:cs="Arial"/>
          <w:noProof/>
        </w:rPr>
      </w:pPr>
      <w:r>
        <w:t>a)</w:t>
      </w:r>
      <w:r>
        <w:tab/>
        <w:t>az áramforrásnak külön biztonsági berendezése van;</w:t>
      </w:r>
    </w:p>
    <w:p w:rsidR="005624E3" w:rsidRPr="00C903F8" w:rsidRDefault="005624E3" w:rsidP="005624E3">
      <w:pPr>
        <w:spacing w:before="60" w:line="240" w:lineRule="atLeast"/>
        <w:rPr>
          <w:rFonts w:cs="Arial"/>
          <w:noProof/>
        </w:rPr>
      </w:pPr>
      <w:r>
        <w:t>b)</w:t>
      </w:r>
      <w:r>
        <w:tab/>
        <w:t>az üzemi feszültség a tűréshatáron belül van;</w:t>
      </w:r>
    </w:p>
    <w:p w:rsidR="005624E3" w:rsidRPr="00C903F8" w:rsidRDefault="005624E3" w:rsidP="005624E3">
      <w:pPr>
        <w:spacing w:before="60" w:line="240" w:lineRule="atLeast"/>
        <w:rPr>
          <w:rFonts w:cs="Arial"/>
          <w:noProof/>
        </w:rPr>
      </w:pPr>
      <w:r>
        <w:t>c)</w:t>
      </w:r>
      <w:r>
        <w:tab/>
        <w:t xml:space="preserve">a kábelezés és elhelyezése megfelel az e szabvány, valamint – ha alkalmazandó – az ADN szerinti rendelkezéseknek; </w:t>
      </w:r>
    </w:p>
    <w:p w:rsidR="005624E3" w:rsidRPr="00C903F8" w:rsidRDefault="005624E3" w:rsidP="005624E3">
      <w:pPr>
        <w:spacing w:before="60" w:line="240" w:lineRule="atLeast"/>
        <w:rPr>
          <w:rFonts w:cs="Arial"/>
          <w:noProof/>
        </w:rPr>
      </w:pPr>
      <w:r>
        <w:t>d)</w:t>
      </w:r>
      <w:r>
        <w:tab/>
        <w:t>az antennafordulatok száma percenként legalább 24;</w:t>
      </w:r>
    </w:p>
    <w:p w:rsidR="005624E3" w:rsidRPr="00C903F8" w:rsidRDefault="005624E3" w:rsidP="005624E3">
      <w:pPr>
        <w:spacing w:before="60" w:line="240" w:lineRule="atLeast"/>
        <w:rPr>
          <w:rFonts w:cs="Arial"/>
          <w:noProof/>
        </w:rPr>
      </w:pPr>
      <w:r>
        <w:t>e)</w:t>
      </w:r>
      <w:r>
        <w:tab/>
        <w:t>az antenna közelében nincs a kormányzás hatékonyságát rontó akadály;</w:t>
      </w:r>
    </w:p>
    <w:p w:rsidR="005624E3" w:rsidRPr="00C903F8" w:rsidRDefault="005624E3" w:rsidP="005624E3">
      <w:pPr>
        <w:spacing w:before="60" w:line="240" w:lineRule="atLeast"/>
        <w:rPr>
          <w:rFonts w:cs="Arial"/>
          <w:noProof/>
        </w:rPr>
      </w:pPr>
      <w:r>
        <w:t>f)</w:t>
      </w:r>
      <w:r>
        <w:tab/>
        <w:t>az antenna biztonsági kapcsolója, amennyiben rendelkezésre áll, jó üzemi állapotban van;</w:t>
      </w:r>
    </w:p>
    <w:p w:rsidR="005624E3" w:rsidRPr="00C903F8" w:rsidRDefault="005624E3" w:rsidP="005624E3">
      <w:pPr>
        <w:spacing w:before="60" w:line="240" w:lineRule="atLeast"/>
        <w:rPr>
          <w:rFonts w:cs="Arial"/>
          <w:noProof/>
        </w:rPr>
      </w:pPr>
      <w:r>
        <w:t>g)</w:t>
      </w:r>
      <w:r>
        <w:tab/>
        <w:t>a kijelzőegységek, a fordulási szögsebességjelzők és a vezérlőegységek elrendezése ergonomikus és felhasználóbarát;</w:t>
      </w:r>
    </w:p>
    <w:p w:rsidR="005624E3" w:rsidRPr="00C903F8" w:rsidRDefault="005624E3" w:rsidP="005624E3">
      <w:pPr>
        <w:spacing w:before="60" w:line="240" w:lineRule="atLeast"/>
        <w:rPr>
          <w:rFonts w:cs="Arial"/>
          <w:noProof/>
        </w:rPr>
      </w:pPr>
      <w:r>
        <w:t>h)</w:t>
      </w:r>
      <w:r>
        <w:tab/>
        <w:t>a navigációs radarberendezés irányvonala legfeljebb 1°-kal tér el a hajó hossztengelyétől;</w:t>
      </w:r>
    </w:p>
    <w:p w:rsidR="005624E3" w:rsidRPr="00C903F8" w:rsidRDefault="005624E3" w:rsidP="005624E3">
      <w:pPr>
        <w:spacing w:before="60" w:line="240" w:lineRule="atLeast"/>
        <w:rPr>
          <w:rFonts w:cs="Arial"/>
          <w:noProof/>
        </w:rPr>
      </w:pPr>
      <w:r>
        <w:t>i)</w:t>
      </w:r>
      <w:r>
        <w:tab/>
        <w:t>a tartomány- és azimutkijelzők pontossága megfelel a követelményeknek (ismert célpontokat felhasználó mérések);</w:t>
      </w:r>
    </w:p>
    <w:p w:rsidR="005624E3" w:rsidRPr="00C903F8" w:rsidRDefault="005624E3" w:rsidP="005624E3">
      <w:pPr>
        <w:spacing w:before="60" w:line="240" w:lineRule="atLeast"/>
        <w:rPr>
          <w:rFonts w:cs="Arial"/>
          <w:noProof/>
        </w:rPr>
      </w:pPr>
      <w:r>
        <w:t>j)</w:t>
      </w:r>
      <w:r>
        <w:tab/>
        <w:t>a linearitás a rövid tartományokban pontos (eltolás és elhúzás);</w:t>
      </w:r>
    </w:p>
    <w:p w:rsidR="005624E3" w:rsidRPr="00C903F8" w:rsidRDefault="005624E3" w:rsidP="005624E3">
      <w:pPr>
        <w:spacing w:before="60" w:line="240" w:lineRule="atLeast"/>
        <w:rPr>
          <w:rFonts w:cs="Arial"/>
          <w:noProof/>
        </w:rPr>
      </w:pPr>
      <w:r>
        <w:t>k)</w:t>
      </w:r>
      <w:r>
        <w:tab/>
        <w:t>a kijelzett minimális tartomány 15 m vagy kevesebb;</w:t>
      </w:r>
    </w:p>
    <w:p w:rsidR="005624E3" w:rsidRPr="00C903F8" w:rsidRDefault="005624E3" w:rsidP="005624E3">
      <w:pPr>
        <w:spacing w:before="60" w:line="240" w:lineRule="atLeast"/>
        <w:rPr>
          <w:rFonts w:cs="Arial"/>
          <w:noProof/>
        </w:rPr>
      </w:pPr>
      <w:r>
        <w:t>l)</w:t>
      </w:r>
      <w:r>
        <w:tab/>
        <w:t>a képközéppont látható, átmérője nem haladja meg az 1 mm-t;</w:t>
      </w:r>
    </w:p>
    <w:p w:rsidR="005624E3" w:rsidRPr="00C903F8" w:rsidRDefault="005624E3" w:rsidP="005624E3">
      <w:pPr>
        <w:spacing w:before="60" w:line="240" w:lineRule="atLeast"/>
        <w:rPr>
          <w:rFonts w:cs="Arial"/>
          <w:noProof/>
        </w:rPr>
      </w:pPr>
      <w:r>
        <w:t>m)</w:t>
      </w:r>
      <w:r>
        <w:tab/>
        <w:t>sugárvetők által keltett hamis visszajelzések és az irányvonalon lévő nem kívánt árnyékok nem fordulnak elő, vagy nem rontanak a kormányzás biztonságán;</w:t>
      </w:r>
    </w:p>
    <w:p w:rsidR="005624E3" w:rsidRPr="00C903F8" w:rsidRDefault="005624E3" w:rsidP="005624E3">
      <w:pPr>
        <w:spacing w:before="60" w:line="240" w:lineRule="atLeast"/>
        <w:rPr>
          <w:rFonts w:cs="Arial"/>
          <w:noProof/>
        </w:rPr>
      </w:pPr>
      <w:r>
        <w:t>n)</w:t>
      </w:r>
      <w:r>
        <w:tab/>
        <w:t>a vízhullámokról való visszaverődés és az eső miatti visszaverődés csillapításai (STC és FTC beállítás), valamint a hozzájuk kapcsolódó kezelőszervek megfelelően működnek;</w:t>
      </w:r>
    </w:p>
    <w:p w:rsidR="005624E3" w:rsidRPr="00C903F8" w:rsidRDefault="005624E3" w:rsidP="005624E3">
      <w:pPr>
        <w:spacing w:before="60" w:line="240" w:lineRule="atLeast"/>
        <w:rPr>
          <w:rFonts w:cs="Arial"/>
          <w:noProof/>
        </w:rPr>
      </w:pPr>
      <w:r>
        <w:t>o)</w:t>
      </w:r>
      <w:r>
        <w:tab/>
        <w:t>az erősítő beállítója megfelelő üzemi állapotban van;</w:t>
      </w:r>
    </w:p>
    <w:p w:rsidR="005624E3" w:rsidRPr="00D50F76" w:rsidRDefault="005624E3" w:rsidP="005624E3">
      <w:pPr>
        <w:spacing w:before="60" w:line="240" w:lineRule="atLeast"/>
        <w:rPr>
          <w:rFonts w:cs="Arial"/>
          <w:noProof/>
          <w:lang w:val="pt-PT"/>
        </w:rPr>
      </w:pPr>
      <w:r w:rsidRPr="00D50F76">
        <w:rPr>
          <w:lang w:val="pt-PT"/>
        </w:rPr>
        <w:t>p)</w:t>
      </w:r>
      <w:r w:rsidRPr="00D50F76">
        <w:rPr>
          <w:lang w:val="pt-PT"/>
        </w:rPr>
        <w:tab/>
        <w:t>a fókusz és a képfelbontás pontos;</w:t>
      </w:r>
    </w:p>
    <w:p w:rsidR="005624E3" w:rsidRPr="00D50F76" w:rsidRDefault="005624E3" w:rsidP="005624E3">
      <w:pPr>
        <w:spacing w:before="60" w:line="240" w:lineRule="atLeast"/>
        <w:rPr>
          <w:rFonts w:cs="Arial"/>
          <w:noProof/>
          <w:lang w:val="pt-PT"/>
        </w:rPr>
      </w:pPr>
      <w:r w:rsidRPr="00D50F76">
        <w:rPr>
          <w:lang w:val="pt-PT"/>
        </w:rPr>
        <w:t>q)</w:t>
      </w:r>
      <w:r w:rsidRPr="00D50F76">
        <w:rPr>
          <w:lang w:val="pt-PT"/>
        </w:rPr>
        <w:tab/>
        <w:t>a fordulási szögsebességjelző a hajó valós fordulási irányát jelzi, és a nullapont az egyenes irányhoz illeszkedik;</w:t>
      </w:r>
    </w:p>
    <w:p w:rsidR="005624E3" w:rsidRPr="00D50F76" w:rsidRDefault="005624E3" w:rsidP="005624E3">
      <w:pPr>
        <w:spacing w:before="60" w:line="240" w:lineRule="atLeast"/>
        <w:rPr>
          <w:rFonts w:cs="Arial"/>
          <w:noProof/>
          <w:lang w:val="pt-PT"/>
        </w:rPr>
      </w:pPr>
      <w:r w:rsidRPr="00D50F76">
        <w:rPr>
          <w:lang w:val="pt-PT"/>
        </w:rPr>
        <w:t>r)</w:t>
      </w:r>
      <w:r w:rsidRPr="00D50F76">
        <w:rPr>
          <w:lang w:val="pt-PT"/>
        </w:rPr>
        <w:tab/>
        <w:t>a navigációs radarberendezés nem érzékeny a hajó rádióberendezése általi sugárzásra, illetve a fedélzeten lévő egyéb források miatti interferenciára;</w:t>
      </w:r>
    </w:p>
    <w:p w:rsidR="005624E3" w:rsidRPr="00D50F76" w:rsidRDefault="005624E3" w:rsidP="005624E3">
      <w:pPr>
        <w:spacing w:before="60" w:line="240" w:lineRule="atLeast"/>
        <w:rPr>
          <w:rFonts w:cs="Arial"/>
          <w:noProof/>
          <w:lang w:val="pt-PT"/>
        </w:rPr>
      </w:pPr>
      <w:r w:rsidRPr="00D50F76">
        <w:rPr>
          <w:lang w:val="pt-PT"/>
        </w:rPr>
        <w:t>s)</w:t>
      </w:r>
      <w:r w:rsidRPr="00D50F76">
        <w:rPr>
          <w:lang w:val="pt-PT"/>
        </w:rPr>
        <w:tab/>
        <w:t>a navigációs radarberendezés vagy a fordulási szögsebességjelző és más fedélzeti berendezések között nem léphet fel interferencia.</w:t>
      </w:r>
    </w:p>
    <w:p w:rsidR="005624E3" w:rsidRPr="00D50F76" w:rsidRDefault="005624E3" w:rsidP="005624E3">
      <w:pPr>
        <w:spacing w:before="60" w:line="240" w:lineRule="atLeast"/>
        <w:rPr>
          <w:rFonts w:cs="Arial"/>
          <w:noProof/>
          <w:lang w:val="pt-PT"/>
        </w:rPr>
      </w:pPr>
      <w:r w:rsidRPr="00D50F76">
        <w:rPr>
          <w:lang w:val="pt-PT"/>
        </w:rPr>
        <w:t>Továbbá, belvízi ECDIS-berendezés esetében:</w:t>
      </w:r>
    </w:p>
    <w:p w:rsidR="005624E3" w:rsidRPr="00D50F76" w:rsidRDefault="005624E3" w:rsidP="005624E3">
      <w:pPr>
        <w:spacing w:before="60" w:line="240" w:lineRule="atLeast"/>
        <w:rPr>
          <w:rFonts w:cs="Arial"/>
          <w:noProof/>
          <w:lang w:val="pt-PT"/>
        </w:rPr>
      </w:pPr>
      <w:r w:rsidRPr="00D50F76">
        <w:rPr>
          <w:lang w:val="pt-PT"/>
        </w:rPr>
        <w:t>t)</w:t>
      </w:r>
      <w:r w:rsidRPr="00D50F76">
        <w:rPr>
          <w:lang w:val="pt-PT"/>
        </w:rPr>
        <w:tab/>
        <w:t>a hajózási térképet befolyásoló statisztikai pozicionálási hiba nem haladja meg a 2 m-t;</w:t>
      </w:r>
    </w:p>
    <w:p w:rsidR="005624E3" w:rsidRPr="00D50F76" w:rsidRDefault="005624E3" w:rsidP="005624E3">
      <w:pPr>
        <w:spacing w:before="60" w:line="240" w:lineRule="atLeast"/>
        <w:rPr>
          <w:rFonts w:cs="Arial"/>
          <w:noProof/>
          <w:lang w:val="pt-PT"/>
        </w:rPr>
      </w:pPr>
      <w:r w:rsidRPr="00D50F76">
        <w:rPr>
          <w:lang w:val="pt-PT"/>
        </w:rPr>
        <w:t>u)</w:t>
      </w:r>
      <w:r w:rsidRPr="00D50F76">
        <w:rPr>
          <w:lang w:val="pt-PT"/>
        </w:rPr>
        <w:tab/>
        <w:t>a hajózási térképet befolyásoló statisztikai fázisszöghiba nem haladhatja meg az 1°-ot.</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p>
    <w:p w:rsidR="005624E3" w:rsidRPr="00D50F76" w:rsidRDefault="005624E3" w:rsidP="005624E3">
      <w:pPr>
        <w:rPr>
          <w:rFonts w:cs="Arial"/>
          <w:b/>
          <w:noProof/>
          <w:lang w:val="pt-PT"/>
        </w:rPr>
      </w:pPr>
      <w:r w:rsidRPr="00D50F76">
        <w:rPr>
          <w:lang w:val="pt-PT"/>
        </w:rPr>
        <w:br w:type="page"/>
      </w:r>
    </w:p>
    <w:p w:rsidR="005624E3" w:rsidRPr="00D50F76" w:rsidRDefault="005624E3" w:rsidP="005624E3">
      <w:pPr>
        <w:spacing w:line="240" w:lineRule="atLeast"/>
        <w:jc w:val="center"/>
        <w:rPr>
          <w:rFonts w:cs="Arial"/>
          <w:b/>
          <w:noProof/>
          <w:lang w:val="pt-PT"/>
        </w:rPr>
      </w:pPr>
    </w:p>
    <w:p w:rsidR="005624E3" w:rsidRPr="00D50F76" w:rsidRDefault="005624E3" w:rsidP="005624E3">
      <w:pPr>
        <w:spacing w:line="240" w:lineRule="atLeast"/>
        <w:jc w:val="center"/>
        <w:rPr>
          <w:rFonts w:cs="Arial"/>
          <w:i/>
          <w:noProof/>
          <w:lang w:val="pt-PT"/>
        </w:rPr>
      </w:pPr>
      <w:r w:rsidRPr="00D50F76">
        <w:rPr>
          <w:b/>
          <w:noProof/>
          <w:lang w:val="pt-PT"/>
        </w:rPr>
        <w:t>9. cikk</w:t>
      </w:r>
      <w:r w:rsidRPr="00D50F76">
        <w:rPr>
          <w:rFonts w:cs="Arial"/>
          <w:b/>
          <w:noProof/>
          <w:lang w:val="pt-PT"/>
        </w:rPr>
        <w:br/>
      </w:r>
      <w:r w:rsidRPr="00D50F76">
        <w:rPr>
          <w:i/>
          <w:noProof/>
          <w:lang w:val="pt-PT"/>
        </w:rPr>
        <w:t>Beszerelési és teljesítményigazolási bizonyítvány</w:t>
      </w:r>
    </w:p>
    <w:p w:rsidR="005624E3" w:rsidRPr="00D50F76" w:rsidRDefault="005624E3" w:rsidP="005624E3">
      <w:pPr>
        <w:tabs>
          <w:tab w:val="left" w:leader="dot" w:pos="9072"/>
        </w:tabs>
        <w:spacing w:line="240" w:lineRule="atLeast"/>
        <w:rPr>
          <w:rFonts w:cs="Arial"/>
          <w:noProof/>
          <w:lang w:val="pt-PT"/>
        </w:rPr>
      </w:pPr>
    </w:p>
    <w:p w:rsidR="005624E3" w:rsidRPr="00D50F76" w:rsidRDefault="005624E3" w:rsidP="005624E3">
      <w:pPr>
        <w:tabs>
          <w:tab w:val="left" w:leader="dot" w:pos="9072"/>
        </w:tabs>
        <w:spacing w:line="240" w:lineRule="atLeast"/>
        <w:rPr>
          <w:rFonts w:cs="Arial"/>
          <w:noProof/>
          <w:lang w:val="pt-PT"/>
        </w:rPr>
      </w:pPr>
      <w:r w:rsidRPr="00D50F76">
        <w:rPr>
          <w:lang w:val="pt-PT"/>
        </w:rPr>
        <w:t>A 8. cikk szerinti próba sikeres teljesítése után az illetékes hatóság vagy a jóváhagyott szakértő cég az 5. melléklet VI. szakaszában meghatározott minta alapján bizonyítványt ad ki. Ezt a bizonyítványt mindig a fedélzeten kell tartani.</w:t>
      </w:r>
    </w:p>
    <w:p w:rsidR="005624E3" w:rsidRPr="00D50F76" w:rsidRDefault="005624E3" w:rsidP="005624E3">
      <w:pPr>
        <w:tabs>
          <w:tab w:val="left" w:leader="dot" w:pos="9072"/>
        </w:tabs>
        <w:spacing w:line="240" w:lineRule="atLeast"/>
        <w:rPr>
          <w:rFonts w:cs="Arial"/>
          <w:noProof/>
          <w:lang w:val="pt-PT"/>
        </w:rPr>
      </w:pPr>
    </w:p>
    <w:p w:rsidR="005624E3" w:rsidRPr="00D50F76" w:rsidRDefault="005624E3" w:rsidP="005624E3">
      <w:pPr>
        <w:tabs>
          <w:tab w:val="left" w:leader="dot" w:pos="9072"/>
        </w:tabs>
        <w:spacing w:line="240" w:lineRule="atLeast"/>
        <w:rPr>
          <w:rFonts w:cs="Arial"/>
          <w:noProof/>
          <w:lang w:val="pt-PT"/>
        </w:rPr>
      </w:pPr>
      <w:r w:rsidRPr="00D50F76">
        <w:rPr>
          <w:lang w:val="pt-PT"/>
        </w:rPr>
        <w:t>Ha a vizsgálati feltételek nem teljesülnek, hibajegyzéket kell felvenni. A már kiadott bizonyítványokat vissza kell vonni és el kell küldeni az illetékes hatóságnak vagy a jóváhagyott cégnek.</w:t>
      </w:r>
    </w:p>
    <w:p w:rsidR="005624E3" w:rsidRPr="00D50F76" w:rsidRDefault="005624E3" w:rsidP="005624E3">
      <w:pPr>
        <w:tabs>
          <w:tab w:val="left" w:pos="170"/>
        </w:tabs>
        <w:overflowPunct w:val="0"/>
        <w:adjustRightInd w:val="0"/>
        <w:spacing w:line="240" w:lineRule="exact"/>
        <w:textAlignment w:val="baseline"/>
        <w:rPr>
          <w:rFonts w:cs="Arial"/>
          <w:szCs w:val="20"/>
          <w:lang w:val="pt-PT"/>
        </w:rPr>
      </w:pPr>
    </w:p>
    <w:p w:rsidR="005624E3" w:rsidRPr="00D50F76" w:rsidRDefault="005624E3" w:rsidP="005624E3">
      <w:pPr>
        <w:tabs>
          <w:tab w:val="left" w:pos="170"/>
        </w:tabs>
        <w:overflowPunct w:val="0"/>
        <w:adjustRightInd w:val="0"/>
        <w:spacing w:line="240" w:lineRule="exact"/>
        <w:textAlignment w:val="baseline"/>
        <w:rPr>
          <w:rFonts w:cs="Arial"/>
          <w:szCs w:val="20"/>
          <w:lang w:val="pt-PT"/>
        </w:rPr>
      </w:pPr>
    </w:p>
    <w:p w:rsidR="005624E3" w:rsidRPr="00D50F76" w:rsidRDefault="005624E3" w:rsidP="005624E3">
      <w:pPr>
        <w:tabs>
          <w:tab w:val="left" w:pos="170"/>
        </w:tabs>
        <w:overflowPunct w:val="0"/>
        <w:adjustRightInd w:val="0"/>
        <w:spacing w:line="240" w:lineRule="exact"/>
        <w:textAlignment w:val="baseline"/>
        <w:rPr>
          <w:rFonts w:cs="Arial"/>
          <w:szCs w:val="20"/>
          <w:lang w:val="pt-PT"/>
        </w:rPr>
      </w:pPr>
      <w:r w:rsidRPr="00D50F76">
        <w:rPr>
          <w:lang w:val="pt-PT"/>
        </w:rPr>
        <w:br w:type="page"/>
      </w:r>
    </w:p>
    <w:p w:rsidR="005624E3" w:rsidRPr="00D50F76" w:rsidRDefault="005624E3" w:rsidP="005624E3">
      <w:pPr>
        <w:tabs>
          <w:tab w:val="left" w:pos="170"/>
        </w:tabs>
        <w:overflowPunct w:val="0"/>
        <w:adjustRightInd w:val="0"/>
        <w:spacing w:line="240" w:lineRule="exact"/>
        <w:textAlignment w:val="baseline"/>
        <w:rPr>
          <w:rFonts w:cs="Arial"/>
          <w:szCs w:val="20"/>
          <w:lang w:val="pt-PT"/>
        </w:rPr>
      </w:pPr>
    </w:p>
    <w:p w:rsidR="005624E3" w:rsidRPr="00D50F76" w:rsidRDefault="005624E3" w:rsidP="005624E3">
      <w:pPr>
        <w:pStyle w:val="ES-Titre3"/>
        <w:rPr>
          <w:noProof/>
          <w:lang w:val="pt-PT"/>
        </w:rPr>
      </w:pPr>
      <w:bookmarkStart w:id="650" w:name="_Toc491854316"/>
      <w:bookmarkStart w:id="651" w:name="_Toc535854097"/>
      <w:r w:rsidRPr="00D50F76">
        <w:rPr>
          <w:lang w:val="pt-PT"/>
        </w:rPr>
        <w:t>IV. szakasz</w:t>
      </w:r>
      <w:bookmarkEnd w:id="650"/>
      <w:bookmarkEnd w:id="651"/>
    </w:p>
    <w:p w:rsidR="005624E3" w:rsidRPr="00D50F76" w:rsidRDefault="005624E3" w:rsidP="005624E3">
      <w:pPr>
        <w:pStyle w:val="ES-Titre3a"/>
        <w:rPr>
          <w:noProof/>
          <w:lang w:val="pt-PT"/>
        </w:rPr>
      </w:pPr>
      <w:bookmarkStart w:id="652" w:name="_Toc491854317"/>
      <w:bookmarkStart w:id="653" w:name="_Toc535854098"/>
      <w:r w:rsidRPr="00D50F76">
        <w:rPr>
          <w:lang w:val="pt-PT"/>
        </w:rPr>
        <w:t>A belvízi hajók fedélzetén használt belvízi AIS-berendezések beszerelésére és teljesítménypróbájára vonatkozó minimumkövetelmények és követelmények</w:t>
      </w:r>
      <w:bookmarkEnd w:id="652"/>
      <w:bookmarkEnd w:id="653"/>
    </w:p>
    <w:p w:rsidR="005624E3" w:rsidRPr="00D50F76" w:rsidRDefault="005624E3" w:rsidP="005624E3">
      <w:pPr>
        <w:tabs>
          <w:tab w:val="right" w:pos="9072"/>
        </w:tabs>
        <w:overflowPunct w:val="0"/>
        <w:adjustRightInd w:val="0"/>
        <w:spacing w:line="240" w:lineRule="atLeast"/>
        <w:textAlignment w:val="baseline"/>
        <w:rPr>
          <w:rFonts w:cs="Arial"/>
          <w:szCs w:val="20"/>
          <w:lang w:val="pt-PT"/>
        </w:rPr>
      </w:pPr>
    </w:p>
    <w:p w:rsidR="005624E3" w:rsidRPr="00D50F76" w:rsidRDefault="005624E3" w:rsidP="005624E3">
      <w:pPr>
        <w:spacing w:line="240" w:lineRule="atLeast"/>
        <w:jc w:val="center"/>
        <w:rPr>
          <w:rFonts w:cs="Arial"/>
          <w:b/>
          <w:bCs/>
          <w:i/>
          <w:iCs/>
          <w:noProof/>
          <w:lang w:val="pt-PT"/>
        </w:rPr>
      </w:pPr>
      <w:r w:rsidRPr="00D50F76">
        <w:rPr>
          <w:b/>
          <w:noProof/>
          <w:lang w:val="pt-PT"/>
        </w:rPr>
        <w:t>1. cikk</w:t>
      </w:r>
    </w:p>
    <w:p w:rsidR="005624E3" w:rsidRPr="00D50F76" w:rsidRDefault="005624E3" w:rsidP="005624E3">
      <w:pPr>
        <w:spacing w:line="240" w:lineRule="atLeast"/>
        <w:jc w:val="center"/>
        <w:rPr>
          <w:rFonts w:cs="Arial"/>
          <w:bCs/>
          <w:i/>
          <w:iCs/>
          <w:noProof/>
          <w:lang w:val="pt-PT"/>
        </w:rPr>
      </w:pPr>
      <w:r w:rsidRPr="00D50F76">
        <w:rPr>
          <w:i/>
          <w:noProof/>
          <w:lang w:val="pt-PT"/>
        </w:rPr>
        <w:t>A belvízi AIS-berendezés jóváhagyása</w:t>
      </w:r>
    </w:p>
    <w:p w:rsidR="005624E3" w:rsidRPr="00D50F76" w:rsidRDefault="005624E3" w:rsidP="005624E3">
      <w:pPr>
        <w:tabs>
          <w:tab w:val="right" w:pos="9072"/>
        </w:tabs>
        <w:overflowPunct w:val="0"/>
        <w:adjustRightInd w:val="0"/>
        <w:spacing w:line="240" w:lineRule="atLeast"/>
        <w:jc w:val="center"/>
        <w:textAlignment w:val="baseline"/>
        <w:rPr>
          <w:rFonts w:cs="Arial"/>
          <w:bCs/>
          <w:i/>
          <w:iCs/>
          <w:noProof/>
          <w:szCs w:val="20"/>
          <w:lang w:val="pt-PT"/>
        </w:rPr>
      </w:pPr>
    </w:p>
    <w:p w:rsidR="005624E3" w:rsidRPr="00D50F76" w:rsidRDefault="005624E3" w:rsidP="005624E3">
      <w:pPr>
        <w:pStyle w:val="ESgauche"/>
        <w:rPr>
          <w:lang w:val="pt-PT"/>
        </w:rPr>
      </w:pPr>
      <w:r w:rsidRPr="00D50F76">
        <w:rPr>
          <w:lang w:val="pt-PT"/>
        </w:rPr>
        <w:t>A belvízi AIS-berendezéseknek meg kell felelniük a belvízi AIS vizsgálati szabvány követelményeinek, a megfelelést pedig a típusjóváhagyás illetékes hatóság általi vizsgálata igazolja.</w:t>
      </w:r>
    </w:p>
    <w:p w:rsidR="005624E3" w:rsidRPr="00D50F76" w:rsidRDefault="005624E3" w:rsidP="005624E3">
      <w:pPr>
        <w:pStyle w:val="ESch"/>
        <w:rPr>
          <w:lang w:val="pt-PT"/>
        </w:rPr>
      </w:pPr>
    </w:p>
    <w:p w:rsidR="005624E3" w:rsidRPr="00D50F76" w:rsidRDefault="005624E3" w:rsidP="005624E3">
      <w:pPr>
        <w:spacing w:line="240" w:lineRule="atLeast"/>
        <w:jc w:val="center"/>
        <w:rPr>
          <w:rFonts w:cs="Arial"/>
          <w:b/>
          <w:noProof/>
          <w:lang w:val="pt-PT"/>
        </w:rPr>
      </w:pPr>
      <w:r w:rsidRPr="00D50F76">
        <w:rPr>
          <w:b/>
          <w:noProof/>
          <w:lang w:val="pt-PT"/>
        </w:rPr>
        <w:t>2. cikk</w:t>
      </w:r>
    </w:p>
    <w:p w:rsidR="005624E3" w:rsidRPr="00D50F76" w:rsidRDefault="005624E3" w:rsidP="005624E3">
      <w:pPr>
        <w:spacing w:line="240" w:lineRule="atLeast"/>
        <w:ind w:left="851"/>
        <w:jc w:val="center"/>
        <w:rPr>
          <w:rFonts w:cs="Arial"/>
          <w:noProof/>
          <w:lang w:val="pt-PT"/>
        </w:rPr>
      </w:pPr>
      <w:r w:rsidRPr="00D50F76">
        <w:rPr>
          <w:i/>
          <w:noProof/>
          <w:lang w:val="pt-PT"/>
        </w:rPr>
        <w:t>A belvízi AIS-berendezés beszerelése és teljesítménypróbája</w:t>
      </w:r>
    </w:p>
    <w:p w:rsidR="005624E3" w:rsidRPr="00D50F76" w:rsidRDefault="005624E3" w:rsidP="005624E3">
      <w:pPr>
        <w:pStyle w:val="ESch"/>
        <w:rPr>
          <w:lang w:val="pt-PT"/>
        </w:rPr>
      </w:pPr>
    </w:p>
    <w:p w:rsidR="005624E3" w:rsidRPr="00D50F76" w:rsidRDefault="005624E3" w:rsidP="005624E3">
      <w:pPr>
        <w:tabs>
          <w:tab w:val="left" w:leader="dot" w:pos="9072"/>
        </w:tabs>
        <w:spacing w:line="240" w:lineRule="atLeast"/>
        <w:rPr>
          <w:rFonts w:cs="Arial"/>
          <w:noProof/>
          <w:lang w:val="pt-PT"/>
        </w:rPr>
      </w:pPr>
      <w:r w:rsidRPr="00D50F76">
        <w:rPr>
          <w:lang w:val="pt-PT"/>
        </w:rPr>
        <w:t>A hajók belvízi AIS-berendezéseinek beszerelésénél az alábbi feltételeknek kell megfelelni:</w:t>
      </w:r>
    </w:p>
    <w:p w:rsidR="005624E3" w:rsidRPr="00D50F76" w:rsidRDefault="005624E3" w:rsidP="005624E3">
      <w:pPr>
        <w:spacing w:line="240" w:lineRule="atLeast"/>
        <w:ind w:left="851"/>
        <w:jc w:val="center"/>
        <w:rPr>
          <w:rFonts w:cs="Arial"/>
          <w:noProof/>
          <w:color w:val="000000"/>
          <w:szCs w:val="20"/>
          <w:lang w:val="pt-PT"/>
        </w:rPr>
      </w:pPr>
    </w:p>
    <w:p w:rsidR="005624E3" w:rsidRPr="00D50F76" w:rsidRDefault="005624E3" w:rsidP="005624E3">
      <w:pPr>
        <w:spacing w:line="240" w:lineRule="atLeast"/>
        <w:rPr>
          <w:rFonts w:cs="Arial"/>
          <w:color w:val="000000"/>
          <w:lang w:val="pt-PT"/>
        </w:rPr>
      </w:pPr>
      <w:r w:rsidRPr="00D50F76">
        <w:rPr>
          <w:color w:val="000000"/>
          <w:lang w:val="pt-PT"/>
        </w:rPr>
        <w:t>1.</w:t>
      </w:r>
      <w:r w:rsidRPr="00D50F76">
        <w:rPr>
          <w:lang w:val="pt-PT"/>
        </w:rPr>
        <w:tab/>
      </w:r>
      <w:r w:rsidRPr="00D50F76">
        <w:rPr>
          <w:color w:val="000000"/>
          <w:lang w:val="pt-PT"/>
        </w:rPr>
        <w:t xml:space="preserve">A hajók belvízi AIS-berendezéseinek a beszerelését csak az illetékes hatóság által jóváhagyott szakértő cégek végezhetik. </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2.</w:t>
      </w:r>
      <w:r w:rsidRPr="00D50F76">
        <w:rPr>
          <w:lang w:val="pt-PT"/>
        </w:rPr>
        <w:tab/>
      </w:r>
      <w:r w:rsidRPr="00D50F76">
        <w:rPr>
          <w:color w:val="000000"/>
          <w:lang w:val="pt-PT"/>
        </w:rPr>
        <w:t>A belvízi AIS-berendezést a kormányállásban vagy más jól megközelíthető helyen kell beszerelni.</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3.</w:t>
      </w:r>
      <w:r w:rsidRPr="00D50F76">
        <w:rPr>
          <w:lang w:val="pt-PT"/>
        </w:rPr>
        <w:tab/>
      </w:r>
      <w:r w:rsidRPr="00D50F76">
        <w:rPr>
          <w:color w:val="000000"/>
          <w:lang w:val="pt-PT"/>
        </w:rPr>
        <w:t>Az MKD (integrált rögzítő és megjelenítő eszköz) funkcióinak a hajóvezető számára elérhetőnek kell lennie. A figyelmeztető berendezés és a belvízi AIS-berendezés állapotinformációinak a kormányos közvetlen látóterében kell lennie. Ugyanakkor a navigációs célokra használt egyéb eszközök a közvetlen láthatóság tekintetében elsőbbséget élvezhetnek. Beszerelés után minden figyelmeztető jelzőfénynek láthatónak kell maradnia.</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4.</w:t>
      </w:r>
      <w:r w:rsidRPr="00D50F76">
        <w:rPr>
          <w:lang w:val="pt-PT"/>
        </w:rPr>
        <w:tab/>
      </w:r>
      <w:r w:rsidRPr="00D50F76">
        <w:rPr>
          <w:color w:val="000000"/>
          <w:lang w:val="pt-PT"/>
        </w:rPr>
        <w:t>Biztosítani kell annak vizuális módon való megállapíthatóságát, hogy a berendezés üzemben van-e. A berendezés energiaellátását folyamatosan, saját biztosítóval ellátott, szünetmentes áramforrásra közvetlenül csatlakoztatott áramkörön keresztül kell biztosítani.</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5.</w:t>
      </w:r>
      <w:r w:rsidRPr="00D50F76">
        <w:rPr>
          <w:lang w:val="pt-PT"/>
        </w:rPr>
        <w:tab/>
      </w:r>
      <w:r w:rsidRPr="00D50F76">
        <w:rPr>
          <w:color w:val="000000"/>
          <w:lang w:val="pt-PT"/>
        </w:rPr>
        <w:t>A belvízi AIS-berendezés antennáit fel kell szerelni és csatlakoztatni kell az állomásokhoz annak biztosítására, hogy az állomások valamennyi szokásos használati feltétel mellett megbízhatóan működjenek. Egyéb berendezések csak akkor csatlakoztathatók, ha a két berendezés interfészei összeférnek egymással.</w:t>
      </w:r>
    </w:p>
    <w:p w:rsidR="005624E3" w:rsidRPr="00D50F76" w:rsidRDefault="005624E3" w:rsidP="005624E3">
      <w:pPr>
        <w:spacing w:line="240" w:lineRule="atLeast"/>
        <w:rPr>
          <w:rFonts w:cs="Arial"/>
          <w:color w:val="000000"/>
          <w:lang w:val="pt-PT"/>
        </w:rPr>
      </w:pPr>
    </w:p>
    <w:p w:rsidR="005624E3" w:rsidRPr="00D50F76" w:rsidRDefault="005624E3" w:rsidP="005624E3">
      <w:pPr>
        <w:rPr>
          <w:rFonts w:cs="Arial"/>
          <w:color w:val="000000"/>
          <w:lang w:val="pt-PT"/>
        </w:rPr>
      </w:pPr>
      <w:r w:rsidRPr="00D50F76">
        <w:rPr>
          <w:lang w:val="pt-PT"/>
        </w:rPr>
        <w:br w:type="page"/>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noProof/>
          <w:color w:val="000000"/>
          <w:lang w:val="pt-PT"/>
        </w:rPr>
      </w:pPr>
      <w:r w:rsidRPr="00D50F76">
        <w:rPr>
          <w:color w:val="000000"/>
          <w:lang w:val="pt-PT"/>
        </w:rPr>
        <w:t>6.</w:t>
      </w:r>
      <w:r w:rsidRPr="00D50F76">
        <w:rPr>
          <w:lang w:val="pt-PT"/>
        </w:rPr>
        <w:tab/>
      </w:r>
      <w:r w:rsidRPr="00D50F76">
        <w:rPr>
          <w:noProof/>
          <w:color w:val="000000"/>
          <w:lang w:val="pt-PT"/>
        </w:rPr>
        <w:t>A belvízi AIS-berendezéshez típusjóváhagyással rendelkező külső érzékelőn kívül más berendezés nem csatlakoztatható. A belvízi AIS-berendezéshez csatlakozó külső érzékelőknek a következő tengerészeti szabványok szerinti típusjóváhagyással kell rendelkezniük:</w:t>
      </w:r>
    </w:p>
    <w:p w:rsidR="005624E3" w:rsidRPr="00D50F76" w:rsidRDefault="005624E3" w:rsidP="005624E3">
      <w:pPr>
        <w:spacing w:before="60" w:line="240" w:lineRule="atLeast"/>
        <w:rPr>
          <w:rFonts w:cs="Arial"/>
          <w:noProof/>
          <w:lang w:val="pt-PT"/>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9"/>
        <w:gridCol w:w="3119"/>
        <w:gridCol w:w="3225"/>
      </w:tblGrid>
      <w:tr w:rsidR="005624E3" w:rsidRPr="00A0619C" w:rsidTr="00101A80">
        <w:trPr>
          <w:jc w:val="right"/>
        </w:trPr>
        <w:tc>
          <w:tcPr>
            <w:tcW w:w="2409" w:type="dxa"/>
            <w:vMerge w:val="restart"/>
            <w:shd w:val="clear" w:color="auto" w:fill="auto"/>
            <w:vAlign w:val="center"/>
          </w:tcPr>
          <w:p w:rsidR="005624E3" w:rsidRPr="003D0163" w:rsidRDefault="005624E3" w:rsidP="00101A80">
            <w:pPr>
              <w:spacing w:before="40" w:after="40" w:line="240" w:lineRule="atLeast"/>
              <w:jc w:val="center"/>
              <w:rPr>
                <w:b/>
                <w:sz w:val="18"/>
                <w:szCs w:val="18"/>
              </w:rPr>
            </w:pPr>
            <w:r>
              <w:rPr>
                <w:b/>
                <w:sz w:val="18"/>
              </w:rPr>
              <w:t>Érzékelő</w:t>
            </w:r>
          </w:p>
        </w:tc>
        <w:tc>
          <w:tcPr>
            <w:tcW w:w="6344" w:type="dxa"/>
            <w:gridSpan w:val="2"/>
            <w:shd w:val="clear" w:color="auto" w:fill="auto"/>
          </w:tcPr>
          <w:p w:rsidR="005624E3" w:rsidRPr="003D0163" w:rsidRDefault="005624E3" w:rsidP="00101A80">
            <w:pPr>
              <w:spacing w:before="40" w:after="40" w:line="240" w:lineRule="atLeast"/>
              <w:jc w:val="center"/>
              <w:rPr>
                <w:sz w:val="18"/>
                <w:szCs w:val="18"/>
              </w:rPr>
            </w:pPr>
            <w:r>
              <w:rPr>
                <w:b/>
                <w:sz w:val="18"/>
              </w:rPr>
              <w:t>Az alábbiak szerinti minimumkövetelmények:</w:t>
            </w:r>
          </w:p>
        </w:tc>
      </w:tr>
      <w:tr w:rsidR="005624E3" w:rsidRPr="008D4AAD" w:rsidTr="00101A80">
        <w:trPr>
          <w:jc w:val="right"/>
        </w:trPr>
        <w:tc>
          <w:tcPr>
            <w:tcW w:w="2409" w:type="dxa"/>
            <w:vMerge/>
            <w:shd w:val="clear" w:color="auto" w:fill="auto"/>
          </w:tcPr>
          <w:p w:rsidR="005624E3" w:rsidRPr="003D0163" w:rsidRDefault="005624E3" w:rsidP="00101A80">
            <w:pPr>
              <w:spacing w:before="40" w:after="40" w:line="240" w:lineRule="atLeast"/>
              <w:jc w:val="center"/>
              <w:rPr>
                <w:color w:val="000000"/>
                <w:sz w:val="18"/>
                <w:szCs w:val="18"/>
              </w:rPr>
            </w:pPr>
          </w:p>
        </w:tc>
        <w:tc>
          <w:tcPr>
            <w:tcW w:w="3119" w:type="dxa"/>
            <w:shd w:val="clear" w:color="auto" w:fill="auto"/>
          </w:tcPr>
          <w:p w:rsidR="005624E3" w:rsidRPr="003D0163" w:rsidRDefault="005624E3" w:rsidP="00101A80">
            <w:pPr>
              <w:spacing w:before="40" w:after="40" w:line="240" w:lineRule="atLeast"/>
              <w:jc w:val="center"/>
              <w:rPr>
                <w:color w:val="000000"/>
                <w:sz w:val="18"/>
                <w:szCs w:val="18"/>
              </w:rPr>
            </w:pPr>
            <w:r>
              <w:rPr>
                <w:b/>
                <w:sz w:val="18"/>
              </w:rPr>
              <w:t>Szabvány (IMO)</w:t>
            </w:r>
          </w:p>
        </w:tc>
        <w:tc>
          <w:tcPr>
            <w:tcW w:w="3225" w:type="dxa"/>
            <w:shd w:val="clear" w:color="auto" w:fill="auto"/>
            <w:vAlign w:val="center"/>
          </w:tcPr>
          <w:p w:rsidR="005624E3" w:rsidRPr="008D4AAD" w:rsidRDefault="005624E3" w:rsidP="00101A80">
            <w:pPr>
              <w:spacing w:before="40" w:after="40" w:line="240" w:lineRule="atLeast"/>
              <w:jc w:val="center"/>
              <w:rPr>
                <w:b/>
                <w:color w:val="000000"/>
                <w:sz w:val="18"/>
                <w:szCs w:val="18"/>
              </w:rPr>
            </w:pPr>
            <w:r>
              <w:rPr>
                <w:b/>
                <w:sz w:val="18"/>
              </w:rPr>
              <w:t>ISO / IEC szabvány</w:t>
            </w:r>
          </w:p>
        </w:tc>
      </w:tr>
      <w:tr w:rsidR="005624E3" w:rsidRPr="008D4AAD" w:rsidTr="00101A80">
        <w:trPr>
          <w:jc w:val="right"/>
        </w:trPr>
        <w:tc>
          <w:tcPr>
            <w:tcW w:w="2409" w:type="dxa"/>
            <w:shd w:val="clear" w:color="auto" w:fill="auto"/>
          </w:tcPr>
          <w:p w:rsidR="005624E3" w:rsidRPr="003D0163" w:rsidRDefault="005624E3" w:rsidP="00101A80">
            <w:pPr>
              <w:spacing w:before="40" w:after="40" w:line="240" w:lineRule="atLeast"/>
              <w:rPr>
                <w:color w:val="000000"/>
                <w:sz w:val="18"/>
                <w:szCs w:val="18"/>
              </w:rPr>
            </w:pPr>
            <w:r>
              <w:rPr>
                <w:sz w:val="18"/>
              </w:rPr>
              <w:t>GPS</w:t>
            </w:r>
          </w:p>
        </w:tc>
        <w:tc>
          <w:tcPr>
            <w:tcW w:w="3119" w:type="dxa"/>
            <w:shd w:val="clear" w:color="auto" w:fill="auto"/>
          </w:tcPr>
          <w:p w:rsidR="005624E3" w:rsidRPr="003D0163" w:rsidRDefault="005624E3" w:rsidP="00101A80">
            <w:pPr>
              <w:spacing w:before="40" w:after="40" w:line="240" w:lineRule="atLeast"/>
              <w:jc w:val="center"/>
              <w:rPr>
                <w:sz w:val="18"/>
                <w:szCs w:val="18"/>
              </w:rPr>
            </w:pPr>
            <w:r>
              <w:rPr>
                <w:sz w:val="18"/>
              </w:rPr>
              <w:t>MSC.112(73)</w:t>
            </w:r>
            <w:r>
              <w:rPr>
                <w:sz w:val="18"/>
                <w:vertAlign w:val="superscript"/>
              </w:rPr>
              <w:footnoteReference w:id="58"/>
            </w:r>
          </w:p>
        </w:tc>
        <w:tc>
          <w:tcPr>
            <w:tcW w:w="3225" w:type="dxa"/>
            <w:shd w:val="clear" w:color="auto" w:fill="auto"/>
          </w:tcPr>
          <w:p w:rsidR="005624E3" w:rsidRPr="003D0163" w:rsidRDefault="005624E3" w:rsidP="00101A80">
            <w:pPr>
              <w:spacing w:before="40" w:after="40" w:line="240" w:lineRule="atLeast"/>
              <w:jc w:val="center"/>
              <w:rPr>
                <w:sz w:val="18"/>
                <w:szCs w:val="18"/>
              </w:rPr>
            </w:pPr>
            <w:r>
              <w:rPr>
                <w:sz w:val="18"/>
              </w:rPr>
              <w:t>IEC 61108-1:2003</w:t>
            </w:r>
          </w:p>
        </w:tc>
      </w:tr>
      <w:tr w:rsidR="005624E3" w:rsidRPr="008D4AAD" w:rsidTr="00101A80">
        <w:trPr>
          <w:jc w:val="right"/>
        </w:trPr>
        <w:tc>
          <w:tcPr>
            <w:tcW w:w="2409" w:type="dxa"/>
            <w:shd w:val="clear" w:color="auto" w:fill="auto"/>
          </w:tcPr>
          <w:p w:rsidR="005624E3" w:rsidRPr="003D0163" w:rsidRDefault="005624E3" w:rsidP="00101A80">
            <w:pPr>
              <w:spacing w:before="40" w:after="40" w:line="240" w:lineRule="atLeast"/>
              <w:rPr>
                <w:color w:val="000000"/>
                <w:sz w:val="18"/>
                <w:szCs w:val="18"/>
              </w:rPr>
            </w:pPr>
            <w:r>
              <w:rPr>
                <w:sz w:val="18"/>
              </w:rPr>
              <w:t>DGPS/DGLONASS</w:t>
            </w:r>
          </w:p>
        </w:tc>
        <w:tc>
          <w:tcPr>
            <w:tcW w:w="3119" w:type="dxa"/>
            <w:shd w:val="clear" w:color="auto" w:fill="auto"/>
          </w:tcPr>
          <w:p w:rsidR="005624E3" w:rsidRPr="003D0163" w:rsidRDefault="005624E3" w:rsidP="00101A80">
            <w:pPr>
              <w:spacing w:before="40" w:after="40" w:line="240" w:lineRule="atLeast"/>
              <w:jc w:val="center"/>
              <w:rPr>
                <w:sz w:val="18"/>
                <w:szCs w:val="18"/>
              </w:rPr>
            </w:pPr>
            <w:r>
              <w:rPr>
                <w:sz w:val="18"/>
              </w:rPr>
              <w:t>MSC.114(73)</w:t>
            </w:r>
            <w:r>
              <w:rPr>
                <w:sz w:val="18"/>
                <w:vertAlign w:val="superscript"/>
              </w:rPr>
              <w:footnoteReference w:id="59"/>
            </w:r>
          </w:p>
        </w:tc>
        <w:tc>
          <w:tcPr>
            <w:tcW w:w="3225" w:type="dxa"/>
            <w:shd w:val="clear" w:color="auto" w:fill="auto"/>
          </w:tcPr>
          <w:p w:rsidR="005624E3" w:rsidRPr="003D0163" w:rsidRDefault="005624E3" w:rsidP="00101A80">
            <w:pPr>
              <w:spacing w:before="40" w:after="40" w:line="240" w:lineRule="atLeast"/>
              <w:jc w:val="center"/>
              <w:rPr>
                <w:sz w:val="18"/>
                <w:szCs w:val="18"/>
              </w:rPr>
            </w:pPr>
            <w:r>
              <w:rPr>
                <w:sz w:val="18"/>
              </w:rPr>
              <w:t>IEC 61108-4:2004</w:t>
            </w:r>
          </w:p>
        </w:tc>
      </w:tr>
      <w:tr w:rsidR="005624E3" w:rsidRPr="008D4AAD" w:rsidTr="00101A80">
        <w:trPr>
          <w:jc w:val="right"/>
        </w:trPr>
        <w:tc>
          <w:tcPr>
            <w:tcW w:w="2409" w:type="dxa"/>
            <w:shd w:val="clear" w:color="auto" w:fill="auto"/>
          </w:tcPr>
          <w:p w:rsidR="005624E3" w:rsidRPr="008D4AAD" w:rsidRDefault="005624E3" w:rsidP="00101A80">
            <w:pPr>
              <w:spacing w:before="40" w:after="40" w:line="240" w:lineRule="atLeast"/>
              <w:rPr>
                <w:color w:val="000000"/>
                <w:sz w:val="18"/>
                <w:szCs w:val="18"/>
              </w:rPr>
            </w:pPr>
            <w:r>
              <w:rPr>
                <w:sz w:val="18"/>
              </w:rPr>
              <w:t>Galileo</w:t>
            </w:r>
          </w:p>
        </w:tc>
        <w:tc>
          <w:tcPr>
            <w:tcW w:w="3119" w:type="dxa"/>
            <w:shd w:val="clear" w:color="auto" w:fill="auto"/>
          </w:tcPr>
          <w:p w:rsidR="005624E3" w:rsidRPr="003D0163" w:rsidRDefault="005624E3" w:rsidP="00101A80">
            <w:pPr>
              <w:spacing w:before="40" w:after="40" w:line="240" w:lineRule="atLeast"/>
              <w:jc w:val="center"/>
              <w:rPr>
                <w:sz w:val="18"/>
                <w:szCs w:val="18"/>
              </w:rPr>
            </w:pPr>
            <w:r>
              <w:rPr>
                <w:sz w:val="18"/>
              </w:rPr>
              <w:t>MSC.233(82)</w:t>
            </w:r>
            <w:r>
              <w:rPr>
                <w:sz w:val="18"/>
                <w:vertAlign w:val="superscript"/>
              </w:rPr>
              <w:footnoteReference w:id="60"/>
            </w:r>
          </w:p>
        </w:tc>
        <w:tc>
          <w:tcPr>
            <w:tcW w:w="3225" w:type="dxa"/>
            <w:shd w:val="clear" w:color="auto" w:fill="auto"/>
          </w:tcPr>
          <w:p w:rsidR="005624E3" w:rsidRPr="003D0163" w:rsidRDefault="005624E3" w:rsidP="00101A80">
            <w:pPr>
              <w:spacing w:before="40" w:after="40" w:line="240" w:lineRule="atLeast"/>
              <w:jc w:val="center"/>
              <w:rPr>
                <w:sz w:val="18"/>
                <w:szCs w:val="18"/>
              </w:rPr>
            </w:pPr>
            <w:r>
              <w:rPr>
                <w:sz w:val="18"/>
              </w:rPr>
              <w:t>IEC 61108-3:2010</w:t>
            </w:r>
          </w:p>
        </w:tc>
      </w:tr>
      <w:tr w:rsidR="005624E3" w:rsidRPr="008D4AAD" w:rsidTr="00101A80">
        <w:trPr>
          <w:jc w:val="right"/>
        </w:trPr>
        <w:tc>
          <w:tcPr>
            <w:tcW w:w="2409" w:type="dxa"/>
            <w:shd w:val="clear" w:color="auto" w:fill="auto"/>
          </w:tcPr>
          <w:p w:rsidR="005624E3" w:rsidRPr="008D4AAD" w:rsidRDefault="005624E3" w:rsidP="00101A80">
            <w:pPr>
              <w:spacing w:before="40" w:after="40" w:line="240" w:lineRule="atLeast"/>
              <w:rPr>
                <w:color w:val="000000"/>
                <w:sz w:val="18"/>
                <w:szCs w:val="18"/>
              </w:rPr>
            </w:pPr>
            <w:r>
              <w:rPr>
                <w:sz w:val="18"/>
              </w:rPr>
              <w:t>Haladási irány/GPS Compass</w:t>
            </w:r>
          </w:p>
        </w:tc>
        <w:tc>
          <w:tcPr>
            <w:tcW w:w="3119" w:type="dxa"/>
            <w:shd w:val="clear" w:color="auto" w:fill="auto"/>
          </w:tcPr>
          <w:p w:rsidR="005624E3" w:rsidRPr="003D0163" w:rsidRDefault="005624E3" w:rsidP="00101A80">
            <w:pPr>
              <w:spacing w:before="40" w:after="40" w:line="240" w:lineRule="atLeast"/>
              <w:jc w:val="center"/>
              <w:rPr>
                <w:sz w:val="18"/>
                <w:szCs w:val="18"/>
              </w:rPr>
            </w:pPr>
            <w:r>
              <w:rPr>
                <w:sz w:val="18"/>
              </w:rPr>
              <w:t>MSC.116(73)</w:t>
            </w:r>
            <w:r>
              <w:rPr>
                <w:sz w:val="18"/>
                <w:vertAlign w:val="superscript"/>
              </w:rPr>
              <w:footnoteReference w:id="61"/>
            </w:r>
          </w:p>
        </w:tc>
        <w:tc>
          <w:tcPr>
            <w:tcW w:w="3225" w:type="dxa"/>
            <w:shd w:val="clear" w:color="auto" w:fill="auto"/>
          </w:tcPr>
          <w:p w:rsidR="005624E3" w:rsidRPr="003D0163" w:rsidRDefault="005624E3" w:rsidP="00101A80">
            <w:pPr>
              <w:spacing w:before="40" w:after="40" w:line="240" w:lineRule="atLeast"/>
              <w:ind w:left="34" w:hanging="34"/>
              <w:jc w:val="center"/>
              <w:rPr>
                <w:sz w:val="18"/>
                <w:szCs w:val="18"/>
              </w:rPr>
            </w:pPr>
            <w:r>
              <w:rPr>
                <w:sz w:val="18"/>
              </w:rPr>
              <w:t>ISO 22090-3:2014</w:t>
            </w:r>
            <w:r>
              <w:rPr>
                <w:sz w:val="18"/>
                <w:szCs w:val="18"/>
              </w:rPr>
              <w:br/>
            </w:r>
            <w:r>
              <w:rPr>
                <w:sz w:val="18"/>
              </w:rPr>
              <w:t>3. rész: GNSS-alapelvek</w:t>
            </w:r>
          </w:p>
        </w:tc>
      </w:tr>
    </w:tbl>
    <w:p w:rsidR="005624E3" w:rsidRPr="00C903F8" w:rsidRDefault="005624E3" w:rsidP="005624E3">
      <w:pPr>
        <w:spacing w:line="240" w:lineRule="atLeast"/>
        <w:rPr>
          <w:rFonts w:cs="Arial"/>
          <w:color w:val="000000"/>
        </w:rPr>
      </w:pPr>
    </w:p>
    <w:p w:rsidR="005624E3" w:rsidRPr="008D4AAD" w:rsidRDefault="005624E3" w:rsidP="005624E3">
      <w:pPr>
        <w:spacing w:line="240" w:lineRule="atLeast"/>
        <w:rPr>
          <w:rFonts w:cs="Arial"/>
          <w:color w:val="000000"/>
        </w:rPr>
      </w:pPr>
      <w:r>
        <w:rPr>
          <w:color w:val="000000"/>
        </w:rPr>
        <w:t>7.</w:t>
      </w:r>
      <w:r>
        <w:tab/>
      </w:r>
      <w:r>
        <w:rPr>
          <w:color w:val="000000"/>
        </w:rPr>
        <w:t>A berendezés beszerelést követő üzembe helyezése előtt, a belvízi hajóbizonyítvány megújítása vagy érvényességének meghosszabbítása, illetve a hajó minden olyan átalakítása esetén, amely vélhetően hatással van a berendezés üzemi feltételeire, az illetékes hatóság vagy a jóváhagyott szakértő cég beszerelési vizsgálatot és üzemi próbát végez.</w:t>
      </w:r>
    </w:p>
    <w:p w:rsidR="005624E3" w:rsidRPr="008D4AAD" w:rsidRDefault="005624E3" w:rsidP="005624E3">
      <w:pPr>
        <w:spacing w:line="240" w:lineRule="atLeast"/>
        <w:rPr>
          <w:rFonts w:cs="Arial"/>
          <w:color w:val="000000"/>
        </w:rPr>
      </w:pPr>
    </w:p>
    <w:p w:rsidR="005624E3" w:rsidRPr="008D4AAD" w:rsidRDefault="005624E3" w:rsidP="005624E3">
      <w:pPr>
        <w:spacing w:line="240" w:lineRule="atLeast"/>
        <w:rPr>
          <w:rFonts w:cs="Arial"/>
          <w:color w:val="000000"/>
        </w:rPr>
      </w:pPr>
      <w:r>
        <w:rPr>
          <w:color w:val="000000"/>
        </w:rPr>
        <w:t>8.</w:t>
      </w:r>
      <w:r>
        <w:tab/>
      </w:r>
      <w:r>
        <w:rPr>
          <w:color w:val="000000"/>
        </w:rPr>
        <w:t>A beszerelési vizsgálatot és üzemi próbát végző jóváhagyott szakértő cég az 5. melléklet VI. szakaszának megfelelően tanúsítványt állít ki a belvízi AIS-berendezések sajátos jellemzői és helyes működése tekintetében.</w:t>
      </w:r>
    </w:p>
    <w:p w:rsidR="005624E3" w:rsidRPr="008D4AAD" w:rsidRDefault="005624E3" w:rsidP="005624E3">
      <w:pPr>
        <w:spacing w:line="240" w:lineRule="atLeast"/>
        <w:rPr>
          <w:rFonts w:cs="Arial"/>
          <w:color w:val="000000"/>
        </w:rPr>
      </w:pPr>
    </w:p>
    <w:p w:rsidR="005624E3" w:rsidRPr="00D50F76" w:rsidRDefault="005624E3" w:rsidP="005624E3">
      <w:pPr>
        <w:spacing w:line="240" w:lineRule="atLeast"/>
        <w:rPr>
          <w:rFonts w:cs="Arial"/>
          <w:color w:val="000000"/>
          <w:lang w:val="pt-PT"/>
        </w:rPr>
      </w:pPr>
      <w:r w:rsidRPr="00D50F76">
        <w:rPr>
          <w:color w:val="000000"/>
          <w:lang w:val="pt-PT"/>
        </w:rPr>
        <w:t>9.</w:t>
      </w:r>
      <w:r w:rsidRPr="00D50F76">
        <w:rPr>
          <w:lang w:val="pt-PT"/>
        </w:rPr>
        <w:tab/>
      </w:r>
      <w:r w:rsidRPr="00D50F76">
        <w:rPr>
          <w:color w:val="000000"/>
          <w:lang w:val="pt-PT"/>
        </w:rPr>
        <w:t>A tanúsítványt állandóan a fedélzeten kell tartani.</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10.</w:t>
      </w:r>
      <w:r w:rsidRPr="00D50F76">
        <w:rPr>
          <w:lang w:val="pt-PT"/>
        </w:rPr>
        <w:tab/>
      </w:r>
      <w:r w:rsidRPr="00D50F76">
        <w:rPr>
          <w:color w:val="000000"/>
          <w:lang w:val="pt-PT"/>
        </w:rPr>
        <w:t>A kezelési utasítást a fedélzeten való tárolás céljából át kell adni. Mindezt fel kell tüntetni a fedélzeti beszerelési bizonyítványban.</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p>
    <w:p w:rsidR="005624E3" w:rsidRPr="00D50F76" w:rsidRDefault="005624E3" w:rsidP="005624E3">
      <w:pPr>
        <w:tabs>
          <w:tab w:val="right" w:pos="9072"/>
        </w:tabs>
        <w:spacing w:line="240" w:lineRule="atLeast"/>
        <w:rPr>
          <w:rFonts w:cs="Arial"/>
          <w:szCs w:val="20"/>
          <w:lang w:val="pt-PT"/>
        </w:rPr>
      </w:pPr>
      <w:r w:rsidRPr="00D50F76">
        <w:rPr>
          <w:lang w:val="pt-PT"/>
        </w:rPr>
        <w:br w:type="page"/>
      </w:r>
    </w:p>
    <w:p w:rsidR="005624E3" w:rsidRPr="00D50F76" w:rsidRDefault="005624E3" w:rsidP="005624E3">
      <w:pPr>
        <w:pStyle w:val="ES-Titre3"/>
        <w:rPr>
          <w:noProof/>
          <w:lang w:val="pt-PT"/>
        </w:rPr>
      </w:pPr>
      <w:bookmarkStart w:id="654" w:name="_Toc491854318"/>
      <w:bookmarkStart w:id="655" w:name="_Toc535854099"/>
      <w:r w:rsidRPr="00D50F76">
        <w:rPr>
          <w:lang w:val="pt-PT"/>
        </w:rPr>
        <w:t>V. szakasz</w:t>
      </w:r>
      <w:bookmarkEnd w:id="654"/>
      <w:bookmarkEnd w:id="655"/>
    </w:p>
    <w:p w:rsidR="005624E3" w:rsidRPr="00D50F76" w:rsidRDefault="005624E3" w:rsidP="005624E3">
      <w:pPr>
        <w:pStyle w:val="ES-Titre3a"/>
        <w:rPr>
          <w:rFonts w:cs="Arial"/>
          <w:szCs w:val="20"/>
          <w:lang w:val="pt-PT"/>
        </w:rPr>
      </w:pPr>
      <w:bookmarkStart w:id="656" w:name="_Toc491854319"/>
      <w:bookmarkStart w:id="657" w:name="_Toc535854100"/>
      <w:r w:rsidRPr="00D50F76">
        <w:rPr>
          <w:lang w:val="pt-PT"/>
        </w:rPr>
        <w:t>A belvízi hajók fedélzetén használt menetíró készülékek beszerelésére és teljesítménypróbájára vonatkozó minimumkövetelmények és követelmények</w:t>
      </w:r>
      <w:bookmarkEnd w:id="656"/>
      <w:bookmarkEnd w:id="657"/>
    </w:p>
    <w:p w:rsidR="005624E3" w:rsidRPr="00D50F76" w:rsidRDefault="005624E3" w:rsidP="005624E3">
      <w:pPr>
        <w:tabs>
          <w:tab w:val="left" w:pos="284"/>
          <w:tab w:val="left" w:leader="dot" w:pos="9072"/>
        </w:tabs>
        <w:overflowPunct w:val="0"/>
        <w:adjustRightInd w:val="0"/>
        <w:ind w:left="284" w:hanging="284"/>
        <w:textAlignment w:val="baseline"/>
        <w:rPr>
          <w:rFonts w:cs="Arial"/>
          <w:szCs w:val="20"/>
          <w:lang w:val="pt-PT"/>
        </w:rPr>
      </w:pPr>
    </w:p>
    <w:p w:rsidR="005624E3" w:rsidRPr="00D50F76" w:rsidRDefault="005624E3" w:rsidP="005624E3">
      <w:pPr>
        <w:tabs>
          <w:tab w:val="left" w:leader="dot" w:pos="9072"/>
        </w:tabs>
        <w:spacing w:line="240" w:lineRule="atLeast"/>
        <w:jc w:val="center"/>
        <w:rPr>
          <w:rFonts w:cs="Arial"/>
          <w:b/>
          <w:noProof/>
          <w:lang w:val="pt-PT"/>
        </w:rPr>
      </w:pPr>
      <w:r w:rsidRPr="00D50F76">
        <w:rPr>
          <w:b/>
          <w:noProof/>
          <w:lang w:val="pt-PT"/>
        </w:rPr>
        <w:t>1. cikk</w:t>
      </w:r>
    </w:p>
    <w:p w:rsidR="005624E3" w:rsidRPr="00D50F76" w:rsidRDefault="005624E3" w:rsidP="005624E3">
      <w:pPr>
        <w:tabs>
          <w:tab w:val="left" w:leader="dot" w:pos="9072"/>
        </w:tabs>
        <w:spacing w:line="240" w:lineRule="atLeast"/>
        <w:jc w:val="center"/>
        <w:rPr>
          <w:rFonts w:cs="Arial"/>
          <w:i/>
          <w:noProof/>
          <w:lang w:val="pt-PT"/>
        </w:rPr>
      </w:pPr>
      <w:r w:rsidRPr="00D50F76">
        <w:rPr>
          <w:i/>
          <w:noProof/>
          <w:lang w:val="pt-PT"/>
        </w:rPr>
        <w:t>A menetírók jóváhagyása</w:t>
      </w:r>
    </w:p>
    <w:p w:rsidR="005624E3" w:rsidRPr="00D50F76" w:rsidRDefault="005624E3" w:rsidP="005624E3">
      <w:pPr>
        <w:tabs>
          <w:tab w:val="left" w:leader="dot" w:pos="9072"/>
        </w:tabs>
        <w:spacing w:line="240" w:lineRule="atLeast"/>
        <w:rPr>
          <w:rFonts w:cs="Arial"/>
          <w:noProof/>
          <w:lang w:val="pt-PT"/>
        </w:rPr>
      </w:pPr>
    </w:p>
    <w:p w:rsidR="005624E3" w:rsidRPr="00D50F76" w:rsidRDefault="005624E3" w:rsidP="005624E3">
      <w:pPr>
        <w:pStyle w:val="ESgauche"/>
        <w:rPr>
          <w:lang w:val="pt-PT"/>
        </w:rPr>
      </w:pPr>
      <w:r w:rsidRPr="00D50F76">
        <w:rPr>
          <w:lang w:val="pt-PT"/>
        </w:rPr>
        <w:t>A menetíró készülékeknek meg kell felelniük az e szakaszban foglalt követelményeknek. A megfelelést a típusjóváhagyás illetékes hatóság általi vizsgálata igazolja.</w:t>
      </w:r>
    </w:p>
    <w:p w:rsidR="005624E3" w:rsidRPr="00D50F76" w:rsidRDefault="005624E3" w:rsidP="005624E3">
      <w:pPr>
        <w:pStyle w:val="ESch"/>
        <w:rPr>
          <w:noProof/>
          <w:lang w:val="pt-PT"/>
        </w:rPr>
      </w:pPr>
    </w:p>
    <w:p w:rsidR="005624E3" w:rsidRPr="00D50F76" w:rsidRDefault="005624E3" w:rsidP="005624E3">
      <w:pPr>
        <w:spacing w:line="240" w:lineRule="atLeast"/>
        <w:jc w:val="center"/>
        <w:rPr>
          <w:rFonts w:cs="Arial"/>
          <w:b/>
          <w:noProof/>
          <w:lang w:val="pt-PT"/>
        </w:rPr>
      </w:pPr>
      <w:r w:rsidRPr="00D50F76">
        <w:rPr>
          <w:b/>
          <w:noProof/>
          <w:lang w:val="pt-PT"/>
        </w:rPr>
        <w:t>2. cikk</w:t>
      </w:r>
    </w:p>
    <w:p w:rsidR="005624E3" w:rsidRPr="00D50F76" w:rsidRDefault="005624E3" w:rsidP="005624E3">
      <w:pPr>
        <w:spacing w:line="240" w:lineRule="atLeast"/>
        <w:jc w:val="center"/>
        <w:rPr>
          <w:rFonts w:cs="Arial"/>
          <w:i/>
          <w:noProof/>
          <w:lang w:val="pt-PT"/>
        </w:rPr>
      </w:pPr>
      <w:r w:rsidRPr="00D50F76">
        <w:rPr>
          <w:i/>
          <w:noProof/>
          <w:lang w:val="pt-PT"/>
        </w:rPr>
        <w:t>A menetírókra vonatkozó követelmények</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1.</w:t>
      </w:r>
      <w:r w:rsidRPr="00D50F76">
        <w:rPr>
          <w:lang w:val="pt-PT"/>
        </w:rPr>
        <w:tab/>
      </w:r>
      <w:r w:rsidRPr="00D50F76">
        <w:rPr>
          <w:color w:val="000000"/>
          <w:lang w:val="pt-PT"/>
        </w:rPr>
        <w:t>A hajó menetidejének megállapítása</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A menetüzem igen/nem kritérium szerint történő meghatározásához a hajócsavar forgását kell mérni megfelelő helyen. Ha a hajtás nem hajócsavarral történik, a hajó mozgását megfelelő helyen, a fentiekkel egyenértékű módon kell megállapítani. Két vagy több csavartengellyel rendelkező hajónál biztosítani kell, hogy az adatrögzítés egy csavartengely működése esetén is megvalósuljon.</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2.</w:t>
      </w:r>
      <w:r w:rsidRPr="00D50F76">
        <w:rPr>
          <w:lang w:val="pt-PT"/>
        </w:rPr>
        <w:tab/>
      </w:r>
      <w:r w:rsidRPr="00D50F76">
        <w:rPr>
          <w:color w:val="000000"/>
          <w:lang w:val="pt-PT"/>
        </w:rPr>
        <w:t>A hajók azonosítása</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Az adathordozóra rögzíteni kell az egyedi európai hajóazonosító számot vagy a hivatalos hajószámot oly módon, hogy az letörölhetetlen és leolvasható legyen.</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3.</w:t>
      </w:r>
      <w:r w:rsidRPr="00D50F76">
        <w:rPr>
          <w:lang w:val="pt-PT"/>
        </w:rPr>
        <w:tab/>
      </w:r>
      <w:r w:rsidRPr="00D50F76">
        <w:rPr>
          <w:color w:val="000000"/>
          <w:lang w:val="pt-PT"/>
        </w:rPr>
        <w:t>Adatok rögzítése az adathordozóra</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Az adathordozóra rögzíteni kell az alábbi információkat oly módon, hogy azok meghamisíthatatlanok és leolvashatók legyenek: a hajó mindenkori üzemmódja, a menetíró bekapcsolásának és kikapcsolásának dátuma és időpontja, az adathordozó behelyezése és kivétele, valamint a készülékkel végzett egyéb műveletek. A menetírónak automatikusan rögzítenie kell az időt, az adathordozó behelyezését és kivételét, a készülék kinyitását és bezárását, valamint az energiaellátásának megszakadását.</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4.</w:t>
      </w:r>
      <w:r w:rsidRPr="00D50F76">
        <w:rPr>
          <w:lang w:val="pt-PT"/>
        </w:rPr>
        <w:tab/>
      </w:r>
      <w:r w:rsidRPr="00D50F76">
        <w:rPr>
          <w:color w:val="000000"/>
          <w:lang w:val="pt-PT"/>
        </w:rPr>
        <w:t>Napi adatrögzítés</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Naponta és a nap 24 órájában folyamatosan rögzíteni kell a csavartengelyforgás kezdetének és végének dátumát és időpontját.</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rPr>
          <w:rFonts w:cs="Arial"/>
          <w:color w:val="000000"/>
          <w:lang w:val="pt-PT"/>
        </w:rPr>
      </w:pPr>
      <w:r w:rsidRPr="00D50F76">
        <w:rPr>
          <w:color w:val="000000"/>
          <w:lang w:val="pt-PT"/>
        </w:rPr>
        <w:t>5.</w:t>
      </w:r>
      <w:r w:rsidRPr="00D50F76">
        <w:rPr>
          <w:lang w:val="pt-PT"/>
        </w:rPr>
        <w:tab/>
      </w:r>
      <w:r w:rsidRPr="00D50F76">
        <w:rPr>
          <w:color w:val="000000"/>
          <w:lang w:val="pt-PT"/>
        </w:rPr>
        <w:t>A rögzített adatok leolvasása</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A rögzített adatoknak egyértelműeknek, könnyen leolvashatóknak és érthetőknek kell lenniük. Biztosítani kell, hogy az adatok külön segédeszköz igénybevétele nélkül leolvashatók legyenek bármely időpontban.</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6.</w:t>
      </w:r>
      <w:r w:rsidRPr="00D50F76">
        <w:rPr>
          <w:lang w:val="pt-PT"/>
        </w:rPr>
        <w:tab/>
      </w:r>
      <w:r w:rsidRPr="00D50F76">
        <w:rPr>
          <w:color w:val="000000"/>
          <w:lang w:val="pt-PT"/>
        </w:rPr>
        <w:t>A rögzített adatok kinyomtatása</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Biztosítani kell annak a lehetőségét, hogy az adatok könnyen áttekinthető nyomtatott formában rendelkezésre bocsáthatók legyenek bármely időpontban.</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7.</w:t>
      </w:r>
      <w:r w:rsidRPr="00D50F76">
        <w:rPr>
          <w:lang w:val="pt-PT"/>
        </w:rPr>
        <w:tab/>
      </w:r>
      <w:r w:rsidRPr="00D50F76">
        <w:rPr>
          <w:color w:val="000000"/>
          <w:lang w:val="pt-PT"/>
        </w:rPr>
        <w:t>Az adatrögzítés biztonsága</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A hajócsavar forgását meghamisíthatatlan módon kell rögzíteni.</w:t>
      </w:r>
    </w:p>
    <w:p w:rsidR="005624E3" w:rsidRPr="00D50F76" w:rsidRDefault="005624E3" w:rsidP="005624E3">
      <w:pPr>
        <w:spacing w:line="240" w:lineRule="atLeast"/>
        <w:rPr>
          <w:rFonts w:cs="Arial"/>
          <w:color w:val="000000"/>
          <w:lang w:val="pt-PT"/>
        </w:rPr>
      </w:pPr>
    </w:p>
    <w:p w:rsidR="005624E3" w:rsidRPr="00D50F76" w:rsidRDefault="005624E3" w:rsidP="005624E3">
      <w:pPr>
        <w:rPr>
          <w:rFonts w:cs="Arial"/>
          <w:color w:val="000000"/>
          <w:lang w:val="pt-PT"/>
        </w:rPr>
      </w:pPr>
      <w:r w:rsidRPr="00D50F76">
        <w:rPr>
          <w:lang w:val="pt-PT"/>
        </w:rPr>
        <w:br w:type="page"/>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8.</w:t>
      </w:r>
      <w:r w:rsidRPr="00D50F76">
        <w:rPr>
          <w:lang w:val="pt-PT"/>
        </w:rPr>
        <w:tab/>
      </w:r>
      <w:r w:rsidRPr="00D50F76">
        <w:rPr>
          <w:color w:val="000000"/>
          <w:lang w:val="pt-PT"/>
        </w:rPr>
        <w:t>Az adatrögzítés pontossága</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A hajócsavar forgását pontos időadatok megadásával kell rögzíteni. Biztosítani kell, hogy a rögzített adatok 5 perces pontossággal leolvashatók legyenek.</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9.</w:t>
      </w:r>
      <w:r w:rsidRPr="00D50F76">
        <w:rPr>
          <w:lang w:val="pt-PT"/>
        </w:rPr>
        <w:tab/>
      </w:r>
      <w:r w:rsidRPr="00D50F76">
        <w:rPr>
          <w:color w:val="000000"/>
          <w:lang w:val="pt-PT"/>
        </w:rPr>
        <w:t>Üzemi feszültség</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 xml:space="preserve">Az üzemi feszültség </w:t>
      </w:r>
      <w:r>
        <w:sym w:font="Symbol" w:char="F0B1"/>
      </w:r>
      <w:r w:rsidRPr="00D50F76">
        <w:rPr>
          <w:lang w:val="pt-PT"/>
        </w:rPr>
        <w:t>10 %-os ingadozásai a névleges értékhez képest nem befolyásolhatják a készülék megfelelő működését. Ezenkívül a készüléket úgy kell megtervezni, hogy ha tápfeszültsége 25 %-kal a névleges érték fölé emelkedik, az semmilyen módon ne befolyásolja az üzemképességét.</w:t>
      </w:r>
    </w:p>
    <w:p w:rsidR="005624E3" w:rsidRPr="00D50F76" w:rsidRDefault="005624E3" w:rsidP="005624E3">
      <w:pPr>
        <w:tabs>
          <w:tab w:val="left" w:pos="284"/>
          <w:tab w:val="left" w:leader="dot" w:pos="8505"/>
        </w:tabs>
        <w:ind w:left="284" w:hanging="284"/>
        <w:rPr>
          <w:lang w:val="pt-PT"/>
        </w:rPr>
      </w:pPr>
    </w:p>
    <w:p w:rsidR="005624E3" w:rsidRPr="00D50F76" w:rsidRDefault="005624E3" w:rsidP="005624E3">
      <w:pPr>
        <w:spacing w:line="240" w:lineRule="atLeast"/>
        <w:rPr>
          <w:rFonts w:cs="Arial"/>
          <w:color w:val="000000"/>
          <w:lang w:val="pt-PT"/>
        </w:rPr>
      </w:pPr>
      <w:r w:rsidRPr="00D50F76">
        <w:rPr>
          <w:color w:val="000000"/>
          <w:lang w:val="pt-PT"/>
        </w:rPr>
        <w:t>10.</w:t>
      </w:r>
      <w:r w:rsidRPr="00D50F76">
        <w:rPr>
          <w:lang w:val="pt-PT"/>
        </w:rPr>
        <w:tab/>
      </w:r>
      <w:r w:rsidRPr="00D50F76">
        <w:rPr>
          <w:color w:val="000000"/>
          <w:lang w:val="pt-PT"/>
        </w:rPr>
        <w:t>Üzemi körülmények</w:t>
      </w:r>
    </w:p>
    <w:p w:rsidR="005624E3" w:rsidRPr="00D50F76" w:rsidRDefault="005624E3" w:rsidP="005624E3">
      <w:pPr>
        <w:tabs>
          <w:tab w:val="left" w:pos="284"/>
          <w:tab w:val="left" w:leader="dot" w:pos="8505"/>
        </w:tabs>
        <w:ind w:left="284" w:hanging="284"/>
        <w:rPr>
          <w:lang w:val="pt-PT"/>
        </w:rPr>
      </w:pPr>
    </w:p>
    <w:p w:rsidR="005624E3" w:rsidRPr="00D50F76" w:rsidRDefault="005624E3" w:rsidP="005624E3">
      <w:pPr>
        <w:spacing w:line="240" w:lineRule="atLeast"/>
        <w:ind w:left="426"/>
        <w:rPr>
          <w:lang w:val="pt-PT"/>
        </w:rPr>
      </w:pPr>
      <w:r w:rsidRPr="00D50F76">
        <w:rPr>
          <w:lang w:val="pt-PT"/>
        </w:rPr>
        <w:t>A készülékeknek és készülékrészeknek kifogástalanul kell működniük az alábbi körülmények között:</w:t>
      </w:r>
    </w:p>
    <w:p w:rsidR="005624E3" w:rsidRPr="00D50F76" w:rsidRDefault="005624E3" w:rsidP="005624E3">
      <w:pPr>
        <w:tabs>
          <w:tab w:val="left" w:pos="851"/>
        </w:tabs>
        <w:spacing w:before="60" w:line="240" w:lineRule="atLeast"/>
        <w:ind w:left="3544" w:hanging="3118"/>
        <w:rPr>
          <w:rFonts w:cs="Arial"/>
          <w:noProof/>
          <w:lang w:val="pt-PT"/>
        </w:rPr>
      </w:pPr>
      <w:r w:rsidRPr="00D50F76">
        <w:rPr>
          <w:lang w:val="pt-PT"/>
        </w:rPr>
        <w:t>-</w:t>
      </w:r>
      <w:r w:rsidRPr="00D50F76">
        <w:rPr>
          <w:lang w:val="pt-PT"/>
        </w:rPr>
        <w:tab/>
        <w:t>környezeti hőmérséklet:</w:t>
      </w:r>
      <w:r w:rsidRPr="00D50F76">
        <w:rPr>
          <w:lang w:val="pt-PT"/>
        </w:rPr>
        <w:tab/>
        <w:t xml:space="preserve">0 </w:t>
      </w:r>
      <w:r>
        <w:rPr>
          <w:rFonts w:cs="Arial"/>
          <w:noProof/>
        </w:rPr>
        <w:sym w:font="Symbol" w:char="F0B0"/>
      </w:r>
      <w:r w:rsidRPr="00D50F76">
        <w:rPr>
          <w:lang w:val="pt-PT"/>
        </w:rPr>
        <w:t xml:space="preserve">C és + 40 </w:t>
      </w:r>
      <w:r>
        <w:rPr>
          <w:rFonts w:cs="Arial"/>
          <w:noProof/>
        </w:rPr>
        <w:sym w:font="Symbol" w:char="F0B0"/>
      </w:r>
      <w:r w:rsidRPr="00D50F76">
        <w:rPr>
          <w:lang w:val="pt-PT"/>
        </w:rPr>
        <w:t>C között</w:t>
      </w:r>
    </w:p>
    <w:p w:rsidR="005624E3" w:rsidRPr="00D50F76" w:rsidRDefault="005624E3" w:rsidP="005624E3">
      <w:pPr>
        <w:tabs>
          <w:tab w:val="left" w:pos="851"/>
        </w:tabs>
        <w:spacing w:before="60" w:line="240" w:lineRule="atLeast"/>
        <w:ind w:left="3544" w:hanging="3118"/>
        <w:rPr>
          <w:rFonts w:cs="Arial"/>
          <w:noProof/>
          <w:lang w:val="pt-PT"/>
        </w:rPr>
      </w:pPr>
      <w:r w:rsidRPr="00D50F76">
        <w:rPr>
          <w:lang w:val="pt-PT"/>
        </w:rPr>
        <w:t>-</w:t>
      </w:r>
      <w:r w:rsidRPr="00D50F76">
        <w:rPr>
          <w:lang w:val="pt-PT"/>
        </w:rPr>
        <w:tab/>
        <w:t>páratartalom:</w:t>
      </w:r>
      <w:r w:rsidRPr="00D50F76">
        <w:rPr>
          <w:lang w:val="pt-PT"/>
        </w:rPr>
        <w:tab/>
        <w:t>legfeljebb 85 % relatív páratartalom</w:t>
      </w:r>
    </w:p>
    <w:p w:rsidR="005624E3" w:rsidRPr="00D50F76" w:rsidRDefault="005624E3" w:rsidP="005624E3">
      <w:pPr>
        <w:tabs>
          <w:tab w:val="left" w:pos="851"/>
        </w:tabs>
        <w:spacing w:before="60" w:line="240" w:lineRule="atLeast"/>
        <w:ind w:left="3544" w:hanging="3118"/>
        <w:rPr>
          <w:rFonts w:cs="Arial"/>
          <w:noProof/>
          <w:lang w:val="pt-PT"/>
        </w:rPr>
      </w:pPr>
      <w:r w:rsidRPr="00D50F76">
        <w:rPr>
          <w:lang w:val="pt-PT"/>
        </w:rPr>
        <w:t>-</w:t>
      </w:r>
      <w:r w:rsidRPr="00D50F76">
        <w:rPr>
          <w:lang w:val="pt-PT"/>
        </w:rPr>
        <w:tab/>
        <w:t>elektromos védelem típusa:</w:t>
      </w:r>
      <w:r w:rsidRPr="00D50F76">
        <w:rPr>
          <w:lang w:val="pt-PT"/>
        </w:rPr>
        <w:tab/>
        <w:t>IP 54 az IEC 529 nemzetközi szabvány szerint</w:t>
      </w:r>
    </w:p>
    <w:p w:rsidR="005624E3" w:rsidRPr="00D50F76" w:rsidRDefault="005624E3" w:rsidP="005624E3">
      <w:pPr>
        <w:tabs>
          <w:tab w:val="left" w:pos="851"/>
        </w:tabs>
        <w:spacing w:before="60" w:line="240" w:lineRule="atLeast"/>
        <w:ind w:left="3544" w:hanging="3118"/>
        <w:rPr>
          <w:rFonts w:cs="Arial"/>
          <w:noProof/>
          <w:lang w:val="pt-PT"/>
        </w:rPr>
      </w:pPr>
      <w:r w:rsidRPr="00D50F76">
        <w:rPr>
          <w:lang w:val="pt-PT"/>
        </w:rPr>
        <w:t>-</w:t>
      </w:r>
      <w:r w:rsidRPr="00D50F76">
        <w:rPr>
          <w:lang w:val="pt-PT"/>
        </w:rPr>
        <w:tab/>
        <w:t>olajállóság:</w:t>
      </w:r>
      <w:r w:rsidRPr="00D50F76">
        <w:rPr>
          <w:lang w:val="pt-PT"/>
        </w:rPr>
        <w:tab/>
        <w:t>amennyiben a készüléket vagy annak részeit a géptérben helyezik el, azoknak olajállóknak kell lenniük</w:t>
      </w:r>
    </w:p>
    <w:p w:rsidR="005624E3" w:rsidRPr="00D50F76" w:rsidRDefault="005624E3" w:rsidP="005624E3">
      <w:pPr>
        <w:tabs>
          <w:tab w:val="left" w:pos="851"/>
        </w:tabs>
        <w:spacing w:before="60" w:line="240" w:lineRule="atLeast"/>
        <w:ind w:left="3544" w:hanging="3118"/>
        <w:rPr>
          <w:rFonts w:cs="Arial"/>
          <w:noProof/>
          <w:lang w:val="pt-PT"/>
        </w:rPr>
      </w:pPr>
      <w:r w:rsidRPr="00D50F76">
        <w:rPr>
          <w:lang w:val="pt-PT"/>
        </w:rPr>
        <w:t>-</w:t>
      </w:r>
      <w:r w:rsidRPr="00D50F76">
        <w:rPr>
          <w:lang w:val="pt-PT"/>
        </w:rPr>
        <w:tab/>
        <w:t>az időrögzítés megengedhető</w:t>
      </w:r>
    </w:p>
    <w:p w:rsidR="005624E3" w:rsidRPr="00D50F76" w:rsidRDefault="005624E3" w:rsidP="005624E3">
      <w:pPr>
        <w:tabs>
          <w:tab w:val="left" w:pos="851"/>
        </w:tabs>
        <w:spacing w:line="240" w:lineRule="atLeast"/>
        <w:ind w:left="3544" w:hanging="2693"/>
        <w:rPr>
          <w:rFonts w:cs="Arial"/>
          <w:noProof/>
          <w:lang w:val="pt-PT"/>
        </w:rPr>
      </w:pPr>
      <w:r w:rsidRPr="00D50F76">
        <w:rPr>
          <w:lang w:val="pt-PT"/>
        </w:rPr>
        <w:t>hibahatára:</w:t>
      </w:r>
      <w:r w:rsidRPr="00D50F76">
        <w:rPr>
          <w:lang w:val="pt-PT"/>
        </w:rPr>
        <w:tab/>
      </w:r>
      <w:r>
        <w:rPr>
          <w:rFonts w:cs="Arial"/>
          <w:noProof/>
        </w:rPr>
        <w:sym w:font="Symbol" w:char="F0B1"/>
      </w:r>
      <w:r w:rsidRPr="00D50F76">
        <w:rPr>
          <w:lang w:val="pt-PT"/>
        </w:rPr>
        <w:t xml:space="preserve"> 2 perc / 24 óra.</w:t>
      </w:r>
    </w:p>
    <w:p w:rsidR="005624E3" w:rsidRPr="00D50F76" w:rsidRDefault="005624E3" w:rsidP="005624E3">
      <w:pPr>
        <w:tabs>
          <w:tab w:val="left" w:pos="284"/>
          <w:tab w:val="left" w:leader="dot" w:pos="8505"/>
        </w:tabs>
        <w:ind w:left="284" w:hanging="284"/>
        <w:rPr>
          <w:lang w:val="pt-PT"/>
        </w:rPr>
      </w:pPr>
    </w:p>
    <w:p w:rsidR="005624E3" w:rsidRPr="00D50F76" w:rsidRDefault="005624E3" w:rsidP="005624E3">
      <w:pPr>
        <w:tabs>
          <w:tab w:val="left" w:pos="284"/>
          <w:tab w:val="left" w:leader="dot" w:pos="8505"/>
        </w:tabs>
        <w:ind w:left="284" w:hanging="284"/>
        <w:rPr>
          <w:lang w:val="pt-PT"/>
        </w:rPr>
      </w:pPr>
    </w:p>
    <w:p w:rsidR="005624E3" w:rsidRPr="00D50F76" w:rsidRDefault="005624E3" w:rsidP="005624E3">
      <w:pPr>
        <w:spacing w:line="240" w:lineRule="atLeast"/>
        <w:jc w:val="center"/>
        <w:rPr>
          <w:rFonts w:cs="Arial"/>
          <w:b/>
          <w:noProof/>
          <w:lang w:val="pt-PT"/>
        </w:rPr>
      </w:pPr>
      <w:r w:rsidRPr="00D50F76">
        <w:rPr>
          <w:b/>
          <w:noProof/>
          <w:lang w:val="pt-PT"/>
        </w:rPr>
        <w:t>3. cikk</w:t>
      </w:r>
    </w:p>
    <w:p w:rsidR="005624E3" w:rsidRPr="00D50F76" w:rsidRDefault="005624E3" w:rsidP="005624E3">
      <w:pPr>
        <w:spacing w:line="240" w:lineRule="atLeast"/>
        <w:jc w:val="center"/>
        <w:rPr>
          <w:rFonts w:cs="Arial"/>
          <w:i/>
          <w:noProof/>
          <w:lang w:val="pt-PT"/>
        </w:rPr>
      </w:pPr>
      <w:r w:rsidRPr="00D50F76">
        <w:rPr>
          <w:i/>
          <w:noProof/>
          <w:lang w:val="pt-PT"/>
        </w:rPr>
        <w:t>A fedélzeti menetíró készülékek beszerelésére vonatkozó követelmények</w:t>
      </w:r>
    </w:p>
    <w:p w:rsidR="005624E3" w:rsidRPr="00D50F76" w:rsidRDefault="005624E3" w:rsidP="005624E3">
      <w:pPr>
        <w:tabs>
          <w:tab w:val="left" w:pos="284"/>
          <w:tab w:val="left" w:leader="dot" w:pos="8505"/>
        </w:tabs>
        <w:ind w:left="284" w:hanging="284"/>
        <w:rPr>
          <w:lang w:val="pt-PT"/>
        </w:rPr>
      </w:pPr>
    </w:p>
    <w:p w:rsidR="005624E3" w:rsidRPr="00D50F76" w:rsidRDefault="005624E3" w:rsidP="005624E3">
      <w:pPr>
        <w:tabs>
          <w:tab w:val="left" w:pos="284"/>
          <w:tab w:val="left" w:leader="dot" w:pos="8505"/>
        </w:tabs>
        <w:ind w:left="284" w:hanging="284"/>
        <w:rPr>
          <w:lang w:val="pt-PT"/>
        </w:rPr>
      </w:pPr>
      <w:r w:rsidRPr="00D50F76">
        <w:rPr>
          <w:lang w:val="pt-PT"/>
        </w:rPr>
        <w:t>A fedélzeti menetírók beszerelésénél az alábbi feltételeknek kell megfelelni:</w:t>
      </w:r>
    </w:p>
    <w:p w:rsidR="005624E3" w:rsidRPr="00D50F76" w:rsidRDefault="005624E3" w:rsidP="005624E3">
      <w:pPr>
        <w:tabs>
          <w:tab w:val="left" w:pos="284"/>
          <w:tab w:val="left" w:leader="dot" w:pos="8505"/>
        </w:tabs>
        <w:ind w:left="284" w:hanging="284"/>
        <w:rPr>
          <w:lang w:val="pt-PT"/>
        </w:rPr>
      </w:pPr>
    </w:p>
    <w:p w:rsidR="005624E3" w:rsidRPr="00D50F76" w:rsidRDefault="005624E3" w:rsidP="005624E3">
      <w:pPr>
        <w:spacing w:line="240" w:lineRule="atLeast"/>
        <w:rPr>
          <w:rFonts w:cs="Arial"/>
          <w:color w:val="000000"/>
          <w:lang w:val="pt-PT"/>
        </w:rPr>
      </w:pPr>
      <w:r w:rsidRPr="00D50F76">
        <w:rPr>
          <w:color w:val="000000"/>
          <w:lang w:val="pt-PT"/>
        </w:rPr>
        <w:t>1.</w:t>
      </w:r>
      <w:r w:rsidRPr="00D50F76">
        <w:rPr>
          <w:lang w:val="pt-PT"/>
        </w:rPr>
        <w:tab/>
      </w:r>
      <w:r w:rsidRPr="00D50F76">
        <w:rPr>
          <w:color w:val="000000"/>
          <w:lang w:val="pt-PT"/>
        </w:rPr>
        <w:t>A fedélzeti menetírók beszerelését csak az illetékes hatóság által jóváhagyott szakértő cégek végezhetik.</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2.</w:t>
      </w:r>
      <w:r w:rsidRPr="00D50F76">
        <w:rPr>
          <w:lang w:val="pt-PT"/>
        </w:rPr>
        <w:tab/>
      </w:r>
      <w:r w:rsidRPr="00D50F76">
        <w:rPr>
          <w:color w:val="000000"/>
          <w:lang w:val="pt-PT"/>
        </w:rPr>
        <w:t>A menetírót a kormányállásban vagy más jól megközelíthető helyen kell beszerelni.</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3.</w:t>
      </w:r>
      <w:r w:rsidRPr="00D50F76">
        <w:rPr>
          <w:lang w:val="pt-PT"/>
        </w:rPr>
        <w:tab/>
      </w:r>
      <w:r w:rsidRPr="00D50F76">
        <w:rPr>
          <w:color w:val="000000"/>
          <w:lang w:val="pt-PT"/>
        </w:rPr>
        <w:t>Biztosítani kell annak vizuális módon való megállapíthatóságát, hogy a készülék üzemben van-e. Az eszköz energiaellátását folyamatosan, saját biztosítóval ellátott, szünetmentes áramforrásra közvetlenül csatlakoztatott áramkörön keresztül kell biztosítani.</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4.</w:t>
      </w:r>
      <w:r w:rsidRPr="00D50F76">
        <w:rPr>
          <w:lang w:val="pt-PT"/>
        </w:rPr>
        <w:tab/>
      </w:r>
      <w:r w:rsidRPr="00D50F76">
        <w:rPr>
          <w:color w:val="000000"/>
          <w:lang w:val="pt-PT"/>
        </w:rPr>
        <w:t>A hajó mozgásával kapcsolatos információt, vagyis azt, hogy a hajó „menetben” vagy „álló helyzet”-ben van-e, a propulziós rendszer mozgásából kell levezetni. A megfelelő jelet a hajócsavar, a csavartengely vagy a propulziós rendszer forgásából kell származtatni. Más típusú propulziós rendszerek esetében ezzel egyenértékű megoldást kell keresni.</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5.</w:t>
      </w:r>
      <w:r w:rsidRPr="00D50F76">
        <w:rPr>
          <w:lang w:val="pt-PT"/>
        </w:rPr>
        <w:tab/>
      </w:r>
      <w:r w:rsidRPr="00D50F76">
        <w:rPr>
          <w:color w:val="000000"/>
          <w:lang w:val="pt-PT"/>
        </w:rPr>
        <w:t>A hajómozgás érzékelésére szolgáló műszaki berendezéseket a lehető legüzembiztosabban kell beszerelni, és biztosítani kell az illetéktelen beavatkozások ellen. Ezért a propulziós rendszerből érkező jeleket a műszerhez juttató átvitel vezetékét (beleértve a jeladót és a műszerbemenetet) megfelelő módon védeni kell, biztosítva az áramkör megszakadásának ellenőrzését. Erre a célra alkalmasak például azonosító jelzéssel ellátott plombák, valamint a nyitott kábelpályák vagy ellenőrző áramkörök.</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lang w:val="pt-PT"/>
        </w:rPr>
        <w:br w:type="page"/>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color w:val="000000"/>
          <w:lang w:val="pt-PT"/>
        </w:rPr>
        <w:t>6.</w:t>
      </w:r>
      <w:r w:rsidRPr="00D50F76">
        <w:rPr>
          <w:lang w:val="pt-PT"/>
        </w:rPr>
        <w:tab/>
      </w:r>
      <w:r w:rsidRPr="00D50F76">
        <w:rPr>
          <w:color w:val="000000"/>
          <w:lang w:val="pt-PT"/>
        </w:rPr>
        <w:t>A beszerelő vagy a beszerelést felügyelő szakértő cég a beszerelés befejezése után üzemi próbát végez. Az említett cég tanúsítványt állít ki a készülék jellemzőiről (különösen a plombák helyéről, típusáról és jelzéséről, valamint az ellenőrző berendezések helyéről és típusáról) és rendeltetésszerű működéséről; továbbá a tanúsítványnak tájékoztatást kell nyújtania a jóváhagyott készülék típusáról is. Minden csere, módosítás és javítás után újbóli üzemi próbára van szükség, amelyet a tanúsítványban fel kell tüntetni.</w:t>
      </w:r>
    </w:p>
    <w:p w:rsidR="005624E3" w:rsidRPr="00D50F76" w:rsidRDefault="005624E3" w:rsidP="005624E3">
      <w:pPr>
        <w:tabs>
          <w:tab w:val="left" w:pos="284"/>
          <w:tab w:val="left" w:leader="dot" w:pos="8505"/>
        </w:tabs>
        <w:ind w:left="284" w:hanging="284"/>
        <w:rPr>
          <w:lang w:val="pt-PT"/>
        </w:rPr>
      </w:pPr>
    </w:p>
    <w:p w:rsidR="005624E3" w:rsidRPr="00D50F76" w:rsidRDefault="005624E3" w:rsidP="005624E3">
      <w:pPr>
        <w:spacing w:line="240" w:lineRule="atLeast"/>
        <w:ind w:left="426"/>
        <w:rPr>
          <w:lang w:val="pt-PT"/>
        </w:rPr>
      </w:pPr>
      <w:r w:rsidRPr="00D50F76">
        <w:rPr>
          <w:lang w:val="pt-PT"/>
        </w:rPr>
        <w:t>A tanúsítványnak legalább az alábbi adatokat kell tartalmaznia:</w:t>
      </w:r>
    </w:p>
    <w:p w:rsidR="005624E3" w:rsidRPr="00D50F76" w:rsidRDefault="005624E3" w:rsidP="005624E3">
      <w:pPr>
        <w:spacing w:before="60" w:line="240" w:lineRule="atLeast"/>
        <w:ind w:left="851"/>
        <w:rPr>
          <w:rFonts w:cs="Arial"/>
          <w:noProof/>
          <w:lang w:val="pt-PT"/>
        </w:rPr>
      </w:pPr>
      <w:r w:rsidRPr="00D50F76">
        <w:rPr>
          <w:lang w:val="pt-PT"/>
        </w:rPr>
        <w:t>-</w:t>
      </w:r>
      <w:r w:rsidRPr="00D50F76">
        <w:rPr>
          <w:lang w:val="pt-PT"/>
        </w:rPr>
        <w:tab/>
        <w:t>a beszerelő vagy a beszerelést felügyelő jóváhagyott szakértő cég neve, címe és egyedi azonosítója;</w:t>
      </w:r>
    </w:p>
    <w:p w:rsidR="005624E3" w:rsidRPr="00D50F76" w:rsidRDefault="005624E3" w:rsidP="005624E3">
      <w:pPr>
        <w:spacing w:before="60" w:line="240" w:lineRule="atLeast"/>
        <w:ind w:left="851"/>
        <w:rPr>
          <w:rFonts w:cs="Arial"/>
          <w:noProof/>
          <w:lang w:val="pt-PT"/>
        </w:rPr>
      </w:pPr>
      <w:r w:rsidRPr="00D50F76">
        <w:rPr>
          <w:lang w:val="pt-PT"/>
        </w:rPr>
        <w:t>-</w:t>
      </w:r>
      <w:r w:rsidRPr="00D50F76">
        <w:rPr>
          <w:lang w:val="pt-PT"/>
        </w:rPr>
        <w:tab/>
        <w:t>a céget jóváhagyó illetékes hatóság neve, címe és telefonszáma;</w:t>
      </w:r>
    </w:p>
    <w:p w:rsidR="005624E3" w:rsidRPr="00D50F76" w:rsidRDefault="005624E3" w:rsidP="005624E3">
      <w:pPr>
        <w:spacing w:before="60" w:line="240" w:lineRule="atLeast"/>
        <w:ind w:left="851"/>
        <w:rPr>
          <w:rFonts w:cs="Arial"/>
          <w:noProof/>
          <w:lang w:val="pt-PT"/>
        </w:rPr>
      </w:pPr>
      <w:r w:rsidRPr="00D50F76">
        <w:rPr>
          <w:lang w:val="pt-PT"/>
        </w:rPr>
        <w:t>-</w:t>
      </w:r>
      <w:r w:rsidRPr="00D50F76">
        <w:rPr>
          <w:lang w:val="pt-PT"/>
        </w:rPr>
        <w:tab/>
        <w:t>a hajó egyedi európai hajóazonosító száma vagy hivatalos hajószáma;</w:t>
      </w:r>
    </w:p>
    <w:p w:rsidR="005624E3" w:rsidRPr="00D50F76" w:rsidRDefault="005624E3" w:rsidP="005624E3">
      <w:pPr>
        <w:spacing w:before="60" w:line="240" w:lineRule="atLeast"/>
        <w:ind w:left="851"/>
        <w:rPr>
          <w:rFonts w:cs="Arial"/>
          <w:noProof/>
          <w:lang w:val="pt-PT"/>
        </w:rPr>
      </w:pPr>
      <w:r w:rsidRPr="00D50F76">
        <w:rPr>
          <w:lang w:val="pt-PT"/>
        </w:rPr>
        <w:t>-</w:t>
      </w:r>
      <w:r w:rsidRPr="00D50F76">
        <w:rPr>
          <w:lang w:val="pt-PT"/>
        </w:rPr>
        <w:tab/>
        <w:t>a menetíró készülék típusa és sorozatszáma;</w:t>
      </w:r>
    </w:p>
    <w:p w:rsidR="005624E3" w:rsidRPr="00D50F76" w:rsidRDefault="005624E3" w:rsidP="005624E3">
      <w:pPr>
        <w:spacing w:before="60" w:line="240" w:lineRule="atLeast"/>
        <w:ind w:left="851"/>
        <w:rPr>
          <w:rFonts w:cs="Arial"/>
          <w:noProof/>
          <w:lang w:val="pt-PT"/>
        </w:rPr>
      </w:pPr>
      <w:r w:rsidRPr="00D50F76">
        <w:rPr>
          <w:lang w:val="pt-PT"/>
        </w:rPr>
        <w:t>-</w:t>
      </w:r>
      <w:r w:rsidRPr="00D50F76">
        <w:rPr>
          <w:lang w:val="pt-PT"/>
        </w:rPr>
        <w:tab/>
        <w:t>az üzemi próba időpontja.</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A tanúsítvány érvényességi ideje 5 év.</w:t>
      </w:r>
    </w:p>
    <w:p w:rsidR="005624E3" w:rsidRPr="00D50F76" w:rsidRDefault="005624E3" w:rsidP="005624E3">
      <w:pPr>
        <w:spacing w:line="240" w:lineRule="atLeast"/>
        <w:ind w:left="426"/>
        <w:rPr>
          <w:lang w:val="pt-PT"/>
        </w:rPr>
      </w:pPr>
    </w:p>
    <w:p w:rsidR="005624E3" w:rsidRPr="00D50F76" w:rsidRDefault="005624E3" w:rsidP="005624E3">
      <w:pPr>
        <w:spacing w:line="240" w:lineRule="atLeast"/>
        <w:ind w:left="426"/>
        <w:rPr>
          <w:lang w:val="pt-PT"/>
        </w:rPr>
      </w:pPr>
      <w:r w:rsidRPr="00D50F76">
        <w:rPr>
          <w:lang w:val="pt-PT"/>
        </w:rPr>
        <w:t>A tanúsítvány annak igazolására szolgál, hogy engedélyezett készülékről van szó, melyet jóváhagyott szakértő cég épített be és vizsgált meg a rendeltetésszerű működés tekintetében.</w:t>
      </w:r>
    </w:p>
    <w:p w:rsidR="005624E3" w:rsidRPr="00D50F76" w:rsidRDefault="005624E3" w:rsidP="005624E3">
      <w:pPr>
        <w:tabs>
          <w:tab w:val="left" w:pos="284"/>
          <w:tab w:val="left" w:pos="567"/>
        </w:tabs>
        <w:ind w:left="284" w:hanging="284"/>
        <w:rPr>
          <w:lang w:val="pt-PT"/>
        </w:rPr>
      </w:pPr>
    </w:p>
    <w:p w:rsidR="005624E3" w:rsidRPr="00D50F76" w:rsidRDefault="005624E3" w:rsidP="005624E3">
      <w:pPr>
        <w:tabs>
          <w:tab w:val="left" w:pos="284"/>
          <w:tab w:val="left" w:pos="567"/>
        </w:tabs>
        <w:ind w:left="284" w:hanging="284"/>
        <w:rPr>
          <w:lang w:val="pt-PT"/>
        </w:rPr>
      </w:pPr>
      <w:r w:rsidRPr="00D50F76">
        <w:rPr>
          <w:lang w:val="pt-PT"/>
        </w:rPr>
        <w:t>7.</w:t>
      </w:r>
      <w:r w:rsidRPr="00D50F76">
        <w:rPr>
          <w:lang w:val="pt-PT"/>
        </w:rPr>
        <w:tab/>
        <w:t>A jóváhagyott cég oktatást nyújt a hajó parancsnokságának az eszköz kezeléséről, és átadja annak kezelési utasítását, amelyet a hajón kell tartani. Mindezt fel kell tüntetni a fedélzeti beszerelési bizonyítványban.</w:t>
      </w:r>
    </w:p>
    <w:p w:rsidR="005624E3" w:rsidRPr="00D50F76" w:rsidRDefault="005624E3" w:rsidP="005624E3">
      <w:pPr>
        <w:tabs>
          <w:tab w:val="left" w:pos="284"/>
          <w:tab w:val="left" w:pos="567"/>
        </w:tabs>
        <w:ind w:left="284" w:hanging="284"/>
        <w:rPr>
          <w:lang w:val="pt-PT"/>
        </w:rPr>
      </w:pPr>
    </w:p>
    <w:p w:rsidR="005624E3" w:rsidRPr="00D50F76" w:rsidRDefault="005624E3" w:rsidP="005624E3">
      <w:pPr>
        <w:tabs>
          <w:tab w:val="left" w:pos="284"/>
          <w:tab w:val="left" w:pos="567"/>
        </w:tabs>
        <w:ind w:left="284" w:hanging="284"/>
        <w:rPr>
          <w:lang w:val="pt-PT"/>
        </w:rPr>
      </w:pPr>
    </w:p>
    <w:p w:rsidR="005624E3" w:rsidRPr="00D50F76" w:rsidRDefault="005624E3" w:rsidP="005624E3">
      <w:pPr>
        <w:tabs>
          <w:tab w:val="left" w:pos="284"/>
          <w:tab w:val="left" w:pos="567"/>
        </w:tabs>
        <w:ind w:left="284" w:hanging="284"/>
        <w:rPr>
          <w:lang w:val="pt-PT"/>
        </w:rPr>
      </w:pPr>
      <w:r w:rsidRPr="00D50F76">
        <w:rPr>
          <w:lang w:val="pt-PT"/>
        </w:rPr>
        <w:br w:type="page"/>
      </w:r>
    </w:p>
    <w:p w:rsidR="005624E3" w:rsidRPr="00D50F76" w:rsidRDefault="005624E3" w:rsidP="005624E3">
      <w:pPr>
        <w:tabs>
          <w:tab w:val="left" w:pos="284"/>
          <w:tab w:val="left" w:pos="567"/>
        </w:tabs>
        <w:ind w:left="284" w:hanging="284"/>
        <w:rPr>
          <w:lang w:val="pt-PT"/>
        </w:rPr>
      </w:pPr>
    </w:p>
    <w:p w:rsidR="005624E3" w:rsidRPr="00D50F76" w:rsidRDefault="005624E3" w:rsidP="005624E3">
      <w:pPr>
        <w:tabs>
          <w:tab w:val="left" w:pos="284"/>
          <w:tab w:val="left" w:pos="567"/>
        </w:tabs>
        <w:ind w:left="284" w:hanging="284"/>
        <w:rPr>
          <w:lang w:val="pt-PT"/>
        </w:rPr>
      </w:pPr>
    </w:p>
    <w:p w:rsidR="005624E3" w:rsidRPr="00D50F76" w:rsidRDefault="005624E3" w:rsidP="005624E3">
      <w:pPr>
        <w:tabs>
          <w:tab w:val="left" w:pos="284"/>
          <w:tab w:val="left" w:pos="567"/>
        </w:tabs>
        <w:ind w:left="284" w:hanging="284"/>
        <w:rPr>
          <w:lang w:val="pt-PT"/>
        </w:rPr>
      </w:pPr>
    </w:p>
    <w:p w:rsidR="005624E3" w:rsidRPr="00D50F76" w:rsidRDefault="005624E3" w:rsidP="005624E3">
      <w:pPr>
        <w:tabs>
          <w:tab w:val="left" w:pos="284"/>
          <w:tab w:val="left" w:pos="567"/>
        </w:tabs>
        <w:ind w:left="284" w:hanging="284"/>
        <w:rPr>
          <w:lang w:val="pt-PT"/>
        </w:rPr>
      </w:pPr>
    </w:p>
    <w:p w:rsidR="005624E3" w:rsidRPr="00D50F76" w:rsidRDefault="005624E3" w:rsidP="005624E3">
      <w:pPr>
        <w:tabs>
          <w:tab w:val="left" w:pos="284"/>
          <w:tab w:val="left" w:pos="567"/>
        </w:tabs>
        <w:ind w:left="284" w:hanging="284"/>
        <w:rPr>
          <w:lang w:val="pt-PT"/>
        </w:rPr>
      </w:pPr>
      <w:r w:rsidRPr="00D50F76">
        <w:rPr>
          <w:lang w:val="pt-PT"/>
        </w:rPr>
        <w:br w:type="page"/>
      </w:r>
    </w:p>
    <w:p w:rsidR="005624E3" w:rsidRPr="00D50F76" w:rsidRDefault="005624E3" w:rsidP="005624E3">
      <w:pPr>
        <w:pStyle w:val="ES-Titre3"/>
        <w:rPr>
          <w:noProof/>
          <w:lang w:val="pt-PT"/>
        </w:rPr>
      </w:pPr>
      <w:bookmarkStart w:id="658" w:name="_Toc491854320"/>
      <w:bookmarkStart w:id="659" w:name="_Toc535854101"/>
      <w:r w:rsidRPr="00D50F76">
        <w:rPr>
          <w:lang w:val="pt-PT"/>
        </w:rPr>
        <w:t>VI. szakasz</w:t>
      </w:r>
      <w:bookmarkEnd w:id="658"/>
      <w:bookmarkEnd w:id="659"/>
    </w:p>
    <w:p w:rsidR="005624E3" w:rsidRPr="00D50F76" w:rsidRDefault="005624E3" w:rsidP="005624E3">
      <w:pPr>
        <w:pStyle w:val="ES-Titre3a"/>
        <w:rPr>
          <w:noProof/>
          <w:lang w:val="pt-PT"/>
        </w:rPr>
      </w:pPr>
      <w:bookmarkStart w:id="660" w:name="_Toc491854321"/>
      <w:bookmarkStart w:id="661" w:name="_Toc535854102"/>
      <w:r w:rsidRPr="00D50F76">
        <w:rPr>
          <w:lang w:val="pt-PT"/>
        </w:rPr>
        <w:t>A belvízi hajók fedélzetén használt navigációs radarberendezések, fordulási szögsebességjelzők, belvízi AIS-berendezések és menetíró készülékek beszerelési és teljesítményigazolási bizonyítványa</w:t>
      </w:r>
      <w:bookmarkEnd w:id="660"/>
      <w:bookmarkEnd w:id="661"/>
    </w:p>
    <w:p w:rsidR="005624E3" w:rsidRPr="00D50F76" w:rsidRDefault="005624E3" w:rsidP="005624E3">
      <w:pPr>
        <w:overflowPunct w:val="0"/>
        <w:adjustRightInd w:val="0"/>
        <w:spacing w:line="240" w:lineRule="exact"/>
        <w:jc w:val="center"/>
        <w:textAlignment w:val="baseline"/>
        <w:rPr>
          <w:rFonts w:eastAsia="Calibri"/>
          <w:szCs w:val="20"/>
          <w:lang w:val="pt-PT"/>
        </w:rPr>
      </w:pPr>
      <w:r w:rsidRPr="00D50F76">
        <w:rPr>
          <w:lang w:val="pt-PT"/>
        </w:rPr>
        <w:t>(Minta)</w:t>
      </w:r>
    </w:p>
    <w:p w:rsidR="005624E3" w:rsidRPr="00D50F76" w:rsidRDefault="005624E3" w:rsidP="005624E3">
      <w:pPr>
        <w:tabs>
          <w:tab w:val="left" w:leader="dot" w:pos="9072"/>
        </w:tabs>
        <w:spacing w:line="240" w:lineRule="atLeast"/>
        <w:rPr>
          <w:rFonts w:cs="Arial"/>
          <w:snapToGrid w:val="0"/>
          <w:lang w:val="pt-PT"/>
        </w:rPr>
      </w:pPr>
    </w:p>
    <w:p w:rsidR="005624E3" w:rsidRPr="00D50F76" w:rsidRDefault="005624E3" w:rsidP="005624E3">
      <w:pPr>
        <w:tabs>
          <w:tab w:val="left" w:leader="dot" w:pos="9072"/>
        </w:tabs>
        <w:spacing w:after="120"/>
        <w:rPr>
          <w:rFonts w:cs="Arial"/>
          <w:noProof/>
          <w:szCs w:val="20"/>
          <w:lang w:val="pt-PT"/>
        </w:rPr>
      </w:pPr>
      <w:r w:rsidRPr="00D50F76">
        <w:rPr>
          <w:lang w:val="pt-PT"/>
        </w:rPr>
        <w:t xml:space="preserve">Hajó neve/típusa: </w:t>
      </w:r>
      <w:r w:rsidRPr="00D50F76">
        <w:rPr>
          <w:lang w:val="pt-PT"/>
        </w:rPr>
        <w:tab/>
      </w:r>
    </w:p>
    <w:p w:rsidR="005624E3" w:rsidRPr="00D50F76" w:rsidRDefault="005624E3" w:rsidP="005624E3">
      <w:pPr>
        <w:tabs>
          <w:tab w:val="left" w:leader="dot" w:pos="9072"/>
        </w:tabs>
        <w:spacing w:after="120"/>
        <w:rPr>
          <w:rFonts w:cs="Arial"/>
          <w:noProof/>
          <w:szCs w:val="20"/>
          <w:lang w:val="pt-PT"/>
        </w:rPr>
      </w:pPr>
      <w:r w:rsidRPr="00D50F76">
        <w:rPr>
          <w:lang w:val="pt-PT"/>
        </w:rPr>
        <w:t>Egyedi európai</w:t>
      </w:r>
      <w:r w:rsidRPr="00D50F76">
        <w:rPr>
          <w:i/>
          <w:noProof/>
          <w:lang w:val="pt-PT"/>
        </w:rPr>
        <w:t> </w:t>
      </w:r>
      <w:r w:rsidRPr="00D50F76">
        <w:rPr>
          <w:lang w:val="pt-PT"/>
        </w:rPr>
        <w:t xml:space="preserve">hajóazonosító szám: </w:t>
      </w:r>
      <w:r w:rsidRPr="00D50F76">
        <w:rPr>
          <w:lang w:val="pt-PT"/>
        </w:rPr>
        <w:tab/>
      </w:r>
    </w:p>
    <w:p w:rsidR="005624E3" w:rsidRPr="00D50F76" w:rsidRDefault="005624E3" w:rsidP="005624E3">
      <w:pPr>
        <w:tabs>
          <w:tab w:val="left" w:leader="dot" w:pos="9072"/>
        </w:tabs>
        <w:spacing w:after="120"/>
        <w:rPr>
          <w:rFonts w:cs="Arial"/>
          <w:noProof/>
          <w:szCs w:val="20"/>
          <w:lang w:val="pt-PT"/>
        </w:rPr>
      </w:pPr>
      <w:r w:rsidRPr="00D50F76">
        <w:rPr>
          <w:b/>
          <w:noProof/>
          <w:lang w:val="pt-PT"/>
        </w:rPr>
        <w:t>Hajótulajdonos:</w:t>
      </w:r>
      <w:r w:rsidRPr="00D50F76">
        <w:rPr>
          <w:lang w:val="pt-PT"/>
        </w:rPr>
        <w:t xml:space="preserve"> </w:t>
      </w:r>
    </w:p>
    <w:p w:rsidR="005624E3" w:rsidRPr="00D50F76" w:rsidRDefault="005624E3" w:rsidP="005624E3">
      <w:pPr>
        <w:tabs>
          <w:tab w:val="left" w:leader="dot" w:pos="4536"/>
        </w:tabs>
        <w:spacing w:after="120"/>
        <w:rPr>
          <w:rFonts w:cs="Arial"/>
          <w:noProof/>
          <w:szCs w:val="20"/>
          <w:lang w:val="pt-PT"/>
        </w:rPr>
      </w:pPr>
      <w:r w:rsidRPr="00D50F76">
        <w:rPr>
          <w:lang w:val="pt-PT"/>
        </w:rPr>
        <w:t xml:space="preserve">Név: </w:t>
      </w:r>
      <w:r w:rsidRPr="00D50F76">
        <w:rPr>
          <w:lang w:val="pt-PT"/>
        </w:rPr>
        <w:tab/>
      </w:r>
    </w:p>
    <w:p w:rsidR="005624E3" w:rsidRPr="00D50F76" w:rsidRDefault="005624E3" w:rsidP="005624E3">
      <w:pPr>
        <w:tabs>
          <w:tab w:val="left" w:leader="dot" w:pos="9072"/>
        </w:tabs>
        <w:spacing w:after="120"/>
        <w:rPr>
          <w:rFonts w:cs="Arial"/>
          <w:noProof/>
          <w:szCs w:val="20"/>
          <w:lang w:val="pt-PT"/>
        </w:rPr>
      </w:pPr>
      <w:r w:rsidRPr="00D50F76">
        <w:rPr>
          <w:lang w:val="pt-PT"/>
        </w:rPr>
        <w:t xml:space="preserve">Cím: </w:t>
      </w:r>
      <w:r w:rsidRPr="00D50F76">
        <w:rPr>
          <w:lang w:val="pt-PT"/>
        </w:rPr>
        <w:tab/>
      </w:r>
    </w:p>
    <w:p w:rsidR="005624E3" w:rsidRPr="00D50F76" w:rsidRDefault="005624E3" w:rsidP="005624E3">
      <w:pPr>
        <w:tabs>
          <w:tab w:val="left" w:leader="dot" w:pos="3119"/>
        </w:tabs>
        <w:rPr>
          <w:rFonts w:cs="Arial"/>
          <w:noProof/>
          <w:szCs w:val="20"/>
          <w:lang w:val="pt-PT"/>
        </w:rPr>
      </w:pPr>
      <w:r w:rsidRPr="00D50F76">
        <w:rPr>
          <w:lang w:val="pt-PT"/>
        </w:rPr>
        <w:t xml:space="preserve">Telefon: </w:t>
      </w:r>
      <w:r w:rsidRPr="00D50F76">
        <w:rPr>
          <w:lang w:val="pt-PT"/>
        </w:rPr>
        <w:tab/>
      </w:r>
    </w:p>
    <w:p w:rsidR="005624E3" w:rsidRPr="00D50F76" w:rsidRDefault="005624E3" w:rsidP="005624E3">
      <w:pPr>
        <w:tabs>
          <w:tab w:val="left" w:leader="dot" w:pos="9072"/>
        </w:tabs>
        <w:spacing w:line="240" w:lineRule="atLeast"/>
        <w:rPr>
          <w:rFonts w:cs="Arial"/>
          <w:snapToGrid w:val="0"/>
          <w:lang w:val="pt-PT"/>
        </w:rPr>
      </w:pPr>
    </w:p>
    <w:p w:rsidR="005624E3" w:rsidRPr="00D50F76" w:rsidRDefault="005624E3" w:rsidP="005624E3">
      <w:pPr>
        <w:tabs>
          <w:tab w:val="left" w:pos="284"/>
          <w:tab w:val="left" w:pos="5670"/>
          <w:tab w:val="left" w:leader="dot" w:pos="7655"/>
        </w:tabs>
        <w:overflowPunct w:val="0"/>
        <w:adjustRightInd w:val="0"/>
        <w:textAlignment w:val="baseline"/>
        <w:rPr>
          <w:rFonts w:cs="Arial"/>
          <w:snapToGrid w:val="0"/>
          <w:szCs w:val="20"/>
          <w:lang w:val="pt-PT"/>
        </w:rPr>
      </w:pPr>
      <w:r w:rsidRPr="00D50F76">
        <w:rPr>
          <w:b/>
          <w:noProof/>
          <w:snapToGrid w:val="0"/>
          <w:lang w:val="pt-PT"/>
        </w:rPr>
        <w:t>Navigációs radarberendezések:</w:t>
      </w:r>
      <w:r w:rsidRPr="00D50F76">
        <w:rPr>
          <w:lang w:val="pt-PT"/>
        </w:rPr>
        <w:tab/>
        <w:t xml:space="preserve">Szám: </w:t>
      </w:r>
      <w:r w:rsidRPr="00D50F76">
        <w:rPr>
          <w:lang w:val="pt-PT"/>
        </w:rPr>
        <w:tab/>
      </w:r>
    </w:p>
    <w:p w:rsidR="005624E3" w:rsidRPr="00D50F76" w:rsidRDefault="005624E3" w:rsidP="005624E3">
      <w:pPr>
        <w:tabs>
          <w:tab w:val="left" w:leader="dot" w:pos="9072"/>
        </w:tabs>
        <w:spacing w:line="240" w:lineRule="atLeast"/>
        <w:rPr>
          <w:rFonts w:cs="Arial"/>
          <w:snapToGrid w:val="0"/>
          <w:lang w:val="pt-PT"/>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5624E3" w:rsidRPr="00C903F8" w:rsidTr="00101A80">
        <w:trPr>
          <w:cantSplit/>
        </w:trPr>
        <w:tc>
          <w:tcPr>
            <w:tcW w:w="1814" w:type="dxa"/>
            <w:tcBorders>
              <w:bottom w:val="single" w:sz="6" w:space="0" w:color="auto"/>
              <w:right w:val="single" w:sz="6" w:space="0" w:color="auto"/>
            </w:tcBorders>
          </w:tcPr>
          <w:p w:rsidR="005624E3" w:rsidRPr="00C903F8" w:rsidRDefault="005624E3" w:rsidP="00101A80">
            <w:pPr>
              <w:jc w:val="center"/>
              <w:rPr>
                <w:noProof/>
                <w:sz w:val="16"/>
                <w:szCs w:val="20"/>
              </w:rPr>
            </w:pPr>
            <w:r>
              <w:rPr>
                <w:noProof/>
                <w:sz w:val="16"/>
              </w:rPr>
              <w:t>Sorozatszám</w:t>
            </w:r>
          </w:p>
        </w:tc>
        <w:tc>
          <w:tcPr>
            <w:tcW w:w="1814" w:type="dxa"/>
            <w:tcBorders>
              <w:left w:val="single" w:sz="6" w:space="0" w:color="auto"/>
              <w:bottom w:val="single" w:sz="6" w:space="0" w:color="auto"/>
              <w:right w:val="single" w:sz="6" w:space="0" w:color="auto"/>
            </w:tcBorders>
          </w:tcPr>
          <w:p w:rsidR="005624E3" w:rsidRPr="00C903F8" w:rsidRDefault="005624E3" w:rsidP="00101A80">
            <w:pPr>
              <w:jc w:val="center"/>
              <w:rPr>
                <w:noProof/>
                <w:sz w:val="16"/>
                <w:szCs w:val="20"/>
              </w:rPr>
            </w:pPr>
            <w:r>
              <w:rPr>
                <w:noProof/>
                <w:sz w:val="16"/>
              </w:rPr>
              <w:t>Típus</w:t>
            </w:r>
          </w:p>
        </w:tc>
        <w:tc>
          <w:tcPr>
            <w:tcW w:w="1814" w:type="dxa"/>
            <w:tcBorders>
              <w:left w:val="single" w:sz="6" w:space="0" w:color="auto"/>
              <w:bottom w:val="single" w:sz="6" w:space="0" w:color="auto"/>
              <w:right w:val="single" w:sz="6" w:space="0" w:color="auto"/>
            </w:tcBorders>
          </w:tcPr>
          <w:p w:rsidR="005624E3" w:rsidRPr="00C903F8" w:rsidRDefault="005624E3" w:rsidP="00101A80">
            <w:pPr>
              <w:jc w:val="center"/>
              <w:rPr>
                <w:noProof/>
                <w:sz w:val="16"/>
                <w:szCs w:val="20"/>
              </w:rPr>
            </w:pPr>
            <w:r>
              <w:rPr>
                <w:noProof/>
                <w:sz w:val="16"/>
              </w:rPr>
              <w:t>Gyártó</w:t>
            </w:r>
          </w:p>
        </w:tc>
        <w:tc>
          <w:tcPr>
            <w:tcW w:w="1814" w:type="dxa"/>
            <w:tcBorders>
              <w:left w:val="single" w:sz="6" w:space="0" w:color="auto"/>
              <w:bottom w:val="single" w:sz="6" w:space="0" w:color="auto"/>
              <w:right w:val="single" w:sz="6" w:space="0" w:color="auto"/>
            </w:tcBorders>
          </w:tcPr>
          <w:p w:rsidR="005624E3" w:rsidRPr="00C903F8" w:rsidRDefault="005624E3" w:rsidP="00101A80">
            <w:pPr>
              <w:jc w:val="center"/>
              <w:rPr>
                <w:noProof/>
                <w:sz w:val="16"/>
                <w:szCs w:val="20"/>
              </w:rPr>
            </w:pPr>
            <w:r>
              <w:rPr>
                <w:noProof/>
                <w:sz w:val="16"/>
              </w:rPr>
              <w:t>Típusjóváhagyási szám</w:t>
            </w:r>
          </w:p>
        </w:tc>
        <w:tc>
          <w:tcPr>
            <w:tcW w:w="1814" w:type="dxa"/>
            <w:tcBorders>
              <w:left w:val="single" w:sz="6" w:space="0" w:color="auto"/>
              <w:bottom w:val="single" w:sz="6" w:space="0" w:color="auto"/>
            </w:tcBorders>
          </w:tcPr>
          <w:p w:rsidR="005624E3" w:rsidRPr="00C903F8" w:rsidRDefault="005624E3" w:rsidP="00101A80">
            <w:pPr>
              <w:jc w:val="center"/>
              <w:rPr>
                <w:noProof/>
                <w:sz w:val="16"/>
                <w:szCs w:val="20"/>
              </w:rPr>
            </w:pPr>
            <w:r>
              <w:rPr>
                <w:noProof/>
                <w:sz w:val="16"/>
              </w:rPr>
              <w:t>Sorozatszám</w:t>
            </w:r>
          </w:p>
        </w:tc>
      </w:tr>
      <w:tr w:rsidR="005624E3" w:rsidRPr="00C903F8" w:rsidTr="00101A80">
        <w:trPr>
          <w:cantSplit/>
        </w:trPr>
        <w:tc>
          <w:tcPr>
            <w:tcW w:w="1814" w:type="dxa"/>
            <w:tcBorders>
              <w:top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 w:val="16"/>
                <w:szCs w:val="16"/>
              </w:rPr>
            </w:pPr>
          </w:p>
        </w:tc>
        <w:tc>
          <w:tcPr>
            <w:tcW w:w="1814" w:type="dxa"/>
            <w:tcBorders>
              <w:top w:val="single" w:sz="6" w:space="0" w:color="auto"/>
              <w:left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r>
    </w:tbl>
    <w:p w:rsidR="005624E3" w:rsidRPr="00C903F8" w:rsidRDefault="005624E3" w:rsidP="005624E3">
      <w:pPr>
        <w:tabs>
          <w:tab w:val="left" w:leader="dot" w:pos="9072"/>
        </w:tabs>
        <w:spacing w:line="240" w:lineRule="atLeast"/>
        <w:rPr>
          <w:rFonts w:cs="Arial"/>
        </w:rPr>
      </w:pPr>
    </w:p>
    <w:p w:rsidR="005624E3" w:rsidRPr="00C903F8" w:rsidRDefault="005624E3" w:rsidP="005624E3">
      <w:pPr>
        <w:tabs>
          <w:tab w:val="left" w:pos="284"/>
          <w:tab w:val="left" w:pos="5670"/>
          <w:tab w:val="left" w:leader="dot" w:pos="7655"/>
        </w:tabs>
        <w:overflowPunct w:val="0"/>
        <w:adjustRightInd w:val="0"/>
        <w:textAlignment w:val="baseline"/>
        <w:rPr>
          <w:rFonts w:cs="Arial"/>
          <w:snapToGrid w:val="0"/>
          <w:szCs w:val="20"/>
        </w:rPr>
      </w:pPr>
      <w:r>
        <w:rPr>
          <w:b/>
          <w:noProof/>
          <w:snapToGrid w:val="0"/>
        </w:rPr>
        <w:t>Fordulási szögsebességjelzők</w:t>
      </w:r>
      <w:r>
        <w:t>:</w:t>
      </w:r>
      <w:r>
        <w:tab/>
        <w:t xml:space="preserve">Szám: </w:t>
      </w:r>
      <w:r>
        <w:tab/>
      </w:r>
    </w:p>
    <w:p w:rsidR="005624E3" w:rsidRPr="00C903F8" w:rsidRDefault="005624E3" w:rsidP="005624E3">
      <w:pPr>
        <w:tabs>
          <w:tab w:val="left" w:leader="dot" w:pos="9072"/>
        </w:tabs>
        <w:spacing w:line="240" w:lineRule="atLeast"/>
        <w:rPr>
          <w:rFonts w:cs="Arial"/>
          <w:snapToGrid w:val="0"/>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5624E3" w:rsidRPr="00C903F8" w:rsidTr="00101A80">
        <w:trPr>
          <w:cantSplit/>
        </w:trPr>
        <w:tc>
          <w:tcPr>
            <w:tcW w:w="1814" w:type="dxa"/>
            <w:tcBorders>
              <w:bottom w:val="single" w:sz="6" w:space="0" w:color="auto"/>
              <w:right w:val="single" w:sz="6" w:space="0" w:color="auto"/>
            </w:tcBorders>
          </w:tcPr>
          <w:p w:rsidR="005624E3" w:rsidRPr="00C903F8" w:rsidRDefault="005624E3" w:rsidP="00101A80">
            <w:pPr>
              <w:jc w:val="center"/>
              <w:rPr>
                <w:noProof/>
                <w:sz w:val="16"/>
                <w:szCs w:val="20"/>
              </w:rPr>
            </w:pPr>
            <w:r>
              <w:rPr>
                <w:noProof/>
                <w:sz w:val="16"/>
              </w:rPr>
              <w:t>Sorozatszám</w:t>
            </w:r>
          </w:p>
        </w:tc>
        <w:tc>
          <w:tcPr>
            <w:tcW w:w="1814" w:type="dxa"/>
            <w:tcBorders>
              <w:left w:val="single" w:sz="6" w:space="0" w:color="auto"/>
              <w:bottom w:val="single" w:sz="6" w:space="0" w:color="auto"/>
              <w:right w:val="single" w:sz="6" w:space="0" w:color="auto"/>
            </w:tcBorders>
          </w:tcPr>
          <w:p w:rsidR="005624E3" w:rsidRPr="00C903F8" w:rsidRDefault="005624E3" w:rsidP="00101A80">
            <w:pPr>
              <w:jc w:val="center"/>
              <w:rPr>
                <w:noProof/>
                <w:sz w:val="16"/>
                <w:szCs w:val="20"/>
              </w:rPr>
            </w:pPr>
            <w:r>
              <w:rPr>
                <w:noProof/>
                <w:sz w:val="16"/>
              </w:rPr>
              <w:t>Típus</w:t>
            </w:r>
          </w:p>
        </w:tc>
        <w:tc>
          <w:tcPr>
            <w:tcW w:w="1814" w:type="dxa"/>
            <w:tcBorders>
              <w:left w:val="single" w:sz="6" w:space="0" w:color="auto"/>
              <w:bottom w:val="single" w:sz="6" w:space="0" w:color="auto"/>
              <w:right w:val="single" w:sz="6" w:space="0" w:color="auto"/>
            </w:tcBorders>
          </w:tcPr>
          <w:p w:rsidR="005624E3" w:rsidRPr="00C903F8" w:rsidRDefault="005624E3" w:rsidP="00101A80">
            <w:pPr>
              <w:jc w:val="center"/>
              <w:rPr>
                <w:noProof/>
                <w:sz w:val="16"/>
                <w:szCs w:val="20"/>
              </w:rPr>
            </w:pPr>
            <w:r>
              <w:rPr>
                <w:noProof/>
                <w:sz w:val="16"/>
              </w:rPr>
              <w:t>Gyártó</w:t>
            </w:r>
          </w:p>
        </w:tc>
        <w:tc>
          <w:tcPr>
            <w:tcW w:w="1814" w:type="dxa"/>
            <w:tcBorders>
              <w:left w:val="single" w:sz="6" w:space="0" w:color="auto"/>
              <w:bottom w:val="single" w:sz="6" w:space="0" w:color="auto"/>
              <w:right w:val="single" w:sz="6" w:space="0" w:color="auto"/>
            </w:tcBorders>
          </w:tcPr>
          <w:p w:rsidR="005624E3" w:rsidRPr="00C903F8" w:rsidRDefault="005624E3" w:rsidP="00101A80">
            <w:pPr>
              <w:jc w:val="center"/>
              <w:rPr>
                <w:noProof/>
                <w:sz w:val="16"/>
                <w:szCs w:val="20"/>
              </w:rPr>
            </w:pPr>
            <w:r>
              <w:rPr>
                <w:noProof/>
                <w:sz w:val="16"/>
              </w:rPr>
              <w:t>Típusjóváhagyási szám</w:t>
            </w:r>
          </w:p>
        </w:tc>
        <w:tc>
          <w:tcPr>
            <w:tcW w:w="1814" w:type="dxa"/>
            <w:tcBorders>
              <w:left w:val="single" w:sz="6" w:space="0" w:color="auto"/>
              <w:bottom w:val="single" w:sz="6" w:space="0" w:color="auto"/>
            </w:tcBorders>
          </w:tcPr>
          <w:p w:rsidR="005624E3" w:rsidRPr="00C903F8" w:rsidRDefault="005624E3" w:rsidP="00101A80">
            <w:pPr>
              <w:jc w:val="center"/>
              <w:rPr>
                <w:noProof/>
                <w:sz w:val="16"/>
                <w:szCs w:val="20"/>
              </w:rPr>
            </w:pPr>
            <w:r>
              <w:rPr>
                <w:noProof/>
                <w:sz w:val="16"/>
              </w:rPr>
              <w:t>Sorozatszám</w:t>
            </w:r>
          </w:p>
        </w:tc>
      </w:tr>
      <w:tr w:rsidR="005624E3" w:rsidRPr="00C903F8" w:rsidTr="00101A80">
        <w:trPr>
          <w:cantSplit/>
        </w:trPr>
        <w:tc>
          <w:tcPr>
            <w:tcW w:w="1814" w:type="dxa"/>
            <w:tcBorders>
              <w:top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 w:val="16"/>
                <w:szCs w:val="16"/>
              </w:rPr>
            </w:pPr>
          </w:p>
        </w:tc>
        <w:tc>
          <w:tcPr>
            <w:tcW w:w="1814" w:type="dxa"/>
            <w:tcBorders>
              <w:top w:val="single" w:sz="6" w:space="0" w:color="auto"/>
              <w:left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r>
    </w:tbl>
    <w:p w:rsidR="005624E3" w:rsidRPr="00C903F8" w:rsidRDefault="005624E3" w:rsidP="005624E3">
      <w:pPr>
        <w:tabs>
          <w:tab w:val="left" w:leader="dot" w:pos="9072"/>
        </w:tabs>
        <w:spacing w:line="240" w:lineRule="atLeast"/>
        <w:rPr>
          <w:rFonts w:cs="Arial"/>
          <w:snapToGrid w:val="0"/>
        </w:rPr>
      </w:pPr>
    </w:p>
    <w:p w:rsidR="005624E3" w:rsidRPr="00C903F8" w:rsidRDefault="005624E3" w:rsidP="005624E3">
      <w:pPr>
        <w:tabs>
          <w:tab w:val="left" w:pos="284"/>
          <w:tab w:val="left" w:pos="5670"/>
          <w:tab w:val="left" w:leader="dot" w:pos="7655"/>
        </w:tabs>
        <w:overflowPunct w:val="0"/>
        <w:adjustRightInd w:val="0"/>
        <w:textAlignment w:val="baseline"/>
        <w:rPr>
          <w:rFonts w:cs="Arial"/>
          <w:snapToGrid w:val="0"/>
          <w:color w:val="000000"/>
          <w:szCs w:val="20"/>
        </w:rPr>
      </w:pPr>
      <w:r>
        <w:rPr>
          <w:b/>
          <w:noProof/>
          <w:snapToGrid w:val="0"/>
          <w:color w:val="000000"/>
        </w:rPr>
        <w:t>Belvízi AIS-berendezések:</w:t>
      </w:r>
    </w:p>
    <w:p w:rsidR="005624E3" w:rsidRPr="00C903F8" w:rsidRDefault="005624E3" w:rsidP="005624E3">
      <w:pPr>
        <w:tabs>
          <w:tab w:val="left" w:pos="284"/>
        </w:tabs>
        <w:overflowPunct w:val="0"/>
        <w:adjustRightInd w:val="0"/>
        <w:textAlignment w:val="baseline"/>
        <w:rPr>
          <w:rFonts w:cs="Arial"/>
          <w:snapToGrid w:val="0"/>
          <w:color w:val="000000"/>
          <w:szCs w:val="20"/>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5624E3" w:rsidRPr="00C903F8" w:rsidTr="00101A80">
        <w:trPr>
          <w:cantSplit/>
        </w:trPr>
        <w:tc>
          <w:tcPr>
            <w:tcW w:w="1814" w:type="dxa"/>
            <w:tcBorders>
              <w:bottom w:val="single" w:sz="6" w:space="0" w:color="auto"/>
              <w:right w:val="single" w:sz="6" w:space="0" w:color="auto"/>
            </w:tcBorders>
          </w:tcPr>
          <w:p w:rsidR="005624E3" w:rsidRPr="00C903F8" w:rsidRDefault="005624E3" w:rsidP="00101A80">
            <w:pPr>
              <w:jc w:val="center"/>
              <w:rPr>
                <w:noProof/>
                <w:sz w:val="16"/>
                <w:szCs w:val="20"/>
              </w:rPr>
            </w:pPr>
            <w:r>
              <w:rPr>
                <w:noProof/>
                <w:sz w:val="16"/>
              </w:rPr>
              <w:t>Sorozatszám</w:t>
            </w:r>
          </w:p>
        </w:tc>
        <w:tc>
          <w:tcPr>
            <w:tcW w:w="1814" w:type="dxa"/>
            <w:tcBorders>
              <w:left w:val="single" w:sz="6" w:space="0" w:color="auto"/>
              <w:bottom w:val="single" w:sz="6" w:space="0" w:color="auto"/>
              <w:right w:val="single" w:sz="6" w:space="0" w:color="auto"/>
            </w:tcBorders>
          </w:tcPr>
          <w:p w:rsidR="005624E3" w:rsidRPr="00C903F8" w:rsidRDefault="005624E3" w:rsidP="00101A80">
            <w:pPr>
              <w:jc w:val="center"/>
              <w:rPr>
                <w:noProof/>
                <w:sz w:val="16"/>
                <w:szCs w:val="20"/>
              </w:rPr>
            </w:pPr>
            <w:r>
              <w:rPr>
                <w:noProof/>
                <w:sz w:val="16"/>
              </w:rPr>
              <w:t>Típus</w:t>
            </w:r>
          </w:p>
        </w:tc>
        <w:tc>
          <w:tcPr>
            <w:tcW w:w="1814" w:type="dxa"/>
            <w:tcBorders>
              <w:left w:val="single" w:sz="6" w:space="0" w:color="auto"/>
              <w:bottom w:val="single" w:sz="6" w:space="0" w:color="auto"/>
              <w:right w:val="single" w:sz="6" w:space="0" w:color="auto"/>
            </w:tcBorders>
          </w:tcPr>
          <w:p w:rsidR="005624E3" w:rsidRPr="00C903F8" w:rsidRDefault="005624E3" w:rsidP="00101A80">
            <w:pPr>
              <w:jc w:val="center"/>
              <w:rPr>
                <w:noProof/>
                <w:sz w:val="16"/>
                <w:szCs w:val="20"/>
              </w:rPr>
            </w:pPr>
            <w:r>
              <w:rPr>
                <w:noProof/>
                <w:sz w:val="16"/>
              </w:rPr>
              <w:t>Gyártó</w:t>
            </w:r>
          </w:p>
        </w:tc>
        <w:tc>
          <w:tcPr>
            <w:tcW w:w="1814" w:type="dxa"/>
            <w:tcBorders>
              <w:left w:val="single" w:sz="6" w:space="0" w:color="auto"/>
              <w:bottom w:val="single" w:sz="6" w:space="0" w:color="auto"/>
              <w:right w:val="single" w:sz="6" w:space="0" w:color="auto"/>
            </w:tcBorders>
          </w:tcPr>
          <w:p w:rsidR="005624E3" w:rsidRPr="00C903F8" w:rsidRDefault="005624E3" w:rsidP="00101A80">
            <w:pPr>
              <w:jc w:val="center"/>
              <w:rPr>
                <w:noProof/>
                <w:sz w:val="16"/>
                <w:szCs w:val="20"/>
              </w:rPr>
            </w:pPr>
            <w:r>
              <w:rPr>
                <w:noProof/>
                <w:sz w:val="16"/>
              </w:rPr>
              <w:t>Típusjóváhagyási szám</w:t>
            </w:r>
          </w:p>
        </w:tc>
        <w:tc>
          <w:tcPr>
            <w:tcW w:w="1814" w:type="dxa"/>
            <w:tcBorders>
              <w:left w:val="single" w:sz="6" w:space="0" w:color="auto"/>
              <w:bottom w:val="single" w:sz="6" w:space="0" w:color="auto"/>
            </w:tcBorders>
          </w:tcPr>
          <w:p w:rsidR="005624E3" w:rsidRPr="00C903F8" w:rsidRDefault="005624E3" w:rsidP="00101A80">
            <w:pPr>
              <w:jc w:val="center"/>
              <w:rPr>
                <w:noProof/>
                <w:sz w:val="16"/>
                <w:szCs w:val="20"/>
              </w:rPr>
            </w:pPr>
            <w:r>
              <w:rPr>
                <w:noProof/>
                <w:sz w:val="16"/>
              </w:rPr>
              <w:t>Sorozatszám</w:t>
            </w:r>
          </w:p>
        </w:tc>
      </w:tr>
      <w:tr w:rsidR="005624E3" w:rsidRPr="00C903F8" w:rsidTr="00101A80">
        <w:trPr>
          <w:cantSplit/>
        </w:trPr>
        <w:tc>
          <w:tcPr>
            <w:tcW w:w="1814" w:type="dxa"/>
            <w:tcBorders>
              <w:top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 w:val="16"/>
                <w:szCs w:val="16"/>
              </w:rPr>
            </w:pPr>
          </w:p>
        </w:tc>
        <w:tc>
          <w:tcPr>
            <w:tcW w:w="1814" w:type="dxa"/>
            <w:tcBorders>
              <w:top w:val="single" w:sz="6" w:space="0" w:color="auto"/>
              <w:left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tcBorders>
          </w:tcPr>
          <w:p w:rsidR="005624E3" w:rsidRPr="00C903F8" w:rsidRDefault="005624E3" w:rsidP="00101A80">
            <w:pPr>
              <w:tabs>
                <w:tab w:val="left" w:pos="284"/>
              </w:tabs>
              <w:overflowPunct w:val="0"/>
              <w:adjustRightInd w:val="0"/>
              <w:ind w:hanging="397"/>
              <w:jc w:val="center"/>
              <w:textAlignment w:val="baseline"/>
              <w:rPr>
                <w:rFonts w:cs="Arial"/>
                <w:snapToGrid w:val="0"/>
                <w:szCs w:val="20"/>
              </w:rPr>
            </w:pPr>
          </w:p>
        </w:tc>
      </w:tr>
    </w:tbl>
    <w:p w:rsidR="005624E3" w:rsidRPr="00C903F8" w:rsidRDefault="005624E3" w:rsidP="005624E3">
      <w:pPr>
        <w:tabs>
          <w:tab w:val="left" w:pos="284"/>
        </w:tabs>
        <w:overflowPunct w:val="0"/>
        <w:adjustRightInd w:val="0"/>
        <w:textAlignment w:val="baseline"/>
        <w:rPr>
          <w:rFonts w:cs="Arial"/>
          <w:snapToGrid w:val="0"/>
          <w:color w:val="000000"/>
          <w:szCs w:val="20"/>
        </w:rPr>
      </w:pPr>
    </w:p>
    <w:p w:rsidR="005624E3" w:rsidRPr="00C903F8" w:rsidRDefault="005624E3" w:rsidP="005624E3">
      <w:pPr>
        <w:tabs>
          <w:tab w:val="left" w:leader="dot" w:pos="9072"/>
        </w:tabs>
        <w:spacing w:line="240" w:lineRule="atLeast"/>
        <w:rPr>
          <w:noProof/>
        </w:rPr>
      </w:pPr>
      <w:r>
        <w:rPr>
          <w:b/>
          <w:noProof/>
        </w:rPr>
        <w:t>Menetírók:</w:t>
      </w:r>
    </w:p>
    <w:p w:rsidR="005624E3" w:rsidRPr="00C903F8" w:rsidRDefault="005624E3" w:rsidP="005624E3">
      <w:pPr>
        <w:tabs>
          <w:tab w:val="left" w:leader="dot" w:pos="9072"/>
        </w:tabs>
        <w:spacing w:line="240" w:lineRule="atLeast"/>
        <w:rPr>
          <w:rFonts w:cs="Arial"/>
          <w:noProof/>
        </w:rPr>
      </w:pPr>
      <w:r>
        <w:t>…</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rPr>
      </w:pPr>
      <w:r>
        <w:t xml:space="preserve">Igazoljuk, hogy a hajó fent említett navigációs radarberendezései, fordulási szögsebességjelzői és belvízi AIS-berendezései megfelelnek a </w:t>
      </w:r>
      <w:r w:rsidR="00E608AB" w:rsidRPr="00E608AB">
        <w:t>belvízi hajók műszaki követelményeit meghatározó európai szabvány</w:t>
      </w:r>
      <w:r>
        <w:t xml:space="preserve"> (ES-TRIN) 5. mellékletében foglalt, a navigációs radarberendezések, a fordulási szögsebességjelzők és a belvízi AIS-berendezések beszerelésére és teljesítményvizsgálatára vonatkozó követelményeknek.</w:t>
      </w:r>
    </w:p>
    <w:p w:rsidR="005624E3" w:rsidRPr="00C903F8" w:rsidRDefault="005624E3" w:rsidP="005624E3">
      <w:pPr>
        <w:tabs>
          <w:tab w:val="left" w:leader="dot" w:pos="9072"/>
        </w:tabs>
        <w:spacing w:line="240" w:lineRule="atLeast"/>
        <w:rPr>
          <w:rFonts w:cs="Arial"/>
          <w:szCs w:val="20"/>
        </w:rPr>
      </w:pPr>
    </w:p>
    <w:p w:rsidR="005624E3" w:rsidRPr="00C903F8" w:rsidRDefault="005624E3" w:rsidP="005624E3">
      <w:pPr>
        <w:tabs>
          <w:tab w:val="left" w:pos="284"/>
          <w:tab w:val="left" w:pos="5670"/>
        </w:tabs>
        <w:overflowPunct w:val="0"/>
        <w:adjustRightInd w:val="0"/>
        <w:textAlignment w:val="baseline"/>
        <w:rPr>
          <w:rFonts w:cs="Arial"/>
          <w:b/>
          <w:snapToGrid w:val="0"/>
          <w:color w:val="000000"/>
          <w:szCs w:val="20"/>
        </w:rPr>
      </w:pPr>
      <w:r>
        <w:rPr>
          <w:b/>
          <w:noProof/>
          <w:snapToGrid w:val="0"/>
          <w:color w:val="000000"/>
        </w:rPr>
        <w:t>Jóváhagyott szakértő cég:</w:t>
      </w:r>
    </w:p>
    <w:p w:rsidR="005624E3" w:rsidRPr="00C903F8" w:rsidRDefault="005624E3" w:rsidP="005624E3">
      <w:pPr>
        <w:tabs>
          <w:tab w:val="left" w:leader="dot" w:pos="5103"/>
        </w:tabs>
        <w:overflowPunct w:val="0"/>
        <w:adjustRightInd w:val="0"/>
        <w:spacing w:before="120"/>
        <w:textAlignment w:val="baseline"/>
        <w:rPr>
          <w:rFonts w:cs="Arial"/>
          <w:snapToGrid w:val="0"/>
          <w:color w:val="000000"/>
          <w:szCs w:val="20"/>
        </w:rPr>
      </w:pPr>
      <w:r>
        <w:rPr>
          <w:noProof/>
          <w:snapToGrid w:val="0"/>
          <w:color w:val="000000"/>
        </w:rPr>
        <w:t xml:space="preserve">Név: </w:t>
      </w:r>
      <w:r>
        <w:tab/>
      </w:r>
    </w:p>
    <w:p w:rsidR="005624E3" w:rsidRPr="00C903F8" w:rsidRDefault="005624E3" w:rsidP="005624E3">
      <w:pPr>
        <w:tabs>
          <w:tab w:val="left" w:leader="dot" w:pos="9072"/>
        </w:tabs>
        <w:overflowPunct w:val="0"/>
        <w:adjustRightInd w:val="0"/>
        <w:spacing w:before="120"/>
        <w:textAlignment w:val="baseline"/>
        <w:rPr>
          <w:rFonts w:cs="Arial"/>
          <w:snapToGrid w:val="0"/>
          <w:color w:val="000000"/>
          <w:szCs w:val="20"/>
        </w:rPr>
      </w:pPr>
      <w:r>
        <w:rPr>
          <w:noProof/>
          <w:snapToGrid w:val="0"/>
          <w:color w:val="000000"/>
        </w:rPr>
        <w:t xml:space="preserve">Cím: </w:t>
      </w:r>
      <w:r>
        <w:tab/>
      </w:r>
    </w:p>
    <w:p w:rsidR="005624E3" w:rsidRPr="00C903F8" w:rsidRDefault="005624E3" w:rsidP="005624E3">
      <w:pPr>
        <w:tabs>
          <w:tab w:val="left" w:leader="dot" w:pos="3402"/>
        </w:tabs>
        <w:overflowPunct w:val="0"/>
        <w:adjustRightInd w:val="0"/>
        <w:spacing w:before="120"/>
        <w:textAlignment w:val="baseline"/>
        <w:rPr>
          <w:rFonts w:cs="Arial"/>
          <w:snapToGrid w:val="0"/>
          <w:color w:val="000000"/>
          <w:szCs w:val="20"/>
        </w:rPr>
      </w:pPr>
      <w:r>
        <w:rPr>
          <w:noProof/>
          <w:snapToGrid w:val="0"/>
          <w:color w:val="000000"/>
        </w:rPr>
        <w:t xml:space="preserve">Telefon: </w:t>
      </w:r>
      <w:r>
        <w:tab/>
      </w:r>
    </w:p>
    <w:p w:rsidR="005624E3" w:rsidRPr="00C903F8" w:rsidRDefault="005624E3" w:rsidP="005624E3">
      <w:pPr>
        <w:tabs>
          <w:tab w:val="left" w:pos="284"/>
        </w:tabs>
        <w:overflowPunct w:val="0"/>
        <w:adjustRightInd w:val="0"/>
        <w:spacing w:before="120"/>
        <w:textAlignment w:val="baseline"/>
        <w:rPr>
          <w:rFonts w:cs="Arial"/>
          <w:snapToGrid w:val="0"/>
          <w:color w:val="000000"/>
          <w:szCs w:val="20"/>
        </w:rPr>
      </w:pPr>
    </w:p>
    <w:p w:rsidR="005624E3" w:rsidRPr="00C903F8" w:rsidRDefault="005624E3" w:rsidP="005624E3">
      <w:pPr>
        <w:tabs>
          <w:tab w:val="center" w:pos="1134"/>
          <w:tab w:val="left" w:pos="3969"/>
          <w:tab w:val="left" w:leader="dot" w:pos="6237"/>
          <w:tab w:val="left" w:pos="6521"/>
          <w:tab w:val="left" w:leader="dot" w:pos="9072"/>
        </w:tabs>
        <w:overflowPunct w:val="0"/>
        <w:adjustRightInd w:val="0"/>
        <w:textAlignment w:val="baseline"/>
        <w:rPr>
          <w:rFonts w:cs="Arial"/>
          <w:snapToGrid w:val="0"/>
          <w:color w:val="000000"/>
          <w:szCs w:val="20"/>
        </w:rPr>
      </w:pPr>
      <w:r>
        <w:tab/>
      </w:r>
      <w:r>
        <w:rPr>
          <w:noProof/>
          <w:snapToGrid w:val="0"/>
          <w:color w:val="000000"/>
        </w:rPr>
        <w:t>Bélyegző</w:t>
      </w:r>
      <w:r>
        <w:tab/>
      </w:r>
      <w:r>
        <w:rPr>
          <w:noProof/>
          <w:snapToGrid w:val="0"/>
          <w:color w:val="000000"/>
        </w:rPr>
        <w:t xml:space="preserve">Hely </w:t>
      </w:r>
      <w:r>
        <w:tab/>
      </w:r>
      <w:r>
        <w:rPr>
          <w:snapToGrid w:val="0"/>
          <w:color w:val="000000"/>
        </w:rPr>
        <w:t xml:space="preserve"> </w:t>
      </w:r>
      <w:r>
        <w:tab/>
      </w:r>
      <w:r>
        <w:rPr>
          <w:noProof/>
          <w:snapToGrid w:val="0"/>
          <w:color w:val="000000"/>
        </w:rPr>
        <w:t xml:space="preserve">Dátum </w:t>
      </w:r>
      <w:r>
        <w:tab/>
      </w:r>
    </w:p>
    <w:p w:rsidR="005624E3" w:rsidRPr="00C903F8" w:rsidRDefault="005624E3" w:rsidP="005624E3">
      <w:pPr>
        <w:tabs>
          <w:tab w:val="center" w:pos="1134"/>
          <w:tab w:val="left" w:pos="6521"/>
        </w:tabs>
        <w:overflowPunct w:val="0"/>
        <w:adjustRightInd w:val="0"/>
        <w:spacing w:before="120"/>
        <w:textAlignment w:val="baseline"/>
        <w:rPr>
          <w:rFonts w:cs="Arial"/>
          <w:snapToGrid w:val="0"/>
          <w:color w:val="000000"/>
          <w:szCs w:val="20"/>
        </w:rPr>
      </w:pPr>
      <w:r>
        <w:tab/>
      </w:r>
      <w:r>
        <w:rPr>
          <w:noProof/>
          <w:snapToGrid w:val="0"/>
          <w:color w:val="000000"/>
        </w:rPr>
        <w:t>Aláírás</w:t>
      </w:r>
    </w:p>
    <w:p w:rsidR="005624E3" w:rsidRPr="00C903F8" w:rsidRDefault="005624E3" w:rsidP="005624E3">
      <w:pPr>
        <w:tabs>
          <w:tab w:val="left" w:pos="284"/>
          <w:tab w:val="left" w:pos="4536"/>
          <w:tab w:val="left" w:pos="6521"/>
        </w:tabs>
        <w:overflowPunct w:val="0"/>
        <w:adjustRightInd w:val="0"/>
        <w:textAlignment w:val="baseline"/>
        <w:rPr>
          <w:rFonts w:cs="Arial"/>
          <w:snapToGrid w:val="0"/>
          <w:color w:val="000000"/>
          <w:szCs w:val="20"/>
        </w:rPr>
      </w:pPr>
    </w:p>
    <w:p w:rsidR="005624E3" w:rsidRPr="00C903F8" w:rsidRDefault="005624E3" w:rsidP="005624E3">
      <w:pPr>
        <w:tabs>
          <w:tab w:val="left" w:pos="284"/>
          <w:tab w:val="left" w:pos="4536"/>
          <w:tab w:val="left" w:pos="6521"/>
        </w:tabs>
        <w:overflowPunct w:val="0"/>
        <w:adjustRightInd w:val="0"/>
        <w:textAlignment w:val="baseline"/>
        <w:rPr>
          <w:rFonts w:cs="Arial"/>
          <w:b/>
          <w:snapToGrid w:val="0"/>
          <w:color w:val="000000"/>
          <w:szCs w:val="20"/>
        </w:rPr>
      </w:pPr>
      <w:r>
        <w:rPr>
          <w:b/>
          <w:noProof/>
          <w:snapToGrid w:val="0"/>
          <w:color w:val="000000"/>
        </w:rPr>
        <w:t>A szakértő céget jóváhagyó illetékes hatóság:</w:t>
      </w:r>
    </w:p>
    <w:p w:rsidR="005624E3" w:rsidRPr="00C903F8" w:rsidRDefault="005624E3" w:rsidP="005624E3">
      <w:pPr>
        <w:tabs>
          <w:tab w:val="left" w:leader="dot" w:pos="5103"/>
        </w:tabs>
        <w:overflowPunct w:val="0"/>
        <w:adjustRightInd w:val="0"/>
        <w:spacing w:before="120"/>
        <w:textAlignment w:val="baseline"/>
        <w:rPr>
          <w:rFonts w:cs="Arial"/>
          <w:snapToGrid w:val="0"/>
          <w:color w:val="000000"/>
          <w:szCs w:val="20"/>
        </w:rPr>
      </w:pPr>
      <w:r>
        <w:rPr>
          <w:noProof/>
          <w:snapToGrid w:val="0"/>
          <w:color w:val="000000"/>
        </w:rPr>
        <w:t xml:space="preserve">Név: </w:t>
      </w:r>
      <w:r>
        <w:tab/>
      </w:r>
    </w:p>
    <w:p w:rsidR="005624E3" w:rsidRPr="00C903F8" w:rsidRDefault="005624E3" w:rsidP="005624E3">
      <w:pPr>
        <w:tabs>
          <w:tab w:val="left" w:leader="dot" w:pos="9072"/>
        </w:tabs>
        <w:overflowPunct w:val="0"/>
        <w:adjustRightInd w:val="0"/>
        <w:spacing w:before="120"/>
        <w:textAlignment w:val="baseline"/>
        <w:rPr>
          <w:rFonts w:cs="Arial"/>
          <w:snapToGrid w:val="0"/>
          <w:color w:val="000000"/>
          <w:szCs w:val="20"/>
        </w:rPr>
      </w:pPr>
      <w:r>
        <w:rPr>
          <w:noProof/>
          <w:snapToGrid w:val="0"/>
          <w:color w:val="000000"/>
        </w:rPr>
        <w:t xml:space="preserve">Cím: </w:t>
      </w:r>
      <w:r>
        <w:tab/>
      </w:r>
    </w:p>
    <w:p w:rsidR="005624E3" w:rsidRPr="00C903F8" w:rsidRDefault="005624E3" w:rsidP="005624E3">
      <w:pPr>
        <w:tabs>
          <w:tab w:val="left" w:leader="dot" w:pos="3402"/>
        </w:tabs>
        <w:overflowPunct w:val="0"/>
        <w:adjustRightInd w:val="0"/>
        <w:spacing w:before="120"/>
        <w:textAlignment w:val="baseline"/>
        <w:rPr>
          <w:rFonts w:cs="Arial"/>
          <w:snapToGrid w:val="0"/>
          <w:color w:val="000000"/>
          <w:szCs w:val="20"/>
        </w:rPr>
      </w:pPr>
      <w:r>
        <w:rPr>
          <w:noProof/>
          <w:snapToGrid w:val="0"/>
          <w:color w:val="000000"/>
        </w:rPr>
        <w:t xml:space="preserve">Telefon: </w:t>
      </w:r>
      <w:r>
        <w:tab/>
      </w:r>
    </w:p>
    <w:p w:rsidR="005624E3" w:rsidRPr="00C903F8" w:rsidRDefault="005624E3" w:rsidP="005624E3">
      <w:pPr>
        <w:tabs>
          <w:tab w:val="right" w:pos="9072"/>
        </w:tabs>
        <w:spacing w:line="240" w:lineRule="atLeast"/>
      </w:pPr>
      <w:r>
        <w:br w:type="page"/>
      </w:r>
    </w:p>
    <w:p w:rsidR="005624E3" w:rsidRPr="00C903F8" w:rsidRDefault="005624E3" w:rsidP="005624E3">
      <w:pPr>
        <w:tabs>
          <w:tab w:val="right" w:pos="9072"/>
        </w:tabs>
        <w:spacing w:line="240" w:lineRule="atLeast"/>
      </w:pPr>
    </w:p>
    <w:p w:rsidR="005624E3" w:rsidRPr="00C903F8" w:rsidRDefault="005624E3" w:rsidP="005624E3">
      <w:pPr>
        <w:tabs>
          <w:tab w:val="right" w:pos="9072"/>
        </w:tabs>
        <w:spacing w:line="240" w:lineRule="atLeast"/>
      </w:pPr>
    </w:p>
    <w:p w:rsidR="005624E3" w:rsidRPr="00C903F8" w:rsidRDefault="005624E3" w:rsidP="005624E3">
      <w:pPr>
        <w:tabs>
          <w:tab w:val="right" w:pos="9072"/>
        </w:tabs>
        <w:spacing w:line="240" w:lineRule="atLeast"/>
      </w:pPr>
    </w:p>
    <w:p w:rsidR="005624E3" w:rsidRPr="00C903F8" w:rsidRDefault="005624E3" w:rsidP="005624E3">
      <w:pPr>
        <w:tabs>
          <w:tab w:val="left" w:pos="284"/>
          <w:tab w:val="left" w:pos="5670"/>
        </w:tabs>
        <w:overflowPunct w:val="0"/>
        <w:adjustRightInd w:val="0"/>
        <w:textAlignment w:val="baseline"/>
        <w:rPr>
          <w:rFonts w:cs="Arial"/>
          <w:snapToGrid w:val="0"/>
          <w:szCs w:val="20"/>
        </w:rPr>
      </w:pPr>
    </w:p>
    <w:p w:rsidR="005624E3" w:rsidRPr="00C903F8" w:rsidRDefault="005624E3" w:rsidP="005624E3">
      <w:pPr>
        <w:overflowPunct w:val="0"/>
        <w:adjustRightInd w:val="0"/>
        <w:ind w:left="426" w:hanging="426"/>
        <w:textAlignment w:val="baseline"/>
        <w:rPr>
          <w:rFonts w:cs="Arial"/>
          <w:szCs w:val="20"/>
        </w:rPr>
      </w:pPr>
    </w:p>
    <w:p w:rsidR="005624E3" w:rsidRPr="00C903F8" w:rsidRDefault="005624E3" w:rsidP="005624E3">
      <w:pPr>
        <w:overflowPunct w:val="0"/>
        <w:adjustRightInd w:val="0"/>
        <w:ind w:left="426" w:hanging="426"/>
        <w:textAlignment w:val="baseline"/>
        <w:rPr>
          <w:rFonts w:cs="Arial"/>
          <w:szCs w:val="20"/>
        </w:rPr>
      </w:pPr>
    </w:p>
    <w:p w:rsidR="005624E3" w:rsidRPr="00C903F8" w:rsidRDefault="005624E3" w:rsidP="005624E3">
      <w:pPr>
        <w:overflowPunct w:val="0"/>
        <w:adjustRightInd w:val="0"/>
        <w:ind w:left="426" w:hanging="426"/>
        <w:textAlignment w:val="baseline"/>
        <w:rPr>
          <w:rFonts w:cs="Arial"/>
          <w:szCs w:val="20"/>
        </w:rPr>
      </w:pPr>
    </w:p>
    <w:p w:rsidR="005624E3" w:rsidRPr="00C903F8" w:rsidRDefault="005624E3" w:rsidP="005624E3">
      <w:pPr>
        <w:spacing w:line="240" w:lineRule="atLeast"/>
        <w:rPr>
          <w:rFonts w:cs="Arial"/>
          <w:noProof/>
          <w:szCs w:val="20"/>
        </w:rPr>
      </w:pPr>
    </w:p>
    <w:p w:rsidR="005624E3" w:rsidRPr="00C903F8" w:rsidRDefault="005624E3" w:rsidP="005624E3">
      <w:pPr>
        <w:tabs>
          <w:tab w:val="center" w:pos="7797"/>
        </w:tabs>
        <w:ind w:right="288"/>
        <w:rPr>
          <w:rFonts w:cs="Arial"/>
          <w:szCs w:val="20"/>
        </w:rPr>
        <w:sectPr w:rsidR="005624E3" w:rsidRPr="00C903F8" w:rsidSect="00FB55E9">
          <w:headerReference w:type="default" r:id="rId69"/>
          <w:footerReference w:type="default" r:id="rId70"/>
          <w:footnotePr>
            <w:numRestart w:val="eachPage"/>
          </w:footnotePr>
          <w:pgSz w:w="11907" w:h="16840" w:code="9"/>
          <w:pgMar w:top="1361" w:right="1418" w:bottom="1361" w:left="1418" w:header="680" w:footer="680" w:gutter="0"/>
          <w:cols w:space="720"/>
          <w:docGrid w:linePitch="326"/>
        </w:sectPr>
      </w:pPr>
    </w:p>
    <w:p w:rsidR="005624E3" w:rsidRPr="00C903F8" w:rsidRDefault="005624E3" w:rsidP="005624E3">
      <w:pPr>
        <w:tabs>
          <w:tab w:val="left" w:leader="dot" w:pos="9072"/>
        </w:tabs>
        <w:spacing w:line="240" w:lineRule="atLeast"/>
        <w:rPr>
          <w:rFonts w:cs="Arial"/>
        </w:rPr>
      </w:pPr>
    </w:p>
    <w:p w:rsidR="005624E3" w:rsidRPr="00C903F8" w:rsidRDefault="005624E3" w:rsidP="005624E3">
      <w:pPr>
        <w:pStyle w:val="ES-Titre2"/>
        <w:pageBreakBefore w:val="0"/>
      </w:pPr>
      <w:bookmarkStart w:id="662" w:name="_Toc491854322"/>
      <w:bookmarkStart w:id="663" w:name="_Toc535854103"/>
      <w:r>
        <w:t>6. melléklet</w:t>
      </w:r>
      <w:r>
        <w:br/>
        <w:t>Motorparaméter-jegyzőkönyv</w:t>
      </w:r>
      <w:bookmarkEnd w:id="662"/>
      <w:bookmarkEnd w:id="663"/>
    </w:p>
    <w:p w:rsidR="005624E3" w:rsidRPr="00C903F8" w:rsidRDefault="005624E3" w:rsidP="005624E3">
      <w:pPr>
        <w:spacing w:line="240" w:lineRule="atLeast"/>
        <w:jc w:val="center"/>
        <w:rPr>
          <w:rFonts w:cs="Arial"/>
          <w:color w:val="000000"/>
        </w:rPr>
      </w:pPr>
      <w:r>
        <w:rPr>
          <w:color w:val="000000"/>
        </w:rPr>
        <w:t>(Minta)</w:t>
      </w:r>
    </w:p>
    <w:p w:rsidR="005624E3" w:rsidRPr="00C903F8" w:rsidRDefault="005624E3" w:rsidP="005624E3">
      <w:pPr>
        <w:spacing w:line="240" w:lineRule="atLeast"/>
        <w:rPr>
          <w:rFonts w:cs="Arial"/>
          <w:b/>
          <w:noProof/>
          <w:color w:val="000000"/>
        </w:rPr>
      </w:pPr>
    </w:p>
    <w:tbl>
      <w:tblPr>
        <w:tblW w:w="0" w:type="auto"/>
        <w:tblLayout w:type="fixed"/>
        <w:tblLook w:val="01E0" w:firstRow="1" w:lastRow="1" w:firstColumn="1" w:lastColumn="1" w:noHBand="0" w:noVBand="0"/>
      </w:tblPr>
      <w:tblGrid>
        <w:gridCol w:w="737"/>
        <w:gridCol w:w="5131"/>
        <w:gridCol w:w="3360"/>
      </w:tblGrid>
      <w:tr w:rsidR="005624E3" w:rsidRPr="00C903F8" w:rsidTr="00101A80">
        <w:tc>
          <w:tcPr>
            <w:tcW w:w="737" w:type="dxa"/>
            <w:shd w:val="clear" w:color="auto" w:fill="auto"/>
          </w:tcPr>
          <w:p w:rsidR="005624E3" w:rsidRPr="00C903F8" w:rsidRDefault="005624E3" w:rsidP="00101A80">
            <w:pPr>
              <w:spacing w:line="240" w:lineRule="atLeast"/>
              <w:rPr>
                <w:b/>
                <w:bCs/>
                <w:noProof/>
                <w:szCs w:val="20"/>
              </w:rPr>
            </w:pPr>
            <w:r>
              <w:rPr>
                <w:b/>
                <w:noProof/>
              </w:rPr>
              <w:t>0</w:t>
            </w:r>
          </w:p>
        </w:tc>
        <w:tc>
          <w:tcPr>
            <w:tcW w:w="8491" w:type="dxa"/>
            <w:gridSpan w:val="2"/>
            <w:shd w:val="clear" w:color="auto" w:fill="auto"/>
          </w:tcPr>
          <w:p w:rsidR="005624E3" w:rsidRPr="00C903F8" w:rsidRDefault="005624E3" w:rsidP="00101A80">
            <w:pPr>
              <w:tabs>
                <w:tab w:val="right" w:leader="underscore" w:pos="8263"/>
              </w:tabs>
              <w:spacing w:line="240" w:lineRule="atLeast"/>
              <w:rPr>
                <w:b/>
                <w:bCs/>
                <w:noProof/>
                <w:szCs w:val="20"/>
              </w:rPr>
            </w:pPr>
            <w:r>
              <w:rPr>
                <w:b/>
                <w:noProof/>
              </w:rPr>
              <w:t>Általános szempontok</w:t>
            </w:r>
          </w:p>
          <w:p w:rsidR="005624E3" w:rsidRPr="00C903F8" w:rsidRDefault="005624E3" w:rsidP="00101A80">
            <w:pPr>
              <w:tabs>
                <w:tab w:val="right" w:leader="underscore" w:pos="8263"/>
              </w:tabs>
              <w:spacing w:line="240" w:lineRule="atLeast"/>
              <w:rPr>
                <w:b/>
                <w:bCs/>
                <w:noProof/>
                <w:szCs w:val="20"/>
              </w:rPr>
            </w:pPr>
          </w:p>
        </w:tc>
      </w:tr>
      <w:tr w:rsidR="005624E3" w:rsidRPr="00C903F8" w:rsidTr="00101A80">
        <w:tc>
          <w:tcPr>
            <w:tcW w:w="737" w:type="dxa"/>
            <w:shd w:val="clear" w:color="auto" w:fill="auto"/>
          </w:tcPr>
          <w:p w:rsidR="005624E3" w:rsidRPr="00C903F8" w:rsidRDefault="005624E3" w:rsidP="00101A80">
            <w:pPr>
              <w:spacing w:before="40" w:line="240" w:lineRule="atLeast"/>
              <w:outlineLvl w:val="0"/>
              <w:rPr>
                <w:noProof/>
                <w:szCs w:val="20"/>
              </w:rPr>
            </w:pPr>
            <w:r>
              <w:t>0.1.</w:t>
            </w:r>
          </w:p>
        </w:tc>
        <w:tc>
          <w:tcPr>
            <w:tcW w:w="8491" w:type="dxa"/>
            <w:gridSpan w:val="2"/>
            <w:shd w:val="clear" w:color="auto" w:fill="auto"/>
          </w:tcPr>
          <w:p w:rsidR="005624E3" w:rsidRPr="00C903F8" w:rsidRDefault="005624E3" w:rsidP="00101A80">
            <w:pPr>
              <w:tabs>
                <w:tab w:val="right" w:leader="underscore" w:pos="8263"/>
              </w:tabs>
              <w:spacing w:before="40" w:line="240" w:lineRule="atLeast"/>
              <w:outlineLvl w:val="0"/>
              <w:rPr>
                <w:noProof/>
                <w:szCs w:val="20"/>
              </w:rPr>
            </w:pPr>
            <w:r>
              <w:t>Adatok a motorról</w:t>
            </w:r>
          </w:p>
        </w:tc>
      </w:tr>
      <w:tr w:rsidR="005624E3" w:rsidRPr="00C903F8" w:rsidTr="00101A80">
        <w:tc>
          <w:tcPr>
            <w:tcW w:w="737" w:type="dxa"/>
            <w:shd w:val="clear" w:color="auto" w:fill="auto"/>
          </w:tcPr>
          <w:p w:rsidR="005624E3" w:rsidRPr="00C903F8" w:rsidRDefault="005624E3" w:rsidP="00101A80">
            <w:pPr>
              <w:spacing w:before="40" w:line="240" w:lineRule="atLeast"/>
              <w:outlineLvl w:val="0"/>
              <w:rPr>
                <w:noProof/>
                <w:szCs w:val="20"/>
              </w:rPr>
            </w:pPr>
            <w:r>
              <w:t>0.1.1.</w:t>
            </w:r>
          </w:p>
        </w:tc>
        <w:tc>
          <w:tcPr>
            <w:tcW w:w="8491" w:type="dxa"/>
            <w:gridSpan w:val="2"/>
            <w:shd w:val="clear" w:color="auto" w:fill="auto"/>
          </w:tcPr>
          <w:p w:rsidR="005624E3" w:rsidRPr="00C903F8" w:rsidRDefault="005624E3" w:rsidP="00101A80">
            <w:pPr>
              <w:tabs>
                <w:tab w:val="right" w:leader="dot" w:pos="8263"/>
              </w:tabs>
              <w:spacing w:before="40" w:line="240" w:lineRule="atLeast"/>
              <w:outlineLvl w:val="0"/>
              <w:rPr>
                <w:noProof/>
                <w:szCs w:val="20"/>
              </w:rPr>
            </w:pPr>
            <w:r>
              <w:t xml:space="preserve">Gyártmány: </w:t>
            </w:r>
            <w:r>
              <w:tab/>
            </w:r>
          </w:p>
        </w:tc>
      </w:tr>
      <w:tr w:rsidR="005624E3" w:rsidRPr="00C903F8" w:rsidTr="00101A80">
        <w:tc>
          <w:tcPr>
            <w:tcW w:w="737" w:type="dxa"/>
            <w:shd w:val="clear" w:color="auto" w:fill="auto"/>
          </w:tcPr>
          <w:p w:rsidR="005624E3" w:rsidRPr="00C903F8" w:rsidRDefault="005624E3" w:rsidP="00101A80">
            <w:pPr>
              <w:spacing w:before="40" w:line="240" w:lineRule="atLeast"/>
              <w:outlineLvl w:val="0"/>
              <w:rPr>
                <w:noProof/>
                <w:szCs w:val="20"/>
              </w:rPr>
            </w:pPr>
            <w:r>
              <w:t>0.1.2.</w:t>
            </w:r>
          </w:p>
        </w:tc>
        <w:tc>
          <w:tcPr>
            <w:tcW w:w="8491" w:type="dxa"/>
            <w:gridSpan w:val="2"/>
            <w:shd w:val="clear" w:color="auto" w:fill="auto"/>
          </w:tcPr>
          <w:p w:rsidR="005624E3" w:rsidRPr="00C903F8" w:rsidRDefault="005624E3" w:rsidP="00101A80">
            <w:pPr>
              <w:tabs>
                <w:tab w:val="right" w:leader="dot" w:pos="8263"/>
              </w:tabs>
              <w:spacing w:before="40" w:line="240" w:lineRule="atLeast"/>
              <w:outlineLvl w:val="0"/>
              <w:rPr>
                <w:noProof/>
                <w:szCs w:val="20"/>
              </w:rPr>
            </w:pPr>
            <w:r>
              <w:t xml:space="preserve">Gyártói megjelölés: </w:t>
            </w:r>
            <w:r>
              <w:tab/>
            </w:r>
          </w:p>
        </w:tc>
      </w:tr>
      <w:tr w:rsidR="005624E3" w:rsidRPr="00C903F8" w:rsidTr="00101A80">
        <w:tc>
          <w:tcPr>
            <w:tcW w:w="737" w:type="dxa"/>
            <w:shd w:val="clear" w:color="auto" w:fill="auto"/>
          </w:tcPr>
          <w:p w:rsidR="005624E3" w:rsidRPr="00C903F8" w:rsidRDefault="005624E3" w:rsidP="00101A80">
            <w:pPr>
              <w:spacing w:before="40" w:line="240" w:lineRule="atLeast"/>
              <w:outlineLvl w:val="0"/>
              <w:rPr>
                <w:noProof/>
                <w:szCs w:val="20"/>
              </w:rPr>
            </w:pPr>
            <w:r>
              <w:t>0.1.3.</w:t>
            </w:r>
          </w:p>
        </w:tc>
        <w:tc>
          <w:tcPr>
            <w:tcW w:w="8491" w:type="dxa"/>
            <w:gridSpan w:val="2"/>
            <w:shd w:val="clear" w:color="auto" w:fill="auto"/>
          </w:tcPr>
          <w:p w:rsidR="005624E3" w:rsidRPr="00C903F8" w:rsidRDefault="005624E3" w:rsidP="00101A80">
            <w:pPr>
              <w:tabs>
                <w:tab w:val="right" w:leader="dot" w:pos="8263"/>
              </w:tabs>
              <w:spacing w:before="40" w:line="240" w:lineRule="atLeast"/>
              <w:outlineLvl w:val="0"/>
              <w:rPr>
                <w:noProof/>
                <w:szCs w:val="20"/>
              </w:rPr>
            </w:pPr>
            <w:r>
              <w:t xml:space="preserve">Típusjóváhagyási szám: </w:t>
            </w:r>
            <w:r>
              <w:tab/>
            </w:r>
          </w:p>
        </w:tc>
      </w:tr>
      <w:tr w:rsidR="005624E3" w:rsidRPr="00C903F8" w:rsidTr="00101A80">
        <w:tc>
          <w:tcPr>
            <w:tcW w:w="737" w:type="dxa"/>
            <w:shd w:val="clear" w:color="auto" w:fill="auto"/>
          </w:tcPr>
          <w:p w:rsidR="005624E3" w:rsidRPr="00C903F8" w:rsidRDefault="005624E3" w:rsidP="00101A80">
            <w:pPr>
              <w:spacing w:before="40" w:line="240" w:lineRule="atLeast"/>
              <w:outlineLvl w:val="0"/>
              <w:rPr>
                <w:noProof/>
                <w:szCs w:val="20"/>
              </w:rPr>
            </w:pPr>
            <w:r>
              <w:t>0.1.4.</w:t>
            </w:r>
          </w:p>
        </w:tc>
        <w:tc>
          <w:tcPr>
            <w:tcW w:w="8491" w:type="dxa"/>
            <w:gridSpan w:val="2"/>
            <w:shd w:val="clear" w:color="auto" w:fill="auto"/>
          </w:tcPr>
          <w:p w:rsidR="005624E3" w:rsidRPr="00C903F8" w:rsidRDefault="005624E3" w:rsidP="00101A80">
            <w:pPr>
              <w:tabs>
                <w:tab w:val="right" w:leader="dot" w:pos="8263"/>
              </w:tabs>
              <w:spacing w:before="40" w:line="240" w:lineRule="atLeast"/>
              <w:outlineLvl w:val="0"/>
              <w:rPr>
                <w:noProof/>
                <w:szCs w:val="20"/>
              </w:rPr>
            </w:pPr>
            <w:r>
              <w:t xml:space="preserve">Motorazonosító szám: </w:t>
            </w:r>
            <w:r>
              <w:tab/>
            </w:r>
          </w:p>
        </w:tc>
      </w:tr>
      <w:tr w:rsidR="005624E3" w:rsidRPr="00C903F8"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underscore" w:pos="8263"/>
              </w:tabs>
              <w:outlineLvl w:val="0"/>
              <w:rPr>
                <w:noProof/>
                <w:szCs w:val="20"/>
              </w:rPr>
            </w:pPr>
          </w:p>
        </w:tc>
      </w:tr>
      <w:tr w:rsidR="005624E3" w:rsidRPr="00C903F8" w:rsidTr="00101A80">
        <w:tc>
          <w:tcPr>
            <w:tcW w:w="737" w:type="dxa"/>
            <w:shd w:val="clear" w:color="auto" w:fill="auto"/>
          </w:tcPr>
          <w:p w:rsidR="005624E3" w:rsidRPr="00C903F8" w:rsidRDefault="005624E3" w:rsidP="00101A80">
            <w:pPr>
              <w:outlineLvl w:val="0"/>
              <w:rPr>
                <w:noProof/>
                <w:szCs w:val="20"/>
              </w:rPr>
            </w:pPr>
            <w:r>
              <w:t>0.2.</w:t>
            </w:r>
          </w:p>
        </w:tc>
        <w:tc>
          <w:tcPr>
            <w:tcW w:w="8491" w:type="dxa"/>
            <w:gridSpan w:val="2"/>
            <w:shd w:val="clear" w:color="auto" w:fill="auto"/>
          </w:tcPr>
          <w:p w:rsidR="005624E3" w:rsidRPr="00C903F8" w:rsidRDefault="005624E3" w:rsidP="00101A80">
            <w:pPr>
              <w:tabs>
                <w:tab w:val="right" w:leader="underscore" w:pos="8263"/>
              </w:tabs>
              <w:outlineLvl w:val="0"/>
              <w:rPr>
                <w:noProof/>
                <w:szCs w:val="20"/>
              </w:rPr>
            </w:pPr>
            <w:r>
              <w:t>Dokumentáció</w:t>
            </w:r>
          </w:p>
        </w:tc>
      </w:tr>
      <w:tr w:rsidR="005624E3" w:rsidRPr="00A0619C"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underscore" w:pos="8263"/>
              </w:tabs>
              <w:outlineLvl w:val="0"/>
              <w:rPr>
                <w:noProof/>
                <w:szCs w:val="20"/>
              </w:rPr>
            </w:pPr>
          </w:p>
          <w:p w:rsidR="005624E3" w:rsidRPr="00C903F8" w:rsidRDefault="005624E3" w:rsidP="00101A80">
            <w:pPr>
              <w:tabs>
                <w:tab w:val="left" w:leader="dot" w:pos="9072"/>
              </w:tabs>
              <w:spacing w:line="240" w:lineRule="atLeast"/>
              <w:rPr>
                <w:rFonts w:cs="Arial"/>
                <w:noProof/>
              </w:rPr>
            </w:pPr>
            <w:r>
              <w:t>A motorparamétereket vizsgálat alá kell vonni, és a vizsgálati eredményeket dokumentálni kell. A dokumentálás külön lapokon történik, amelyeket egyenként kell megszámozni, az ellenőrrel alá kell írattatni és e jegyzőkönyvhöz hozzá kell csatolni.</w:t>
            </w:r>
          </w:p>
          <w:p w:rsidR="005624E3" w:rsidRPr="00C903F8" w:rsidRDefault="005624E3" w:rsidP="00101A80">
            <w:pPr>
              <w:tabs>
                <w:tab w:val="left" w:leader="dot" w:pos="9072"/>
              </w:tabs>
              <w:spacing w:line="240" w:lineRule="atLeast"/>
              <w:rPr>
                <w:rFonts w:cs="Arial"/>
                <w:noProof/>
              </w:rPr>
            </w:pPr>
          </w:p>
        </w:tc>
      </w:tr>
      <w:tr w:rsidR="005624E3" w:rsidRPr="00C903F8" w:rsidTr="00101A80">
        <w:tc>
          <w:tcPr>
            <w:tcW w:w="737" w:type="dxa"/>
            <w:shd w:val="clear" w:color="auto" w:fill="auto"/>
          </w:tcPr>
          <w:p w:rsidR="005624E3" w:rsidRPr="00C903F8" w:rsidRDefault="005624E3" w:rsidP="00101A80">
            <w:pPr>
              <w:outlineLvl w:val="0"/>
              <w:rPr>
                <w:noProof/>
                <w:szCs w:val="20"/>
              </w:rPr>
            </w:pPr>
            <w:r>
              <w:t>0.3.</w:t>
            </w:r>
          </w:p>
        </w:tc>
        <w:tc>
          <w:tcPr>
            <w:tcW w:w="8491" w:type="dxa"/>
            <w:gridSpan w:val="2"/>
            <w:shd w:val="clear" w:color="auto" w:fill="auto"/>
          </w:tcPr>
          <w:p w:rsidR="005624E3" w:rsidRPr="00C903F8" w:rsidRDefault="005624E3" w:rsidP="00101A80">
            <w:pPr>
              <w:tabs>
                <w:tab w:val="right" w:leader="underscore" w:pos="8263"/>
              </w:tabs>
              <w:outlineLvl w:val="0"/>
              <w:rPr>
                <w:noProof/>
                <w:szCs w:val="20"/>
              </w:rPr>
            </w:pPr>
            <w:r>
              <w:t>Vizsgálat</w:t>
            </w:r>
          </w:p>
          <w:p w:rsidR="005624E3" w:rsidRPr="00C903F8" w:rsidRDefault="005624E3" w:rsidP="00101A80">
            <w:pPr>
              <w:tabs>
                <w:tab w:val="right" w:leader="underscore" w:pos="8263"/>
              </w:tabs>
              <w:outlineLvl w:val="0"/>
              <w:rPr>
                <w:noProof/>
                <w:szCs w:val="20"/>
              </w:rPr>
            </w:pPr>
          </w:p>
        </w:tc>
      </w:tr>
      <w:tr w:rsidR="005624E3" w:rsidRPr="00A0619C"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left" w:leader="dot" w:pos="9072"/>
              </w:tabs>
              <w:spacing w:line="240" w:lineRule="atLeast"/>
              <w:rPr>
                <w:rFonts w:cs="Arial"/>
                <w:noProof/>
              </w:rPr>
            </w:pPr>
            <w:r>
              <w:t>A vizsgálatot a gyártónak a kipufogógázok kibocsátása szempontjából meghatározó alkatrészek és motorparaméterek ellenőrzésére vonatkozó utasításai alapján kell elvégezni. Az ellenőr – indokolt egyedi esetekben – saját belátása alapján dönthet arról, hogy eltekint bizonyos motorparaméterek ellenőrzésétől.</w:t>
            </w:r>
          </w:p>
          <w:p w:rsidR="005624E3" w:rsidRPr="00C903F8" w:rsidRDefault="005624E3" w:rsidP="00101A80">
            <w:pPr>
              <w:tabs>
                <w:tab w:val="left" w:leader="dot" w:pos="9072"/>
              </w:tabs>
              <w:spacing w:line="240" w:lineRule="atLeast"/>
              <w:rPr>
                <w:rFonts w:cs="Arial"/>
                <w:noProof/>
              </w:rPr>
            </w:pPr>
          </w:p>
        </w:tc>
      </w:tr>
      <w:tr w:rsidR="005624E3" w:rsidRPr="00C903F8" w:rsidTr="00101A80">
        <w:tc>
          <w:tcPr>
            <w:tcW w:w="737" w:type="dxa"/>
            <w:shd w:val="clear" w:color="auto" w:fill="auto"/>
          </w:tcPr>
          <w:p w:rsidR="005624E3" w:rsidRPr="00C903F8" w:rsidRDefault="005624E3" w:rsidP="00101A80">
            <w:pPr>
              <w:outlineLvl w:val="0"/>
              <w:rPr>
                <w:noProof/>
                <w:szCs w:val="20"/>
              </w:rPr>
            </w:pPr>
            <w:r>
              <w:t>0.4.</w:t>
            </w:r>
          </w:p>
        </w:tc>
        <w:tc>
          <w:tcPr>
            <w:tcW w:w="8491" w:type="dxa"/>
            <w:gridSpan w:val="2"/>
            <w:shd w:val="clear" w:color="auto" w:fill="auto"/>
          </w:tcPr>
          <w:p w:rsidR="005624E3" w:rsidRPr="00C903F8" w:rsidRDefault="005624E3" w:rsidP="00101A80">
            <w:pPr>
              <w:tabs>
                <w:tab w:val="left" w:leader="dot" w:pos="9072"/>
              </w:tabs>
              <w:spacing w:line="240" w:lineRule="atLeast"/>
              <w:rPr>
                <w:rFonts w:cs="Arial"/>
                <w:noProof/>
              </w:rPr>
            </w:pPr>
            <w:r>
              <w:t>Ez a motorparaméter-jegyzőkönyv a kísérő táblázatokkal együtt összesen … * oldalt tartalmaz.</w:t>
            </w:r>
          </w:p>
          <w:p w:rsidR="005624E3" w:rsidRPr="00C903F8" w:rsidRDefault="005624E3" w:rsidP="00101A80">
            <w:pPr>
              <w:tabs>
                <w:tab w:val="right" w:leader="underscore" w:pos="8263"/>
              </w:tabs>
              <w:outlineLvl w:val="0"/>
              <w:rPr>
                <w:noProof/>
                <w:szCs w:val="20"/>
              </w:rPr>
            </w:pPr>
          </w:p>
        </w:tc>
      </w:tr>
      <w:tr w:rsidR="005624E3" w:rsidRPr="00C903F8" w:rsidTr="00101A80">
        <w:tc>
          <w:tcPr>
            <w:tcW w:w="737" w:type="dxa"/>
            <w:shd w:val="clear" w:color="auto" w:fill="auto"/>
          </w:tcPr>
          <w:p w:rsidR="005624E3" w:rsidRPr="00C903F8" w:rsidRDefault="005624E3" w:rsidP="00101A80">
            <w:pPr>
              <w:outlineLvl w:val="0"/>
              <w:rPr>
                <w:noProof/>
                <w:szCs w:val="20"/>
              </w:rPr>
            </w:pPr>
            <w:r>
              <w:rPr>
                <w:b/>
                <w:noProof/>
              </w:rPr>
              <w:t>1.</w:t>
            </w:r>
          </w:p>
        </w:tc>
        <w:tc>
          <w:tcPr>
            <w:tcW w:w="8491" w:type="dxa"/>
            <w:gridSpan w:val="2"/>
            <w:shd w:val="clear" w:color="auto" w:fill="auto"/>
          </w:tcPr>
          <w:p w:rsidR="005624E3" w:rsidRPr="00C903F8" w:rsidRDefault="005624E3" w:rsidP="00101A80">
            <w:pPr>
              <w:tabs>
                <w:tab w:val="right" w:leader="underscore" w:pos="8263"/>
              </w:tabs>
              <w:outlineLvl w:val="0"/>
              <w:rPr>
                <w:b/>
                <w:bCs/>
                <w:noProof/>
                <w:szCs w:val="20"/>
              </w:rPr>
            </w:pPr>
            <w:r>
              <w:rPr>
                <w:b/>
                <w:noProof/>
              </w:rPr>
              <w:t>Motorparaméterek</w:t>
            </w:r>
          </w:p>
          <w:p w:rsidR="005624E3" w:rsidRPr="00C903F8" w:rsidRDefault="005624E3" w:rsidP="00101A80">
            <w:pPr>
              <w:tabs>
                <w:tab w:val="right" w:leader="underscore" w:pos="8263"/>
              </w:tabs>
              <w:outlineLvl w:val="0"/>
              <w:rPr>
                <w:noProof/>
                <w:szCs w:val="20"/>
              </w:rPr>
            </w:pPr>
          </w:p>
        </w:tc>
      </w:tr>
      <w:tr w:rsidR="005624E3" w:rsidRPr="00A0619C" w:rsidTr="00101A80">
        <w:tc>
          <w:tcPr>
            <w:tcW w:w="737" w:type="dxa"/>
            <w:shd w:val="clear" w:color="auto" w:fill="auto"/>
          </w:tcPr>
          <w:p w:rsidR="005624E3" w:rsidRPr="00C903F8" w:rsidRDefault="005624E3" w:rsidP="00101A80">
            <w:pPr>
              <w:outlineLvl w:val="0"/>
              <w:rPr>
                <w:b/>
                <w:bCs/>
                <w:noProof/>
                <w:szCs w:val="20"/>
              </w:rPr>
            </w:pPr>
          </w:p>
        </w:tc>
        <w:tc>
          <w:tcPr>
            <w:tcW w:w="8491" w:type="dxa"/>
            <w:gridSpan w:val="2"/>
            <w:shd w:val="clear" w:color="auto" w:fill="auto"/>
          </w:tcPr>
          <w:p w:rsidR="005624E3" w:rsidRPr="00C903F8" w:rsidRDefault="005624E3" w:rsidP="00101A80">
            <w:pPr>
              <w:tabs>
                <w:tab w:val="left" w:leader="dot" w:pos="9072"/>
              </w:tabs>
              <w:spacing w:line="240" w:lineRule="atLeast"/>
              <w:rPr>
                <w:rFonts w:cs="Arial"/>
                <w:noProof/>
              </w:rPr>
            </w:pPr>
            <w:r>
              <w:t>Ezennel igazoljuk, hogy a vizsgált motor nem tér el meg nem engedett mértékben az előírt paraméterektől.</w:t>
            </w:r>
          </w:p>
          <w:p w:rsidR="005624E3" w:rsidRPr="00C903F8" w:rsidRDefault="005624E3" w:rsidP="00101A80">
            <w:pPr>
              <w:tabs>
                <w:tab w:val="left" w:leader="dot" w:pos="9072"/>
              </w:tabs>
              <w:spacing w:line="240" w:lineRule="atLeast"/>
              <w:rPr>
                <w:rFonts w:cs="Arial"/>
                <w:b/>
                <w:bCs/>
                <w:noProof/>
              </w:rPr>
            </w:pPr>
          </w:p>
        </w:tc>
      </w:tr>
      <w:tr w:rsidR="005624E3" w:rsidRPr="00C903F8" w:rsidTr="00101A80">
        <w:tc>
          <w:tcPr>
            <w:tcW w:w="737" w:type="dxa"/>
            <w:shd w:val="clear" w:color="auto" w:fill="auto"/>
          </w:tcPr>
          <w:p w:rsidR="005624E3" w:rsidRPr="00C903F8" w:rsidRDefault="005624E3" w:rsidP="00101A80">
            <w:pPr>
              <w:outlineLvl w:val="0"/>
              <w:rPr>
                <w:b/>
                <w:bCs/>
                <w:noProof/>
                <w:szCs w:val="20"/>
              </w:rPr>
            </w:pPr>
            <w:r>
              <w:t>1.1.</w:t>
            </w:r>
          </w:p>
        </w:tc>
        <w:tc>
          <w:tcPr>
            <w:tcW w:w="8491" w:type="dxa"/>
            <w:gridSpan w:val="2"/>
            <w:shd w:val="clear" w:color="auto" w:fill="auto"/>
          </w:tcPr>
          <w:p w:rsidR="005624E3" w:rsidRPr="00C903F8" w:rsidRDefault="005624E3" w:rsidP="00101A80">
            <w:pPr>
              <w:tabs>
                <w:tab w:val="right" w:leader="underscore" w:pos="8263"/>
              </w:tabs>
              <w:outlineLvl w:val="0"/>
              <w:rPr>
                <w:noProof/>
                <w:szCs w:val="20"/>
              </w:rPr>
            </w:pPr>
            <w:r>
              <w:t>Beszerelési vizsgálat</w:t>
            </w:r>
          </w:p>
        </w:tc>
      </w:tr>
      <w:tr w:rsidR="005624E3" w:rsidRPr="00A0619C"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 műszaki szolgálat neve és címe: </w:t>
            </w:r>
            <w:r>
              <w:tab/>
            </w:r>
          </w:p>
        </w:tc>
      </w:tr>
      <w:tr w:rsidR="005624E3" w:rsidRPr="00A0619C"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C903F8"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Az ellenőr neve:</w:t>
            </w:r>
            <w:r>
              <w:tab/>
            </w:r>
          </w:p>
        </w:tc>
      </w:tr>
      <w:tr w:rsidR="005624E3" w:rsidRPr="00C903F8"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Hely és dátum:</w:t>
            </w:r>
            <w:r>
              <w:tab/>
            </w:r>
          </w:p>
        </w:tc>
      </w:tr>
      <w:tr w:rsidR="005624E3" w:rsidRPr="00C903F8"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Aláírás:</w:t>
            </w:r>
            <w:r>
              <w:tab/>
            </w:r>
          </w:p>
        </w:tc>
      </w:tr>
      <w:tr w:rsidR="005624E3" w:rsidRPr="00C903F8"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p>
        </w:tc>
      </w:tr>
      <w:tr w:rsidR="005624E3" w:rsidRPr="00A0619C"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 vizsgálatot elismerő illetékes hatóság:</w:t>
            </w:r>
            <w:r>
              <w:tab/>
            </w:r>
          </w:p>
        </w:tc>
      </w:tr>
      <w:tr w:rsidR="005624E3" w:rsidRPr="00A0619C"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p>
        </w:tc>
      </w:tr>
      <w:tr w:rsidR="005624E3" w:rsidRPr="00C903F8" w:rsidTr="00101A80">
        <w:tc>
          <w:tcPr>
            <w:tcW w:w="737" w:type="dxa"/>
            <w:shd w:val="clear" w:color="auto" w:fill="auto"/>
          </w:tcPr>
          <w:p w:rsidR="005624E3" w:rsidRPr="00C903F8" w:rsidRDefault="005624E3" w:rsidP="00101A80">
            <w:pPr>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r>
              <w:t>Hely és dátum:</w:t>
            </w:r>
            <w:r>
              <w:tab/>
            </w: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r>
              <w:rPr>
                <w:noProof/>
                <w:sz w:val="16"/>
              </w:rPr>
              <w:t>Az illetékes hatóság</w:t>
            </w:r>
          </w:p>
        </w:tc>
      </w:tr>
      <w:tr w:rsidR="005624E3" w:rsidRPr="00C903F8" w:rsidTr="00101A80">
        <w:tc>
          <w:tcPr>
            <w:tcW w:w="737" w:type="dxa"/>
            <w:shd w:val="clear" w:color="auto" w:fill="auto"/>
          </w:tcPr>
          <w:p w:rsidR="005624E3" w:rsidRPr="00C903F8" w:rsidRDefault="005624E3" w:rsidP="00101A80">
            <w:pPr>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r>
              <w:t>Aláírás:</w:t>
            </w:r>
            <w:r>
              <w:tab/>
            </w: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r>
              <w:rPr>
                <w:noProof/>
                <w:sz w:val="16"/>
              </w:rPr>
              <w:t>bélyegzője</w:t>
            </w:r>
          </w:p>
        </w:tc>
      </w:tr>
    </w:tbl>
    <w:p w:rsidR="005624E3" w:rsidRPr="00C903F8" w:rsidRDefault="005624E3" w:rsidP="005624E3">
      <w:pPr>
        <w:tabs>
          <w:tab w:val="left" w:pos="737"/>
          <w:tab w:val="left" w:pos="2835"/>
        </w:tabs>
        <w:rPr>
          <w:noProof/>
          <w:szCs w:val="20"/>
        </w:rPr>
      </w:pPr>
    </w:p>
    <w:p w:rsidR="005624E3" w:rsidRPr="00C903F8" w:rsidRDefault="005624E3" w:rsidP="005624E3">
      <w:pPr>
        <w:tabs>
          <w:tab w:val="left" w:pos="737"/>
          <w:tab w:val="left" w:pos="2835"/>
        </w:tabs>
        <w:rPr>
          <w:noProof/>
          <w:szCs w:val="20"/>
        </w:rPr>
      </w:pPr>
    </w:p>
    <w:p w:rsidR="005624E3" w:rsidRPr="00C903F8" w:rsidRDefault="005624E3" w:rsidP="005624E3">
      <w:pPr>
        <w:tabs>
          <w:tab w:val="left" w:pos="737"/>
          <w:tab w:val="left" w:pos="2835"/>
        </w:tabs>
        <w:rPr>
          <w:noProof/>
          <w:szCs w:val="20"/>
        </w:rPr>
      </w:pPr>
    </w:p>
    <w:p w:rsidR="005624E3" w:rsidRPr="00C903F8" w:rsidRDefault="005624E3" w:rsidP="005624E3">
      <w:pPr>
        <w:tabs>
          <w:tab w:val="left" w:pos="737"/>
          <w:tab w:val="left" w:pos="2835"/>
        </w:tabs>
        <w:rPr>
          <w:noProof/>
          <w:szCs w:val="20"/>
        </w:rPr>
      </w:pPr>
    </w:p>
    <w:p w:rsidR="005624E3" w:rsidRPr="00C903F8" w:rsidRDefault="005624E3" w:rsidP="005624E3">
      <w:pPr>
        <w:tabs>
          <w:tab w:val="left" w:pos="737"/>
          <w:tab w:val="left" w:pos="2835"/>
        </w:tabs>
        <w:rPr>
          <w:noProof/>
          <w:szCs w:val="20"/>
        </w:rPr>
      </w:pPr>
    </w:p>
    <w:p w:rsidR="005624E3" w:rsidRDefault="005624E3" w:rsidP="005624E3">
      <w:pPr>
        <w:tabs>
          <w:tab w:val="left" w:pos="737"/>
          <w:tab w:val="left" w:pos="2835"/>
        </w:tabs>
        <w:rPr>
          <w:noProof/>
          <w:szCs w:val="20"/>
        </w:rPr>
      </w:pPr>
    </w:p>
    <w:p w:rsidR="005624E3" w:rsidRPr="00C903F8" w:rsidRDefault="005624E3" w:rsidP="005624E3">
      <w:pPr>
        <w:tabs>
          <w:tab w:val="left" w:pos="737"/>
          <w:tab w:val="left" w:pos="2835"/>
        </w:tabs>
        <w:rPr>
          <w:noProof/>
          <w:szCs w:val="20"/>
        </w:rPr>
      </w:pPr>
    </w:p>
    <w:p w:rsidR="005624E3" w:rsidRPr="00C903F8" w:rsidRDefault="005624E3" w:rsidP="005624E3">
      <w:pPr>
        <w:tabs>
          <w:tab w:val="left" w:pos="737"/>
          <w:tab w:val="left" w:pos="2835"/>
        </w:tabs>
        <w:rPr>
          <w:noProof/>
          <w:szCs w:val="20"/>
        </w:rPr>
      </w:pPr>
    </w:p>
    <w:p w:rsidR="005624E3" w:rsidRPr="00C903F8" w:rsidRDefault="005624E3" w:rsidP="005624E3">
      <w:pPr>
        <w:tabs>
          <w:tab w:val="left" w:pos="737"/>
          <w:tab w:val="left" w:pos="2835"/>
        </w:tabs>
        <w:rPr>
          <w:noProof/>
          <w:szCs w:val="20"/>
        </w:rPr>
      </w:pPr>
      <w:r>
        <w:t>-----------------</w:t>
      </w:r>
    </w:p>
    <w:p w:rsidR="005624E3" w:rsidRPr="00C903F8" w:rsidRDefault="005624E3" w:rsidP="005624E3">
      <w:pPr>
        <w:tabs>
          <w:tab w:val="left" w:pos="284"/>
        </w:tabs>
        <w:ind w:left="284" w:hanging="284"/>
        <w:rPr>
          <w:noProof/>
          <w:sz w:val="16"/>
          <w:szCs w:val="20"/>
        </w:rPr>
      </w:pPr>
      <w:r>
        <w:t>*</w:t>
      </w:r>
      <w:r>
        <w:tab/>
      </w:r>
      <w:r>
        <w:rPr>
          <w:noProof/>
          <w:sz w:val="16"/>
        </w:rPr>
        <w:t>Az ellenőr tölti ki.</w:t>
      </w:r>
    </w:p>
    <w:p w:rsidR="005624E3" w:rsidRPr="00C903F8" w:rsidRDefault="005624E3" w:rsidP="005624E3">
      <w:pPr>
        <w:tabs>
          <w:tab w:val="left" w:leader="dot" w:pos="9072"/>
        </w:tabs>
        <w:spacing w:line="240" w:lineRule="atLeast"/>
        <w:rPr>
          <w:rFonts w:cs="Arial"/>
          <w:noProof/>
        </w:rPr>
      </w:pPr>
      <w:r>
        <w:br w:type="page"/>
      </w:r>
    </w:p>
    <w:tbl>
      <w:tblPr>
        <w:tblW w:w="0" w:type="auto"/>
        <w:tblLayout w:type="fixed"/>
        <w:tblLook w:val="01E0" w:firstRow="1" w:lastRow="1" w:firstColumn="1" w:lastColumn="1" w:noHBand="0" w:noVBand="0"/>
      </w:tblPr>
      <w:tblGrid>
        <w:gridCol w:w="737"/>
        <w:gridCol w:w="5131"/>
        <w:gridCol w:w="3360"/>
      </w:tblGrid>
      <w:tr w:rsidR="005624E3" w:rsidRPr="00C903F8" w:rsidTr="00101A80">
        <w:tc>
          <w:tcPr>
            <w:tcW w:w="737" w:type="dxa"/>
            <w:shd w:val="clear" w:color="auto" w:fill="auto"/>
          </w:tcPr>
          <w:p w:rsidR="005624E3" w:rsidRPr="00C903F8" w:rsidRDefault="005624E3" w:rsidP="00101A80">
            <w:pPr>
              <w:spacing w:line="240" w:lineRule="atLeast"/>
              <w:rPr>
                <w:b/>
                <w:bCs/>
                <w:noProof/>
                <w:szCs w:val="20"/>
              </w:rPr>
            </w:pPr>
            <w:r>
              <w:t>1.2.</w:t>
            </w:r>
          </w:p>
        </w:tc>
        <w:tc>
          <w:tcPr>
            <w:tcW w:w="8491" w:type="dxa"/>
            <w:gridSpan w:val="2"/>
            <w:shd w:val="clear" w:color="auto" w:fill="auto"/>
          </w:tcPr>
          <w:p w:rsidR="005624E3" w:rsidRPr="00C903F8" w:rsidRDefault="005624E3" w:rsidP="00101A80">
            <w:pPr>
              <w:spacing w:line="240" w:lineRule="atLeast"/>
              <w:rPr>
                <w:b/>
                <w:bCs/>
                <w:noProof/>
                <w:szCs w:val="20"/>
              </w:rPr>
            </w:pP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3142CA">
              <w:rPr>
                <w:noProof/>
                <w:szCs w:val="20"/>
              </w:rPr>
            </w:r>
            <w:r w:rsidR="003142CA">
              <w:rPr>
                <w:noProof/>
                <w:szCs w:val="20"/>
              </w:rPr>
              <w:fldChar w:fldCharType="separate"/>
            </w:r>
            <w:r>
              <w:rPr>
                <w:noProof/>
                <w:szCs w:val="20"/>
              </w:rPr>
              <w:fldChar w:fldCharType="end"/>
            </w:r>
            <w:r>
              <w:t>Időközi vizsgálat</w:t>
            </w:r>
            <w:r>
              <w:tab/>
            </w: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3142CA">
              <w:rPr>
                <w:noProof/>
                <w:szCs w:val="20"/>
              </w:rPr>
            </w:r>
            <w:r w:rsidR="003142CA">
              <w:rPr>
                <w:noProof/>
                <w:szCs w:val="20"/>
              </w:rPr>
              <w:fldChar w:fldCharType="separate"/>
            </w:r>
            <w:r>
              <w:rPr>
                <w:noProof/>
                <w:szCs w:val="20"/>
              </w:rPr>
              <w:fldChar w:fldCharType="end"/>
            </w:r>
            <w:r>
              <w:t xml:space="preserve"> Rendkívüli vizsgálat</w:t>
            </w:r>
            <w:r>
              <w:rPr>
                <w:rStyle w:val="FootnoteReference"/>
                <w:noProof/>
              </w:rPr>
              <w:footnoteReference w:id="62"/>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 műszaki szolgálat neve és címe: </w:t>
            </w: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Az ellenőr neve: </w:t>
            </w: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Hely és dátum: </w:t>
            </w: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Aláírás: </w:t>
            </w: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 vizsgálatot elismerő illetékes hatóság: </w:t>
            </w: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r>
              <w:t xml:space="preserve">Hely és dátum: </w:t>
            </w:r>
            <w:r>
              <w:tab/>
            </w: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r>
              <w:rPr>
                <w:noProof/>
                <w:sz w:val="16"/>
              </w:rPr>
              <w:t>Az illetékes hatóság</w:t>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Aláírás: </w:t>
            </w:r>
            <w:r>
              <w:tab/>
            </w: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r>
              <w:rPr>
                <w:noProof/>
                <w:sz w:val="16"/>
              </w:rPr>
              <w:t>bélyegzője</w:t>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p w:rsidR="005624E3" w:rsidRPr="00C903F8" w:rsidRDefault="005624E3" w:rsidP="00101A80">
            <w:pPr>
              <w:spacing w:line="240" w:lineRule="atLeast"/>
              <w:outlineLvl w:val="0"/>
              <w:rPr>
                <w:noProof/>
                <w:szCs w:val="20"/>
              </w:rPr>
            </w:pPr>
          </w:p>
          <w:p w:rsidR="005624E3" w:rsidRPr="00C903F8" w:rsidRDefault="005624E3" w:rsidP="00101A80">
            <w:pPr>
              <w:spacing w:line="240" w:lineRule="atLeast"/>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p>
        </w:tc>
      </w:tr>
      <w:tr w:rsidR="005624E3" w:rsidRPr="00C903F8" w:rsidTr="00101A80">
        <w:tc>
          <w:tcPr>
            <w:tcW w:w="737" w:type="dxa"/>
            <w:shd w:val="clear" w:color="auto" w:fill="auto"/>
          </w:tcPr>
          <w:p w:rsidR="005624E3" w:rsidRPr="00C903F8" w:rsidRDefault="005624E3" w:rsidP="00101A80">
            <w:pPr>
              <w:spacing w:line="240" w:lineRule="atLeast"/>
              <w:rPr>
                <w:b/>
                <w:bCs/>
                <w:noProof/>
                <w:szCs w:val="20"/>
              </w:rPr>
            </w:pPr>
            <w:r>
              <w:t>1.2.</w:t>
            </w:r>
          </w:p>
        </w:tc>
        <w:tc>
          <w:tcPr>
            <w:tcW w:w="8491" w:type="dxa"/>
            <w:gridSpan w:val="2"/>
            <w:shd w:val="clear" w:color="auto" w:fill="auto"/>
          </w:tcPr>
          <w:p w:rsidR="005624E3" w:rsidRPr="00C903F8" w:rsidRDefault="005624E3" w:rsidP="00101A80">
            <w:pPr>
              <w:spacing w:line="240" w:lineRule="atLeast"/>
              <w:rPr>
                <w:b/>
                <w:bCs/>
                <w:noProof/>
                <w:szCs w:val="20"/>
              </w:rPr>
            </w:pP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3142CA">
              <w:rPr>
                <w:noProof/>
                <w:szCs w:val="20"/>
              </w:rPr>
            </w:r>
            <w:r w:rsidR="003142CA">
              <w:rPr>
                <w:noProof/>
                <w:szCs w:val="20"/>
              </w:rPr>
              <w:fldChar w:fldCharType="separate"/>
            </w:r>
            <w:r>
              <w:rPr>
                <w:noProof/>
                <w:szCs w:val="20"/>
              </w:rPr>
              <w:fldChar w:fldCharType="end"/>
            </w:r>
            <w:r>
              <w:t>Időközi vizsgálat</w:t>
            </w:r>
            <w:r>
              <w:tab/>
            </w: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3142CA">
              <w:rPr>
                <w:noProof/>
                <w:szCs w:val="20"/>
              </w:rPr>
            </w:r>
            <w:r w:rsidR="003142CA">
              <w:rPr>
                <w:noProof/>
                <w:szCs w:val="20"/>
              </w:rPr>
              <w:fldChar w:fldCharType="separate"/>
            </w:r>
            <w:r>
              <w:rPr>
                <w:noProof/>
                <w:szCs w:val="20"/>
              </w:rPr>
              <w:fldChar w:fldCharType="end"/>
            </w:r>
            <w:r>
              <w:t xml:space="preserve"> Rendkívüli vizsgálat</w:t>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 műszaki szolgálat neve és címe: </w:t>
            </w: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Az ellenőr neve: </w:t>
            </w: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Hely és dátum: </w:t>
            </w: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Aláírás: </w:t>
            </w: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 vizsgálatot elismerő illetékes hatóság: </w:t>
            </w: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r>
              <w:t xml:space="preserve">Hely és dátum: </w:t>
            </w:r>
            <w:r>
              <w:tab/>
            </w: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r>
              <w:rPr>
                <w:noProof/>
                <w:sz w:val="16"/>
              </w:rPr>
              <w:t>Az illetékes hatóság</w:t>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Aláírás: </w:t>
            </w:r>
            <w:r>
              <w:tab/>
            </w: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r>
              <w:rPr>
                <w:noProof/>
                <w:sz w:val="16"/>
              </w:rPr>
              <w:t>bélyegzője</w:t>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p w:rsidR="005624E3" w:rsidRPr="00C903F8" w:rsidRDefault="005624E3" w:rsidP="00101A80">
            <w:pPr>
              <w:spacing w:line="240" w:lineRule="atLeast"/>
              <w:outlineLvl w:val="0"/>
              <w:rPr>
                <w:noProof/>
                <w:szCs w:val="20"/>
              </w:rPr>
            </w:pPr>
          </w:p>
          <w:p w:rsidR="005624E3" w:rsidRPr="00C903F8" w:rsidRDefault="005624E3" w:rsidP="00101A80">
            <w:pPr>
              <w:spacing w:line="240" w:lineRule="atLeast"/>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p>
        </w:tc>
      </w:tr>
      <w:tr w:rsidR="005624E3" w:rsidRPr="00C903F8" w:rsidTr="00101A80">
        <w:tc>
          <w:tcPr>
            <w:tcW w:w="737" w:type="dxa"/>
            <w:shd w:val="clear" w:color="auto" w:fill="auto"/>
          </w:tcPr>
          <w:p w:rsidR="005624E3" w:rsidRPr="00C903F8" w:rsidRDefault="005624E3" w:rsidP="00101A80">
            <w:pPr>
              <w:spacing w:line="240" w:lineRule="atLeast"/>
              <w:rPr>
                <w:b/>
                <w:bCs/>
                <w:noProof/>
                <w:szCs w:val="20"/>
              </w:rPr>
            </w:pPr>
            <w:r>
              <w:t>1.2.</w:t>
            </w:r>
          </w:p>
        </w:tc>
        <w:tc>
          <w:tcPr>
            <w:tcW w:w="8491" w:type="dxa"/>
            <w:gridSpan w:val="2"/>
            <w:shd w:val="clear" w:color="auto" w:fill="auto"/>
          </w:tcPr>
          <w:p w:rsidR="005624E3" w:rsidRPr="00C903F8" w:rsidRDefault="005624E3" w:rsidP="00101A80">
            <w:pPr>
              <w:spacing w:line="240" w:lineRule="atLeast"/>
              <w:rPr>
                <w:b/>
                <w:bCs/>
                <w:noProof/>
                <w:szCs w:val="20"/>
              </w:rPr>
            </w:pP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3142CA">
              <w:rPr>
                <w:noProof/>
                <w:szCs w:val="20"/>
              </w:rPr>
            </w:r>
            <w:r w:rsidR="003142CA">
              <w:rPr>
                <w:noProof/>
                <w:szCs w:val="20"/>
              </w:rPr>
              <w:fldChar w:fldCharType="separate"/>
            </w:r>
            <w:r>
              <w:rPr>
                <w:noProof/>
                <w:szCs w:val="20"/>
              </w:rPr>
              <w:fldChar w:fldCharType="end"/>
            </w:r>
            <w:r>
              <w:t>Időközi vizsgálat</w:t>
            </w:r>
            <w:r>
              <w:tab/>
            </w: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3142CA">
              <w:rPr>
                <w:noProof/>
                <w:szCs w:val="20"/>
              </w:rPr>
            </w:r>
            <w:r w:rsidR="003142CA">
              <w:rPr>
                <w:noProof/>
                <w:szCs w:val="20"/>
              </w:rPr>
              <w:fldChar w:fldCharType="separate"/>
            </w:r>
            <w:r>
              <w:rPr>
                <w:noProof/>
                <w:szCs w:val="20"/>
              </w:rPr>
              <w:fldChar w:fldCharType="end"/>
            </w:r>
            <w:r>
              <w:t xml:space="preserve"> Rendkívüli vizsgálat</w:t>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 műszaki szolgálat neve és címe: </w:t>
            </w: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Az ellenőr neve: </w:t>
            </w: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Hely és dátum: </w:t>
            </w: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Aláírás: </w:t>
            </w:r>
            <w:r>
              <w:tab/>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 vizsgálatot elismerő illetékes hatóság: </w:t>
            </w: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r>
              <w:tab/>
            </w:r>
          </w:p>
        </w:tc>
      </w:tr>
      <w:tr w:rsidR="005624E3" w:rsidRPr="00A0619C"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8491" w:type="dxa"/>
            <w:gridSpan w:val="2"/>
            <w:shd w:val="clear" w:color="auto" w:fill="auto"/>
          </w:tcPr>
          <w:p w:rsidR="005624E3" w:rsidRPr="00C903F8" w:rsidRDefault="005624E3" w:rsidP="00101A80">
            <w:pPr>
              <w:tabs>
                <w:tab w:val="right" w:leader="dot" w:pos="8263"/>
              </w:tabs>
              <w:spacing w:line="240" w:lineRule="atLeast"/>
              <w:outlineLvl w:val="0"/>
              <w:rPr>
                <w:noProof/>
                <w:szCs w:val="20"/>
              </w:rPr>
            </w:pP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r>
              <w:t xml:space="preserve">Hely és dátum: </w:t>
            </w:r>
            <w:r>
              <w:tab/>
            </w: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r>
              <w:rPr>
                <w:noProof/>
                <w:sz w:val="16"/>
              </w:rPr>
              <w:t>Az illetékes hatóság</w:t>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r>
              <w:t xml:space="preserve">Aláírás: </w:t>
            </w:r>
            <w:r>
              <w:tab/>
            </w: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r>
              <w:rPr>
                <w:noProof/>
                <w:sz w:val="16"/>
              </w:rPr>
              <w:t>bélyegzője</w:t>
            </w:r>
          </w:p>
        </w:tc>
      </w:tr>
      <w:tr w:rsidR="005624E3" w:rsidRPr="00C903F8" w:rsidTr="00101A80">
        <w:tc>
          <w:tcPr>
            <w:tcW w:w="737" w:type="dxa"/>
            <w:shd w:val="clear" w:color="auto" w:fill="auto"/>
          </w:tcPr>
          <w:p w:rsidR="005624E3" w:rsidRPr="00C903F8" w:rsidRDefault="005624E3" w:rsidP="00101A80">
            <w:pPr>
              <w:spacing w:line="240" w:lineRule="atLeast"/>
              <w:outlineLvl w:val="0"/>
              <w:rPr>
                <w:noProof/>
                <w:szCs w:val="20"/>
              </w:rPr>
            </w:pPr>
          </w:p>
        </w:tc>
        <w:tc>
          <w:tcPr>
            <w:tcW w:w="5131" w:type="dxa"/>
            <w:shd w:val="clear" w:color="auto" w:fill="auto"/>
          </w:tcPr>
          <w:p w:rsidR="005624E3" w:rsidRPr="00C903F8" w:rsidRDefault="005624E3" w:rsidP="00101A80">
            <w:pPr>
              <w:tabs>
                <w:tab w:val="right" w:leader="dot" w:pos="8263"/>
              </w:tabs>
              <w:spacing w:line="240" w:lineRule="atLeast"/>
              <w:outlineLvl w:val="0"/>
              <w:rPr>
                <w:noProof/>
                <w:szCs w:val="20"/>
              </w:rPr>
            </w:pPr>
          </w:p>
        </w:tc>
        <w:tc>
          <w:tcPr>
            <w:tcW w:w="3360" w:type="dxa"/>
            <w:shd w:val="clear" w:color="auto" w:fill="auto"/>
          </w:tcPr>
          <w:p w:rsidR="005624E3" w:rsidRPr="00C903F8" w:rsidRDefault="005624E3" w:rsidP="00101A80">
            <w:pPr>
              <w:tabs>
                <w:tab w:val="right" w:leader="dot" w:pos="8263"/>
              </w:tabs>
              <w:spacing w:line="240" w:lineRule="atLeast"/>
              <w:jc w:val="center"/>
              <w:outlineLvl w:val="0"/>
              <w:rPr>
                <w:noProof/>
                <w:sz w:val="16"/>
                <w:szCs w:val="20"/>
              </w:rPr>
            </w:pPr>
          </w:p>
        </w:tc>
      </w:tr>
    </w:tbl>
    <w:p w:rsidR="005624E3" w:rsidRPr="00C903F8" w:rsidRDefault="005624E3" w:rsidP="005624E3">
      <w:pPr>
        <w:tabs>
          <w:tab w:val="left" w:pos="737"/>
          <w:tab w:val="left" w:pos="2835"/>
        </w:tabs>
        <w:rPr>
          <w:noProof/>
          <w:szCs w:val="20"/>
        </w:rPr>
      </w:pPr>
    </w:p>
    <w:p w:rsidR="005624E3" w:rsidRPr="00C903F8" w:rsidRDefault="005624E3" w:rsidP="005624E3">
      <w:pPr>
        <w:rPr>
          <w:noProof/>
          <w:sz w:val="4"/>
          <w:szCs w:val="4"/>
        </w:rPr>
        <w:sectPr w:rsidR="005624E3" w:rsidRPr="00C903F8" w:rsidSect="009C13A9">
          <w:headerReference w:type="default" r:id="rId71"/>
          <w:footnotePr>
            <w:numRestart w:val="eachPage"/>
          </w:footnotePr>
          <w:pgSz w:w="11907" w:h="16839"/>
          <w:pgMar w:top="1134" w:right="1417" w:bottom="1134" w:left="1417" w:header="709" w:footer="709" w:gutter="0"/>
          <w:cols w:space="708"/>
          <w:docGrid w:linePitch="360"/>
        </w:sectPr>
      </w:pPr>
    </w:p>
    <w:tbl>
      <w:tblPr>
        <w:tblW w:w="9215" w:type="dxa"/>
        <w:tblLayout w:type="fixed"/>
        <w:tblCellMar>
          <w:left w:w="70" w:type="dxa"/>
          <w:right w:w="70" w:type="dxa"/>
        </w:tblCellMar>
        <w:tblLook w:val="0000" w:firstRow="0" w:lastRow="0" w:firstColumn="0" w:lastColumn="0" w:noHBand="0" w:noVBand="0"/>
      </w:tblPr>
      <w:tblGrid>
        <w:gridCol w:w="6"/>
        <w:gridCol w:w="71"/>
        <w:gridCol w:w="355"/>
        <w:gridCol w:w="565"/>
        <w:gridCol w:w="281"/>
        <w:gridCol w:w="282"/>
        <w:gridCol w:w="423"/>
        <w:gridCol w:w="564"/>
        <w:gridCol w:w="281"/>
        <w:gridCol w:w="141"/>
        <w:gridCol w:w="141"/>
        <w:gridCol w:w="43"/>
        <w:gridCol w:w="380"/>
        <w:gridCol w:w="423"/>
        <w:gridCol w:w="141"/>
        <w:gridCol w:w="423"/>
        <w:gridCol w:w="141"/>
        <w:gridCol w:w="139"/>
        <w:gridCol w:w="566"/>
        <w:gridCol w:w="564"/>
        <w:gridCol w:w="134"/>
        <w:gridCol w:w="7"/>
        <w:gridCol w:w="296"/>
        <w:gridCol w:w="127"/>
        <w:gridCol w:w="564"/>
        <w:gridCol w:w="47"/>
        <w:gridCol w:w="213"/>
        <w:gridCol w:w="304"/>
        <w:gridCol w:w="493"/>
        <w:gridCol w:w="23"/>
        <w:gridCol w:w="189"/>
        <w:gridCol w:w="552"/>
        <w:gridCol w:w="294"/>
        <w:gridCol w:w="42"/>
      </w:tblGrid>
      <w:tr w:rsidR="005624E3" w:rsidRPr="00C903F8" w:rsidTr="00A74DAC">
        <w:trPr>
          <w:gridBefore w:val="2"/>
          <w:gridAfter w:val="2"/>
          <w:wBefore w:w="70" w:type="dxa"/>
          <w:wAfter w:w="296" w:type="dxa"/>
          <w:cantSplit/>
          <w:trHeight w:hRule="exact" w:val="160"/>
        </w:trPr>
        <w:tc>
          <w:tcPr>
            <w:tcW w:w="8849" w:type="dxa"/>
            <w:gridSpan w:val="30"/>
            <w:vAlign w:val="center"/>
          </w:tcPr>
          <w:p w:rsidR="005624E3" w:rsidRPr="00C903F8" w:rsidRDefault="005624E3" w:rsidP="00101A80">
            <w:pPr>
              <w:rPr>
                <w:noProof/>
              </w:rPr>
            </w:pPr>
          </w:p>
        </w:tc>
      </w:tr>
      <w:tr w:rsidR="005624E3" w:rsidRPr="00C903F8" w:rsidTr="00A74DAC">
        <w:tblPrEx>
          <w:jc w:val="center"/>
        </w:tblPrEx>
        <w:trPr>
          <w:gridBefore w:val="1"/>
          <w:cantSplit/>
          <w:jc w:val="center"/>
        </w:trPr>
        <w:tc>
          <w:tcPr>
            <w:tcW w:w="9215" w:type="dxa"/>
            <w:gridSpan w:val="33"/>
            <w:vAlign w:val="center"/>
          </w:tcPr>
          <w:p w:rsidR="005624E3" w:rsidRPr="00C903F8" w:rsidRDefault="005624E3" w:rsidP="00101A80">
            <w:pPr>
              <w:tabs>
                <w:tab w:val="center" w:pos="7316"/>
              </w:tabs>
              <w:overflowPunct w:val="0"/>
              <w:adjustRightInd w:val="0"/>
              <w:spacing w:line="240" w:lineRule="atLeast"/>
              <w:jc w:val="center"/>
              <w:textAlignment w:val="baseline"/>
              <w:rPr>
                <w:rFonts w:cs="Arial"/>
                <w:bCs/>
                <w:sz w:val="16"/>
                <w:szCs w:val="18"/>
              </w:rPr>
            </w:pPr>
            <w:r>
              <w:br w:type="page"/>
            </w:r>
            <w:r>
              <w:rPr>
                <w:b/>
              </w:rPr>
              <w:t xml:space="preserve">1. függelék </w:t>
            </w:r>
          </w:p>
          <w:p w:rsidR="005624E3" w:rsidRPr="00C903F8" w:rsidRDefault="005624E3" w:rsidP="00101A80">
            <w:pPr>
              <w:overflowPunct w:val="0"/>
              <w:adjustRightInd w:val="0"/>
              <w:ind w:right="57"/>
              <w:jc w:val="center"/>
              <w:textAlignment w:val="baseline"/>
              <w:rPr>
                <w:rFonts w:cs="Arial"/>
                <w:b/>
                <w:bCs/>
              </w:rPr>
            </w:pPr>
            <w:r>
              <w:rPr>
                <w:b/>
              </w:rPr>
              <w:t>A motorparaméter-jegyzőkönyv melléklete</w:t>
            </w:r>
          </w:p>
          <w:p w:rsidR="005624E3" w:rsidRPr="00C903F8" w:rsidRDefault="005624E3" w:rsidP="00101A80">
            <w:pPr>
              <w:overflowPunct w:val="0"/>
              <w:adjustRightInd w:val="0"/>
              <w:ind w:right="57"/>
              <w:jc w:val="center"/>
              <w:textAlignment w:val="baseline"/>
              <w:rPr>
                <w:rFonts w:cs="Arial"/>
                <w:b/>
                <w:bCs/>
                <w:caps/>
                <w:szCs w:val="20"/>
              </w:rPr>
            </w:pPr>
            <w:r>
              <w:rPr>
                <w:sz w:val="18"/>
              </w:rPr>
              <w:t>(Minta)</w:t>
            </w:r>
          </w:p>
        </w:tc>
      </w:tr>
      <w:tr w:rsidR="005624E3" w:rsidRPr="00C903F8" w:rsidTr="00A74DAC">
        <w:tblPrEx>
          <w:jc w:val="center"/>
        </w:tblPrEx>
        <w:trPr>
          <w:gridBefore w:val="1"/>
          <w:cantSplit/>
          <w:trHeight w:hRule="exact" w:val="160"/>
          <w:jc w:val="center"/>
        </w:trPr>
        <w:tc>
          <w:tcPr>
            <w:tcW w:w="9215" w:type="dxa"/>
            <w:gridSpan w:val="33"/>
            <w:vAlign w:val="center"/>
          </w:tcPr>
          <w:p w:rsidR="005624E3" w:rsidRPr="00C903F8" w:rsidRDefault="005624E3" w:rsidP="00101A80">
            <w:pPr>
              <w:overflowPunct w:val="0"/>
              <w:adjustRightInd w:val="0"/>
              <w:ind w:right="57"/>
              <w:textAlignment w:val="baseline"/>
              <w:rPr>
                <w:rFonts w:cs="Arial"/>
                <w:szCs w:val="20"/>
              </w:rPr>
            </w:pPr>
          </w:p>
          <w:p w:rsidR="005624E3" w:rsidRPr="00C903F8" w:rsidRDefault="005624E3" w:rsidP="00101A80">
            <w:pPr>
              <w:overflowPunct w:val="0"/>
              <w:adjustRightInd w:val="0"/>
              <w:ind w:right="57"/>
              <w:textAlignment w:val="baseline"/>
              <w:rPr>
                <w:rFonts w:cs="Arial"/>
                <w:szCs w:val="20"/>
              </w:rPr>
            </w:pPr>
          </w:p>
        </w:tc>
      </w:tr>
      <w:tr w:rsidR="005624E3" w:rsidRPr="00C903F8" w:rsidTr="00A74DAC">
        <w:tblPrEx>
          <w:jc w:val="center"/>
        </w:tblPrEx>
        <w:trPr>
          <w:gridBefore w:val="1"/>
          <w:cantSplit/>
          <w:jc w:val="center"/>
        </w:trPr>
        <w:tc>
          <w:tcPr>
            <w:tcW w:w="1560" w:type="dxa"/>
            <w:gridSpan w:val="5"/>
            <w:vAlign w:val="center"/>
          </w:tcPr>
          <w:p w:rsidR="005624E3" w:rsidRPr="00C903F8" w:rsidRDefault="005624E3" w:rsidP="00101A80">
            <w:pPr>
              <w:overflowPunct w:val="0"/>
              <w:adjustRightInd w:val="0"/>
              <w:ind w:right="57"/>
              <w:textAlignment w:val="baseline"/>
              <w:rPr>
                <w:rFonts w:cs="Arial"/>
                <w:sz w:val="16"/>
                <w:szCs w:val="16"/>
              </w:rPr>
            </w:pPr>
            <w:r>
              <w:rPr>
                <w:sz w:val="16"/>
              </w:rPr>
              <w:t>A vízi jármű neve:</w:t>
            </w:r>
          </w:p>
        </w:tc>
        <w:tc>
          <w:tcPr>
            <w:tcW w:w="2551" w:type="dxa"/>
            <w:gridSpan w:val="9"/>
            <w:vAlign w:val="center"/>
          </w:tcPr>
          <w:p w:rsidR="005624E3" w:rsidRPr="00C903F8" w:rsidRDefault="005624E3" w:rsidP="00101A80">
            <w:pPr>
              <w:tabs>
                <w:tab w:val="center" w:pos="4819"/>
              </w:tabs>
              <w:overflowPunct w:val="0"/>
              <w:adjustRightInd w:val="0"/>
              <w:ind w:right="57"/>
              <w:textAlignment w:val="baseline"/>
              <w:rPr>
                <w:rFonts w:cs="Arial"/>
                <w:sz w:val="16"/>
                <w:szCs w:val="16"/>
              </w:rPr>
            </w:pPr>
            <w:r>
              <w:rPr>
                <w:sz w:val="16"/>
              </w:rPr>
              <w:t>……………………………….</w:t>
            </w:r>
          </w:p>
        </w:tc>
        <w:tc>
          <w:tcPr>
            <w:tcW w:w="2977" w:type="dxa"/>
            <w:gridSpan w:val="10"/>
            <w:vAlign w:val="center"/>
          </w:tcPr>
          <w:p w:rsidR="005624E3" w:rsidRPr="002F672B" w:rsidRDefault="005624E3" w:rsidP="00101A80">
            <w:pPr>
              <w:overflowPunct w:val="0"/>
              <w:adjustRightInd w:val="0"/>
              <w:ind w:right="57"/>
              <w:textAlignment w:val="baseline"/>
              <w:rPr>
                <w:rFonts w:cs="Arial"/>
                <w:sz w:val="16"/>
                <w:szCs w:val="16"/>
              </w:rPr>
            </w:pPr>
            <w:r>
              <w:rPr>
                <w:noProof/>
                <w:sz w:val="16"/>
              </w:rPr>
              <w:t>Egyedi európai hajóazonosító szám:</w:t>
            </w:r>
          </w:p>
        </w:tc>
        <w:tc>
          <w:tcPr>
            <w:tcW w:w="2127" w:type="dxa"/>
            <w:gridSpan w:val="9"/>
            <w:vAlign w:val="center"/>
          </w:tcPr>
          <w:p w:rsidR="005624E3" w:rsidRPr="00C903F8" w:rsidRDefault="005624E3" w:rsidP="00101A80">
            <w:pPr>
              <w:overflowPunct w:val="0"/>
              <w:adjustRightInd w:val="0"/>
              <w:ind w:right="57"/>
              <w:textAlignment w:val="baseline"/>
              <w:rPr>
                <w:rFonts w:cs="Arial"/>
                <w:sz w:val="16"/>
                <w:szCs w:val="16"/>
              </w:rPr>
            </w:pPr>
            <w:r>
              <w:rPr>
                <w:sz w:val="16"/>
              </w:rPr>
              <w:t>…………………………</w:t>
            </w:r>
          </w:p>
        </w:tc>
      </w:tr>
      <w:tr w:rsidR="005624E3" w:rsidRPr="00C903F8" w:rsidTr="00A74DAC">
        <w:tblPrEx>
          <w:jc w:val="center"/>
        </w:tblPrEx>
        <w:trPr>
          <w:gridBefore w:val="1"/>
          <w:cantSplit/>
          <w:jc w:val="center"/>
        </w:trPr>
        <w:tc>
          <w:tcPr>
            <w:tcW w:w="9215" w:type="dxa"/>
            <w:gridSpan w:val="33"/>
            <w:vAlign w:val="center"/>
          </w:tcPr>
          <w:p w:rsidR="005624E3" w:rsidRPr="00C903F8" w:rsidRDefault="005624E3" w:rsidP="00101A80">
            <w:pPr>
              <w:tabs>
                <w:tab w:val="center" w:pos="4819"/>
              </w:tabs>
              <w:overflowPunct w:val="0"/>
              <w:adjustRightInd w:val="0"/>
              <w:spacing w:line="100" w:lineRule="exact"/>
              <w:ind w:right="57"/>
              <w:textAlignment w:val="baseline"/>
              <w:rPr>
                <w:rFonts w:cs="Arial"/>
                <w:szCs w:val="20"/>
              </w:rPr>
            </w:pPr>
          </w:p>
        </w:tc>
      </w:tr>
      <w:tr w:rsidR="005624E3" w:rsidRPr="00C903F8" w:rsidTr="00A74DAC">
        <w:tblPrEx>
          <w:jc w:val="center"/>
        </w:tblPrEx>
        <w:trPr>
          <w:gridBefore w:val="1"/>
          <w:jc w:val="center"/>
        </w:trPr>
        <w:tc>
          <w:tcPr>
            <w:tcW w:w="426" w:type="dxa"/>
            <w:gridSpan w:val="2"/>
            <w:vAlign w:val="center"/>
          </w:tcPr>
          <w:p w:rsidR="005624E3" w:rsidRPr="00C903F8" w:rsidRDefault="005624E3" w:rsidP="00101A80">
            <w:pPr>
              <w:overflowPunct w:val="0"/>
              <w:adjustRightInd w:val="0"/>
              <w:ind w:right="57"/>
              <w:jc w:val="center"/>
              <w:textAlignment w:val="baseline"/>
              <w:rPr>
                <w:rFonts w:cs="Arial"/>
                <w:sz w:val="12"/>
                <w:szCs w:val="12"/>
              </w:rPr>
            </w:pPr>
            <w:r>
              <w:rPr>
                <w:rFonts w:cs="Arial"/>
                <w:sz w:val="16"/>
                <w:szCs w:val="16"/>
              </w:rPr>
              <w:fldChar w:fldCharType="begin">
                <w:ffData>
                  <w:name w:val="Kontrollkästchen4"/>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p>
        </w:tc>
        <w:tc>
          <w:tcPr>
            <w:tcW w:w="2736" w:type="dxa"/>
            <w:gridSpan w:val="9"/>
            <w:tcBorders>
              <w:left w:val="nil"/>
            </w:tcBorders>
            <w:vAlign w:val="center"/>
          </w:tcPr>
          <w:p w:rsidR="005624E3" w:rsidRPr="00C903F8" w:rsidRDefault="005624E3" w:rsidP="00101A80">
            <w:pPr>
              <w:tabs>
                <w:tab w:val="center" w:pos="4819"/>
              </w:tabs>
              <w:overflowPunct w:val="0"/>
              <w:adjustRightInd w:val="0"/>
              <w:ind w:right="57"/>
              <w:textAlignment w:val="baseline"/>
              <w:rPr>
                <w:rFonts w:cs="Arial"/>
                <w:sz w:val="18"/>
                <w:szCs w:val="18"/>
              </w:rPr>
            </w:pPr>
            <w:r>
              <w:rPr>
                <w:sz w:val="16"/>
              </w:rPr>
              <w:t xml:space="preserve">Beszerelési vizsgálat </w:t>
            </w:r>
            <w:r>
              <w:rPr>
                <w:sz w:val="18"/>
                <w:vertAlign w:val="superscript"/>
              </w:rPr>
              <w:t>1)</w:t>
            </w:r>
          </w:p>
        </w:tc>
        <w:tc>
          <w:tcPr>
            <w:tcW w:w="807" w:type="dxa"/>
            <w:gridSpan w:val="2"/>
            <w:vAlign w:val="center"/>
          </w:tcPr>
          <w:p w:rsidR="005624E3" w:rsidRPr="00C903F8" w:rsidRDefault="005624E3" w:rsidP="00101A80">
            <w:pPr>
              <w:overflowPunct w:val="0"/>
              <w:adjustRightInd w:val="0"/>
              <w:ind w:right="57"/>
              <w:jc w:val="center"/>
              <w:textAlignment w:val="baseline"/>
              <w:rPr>
                <w:rFonts w:cs="Arial"/>
                <w:sz w:val="12"/>
                <w:szCs w:val="12"/>
              </w:rPr>
            </w:pPr>
            <w:r>
              <w:rPr>
                <w:rFonts w:cs="Arial"/>
                <w:sz w:val="16"/>
                <w:szCs w:val="16"/>
              </w:rPr>
              <w:fldChar w:fldCharType="begin">
                <w:ffData>
                  <w:name w:val="Kontrollkästchen4"/>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p>
        </w:tc>
        <w:tc>
          <w:tcPr>
            <w:tcW w:w="2425" w:type="dxa"/>
            <w:gridSpan w:val="9"/>
            <w:tcBorders>
              <w:left w:val="nil"/>
            </w:tcBorders>
            <w:vAlign w:val="center"/>
          </w:tcPr>
          <w:p w:rsidR="005624E3" w:rsidRPr="00C903F8" w:rsidRDefault="005624E3" w:rsidP="00101A80">
            <w:pPr>
              <w:overflowPunct w:val="0"/>
              <w:adjustRightInd w:val="0"/>
              <w:ind w:right="57"/>
              <w:textAlignment w:val="baseline"/>
              <w:rPr>
                <w:rFonts w:cs="Arial"/>
                <w:sz w:val="18"/>
                <w:szCs w:val="18"/>
              </w:rPr>
            </w:pPr>
            <w:r>
              <w:rPr>
                <w:sz w:val="16"/>
              </w:rPr>
              <w:t xml:space="preserve">Időközi vizsgálat </w:t>
            </w:r>
            <w:r>
              <w:rPr>
                <w:sz w:val="18"/>
                <w:vertAlign w:val="superscript"/>
              </w:rPr>
              <w:t>1)</w:t>
            </w:r>
          </w:p>
        </w:tc>
        <w:tc>
          <w:tcPr>
            <w:tcW w:w="694" w:type="dxa"/>
            <w:gridSpan w:val="2"/>
            <w:vAlign w:val="center"/>
          </w:tcPr>
          <w:p w:rsidR="005624E3" w:rsidRPr="00C903F8" w:rsidRDefault="005624E3" w:rsidP="00101A80">
            <w:pPr>
              <w:overflowPunct w:val="0"/>
              <w:adjustRightInd w:val="0"/>
              <w:ind w:right="57"/>
              <w:jc w:val="center"/>
              <w:textAlignment w:val="baseline"/>
              <w:rPr>
                <w:rFonts w:cs="Arial"/>
                <w:sz w:val="12"/>
                <w:szCs w:val="12"/>
              </w:rPr>
            </w:pPr>
            <w:r>
              <w:rPr>
                <w:rFonts w:cs="Arial"/>
                <w:sz w:val="16"/>
                <w:szCs w:val="16"/>
              </w:rPr>
              <w:fldChar w:fldCharType="begin">
                <w:ffData>
                  <w:name w:val="Kontrollkästchen4"/>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p>
        </w:tc>
        <w:tc>
          <w:tcPr>
            <w:tcW w:w="2127" w:type="dxa"/>
            <w:gridSpan w:val="9"/>
            <w:tcBorders>
              <w:left w:val="nil"/>
            </w:tcBorders>
            <w:vAlign w:val="center"/>
          </w:tcPr>
          <w:p w:rsidR="005624E3" w:rsidRPr="00C903F8" w:rsidRDefault="005624E3" w:rsidP="00101A80">
            <w:pPr>
              <w:overflowPunct w:val="0"/>
              <w:adjustRightInd w:val="0"/>
              <w:ind w:right="57"/>
              <w:textAlignment w:val="baseline"/>
              <w:rPr>
                <w:rFonts w:cs="Arial"/>
                <w:sz w:val="18"/>
                <w:szCs w:val="18"/>
              </w:rPr>
            </w:pPr>
            <w:bookmarkStart w:id="664" w:name="Kontrollkästchen3"/>
            <w:bookmarkStart w:id="665" w:name="Kontrollkästchen2"/>
            <w:bookmarkStart w:id="666" w:name="Kontrollkästchen1"/>
            <w:r>
              <w:rPr>
                <w:sz w:val="16"/>
              </w:rPr>
              <w:t xml:space="preserve">Rendkívüli vizsgálat </w:t>
            </w:r>
            <w:r>
              <w:rPr>
                <w:sz w:val="18"/>
                <w:vertAlign w:val="superscript"/>
              </w:rPr>
              <w:t>1)</w:t>
            </w:r>
            <w:bookmarkEnd w:id="664"/>
            <w:bookmarkEnd w:id="665"/>
            <w:bookmarkEnd w:id="666"/>
          </w:p>
        </w:tc>
      </w:tr>
      <w:tr w:rsidR="005624E3" w:rsidRPr="00C903F8" w:rsidTr="00A74DAC">
        <w:tblPrEx>
          <w:jc w:val="center"/>
          <w:tblCellMar>
            <w:left w:w="28" w:type="dxa"/>
            <w:right w:w="28" w:type="dxa"/>
          </w:tblCellMar>
        </w:tblPrEx>
        <w:trPr>
          <w:gridBefore w:val="1"/>
          <w:cantSplit/>
          <w:trHeight w:hRule="exact" w:val="160"/>
          <w:jc w:val="center"/>
        </w:trPr>
        <w:tc>
          <w:tcPr>
            <w:tcW w:w="9215" w:type="dxa"/>
            <w:gridSpan w:val="33"/>
            <w:vAlign w:val="center"/>
          </w:tcPr>
          <w:p w:rsidR="005624E3" w:rsidRPr="00C903F8" w:rsidRDefault="005624E3" w:rsidP="00101A80">
            <w:pPr>
              <w:overflowPunct w:val="0"/>
              <w:adjustRightInd w:val="0"/>
              <w:spacing w:before="60" w:after="60"/>
              <w:ind w:right="57"/>
              <w:textAlignment w:val="baseline"/>
              <w:rPr>
                <w:rFonts w:cs="Arial"/>
                <w:szCs w:val="20"/>
              </w:rPr>
            </w:pPr>
          </w:p>
        </w:tc>
      </w:tr>
      <w:tr w:rsidR="005624E3" w:rsidRPr="00C903F8" w:rsidTr="00A74DAC">
        <w:tblPrEx>
          <w:jc w:val="center"/>
          <w:tblCellMar>
            <w:left w:w="28" w:type="dxa"/>
            <w:right w:w="28" w:type="dxa"/>
          </w:tblCellMar>
        </w:tblPrEx>
        <w:trPr>
          <w:gridBefore w:val="1"/>
          <w:jc w:val="center"/>
        </w:trPr>
        <w:tc>
          <w:tcPr>
            <w:tcW w:w="1276" w:type="dxa"/>
            <w:gridSpan w:val="4"/>
            <w:vAlign w:val="center"/>
          </w:tcPr>
          <w:p w:rsidR="005624E3" w:rsidRPr="00C903F8" w:rsidRDefault="005624E3" w:rsidP="00101A80">
            <w:pPr>
              <w:overflowPunct w:val="0"/>
              <w:adjustRightInd w:val="0"/>
              <w:ind w:right="57"/>
              <w:textAlignment w:val="baseline"/>
              <w:rPr>
                <w:rFonts w:cs="Arial"/>
                <w:sz w:val="16"/>
                <w:szCs w:val="16"/>
              </w:rPr>
            </w:pPr>
            <w:r>
              <w:rPr>
                <w:sz w:val="16"/>
              </w:rPr>
              <w:t>Gyártó:</w:t>
            </w:r>
          </w:p>
        </w:tc>
        <w:tc>
          <w:tcPr>
            <w:tcW w:w="3402" w:type="dxa"/>
            <w:gridSpan w:val="12"/>
            <w:vAlign w:val="center"/>
          </w:tcPr>
          <w:p w:rsidR="005624E3" w:rsidRPr="00C903F8" w:rsidRDefault="005624E3" w:rsidP="00101A80">
            <w:pPr>
              <w:overflowPunct w:val="0"/>
              <w:adjustRightInd w:val="0"/>
              <w:ind w:right="57"/>
              <w:textAlignment w:val="baseline"/>
              <w:rPr>
                <w:rFonts w:cs="Arial"/>
                <w:sz w:val="16"/>
                <w:szCs w:val="16"/>
              </w:rPr>
            </w:pPr>
            <w:r>
              <w:rPr>
                <w:sz w:val="16"/>
              </w:rPr>
              <w:t>…………………………………………</w:t>
            </w:r>
          </w:p>
        </w:tc>
        <w:tc>
          <w:tcPr>
            <w:tcW w:w="1276" w:type="dxa"/>
            <w:gridSpan w:val="3"/>
            <w:vAlign w:val="center"/>
          </w:tcPr>
          <w:p w:rsidR="005624E3" w:rsidRPr="00C903F8" w:rsidRDefault="005624E3" w:rsidP="00101A80">
            <w:pPr>
              <w:overflowPunct w:val="0"/>
              <w:adjustRightInd w:val="0"/>
              <w:ind w:right="57"/>
              <w:textAlignment w:val="baseline"/>
              <w:rPr>
                <w:rFonts w:cs="Arial"/>
                <w:sz w:val="16"/>
                <w:szCs w:val="16"/>
              </w:rPr>
            </w:pPr>
            <w:bookmarkStart w:id="667" w:name="Text14"/>
            <w:bookmarkStart w:id="668" w:name="Text15"/>
            <w:r>
              <w:rPr>
                <w:sz w:val="16"/>
              </w:rPr>
              <w:t>Motortípus:</w:t>
            </w:r>
            <w:bookmarkEnd w:id="667"/>
            <w:bookmarkEnd w:id="668"/>
          </w:p>
        </w:tc>
        <w:tc>
          <w:tcPr>
            <w:tcW w:w="3261" w:type="dxa"/>
            <w:gridSpan w:val="14"/>
            <w:vAlign w:val="center"/>
          </w:tcPr>
          <w:p w:rsidR="005624E3" w:rsidRPr="00C903F8" w:rsidRDefault="005624E3" w:rsidP="00101A80">
            <w:pPr>
              <w:overflowPunct w:val="0"/>
              <w:adjustRightInd w:val="0"/>
              <w:ind w:right="57"/>
              <w:textAlignment w:val="baseline"/>
              <w:rPr>
                <w:rFonts w:cs="Arial"/>
                <w:sz w:val="16"/>
                <w:szCs w:val="16"/>
              </w:rPr>
            </w:pPr>
            <w:r>
              <w:rPr>
                <w:sz w:val="16"/>
              </w:rPr>
              <w:t>……………………………………….</w:t>
            </w:r>
          </w:p>
        </w:tc>
      </w:tr>
      <w:tr w:rsidR="005624E3" w:rsidRPr="00C903F8" w:rsidTr="00A74DAC">
        <w:tblPrEx>
          <w:jc w:val="center"/>
          <w:tblCellMar>
            <w:left w:w="28" w:type="dxa"/>
            <w:right w:w="28" w:type="dxa"/>
          </w:tblCellMar>
        </w:tblPrEx>
        <w:trPr>
          <w:gridBefore w:val="1"/>
          <w:jc w:val="center"/>
        </w:trPr>
        <w:tc>
          <w:tcPr>
            <w:tcW w:w="1276" w:type="dxa"/>
            <w:gridSpan w:val="4"/>
            <w:vAlign w:val="center"/>
          </w:tcPr>
          <w:p w:rsidR="005624E3" w:rsidRPr="00C903F8" w:rsidRDefault="005624E3" w:rsidP="00101A80">
            <w:pPr>
              <w:overflowPunct w:val="0"/>
              <w:adjustRightInd w:val="0"/>
              <w:ind w:right="57"/>
              <w:textAlignment w:val="baseline"/>
              <w:rPr>
                <w:rFonts w:cs="Arial"/>
                <w:szCs w:val="20"/>
              </w:rPr>
            </w:pPr>
          </w:p>
        </w:tc>
        <w:tc>
          <w:tcPr>
            <w:tcW w:w="3402" w:type="dxa"/>
            <w:gridSpan w:val="12"/>
            <w:tcBorders>
              <w:bottom w:val="nil"/>
            </w:tcBorders>
            <w:vAlign w:val="center"/>
          </w:tcPr>
          <w:p w:rsidR="005624E3" w:rsidRPr="00C903F8" w:rsidRDefault="005624E3" w:rsidP="00101A80">
            <w:pPr>
              <w:overflowPunct w:val="0"/>
              <w:adjustRightInd w:val="0"/>
              <w:ind w:right="57"/>
              <w:textAlignment w:val="baseline"/>
              <w:rPr>
                <w:rFonts w:cs="Arial"/>
                <w:sz w:val="12"/>
                <w:szCs w:val="12"/>
              </w:rPr>
            </w:pPr>
            <w:r>
              <w:rPr>
                <w:sz w:val="12"/>
              </w:rPr>
              <w:t>(Forgalmazási név/a gyártó kereskedelmi neve/védjegye)</w:t>
            </w:r>
          </w:p>
        </w:tc>
        <w:tc>
          <w:tcPr>
            <w:tcW w:w="1276" w:type="dxa"/>
            <w:gridSpan w:val="3"/>
            <w:vAlign w:val="center"/>
          </w:tcPr>
          <w:p w:rsidR="005624E3" w:rsidRPr="00C903F8" w:rsidRDefault="005624E3" w:rsidP="00101A80">
            <w:pPr>
              <w:overflowPunct w:val="0"/>
              <w:adjustRightInd w:val="0"/>
              <w:ind w:right="57"/>
              <w:textAlignment w:val="baseline"/>
              <w:rPr>
                <w:rFonts w:cs="Arial"/>
                <w:szCs w:val="20"/>
              </w:rPr>
            </w:pPr>
          </w:p>
        </w:tc>
        <w:tc>
          <w:tcPr>
            <w:tcW w:w="3261" w:type="dxa"/>
            <w:gridSpan w:val="14"/>
            <w:tcBorders>
              <w:bottom w:val="nil"/>
            </w:tcBorders>
            <w:vAlign w:val="center"/>
          </w:tcPr>
          <w:p w:rsidR="005624E3" w:rsidRPr="00C903F8" w:rsidRDefault="005624E3" w:rsidP="00101A80">
            <w:pPr>
              <w:overflowPunct w:val="0"/>
              <w:adjustRightInd w:val="0"/>
              <w:ind w:right="57"/>
              <w:textAlignment w:val="baseline"/>
              <w:rPr>
                <w:rFonts w:cs="Arial"/>
                <w:sz w:val="12"/>
                <w:szCs w:val="12"/>
              </w:rPr>
            </w:pPr>
            <w:r>
              <w:rPr>
                <w:sz w:val="12"/>
              </w:rPr>
              <w:t>(Motorcsalád/gyártói megjelölés)</w:t>
            </w:r>
          </w:p>
        </w:tc>
      </w:tr>
      <w:tr w:rsidR="005624E3" w:rsidRPr="00C903F8" w:rsidTr="00A74DAC">
        <w:tblPrEx>
          <w:jc w:val="center"/>
          <w:tblCellMar>
            <w:left w:w="28" w:type="dxa"/>
            <w:right w:w="28" w:type="dxa"/>
          </w:tblCellMar>
        </w:tblPrEx>
        <w:trPr>
          <w:gridBefore w:val="1"/>
          <w:cantSplit/>
          <w:trHeight w:hRule="exact" w:val="57"/>
          <w:jc w:val="center"/>
        </w:trPr>
        <w:tc>
          <w:tcPr>
            <w:tcW w:w="9215" w:type="dxa"/>
            <w:gridSpan w:val="33"/>
            <w:vAlign w:val="center"/>
          </w:tcPr>
          <w:p w:rsidR="005624E3" w:rsidRPr="00C903F8" w:rsidRDefault="005624E3" w:rsidP="00101A80">
            <w:pPr>
              <w:overflowPunct w:val="0"/>
              <w:adjustRightInd w:val="0"/>
              <w:spacing w:before="60" w:after="60"/>
              <w:ind w:right="57"/>
              <w:textAlignment w:val="baseline"/>
              <w:rPr>
                <w:rFonts w:cs="Arial"/>
                <w:szCs w:val="20"/>
              </w:rPr>
            </w:pPr>
          </w:p>
        </w:tc>
      </w:tr>
      <w:tr w:rsidR="005624E3" w:rsidRPr="00C903F8" w:rsidTr="00A74DAC">
        <w:tblPrEx>
          <w:jc w:val="center"/>
          <w:tblCellMar>
            <w:left w:w="28" w:type="dxa"/>
            <w:right w:w="28" w:type="dxa"/>
          </w:tblCellMar>
        </w:tblPrEx>
        <w:trPr>
          <w:gridBefore w:val="1"/>
          <w:jc w:val="center"/>
        </w:trPr>
        <w:tc>
          <w:tcPr>
            <w:tcW w:w="1985" w:type="dxa"/>
            <w:gridSpan w:val="6"/>
            <w:vAlign w:val="center"/>
          </w:tcPr>
          <w:p w:rsidR="005624E3" w:rsidRPr="00C903F8" w:rsidRDefault="005624E3" w:rsidP="00101A80">
            <w:pPr>
              <w:tabs>
                <w:tab w:val="center" w:pos="4819"/>
              </w:tabs>
              <w:overflowPunct w:val="0"/>
              <w:adjustRightInd w:val="0"/>
              <w:ind w:right="57"/>
              <w:textAlignment w:val="baseline"/>
              <w:rPr>
                <w:rFonts w:cs="Arial"/>
                <w:sz w:val="16"/>
                <w:szCs w:val="16"/>
              </w:rPr>
            </w:pPr>
            <w:r>
              <w:rPr>
                <w:sz w:val="16"/>
              </w:rPr>
              <w:t>Névleges teljesítmény (kW):</w:t>
            </w:r>
          </w:p>
        </w:tc>
        <w:tc>
          <w:tcPr>
            <w:tcW w:w="992" w:type="dxa"/>
            <w:gridSpan w:val="3"/>
            <w:vAlign w:val="center"/>
          </w:tcPr>
          <w:p w:rsidR="005624E3" w:rsidRPr="00C903F8" w:rsidRDefault="005624E3" w:rsidP="00101A80">
            <w:pPr>
              <w:overflowPunct w:val="0"/>
              <w:adjustRightInd w:val="0"/>
              <w:ind w:right="57"/>
              <w:textAlignment w:val="baseline"/>
              <w:rPr>
                <w:rFonts w:cs="Arial"/>
                <w:sz w:val="18"/>
                <w:szCs w:val="18"/>
              </w:rPr>
            </w:pPr>
            <w:r>
              <w:rPr>
                <w:sz w:val="18"/>
              </w:rPr>
              <w:t>…………..</w:t>
            </w:r>
          </w:p>
        </w:tc>
        <w:tc>
          <w:tcPr>
            <w:tcW w:w="2410" w:type="dxa"/>
            <w:gridSpan w:val="9"/>
            <w:vAlign w:val="center"/>
          </w:tcPr>
          <w:p w:rsidR="005624E3" w:rsidRPr="00C903F8" w:rsidRDefault="005624E3" w:rsidP="00101A80">
            <w:pPr>
              <w:overflowPunct w:val="0"/>
              <w:adjustRightInd w:val="0"/>
              <w:ind w:right="57"/>
              <w:textAlignment w:val="baseline"/>
              <w:rPr>
                <w:rFonts w:cs="Arial"/>
                <w:sz w:val="18"/>
                <w:szCs w:val="18"/>
              </w:rPr>
            </w:pPr>
            <w:r>
              <w:rPr>
                <w:sz w:val="16"/>
              </w:rPr>
              <w:t>Névleges fordulatszám (ford./perc)</w:t>
            </w:r>
            <w:r>
              <w:rPr>
                <w:sz w:val="18"/>
              </w:rPr>
              <w:t>:</w:t>
            </w:r>
          </w:p>
        </w:tc>
        <w:tc>
          <w:tcPr>
            <w:tcW w:w="1134" w:type="dxa"/>
            <w:gridSpan w:val="5"/>
            <w:vAlign w:val="center"/>
          </w:tcPr>
          <w:p w:rsidR="005624E3" w:rsidRPr="00C903F8" w:rsidRDefault="005624E3" w:rsidP="00101A80">
            <w:pPr>
              <w:overflowPunct w:val="0"/>
              <w:adjustRightInd w:val="0"/>
              <w:ind w:right="57"/>
              <w:textAlignment w:val="baseline"/>
              <w:rPr>
                <w:rFonts w:cs="Arial"/>
                <w:sz w:val="18"/>
                <w:szCs w:val="18"/>
              </w:rPr>
            </w:pPr>
            <w:r>
              <w:rPr>
                <w:sz w:val="18"/>
              </w:rPr>
              <w:t>…………….</w:t>
            </w:r>
          </w:p>
        </w:tc>
        <w:tc>
          <w:tcPr>
            <w:tcW w:w="1843" w:type="dxa"/>
            <w:gridSpan w:val="7"/>
            <w:vAlign w:val="center"/>
          </w:tcPr>
          <w:p w:rsidR="005624E3" w:rsidRPr="00C903F8" w:rsidRDefault="005624E3" w:rsidP="00101A80">
            <w:pPr>
              <w:overflowPunct w:val="0"/>
              <w:adjustRightInd w:val="0"/>
              <w:ind w:right="57"/>
              <w:textAlignment w:val="baseline"/>
              <w:rPr>
                <w:rFonts w:cs="Arial"/>
                <w:sz w:val="16"/>
                <w:szCs w:val="16"/>
              </w:rPr>
            </w:pPr>
            <w:bookmarkStart w:id="669" w:name="Text16"/>
            <w:bookmarkStart w:id="670" w:name="Text17"/>
            <w:bookmarkStart w:id="671" w:name="Text18"/>
            <w:r>
              <w:rPr>
                <w:sz w:val="16"/>
              </w:rPr>
              <w:t>Hengerek száma:</w:t>
            </w:r>
            <w:bookmarkEnd w:id="669"/>
            <w:bookmarkEnd w:id="670"/>
            <w:bookmarkEnd w:id="671"/>
          </w:p>
        </w:tc>
        <w:tc>
          <w:tcPr>
            <w:tcW w:w="851" w:type="dxa"/>
            <w:gridSpan w:val="3"/>
            <w:vAlign w:val="center"/>
          </w:tcPr>
          <w:p w:rsidR="005624E3" w:rsidRPr="00C903F8" w:rsidRDefault="005624E3" w:rsidP="00101A80">
            <w:pPr>
              <w:overflowPunct w:val="0"/>
              <w:adjustRightInd w:val="0"/>
              <w:ind w:right="57"/>
              <w:textAlignment w:val="baseline"/>
              <w:rPr>
                <w:rFonts w:cs="Arial"/>
                <w:sz w:val="18"/>
                <w:szCs w:val="18"/>
              </w:rPr>
            </w:pPr>
            <w:r>
              <w:rPr>
                <w:sz w:val="18"/>
              </w:rPr>
              <w:t>………..</w:t>
            </w:r>
          </w:p>
        </w:tc>
      </w:tr>
      <w:tr w:rsidR="005624E3" w:rsidRPr="00C903F8" w:rsidTr="00A74DAC">
        <w:tblPrEx>
          <w:jc w:val="center"/>
          <w:tblCellMar>
            <w:left w:w="28" w:type="dxa"/>
            <w:right w:w="28" w:type="dxa"/>
          </w:tblCellMar>
        </w:tblPrEx>
        <w:trPr>
          <w:gridBefore w:val="1"/>
          <w:cantSplit/>
          <w:trHeight w:hRule="exact" w:val="160"/>
          <w:jc w:val="center"/>
        </w:trPr>
        <w:tc>
          <w:tcPr>
            <w:tcW w:w="9215" w:type="dxa"/>
            <w:gridSpan w:val="33"/>
            <w:vAlign w:val="center"/>
          </w:tcPr>
          <w:p w:rsidR="005624E3" w:rsidRPr="00C903F8" w:rsidRDefault="005624E3" w:rsidP="00101A80">
            <w:pPr>
              <w:overflowPunct w:val="0"/>
              <w:adjustRightInd w:val="0"/>
              <w:spacing w:before="60" w:after="60"/>
              <w:ind w:right="57"/>
              <w:textAlignment w:val="baseline"/>
              <w:rPr>
                <w:rFonts w:cs="Arial"/>
                <w:szCs w:val="20"/>
              </w:rPr>
            </w:pPr>
          </w:p>
        </w:tc>
      </w:tr>
      <w:tr w:rsidR="005624E3" w:rsidRPr="00C903F8" w:rsidTr="00A74DAC">
        <w:tblPrEx>
          <w:jc w:val="center"/>
          <w:tblCellMar>
            <w:left w:w="28" w:type="dxa"/>
            <w:right w:w="28" w:type="dxa"/>
          </w:tblCellMar>
        </w:tblPrEx>
        <w:trPr>
          <w:gridBefore w:val="1"/>
          <w:cantSplit/>
          <w:jc w:val="center"/>
        </w:trPr>
        <w:tc>
          <w:tcPr>
            <w:tcW w:w="3544" w:type="dxa"/>
            <w:gridSpan w:val="12"/>
            <w:vAlign w:val="center"/>
          </w:tcPr>
          <w:p w:rsidR="005624E3" w:rsidRPr="00C903F8" w:rsidRDefault="005624E3" w:rsidP="00101A80">
            <w:pPr>
              <w:tabs>
                <w:tab w:val="center" w:pos="4819"/>
              </w:tabs>
              <w:overflowPunct w:val="0"/>
              <w:adjustRightInd w:val="0"/>
              <w:ind w:right="57"/>
              <w:textAlignment w:val="baseline"/>
              <w:rPr>
                <w:rFonts w:cs="Arial"/>
                <w:sz w:val="16"/>
                <w:szCs w:val="16"/>
              </w:rPr>
            </w:pPr>
            <w:bookmarkStart w:id="672" w:name="Text32"/>
            <w:r>
              <w:rPr>
                <w:sz w:val="16"/>
              </w:rPr>
              <w:t>A motor rendeltetése:</w:t>
            </w:r>
            <w:bookmarkEnd w:id="672"/>
          </w:p>
        </w:tc>
        <w:tc>
          <w:tcPr>
            <w:tcW w:w="5671" w:type="dxa"/>
            <w:gridSpan w:val="21"/>
            <w:vAlign w:val="center"/>
          </w:tcPr>
          <w:p w:rsidR="005624E3" w:rsidRPr="00C903F8" w:rsidRDefault="005624E3" w:rsidP="00101A80">
            <w:pPr>
              <w:overflowPunct w:val="0"/>
              <w:adjustRightInd w:val="0"/>
              <w:ind w:right="57"/>
              <w:textAlignment w:val="baseline"/>
              <w:rPr>
                <w:rFonts w:cs="Arial"/>
                <w:sz w:val="16"/>
                <w:szCs w:val="16"/>
              </w:rPr>
            </w:pPr>
            <w:r>
              <w:rPr>
                <w:sz w:val="16"/>
              </w:rPr>
              <w:t>………………………………………………………………………..</w:t>
            </w:r>
          </w:p>
        </w:tc>
      </w:tr>
      <w:tr w:rsidR="005624E3" w:rsidRPr="00C903F8" w:rsidTr="00A74DAC">
        <w:tblPrEx>
          <w:jc w:val="center"/>
          <w:tblCellMar>
            <w:left w:w="28" w:type="dxa"/>
            <w:right w:w="28" w:type="dxa"/>
          </w:tblCellMar>
        </w:tblPrEx>
        <w:trPr>
          <w:gridBefore w:val="1"/>
          <w:cantSplit/>
          <w:jc w:val="center"/>
        </w:trPr>
        <w:tc>
          <w:tcPr>
            <w:tcW w:w="3544" w:type="dxa"/>
            <w:gridSpan w:val="12"/>
            <w:vAlign w:val="center"/>
          </w:tcPr>
          <w:p w:rsidR="005624E3" w:rsidRPr="00C903F8" w:rsidRDefault="005624E3" w:rsidP="00101A80">
            <w:pPr>
              <w:tabs>
                <w:tab w:val="center" w:pos="4819"/>
              </w:tabs>
              <w:overflowPunct w:val="0"/>
              <w:adjustRightInd w:val="0"/>
              <w:ind w:right="57"/>
              <w:textAlignment w:val="baseline"/>
              <w:rPr>
                <w:rFonts w:cs="Arial"/>
                <w:szCs w:val="20"/>
              </w:rPr>
            </w:pPr>
          </w:p>
        </w:tc>
        <w:tc>
          <w:tcPr>
            <w:tcW w:w="5671" w:type="dxa"/>
            <w:gridSpan w:val="21"/>
            <w:tcBorders>
              <w:bottom w:val="nil"/>
            </w:tcBorders>
            <w:vAlign w:val="center"/>
          </w:tcPr>
          <w:p w:rsidR="005624E3" w:rsidRPr="00C903F8" w:rsidRDefault="005624E3" w:rsidP="00101A80">
            <w:pPr>
              <w:overflowPunct w:val="0"/>
              <w:adjustRightInd w:val="0"/>
              <w:ind w:right="57"/>
              <w:textAlignment w:val="baseline"/>
              <w:rPr>
                <w:rFonts w:cs="Arial"/>
                <w:sz w:val="12"/>
                <w:szCs w:val="12"/>
              </w:rPr>
            </w:pPr>
            <w:r>
              <w:rPr>
                <w:sz w:val="12"/>
              </w:rPr>
              <w:t>(A vízi jármű fő meghajtása</w:t>
            </w:r>
            <w:r w:rsidR="00A74DAC">
              <w:rPr>
                <w:sz w:val="12"/>
              </w:rPr>
              <w:t xml:space="preserve"> </w:t>
            </w:r>
            <w:r>
              <w:rPr>
                <w:sz w:val="12"/>
              </w:rPr>
              <w:t>/</w:t>
            </w:r>
            <w:r w:rsidR="00A74DAC">
              <w:rPr>
                <w:sz w:val="12"/>
              </w:rPr>
              <w:t xml:space="preserve"> </w:t>
            </w:r>
            <w:r>
              <w:rPr>
                <w:sz w:val="12"/>
              </w:rPr>
              <w:t>generátor</w:t>
            </w:r>
            <w:r w:rsidR="00A74DAC">
              <w:rPr>
                <w:sz w:val="12"/>
              </w:rPr>
              <w:t xml:space="preserve"> </w:t>
            </w:r>
            <w:r>
              <w:rPr>
                <w:sz w:val="12"/>
              </w:rPr>
              <w:t>meghajtás</w:t>
            </w:r>
            <w:r w:rsidR="00A74DAC">
              <w:rPr>
                <w:sz w:val="12"/>
              </w:rPr>
              <w:t xml:space="preserve">a </w:t>
            </w:r>
            <w:r>
              <w:rPr>
                <w:sz w:val="12"/>
              </w:rPr>
              <w:t>/</w:t>
            </w:r>
            <w:r w:rsidR="00A74DAC">
              <w:rPr>
                <w:sz w:val="12"/>
              </w:rPr>
              <w:t xml:space="preserve"> </w:t>
            </w:r>
            <w:r w:rsidR="00A74DAC" w:rsidRPr="00A74DAC">
              <w:rPr>
                <w:sz w:val="12"/>
              </w:rPr>
              <w:t>orrsugár-hajtómű meghajtása</w:t>
            </w:r>
            <w:r w:rsidR="00A74DAC">
              <w:rPr>
                <w:sz w:val="12"/>
              </w:rPr>
              <w:t xml:space="preserve"> </w:t>
            </w:r>
            <w:r>
              <w:rPr>
                <w:sz w:val="12"/>
              </w:rPr>
              <w:t xml:space="preserve">/segédmotor </w:t>
            </w:r>
            <w:r w:rsidR="00A74DAC">
              <w:rPr>
                <w:sz w:val="12"/>
              </w:rPr>
              <w:t xml:space="preserve">meghajtása </w:t>
            </w:r>
            <w:r>
              <w:rPr>
                <w:sz w:val="12"/>
              </w:rPr>
              <w:t>stb.)</w:t>
            </w:r>
          </w:p>
        </w:tc>
      </w:tr>
      <w:tr w:rsidR="005624E3" w:rsidRPr="00C903F8" w:rsidTr="00A74DAC">
        <w:tblPrEx>
          <w:jc w:val="center"/>
          <w:tblCellMar>
            <w:left w:w="28" w:type="dxa"/>
            <w:right w:w="28" w:type="dxa"/>
          </w:tblCellMar>
        </w:tblPrEx>
        <w:trPr>
          <w:gridBefore w:val="1"/>
          <w:cantSplit/>
          <w:trHeight w:hRule="exact" w:val="57"/>
          <w:jc w:val="center"/>
        </w:trPr>
        <w:tc>
          <w:tcPr>
            <w:tcW w:w="9215" w:type="dxa"/>
            <w:gridSpan w:val="33"/>
            <w:vAlign w:val="center"/>
          </w:tcPr>
          <w:p w:rsidR="005624E3" w:rsidRPr="00C903F8" w:rsidRDefault="005624E3" w:rsidP="00101A80">
            <w:pPr>
              <w:overflowPunct w:val="0"/>
              <w:adjustRightInd w:val="0"/>
              <w:spacing w:before="60" w:after="60"/>
              <w:ind w:right="57"/>
              <w:textAlignment w:val="baseline"/>
              <w:rPr>
                <w:rFonts w:cs="Arial"/>
                <w:szCs w:val="20"/>
              </w:rPr>
            </w:pPr>
          </w:p>
        </w:tc>
      </w:tr>
      <w:tr w:rsidR="005624E3" w:rsidRPr="00C903F8" w:rsidTr="00A74DAC">
        <w:tblPrEx>
          <w:jc w:val="center"/>
          <w:tblCellMar>
            <w:left w:w="28" w:type="dxa"/>
            <w:right w:w="28" w:type="dxa"/>
          </w:tblCellMar>
        </w:tblPrEx>
        <w:trPr>
          <w:gridBefore w:val="1"/>
          <w:cantSplit/>
          <w:jc w:val="center"/>
        </w:trPr>
        <w:tc>
          <w:tcPr>
            <w:tcW w:w="2552" w:type="dxa"/>
            <w:gridSpan w:val="7"/>
            <w:vAlign w:val="center"/>
          </w:tcPr>
          <w:p w:rsidR="005624E3" w:rsidRPr="00C903F8" w:rsidRDefault="005624E3" w:rsidP="00101A80">
            <w:pPr>
              <w:tabs>
                <w:tab w:val="center" w:pos="4819"/>
              </w:tabs>
              <w:overflowPunct w:val="0"/>
              <w:adjustRightInd w:val="0"/>
              <w:ind w:right="57"/>
              <w:textAlignment w:val="baseline"/>
              <w:rPr>
                <w:rFonts w:cs="Arial"/>
                <w:sz w:val="16"/>
                <w:szCs w:val="16"/>
              </w:rPr>
            </w:pPr>
            <w:r>
              <w:rPr>
                <w:sz w:val="16"/>
              </w:rPr>
              <w:t>Típusjóváhagyás száma:</w:t>
            </w:r>
          </w:p>
        </w:tc>
        <w:tc>
          <w:tcPr>
            <w:tcW w:w="3544" w:type="dxa"/>
            <w:gridSpan w:val="14"/>
            <w:vAlign w:val="center"/>
          </w:tcPr>
          <w:p w:rsidR="005624E3" w:rsidRPr="00C903F8" w:rsidRDefault="005624E3" w:rsidP="00101A80">
            <w:pPr>
              <w:overflowPunct w:val="0"/>
              <w:adjustRightInd w:val="0"/>
              <w:ind w:right="57"/>
              <w:textAlignment w:val="baseline"/>
              <w:rPr>
                <w:rFonts w:cs="Arial"/>
                <w:sz w:val="16"/>
                <w:szCs w:val="16"/>
              </w:rPr>
            </w:pPr>
            <w:r>
              <w:rPr>
                <w:sz w:val="16"/>
              </w:rPr>
              <w:t>……………………………………………</w:t>
            </w:r>
          </w:p>
        </w:tc>
        <w:tc>
          <w:tcPr>
            <w:tcW w:w="1559" w:type="dxa"/>
            <w:gridSpan w:val="6"/>
            <w:vAlign w:val="center"/>
          </w:tcPr>
          <w:p w:rsidR="005624E3" w:rsidRPr="00C903F8" w:rsidRDefault="005624E3" w:rsidP="00101A80">
            <w:pPr>
              <w:tabs>
                <w:tab w:val="center" w:pos="4819"/>
              </w:tabs>
              <w:overflowPunct w:val="0"/>
              <w:adjustRightInd w:val="0"/>
              <w:ind w:right="57"/>
              <w:textAlignment w:val="baseline"/>
              <w:rPr>
                <w:rFonts w:cs="Arial"/>
                <w:sz w:val="16"/>
                <w:szCs w:val="16"/>
              </w:rPr>
            </w:pPr>
            <w:bookmarkStart w:id="673" w:name="Text19"/>
            <w:bookmarkStart w:id="674" w:name="Text41"/>
            <w:r>
              <w:rPr>
                <w:sz w:val="16"/>
              </w:rPr>
              <w:t>A motor gyártási éve:</w:t>
            </w:r>
            <w:bookmarkEnd w:id="673"/>
            <w:bookmarkEnd w:id="674"/>
          </w:p>
        </w:tc>
        <w:tc>
          <w:tcPr>
            <w:tcW w:w="1560" w:type="dxa"/>
            <w:gridSpan w:val="6"/>
            <w:vAlign w:val="center"/>
          </w:tcPr>
          <w:p w:rsidR="005624E3" w:rsidRPr="00C903F8" w:rsidRDefault="005624E3" w:rsidP="00101A80">
            <w:pPr>
              <w:overflowPunct w:val="0"/>
              <w:adjustRightInd w:val="0"/>
              <w:ind w:right="57"/>
              <w:textAlignment w:val="baseline"/>
              <w:rPr>
                <w:rFonts w:cs="Arial"/>
                <w:sz w:val="16"/>
                <w:szCs w:val="16"/>
              </w:rPr>
            </w:pPr>
            <w:r>
              <w:rPr>
                <w:sz w:val="16"/>
              </w:rPr>
              <w:t>…………………</w:t>
            </w:r>
          </w:p>
        </w:tc>
      </w:tr>
      <w:tr w:rsidR="005624E3" w:rsidRPr="00C903F8" w:rsidTr="00A74DAC">
        <w:tblPrEx>
          <w:jc w:val="center"/>
          <w:tblCellMar>
            <w:left w:w="28" w:type="dxa"/>
            <w:right w:w="28" w:type="dxa"/>
          </w:tblCellMar>
        </w:tblPrEx>
        <w:trPr>
          <w:gridBefore w:val="1"/>
          <w:cantSplit/>
          <w:trHeight w:hRule="exact" w:val="57"/>
          <w:jc w:val="center"/>
        </w:trPr>
        <w:tc>
          <w:tcPr>
            <w:tcW w:w="9215" w:type="dxa"/>
            <w:gridSpan w:val="33"/>
            <w:vAlign w:val="center"/>
          </w:tcPr>
          <w:p w:rsidR="005624E3" w:rsidRPr="00C903F8" w:rsidRDefault="005624E3" w:rsidP="00101A80">
            <w:pPr>
              <w:overflowPunct w:val="0"/>
              <w:adjustRightInd w:val="0"/>
              <w:spacing w:before="60" w:after="60"/>
              <w:ind w:right="57"/>
              <w:textAlignment w:val="baseline"/>
              <w:rPr>
                <w:rFonts w:cs="Arial"/>
                <w:szCs w:val="20"/>
              </w:rPr>
            </w:pPr>
          </w:p>
        </w:tc>
      </w:tr>
      <w:tr w:rsidR="005624E3" w:rsidRPr="00C903F8" w:rsidTr="00A74DAC">
        <w:tblPrEx>
          <w:jc w:val="center"/>
          <w:tblCellMar>
            <w:left w:w="28" w:type="dxa"/>
            <w:right w:w="28" w:type="dxa"/>
          </w:tblCellMar>
        </w:tblPrEx>
        <w:trPr>
          <w:gridBefore w:val="1"/>
          <w:cantSplit/>
          <w:jc w:val="center"/>
        </w:trPr>
        <w:tc>
          <w:tcPr>
            <w:tcW w:w="2835" w:type="dxa"/>
            <w:gridSpan w:val="8"/>
            <w:vAlign w:val="center"/>
          </w:tcPr>
          <w:p w:rsidR="005624E3" w:rsidRPr="00C903F8" w:rsidRDefault="005624E3" w:rsidP="00101A80">
            <w:pPr>
              <w:tabs>
                <w:tab w:val="center" w:pos="4819"/>
              </w:tabs>
              <w:overflowPunct w:val="0"/>
              <w:adjustRightInd w:val="0"/>
              <w:ind w:right="57"/>
              <w:textAlignment w:val="baseline"/>
              <w:rPr>
                <w:rFonts w:cs="Arial"/>
                <w:sz w:val="16"/>
                <w:szCs w:val="16"/>
              </w:rPr>
            </w:pPr>
            <w:r>
              <w:rPr>
                <w:sz w:val="16"/>
              </w:rPr>
              <w:t>Motorazonosító szám:</w:t>
            </w:r>
          </w:p>
        </w:tc>
        <w:tc>
          <w:tcPr>
            <w:tcW w:w="3254" w:type="dxa"/>
            <w:gridSpan w:val="12"/>
            <w:vAlign w:val="center"/>
          </w:tcPr>
          <w:p w:rsidR="005624E3" w:rsidRPr="00C903F8" w:rsidRDefault="005624E3" w:rsidP="00101A80">
            <w:pPr>
              <w:overflowPunct w:val="0"/>
              <w:adjustRightInd w:val="0"/>
              <w:ind w:right="57"/>
              <w:textAlignment w:val="baseline"/>
              <w:rPr>
                <w:rFonts w:cs="Arial"/>
                <w:sz w:val="16"/>
                <w:szCs w:val="16"/>
              </w:rPr>
            </w:pPr>
            <w:r>
              <w:rPr>
                <w:sz w:val="16"/>
              </w:rPr>
              <w:t>…………………………………………….</w:t>
            </w:r>
          </w:p>
        </w:tc>
        <w:tc>
          <w:tcPr>
            <w:tcW w:w="1260" w:type="dxa"/>
            <w:gridSpan w:val="6"/>
            <w:vAlign w:val="center"/>
          </w:tcPr>
          <w:p w:rsidR="005624E3" w:rsidRPr="00C903F8" w:rsidRDefault="005624E3" w:rsidP="00101A80">
            <w:pPr>
              <w:overflowPunct w:val="0"/>
              <w:adjustRightInd w:val="0"/>
              <w:ind w:right="57"/>
              <w:textAlignment w:val="baseline"/>
              <w:rPr>
                <w:rFonts w:cs="Arial"/>
                <w:sz w:val="16"/>
                <w:szCs w:val="16"/>
              </w:rPr>
            </w:pPr>
            <w:r>
              <w:rPr>
                <w:sz w:val="16"/>
              </w:rPr>
              <w:t>Beszerelés helye:</w:t>
            </w:r>
          </w:p>
        </w:tc>
        <w:tc>
          <w:tcPr>
            <w:tcW w:w="1866" w:type="dxa"/>
            <w:gridSpan w:val="7"/>
            <w:vAlign w:val="center"/>
          </w:tcPr>
          <w:p w:rsidR="005624E3" w:rsidRPr="00C903F8" w:rsidRDefault="005624E3" w:rsidP="00101A80">
            <w:pPr>
              <w:overflowPunct w:val="0"/>
              <w:adjustRightInd w:val="0"/>
              <w:ind w:right="57"/>
              <w:textAlignment w:val="baseline"/>
              <w:rPr>
                <w:rFonts w:cs="Arial"/>
                <w:sz w:val="16"/>
                <w:szCs w:val="16"/>
              </w:rPr>
            </w:pPr>
            <w:r>
              <w:rPr>
                <w:sz w:val="16"/>
              </w:rPr>
              <w:t>……………………...</w:t>
            </w:r>
          </w:p>
        </w:tc>
      </w:tr>
      <w:tr w:rsidR="005624E3" w:rsidRPr="00C903F8" w:rsidTr="00A74DAC">
        <w:tblPrEx>
          <w:jc w:val="center"/>
          <w:tblCellMar>
            <w:left w:w="28" w:type="dxa"/>
            <w:right w:w="28" w:type="dxa"/>
          </w:tblCellMar>
        </w:tblPrEx>
        <w:trPr>
          <w:gridBefore w:val="1"/>
          <w:cantSplit/>
          <w:jc w:val="center"/>
        </w:trPr>
        <w:tc>
          <w:tcPr>
            <w:tcW w:w="2835" w:type="dxa"/>
            <w:gridSpan w:val="8"/>
            <w:vAlign w:val="center"/>
          </w:tcPr>
          <w:p w:rsidR="005624E3" w:rsidRPr="00C903F8" w:rsidRDefault="005624E3" w:rsidP="00101A80">
            <w:pPr>
              <w:overflowPunct w:val="0"/>
              <w:adjustRightInd w:val="0"/>
              <w:ind w:right="57"/>
              <w:textAlignment w:val="baseline"/>
              <w:rPr>
                <w:rFonts w:cs="Arial"/>
                <w:szCs w:val="20"/>
              </w:rPr>
            </w:pPr>
          </w:p>
        </w:tc>
        <w:tc>
          <w:tcPr>
            <w:tcW w:w="6380" w:type="dxa"/>
            <w:gridSpan w:val="25"/>
            <w:tcBorders>
              <w:bottom w:val="nil"/>
            </w:tcBorders>
            <w:vAlign w:val="center"/>
          </w:tcPr>
          <w:p w:rsidR="005624E3" w:rsidRPr="00C903F8" w:rsidRDefault="005624E3" w:rsidP="00101A80">
            <w:pPr>
              <w:overflowPunct w:val="0"/>
              <w:adjustRightInd w:val="0"/>
              <w:ind w:right="57"/>
              <w:textAlignment w:val="baseline"/>
              <w:rPr>
                <w:rFonts w:cs="Arial"/>
                <w:sz w:val="12"/>
                <w:szCs w:val="12"/>
              </w:rPr>
            </w:pPr>
            <w:r>
              <w:rPr>
                <w:noProof/>
                <w:sz w:val="12"/>
              </w:rPr>
              <w:t>(Sorozatszám/egyedi azonosító szám)</w:t>
            </w:r>
          </w:p>
        </w:tc>
      </w:tr>
      <w:tr w:rsidR="005624E3" w:rsidRPr="00C903F8" w:rsidTr="00A74DAC">
        <w:tblPrEx>
          <w:jc w:val="center"/>
          <w:tblCellMar>
            <w:left w:w="28" w:type="dxa"/>
            <w:right w:w="28" w:type="dxa"/>
          </w:tblCellMar>
        </w:tblPrEx>
        <w:trPr>
          <w:gridBefore w:val="1"/>
          <w:cantSplit/>
          <w:trHeight w:hRule="exact" w:val="57"/>
          <w:jc w:val="center"/>
        </w:trPr>
        <w:tc>
          <w:tcPr>
            <w:tcW w:w="9215" w:type="dxa"/>
            <w:gridSpan w:val="33"/>
            <w:vAlign w:val="center"/>
          </w:tcPr>
          <w:p w:rsidR="005624E3" w:rsidRPr="00C903F8" w:rsidRDefault="005624E3" w:rsidP="00101A80">
            <w:pPr>
              <w:tabs>
                <w:tab w:val="center" w:pos="4819"/>
              </w:tabs>
              <w:overflowPunct w:val="0"/>
              <w:adjustRightInd w:val="0"/>
              <w:spacing w:before="60" w:after="60"/>
              <w:ind w:right="57"/>
              <w:textAlignment w:val="baseline"/>
              <w:rPr>
                <w:rFonts w:cs="Arial"/>
                <w:szCs w:val="20"/>
              </w:rPr>
            </w:pPr>
          </w:p>
        </w:tc>
      </w:tr>
      <w:tr w:rsidR="005624E3" w:rsidRPr="00A0619C" w:rsidTr="00A74DAC">
        <w:tblPrEx>
          <w:jc w:val="center"/>
          <w:tblCellMar>
            <w:left w:w="28" w:type="dxa"/>
            <w:right w:w="28" w:type="dxa"/>
          </w:tblCellMar>
        </w:tblPrEx>
        <w:trPr>
          <w:gridBefore w:val="1"/>
          <w:cantSplit/>
          <w:jc w:val="center"/>
        </w:trPr>
        <w:tc>
          <w:tcPr>
            <w:tcW w:w="9215" w:type="dxa"/>
            <w:gridSpan w:val="33"/>
            <w:vAlign w:val="center"/>
          </w:tcPr>
          <w:p w:rsidR="005624E3" w:rsidRPr="00C903F8" w:rsidRDefault="005624E3" w:rsidP="00101A80">
            <w:pPr>
              <w:overflowPunct w:val="0"/>
              <w:adjustRightInd w:val="0"/>
              <w:ind w:right="57"/>
              <w:textAlignment w:val="baseline"/>
              <w:rPr>
                <w:rFonts w:cs="Arial"/>
                <w:sz w:val="16"/>
                <w:szCs w:val="16"/>
              </w:rPr>
            </w:pPr>
            <w:r>
              <w:rPr>
                <w:sz w:val="16"/>
              </w:rPr>
              <w:t>A motor és a kipufogógázok kibocsátása szempontjából meghatározó motoralkatrészek azonosítása a motorra felvitt típustábla alapján megtörtént.</w:t>
            </w:r>
          </w:p>
          <w:p w:rsidR="005624E3" w:rsidRPr="00C903F8" w:rsidRDefault="005624E3" w:rsidP="00101A80">
            <w:pPr>
              <w:overflowPunct w:val="0"/>
              <w:adjustRightInd w:val="0"/>
              <w:ind w:right="57"/>
              <w:textAlignment w:val="baseline"/>
              <w:rPr>
                <w:rFonts w:cs="Arial"/>
                <w:sz w:val="16"/>
                <w:szCs w:val="16"/>
              </w:rPr>
            </w:pPr>
            <w:r>
              <w:rPr>
                <w:sz w:val="16"/>
              </w:rPr>
              <w:t>A vizsgálatot a gyártónak a kipufogógázok kibocsátása szempontjából meghatározó alkatrészek és motorparaméterek ellenőrzésére vonatkozó utasításai alapján végezték.</w:t>
            </w:r>
          </w:p>
        </w:tc>
      </w:tr>
      <w:tr w:rsidR="005624E3" w:rsidRPr="00A0619C" w:rsidTr="00A74DAC">
        <w:tblPrEx>
          <w:jc w:val="center"/>
          <w:tblCellMar>
            <w:left w:w="28" w:type="dxa"/>
            <w:right w:w="28" w:type="dxa"/>
          </w:tblCellMar>
        </w:tblPrEx>
        <w:trPr>
          <w:gridBefore w:val="1"/>
          <w:cantSplit/>
          <w:trHeight w:val="57"/>
          <w:jc w:val="center"/>
        </w:trPr>
        <w:tc>
          <w:tcPr>
            <w:tcW w:w="9215" w:type="dxa"/>
            <w:gridSpan w:val="33"/>
            <w:vAlign w:val="center"/>
          </w:tcPr>
          <w:p w:rsidR="005624E3" w:rsidRPr="00C903F8" w:rsidRDefault="005624E3" w:rsidP="00101A80">
            <w:pPr>
              <w:overflowPunct w:val="0"/>
              <w:adjustRightInd w:val="0"/>
              <w:spacing w:line="100" w:lineRule="exact"/>
              <w:ind w:right="57"/>
              <w:textAlignment w:val="baseline"/>
              <w:rPr>
                <w:rFonts w:cs="Arial"/>
                <w:sz w:val="12"/>
                <w:szCs w:val="12"/>
              </w:rPr>
            </w:pPr>
          </w:p>
        </w:tc>
      </w:tr>
      <w:tr w:rsidR="005624E3" w:rsidRPr="00A0619C" w:rsidTr="00A74DAC">
        <w:tblPrEx>
          <w:jc w:val="center"/>
        </w:tblPrEx>
        <w:trPr>
          <w:gridAfter w:val="1"/>
          <w:wAfter w:w="42" w:type="dxa"/>
          <w:cantSplit/>
          <w:jc w:val="center"/>
        </w:trPr>
        <w:tc>
          <w:tcPr>
            <w:tcW w:w="9215" w:type="dxa"/>
            <w:gridSpan w:val="33"/>
            <w:vAlign w:val="center"/>
          </w:tcPr>
          <w:p w:rsidR="005624E3" w:rsidRPr="00C903F8" w:rsidRDefault="005624E3" w:rsidP="00101A80">
            <w:pPr>
              <w:overflowPunct w:val="0"/>
              <w:adjustRightInd w:val="0"/>
              <w:ind w:left="286" w:hanging="286"/>
              <w:textAlignment w:val="baseline"/>
              <w:rPr>
                <w:rFonts w:cs="Arial"/>
                <w:b/>
                <w:sz w:val="18"/>
                <w:szCs w:val="18"/>
              </w:rPr>
            </w:pPr>
            <w:r>
              <w:rPr>
                <w:b/>
                <w:sz w:val="18"/>
              </w:rPr>
              <w:t>A)</w:t>
            </w:r>
            <w:r>
              <w:tab/>
            </w:r>
            <w:r>
              <w:rPr>
                <w:b/>
                <w:sz w:val="18"/>
              </w:rPr>
              <w:t>A. Az alkatrészek vizsgálata</w:t>
            </w:r>
          </w:p>
          <w:p w:rsidR="005624E3" w:rsidRPr="00C903F8" w:rsidRDefault="005624E3" w:rsidP="00101A80">
            <w:pPr>
              <w:overflowPunct w:val="0"/>
              <w:adjustRightInd w:val="0"/>
              <w:spacing w:after="80"/>
              <w:ind w:left="284" w:right="57"/>
              <w:textAlignment w:val="baseline"/>
              <w:rPr>
                <w:rFonts w:cs="Arial"/>
                <w:sz w:val="16"/>
                <w:szCs w:val="16"/>
              </w:rPr>
            </w:pPr>
            <w:r>
              <w:rPr>
                <w:sz w:val="16"/>
              </w:rPr>
              <w:t>A kipufogógázok kibocsátása szempontjából meghatározó további olyan alkatrészeket, amelyeket a gyártónak a kipufogógázok kibocsátása szempontjából meghatározó alkatrészek és motorparaméterek ellenőrzésére vonatkozó utasításai felsorolnak, szerepeltetni kell az alábbi táblázatban.</w:t>
            </w:r>
          </w:p>
        </w:tc>
      </w:tr>
      <w:tr w:rsidR="005624E3" w:rsidRPr="00C903F8" w:rsidTr="00A74DAC">
        <w:tblPrEx>
          <w:jc w:val="center"/>
        </w:tblPrEx>
        <w:trPr>
          <w:gridBefore w:val="1"/>
          <w:jc w:val="center"/>
        </w:trPr>
        <w:tc>
          <w:tcPr>
            <w:tcW w:w="426" w:type="dxa"/>
            <w:gridSpan w:val="2"/>
            <w:tcBorders>
              <w:right w:val="single" w:sz="4" w:space="0" w:color="auto"/>
            </w:tcBorders>
            <w:vAlign w:val="center"/>
          </w:tcPr>
          <w:p w:rsidR="005624E3" w:rsidRPr="00C903F8" w:rsidRDefault="005624E3" w:rsidP="00101A80">
            <w:pPr>
              <w:overflowPunct w:val="0"/>
              <w:adjustRightInd w:val="0"/>
              <w:spacing w:before="40" w:after="4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60" w:after="60"/>
              <w:jc w:val="center"/>
              <w:rPr>
                <w:noProof/>
                <w:sz w:val="16"/>
                <w:szCs w:val="18"/>
              </w:rPr>
            </w:pPr>
            <w:r>
              <w:rPr>
                <w:noProof/>
                <w:sz w:val="16"/>
              </w:rPr>
              <w:t>Alkatrész</w:t>
            </w:r>
          </w:p>
        </w:tc>
        <w:tc>
          <w:tcPr>
            <w:tcW w:w="2977" w:type="dxa"/>
            <w:gridSpan w:val="11"/>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60" w:after="60"/>
              <w:jc w:val="center"/>
              <w:rPr>
                <w:noProof/>
                <w:sz w:val="18"/>
                <w:szCs w:val="18"/>
              </w:rPr>
            </w:pPr>
            <w:r>
              <w:rPr>
                <w:noProof/>
                <w:sz w:val="16"/>
              </w:rPr>
              <w:t>Az érintett alkatrész mennyisége</w:t>
            </w:r>
          </w:p>
        </w:tc>
        <w:tc>
          <w:tcPr>
            <w:tcW w:w="3119" w:type="dxa"/>
            <w:gridSpan w:val="12"/>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spacing w:before="40" w:after="40"/>
              <w:ind w:right="57"/>
              <w:jc w:val="center"/>
              <w:textAlignment w:val="baseline"/>
              <w:rPr>
                <w:rFonts w:cs="Arial"/>
                <w:bCs/>
                <w:sz w:val="18"/>
                <w:szCs w:val="18"/>
              </w:rPr>
            </w:pPr>
            <w:r>
              <w:rPr>
                <w:noProof/>
                <w:sz w:val="16"/>
              </w:rPr>
              <w:t>Megfelelőség</w:t>
            </w:r>
            <w:r>
              <w:rPr>
                <w:noProof/>
                <w:sz w:val="18"/>
              </w:rPr>
              <w:t xml:space="preserve"> </w:t>
            </w:r>
            <w:r>
              <w:rPr>
                <w:sz w:val="18"/>
                <w:vertAlign w:val="superscript"/>
              </w:rPr>
              <w:t>1)</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cantSplit/>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textAlignment w:val="baseline"/>
              <w:rPr>
                <w:rFonts w:cs="Arial"/>
                <w:sz w:val="18"/>
                <w:szCs w:val="18"/>
              </w:rPr>
            </w:pPr>
          </w:p>
        </w:tc>
        <w:tc>
          <w:tcPr>
            <w:tcW w:w="2693" w:type="dxa"/>
            <w:gridSpan w:val="8"/>
            <w:tcBorders>
              <w:top w:val="nil"/>
              <w:left w:val="nil"/>
              <w:bottom w:val="single" w:sz="4" w:space="0" w:color="auto"/>
              <w:right w:val="single" w:sz="4" w:space="0" w:color="auto"/>
            </w:tcBorders>
            <w:vAlign w:val="center"/>
          </w:tcPr>
          <w:p w:rsidR="005624E3" w:rsidRPr="00C903F8" w:rsidRDefault="005624E3" w:rsidP="00101A80">
            <w:pPr>
              <w:spacing w:before="40" w:after="40"/>
              <w:rPr>
                <w:noProof/>
                <w:sz w:val="16"/>
              </w:rPr>
            </w:pPr>
            <w:r>
              <w:rPr>
                <w:noProof/>
                <w:sz w:val="16"/>
              </w:rPr>
              <w:t>Vezérműtengely/dugattyú</w:t>
            </w:r>
          </w:p>
        </w:tc>
        <w:tc>
          <w:tcPr>
            <w:tcW w:w="2977" w:type="dxa"/>
            <w:gridSpan w:val="11"/>
            <w:tcBorders>
              <w:top w:val="nil"/>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4"/>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Igen</w:t>
            </w:r>
          </w:p>
        </w:tc>
        <w:tc>
          <w:tcPr>
            <w:tcW w:w="1039" w:type="dxa"/>
            <w:gridSpan w:val="4"/>
            <w:tcBorders>
              <w:top w:val="single" w:sz="4" w:space="0" w:color="auto"/>
              <w:left w:val="nil"/>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5"/>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p>
        </w:tc>
        <w:tc>
          <w:tcPr>
            <w:tcW w:w="1041"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6"/>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N/A</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cantSplit/>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40" w:after="40"/>
              <w:rPr>
                <w:noProof/>
                <w:sz w:val="16"/>
              </w:rPr>
            </w:pPr>
            <w:r>
              <w:rPr>
                <w:noProof/>
                <w:sz w:val="16"/>
              </w:rPr>
              <w:t>Befecskendezőszelep</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7"/>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Igen</w:t>
            </w:r>
          </w:p>
        </w:tc>
        <w:tc>
          <w:tcPr>
            <w:tcW w:w="1039" w:type="dxa"/>
            <w:gridSpan w:val="4"/>
            <w:tcBorders>
              <w:top w:val="single" w:sz="4" w:space="0" w:color="auto"/>
              <w:left w:val="nil"/>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8"/>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p>
        </w:tc>
        <w:tc>
          <w:tcPr>
            <w:tcW w:w="1041"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9"/>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N/A</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cantSplit/>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40" w:after="40"/>
              <w:rPr>
                <w:noProof/>
                <w:sz w:val="16"/>
              </w:rPr>
            </w:pPr>
            <w:r>
              <w:rPr>
                <w:noProof/>
                <w:sz w:val="16"/>
              </w:rPr>
              <w:t>Adatállomány/szoftver száma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7"/>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Igen</w:t>
            </w:r>
          </w:p>
        </w:tc>
        <w:tc>
          <w:tcPr>
            <w:tcW w:w="1039" w:type="dxa"/>
            <w:gridSpan w:val="4"/>
            <w:tcBorders>
              <w:top w:val="single" w:sz="4" w:space="0" w:color="auto"/>
              <w:left w:val="nil"/>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8"/>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p>
        </w:tc>
        <w:tc>
          <w:tcPr>
            <w:tcW w:w="1041"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9"/>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N/A </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cantSplit/>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40" w:after="40"/>
              <w:rPr>
                <w:noProof/>
                <w:sz w:val="16"/>
              </w:rPr>
            </w:pPr>
            <w:r>
              <w:rPr>
                <w:noProof/>
                <w:sz w:val="16"/>
              </w:rPr>
              <w:t>Befecskendezőszivattyú</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7"/>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Igen</w:t>
            </w:r>
          </w:p>
        </w:tc>
        <w:tc>
          <w:tcPr>
            <w:tcW w:w="1039" w:type="dxa"/>
            <w:gridSpan w:val="4"/>
            <w:tcBorders>
              <w:top w:val="single" w:sz="4" w:space="0" w:color="auto"/>
              <w:left w:val="nil"/>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8"/>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p>
        </w:tc>
        <w:tc>
          <w:tcPr>
            <w:tcW w:w="1041"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9"/>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N/A</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cantSplit/>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40" w:after="40"/>
              <w:rPr>
                <w:noProof/>
                <w:sz w:val="16"/>
              </w:rPr>
            </w:pPr>
            <w:r>
              <w:rPr>
                <w:noProof/>
                <w:sz w:val="16"/>
              </w:rPr>
              <w:t>Hengerfej</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13"/>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Igen</w:t>
            </w:r>
          </w:p>
        </w:tc>
        <w:tc>
          <w:tcPr>
            <w:tcW w:w="1039" w:type="dxa"/>
            <w:gridSpan w:val="4"/>
            <w:tcBorders>
              <w:top w:val="single" w:sz="4" w:space="0" w:color="auto"/>
              <w:left w:val="nil"/>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14"/>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p>
        </w:tc>
        <w:tc>
          <w:tcPr>
            <w:tcW w:w="1041"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15"/>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N/A</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40" w:after="40"/>
              <w:rPr>
                <w:noProof/>
                <w:sz w:val="16"/>
              </w:rPr>
            </w:pPr>
            <w:r>
              <w:rPr>
                <w:noProof/>
                <w:sz w:val="16"/>
              </w:rPr>
              <w:t>Kipufogógázzal hajtott turbófeltöltő</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7"/>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Igen</w:t>
            </w:r>
          </w:p>
        </w:tc>
        <w:tc>
          <w:tcPr>
            <w:tcW w:w="1039" w:type="dxa"/>
            <w:gridSpan w:val="4"/>
            <w:tcBorders>
              <w:top w:val="single" w:sz="4" w:space="0" w:color="auto"/>
              <w:left w:val="nil"/>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8"/>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p>
        </w:tc>
        <w:tc>
          <w:tcPr>
            <w:tcW w:w="1041"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9"/>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N/A</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cantSplit/>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40" w:after="40"/>
              <w:rPr>
                <w:noProof/>
                <w:sz w:val="16"/>
              </w:rPr>
            </w:pPr>
            <w:r>
              <w:rPr>
                <w:noProof/>
                <w:sz w:val="16"/>
              </w:rPr>
              <w:t>Feltöltőlevegő-hűtő</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16"/>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Igen</w:t>
            </w:r>
          </w:p>
        </w:tc>
        <w:tc>
          <w:tcPr>
            <w:tcW w:w="1039" w:type="dxa"/>
            <w:gridSpan w:val="4"/>
            <w:tcBorders>
              <w:top w:val="single" w:sz="4" w:space="0" w:color="auto"/>
              <w:left w:val="nil"/>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17"/>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p>
        </w:tc>
        <w:tc>
          <w:tcPr>
            <w:tcW w:w="1041"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18"/>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N/A</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textAlignment w:val="baseline"/>
              <w:rPr>
                <w:rFonts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8"/>
                <w:szCs w:val="18"/>
              </w:rPr>
            </w:pPr>
          </w:p>
        </w:tc>
        <w:bookmarkStart w:id="675" w:name="Kontrollkästchen19"/>
        <w:tc>
          <w:tcPr>
            <w:tcW w:w="1039" w:type="dxa"/>
            <w:gridSpan w:val="4"/>
            <w:tcBorders>
              <w:top w:val="single" w:sz="4" w:space="0" w:color="auto"/>
              <w:left w:val="single" w:sz="4" w:space="0" w:color="auto"/>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19"/>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w:t>
            </w:r>
            <w:bookmarkEnd w:id="675"/>
            <w:r>
              <w:rPr>
                <w:sz w:val="16"/>
              </w:rPr>
              <w:t>Igen</w:t>
            </w:r>
          </w:p>
        </w:tc>
        <w:bookmarkStart w:id="676" w:name="Kontrollkästchen20"/>
        <w:tc>
          <w:tcPr>
            <w:tcW w:w="1039" w:type="dxa"/>
            <w:gridSpan w:val="4"/>
            <w:tcBorders>
              <w:top w:val="single" w:sz="4" w:space="0" w:color="auto"/>
              <w:left w:val="nil"/>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20"/>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bookmarkEnd w:id="676"/>
          </w:p>
        </w:tc>
        <w:bookmarkStart w:id="677" w:name="Kontrollkästchen21"/>
        <w:tc>
          <w:tcPr>
            <w:tcW w:w="1041"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21"/>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w:t>
            </w:r>
            <w:bookmarkEnd w:id="677"/>
            <w:r>
              <w:rPr>
                <w:sz w:val="16"/>
              </w:rPr>
              <w:t>N/A</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textAlignment w:val="baseline"/>
              <w:rPr>
                <w:rFonts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19"/>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Igen</w:t>
            </w:r>
          </w:p>
        </w:tc>
        <w:tc>
          <w:tcPr>
            <w:tcW w:w="1039" w:type="dxa"/>
            <w:gridSpan w:val="4"/>
            <w:tcBorders>
              <w:top w:val="single" w:sz="4" w:space="0" w:color="auto"/>
              <w:left w:val="nil"/>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20"/>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p>
        </w:tc>
        <w:tc>
          <w:tcPr>
            <w:tcW w:w="1041"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21"/>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N/A</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textAlignment w:val="baseline"/>
              <w:rPr>
                <w:rFonts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19"/>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Igen</w:t>
            </w:r>
          </w:p>
        </w:tc>
        <w:tc>
          <w:tcPr>
            <w:tcW w:w="1039" w:type="dxa"/>
            <w:gridSpan w:val="4"/>
            <w:tcBorders>
              <w:top w:val="single" w:sz="4" w:space="0" w:color="auto"/>
              <w:left w:val="nil"/>
              <w:bottom w:val="single" w:sz="4" w:space="0" w:color="auto"/>
              <w:right w:val="nil"/>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20"/>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p>
        </w:tc>
        <w:tc>
          <w:tcPr>
            <w:tcW w:w="1041"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21"/>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N/A</w:t>
            </w:r>
          </w:p>
        </w:tc>
      </w:tr>
      <w:tr w:rsidR="005624E3" w:rsidRPr="00C903F8" w:rsidTr="00A74DAC">
        <w:tblPrEx>
          <w:jc w:val="center"/>
        </w:tblPrEx>
        <w:trPr>
          <w:gridBefore w:val="1"/>
          <w:cantSplit/>
          <w:trHeight w:hRule="exact" w:val="160"/>
          <w:jc w:val="center"/>
        </w:trPr>
        <w:tc>
          <w:tcPr>
            <w:tcW w:w="9215" w:type="dxa"/>
            <w:gridSpan w:val="33"/>
            <w:vAlign w:val="center"/>
          </w:tcPr>
          <w:p w:rsidR="005624E3" w:rsidRPr="00C903F8" w:rsidRDefault="005624E3" w:rsidP="00101A80">
            <w:pPr>
              <w:overflowPunct w:val="0"/>
              <w:adjustRightInd w:val="0"/>
              <w:ind w:right="57"/>
              <w:textAlignment w:val="baseline"/>
              <w:rPr>
                <w:rFonts w:cs="Arial"/>
                <w:sz w:val="18"/>
                <w:szCs w:val="18"/>
              </w:rPr>
            </w:pPr>
          </w:p>
        </w:tc>
      </w:tr>
      <w:tr w:rsidR="005624E3" w:rsidRPr="00A0619C" w:rsidTr="00A74DAC">
        <w:tblPrEx>
          <w:jc w:val="center"/>
        </w:tblPrEx>
        <w:trPr>
          <w:gridBefore w:val="1"/>
          <w:cantSplit/>
          <w:jc w:val="center"/>
        </w:trPr>
        <w:tc>
          <w:tcPr>
            <w:tcW w:w="9215" w:type="dxa"/>
            <w:gridSpan w:val="33"/>
            <w:vAlign w:val="center"/>
          </w:tcPr>
          <w:p w:rsidR="005624E3" w:rsidRPr="00C903F8" w:rsidRDefault="005624E3" w:rsidP="00101A80">
            <w:pPr>
              <w:overflowPunct w:val="0"/>
              <w:adjustRightInd w:val="0"/>
              <w:ind w:left="286" w:hanging="286"/>
              <w:textAlignment w:val="baseline"/>
              <w:rPr>
                <w:rFonts w:cs="Arial"/>
                <w:b/>
                <w:sz w:val="18"/>
                <w:szCs w:val="18"/>
              </w:rPr>
            </w:pPr>
            <w:r>
              <w:rPr>
                <w:b/>
                <w:sz w:val="18"/>
              </w:rPr>
              <w:t>B)</w:t>
            </w:r>
            <w:r>
              <w:tab/>
            </w:r>
            <w:r>
              <w:rPr>
                <w:b/>
                <w:sz w:val="18"/>
              </w:rPr>
              <w:t>A szabályozható jellemzők és motorparaméterek ellenőrzése szemrevételezéssel</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cantSplit/>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spacing w:before="20" w:after="20"/>
              <w:ind w:right="57"/>
              <w:jc w:val="center"/>
              <w:textAlignment w:val="baseline"/>
              <w:rPr>
                <w:rFonts w:cs="Arial"/>
                <w:sz w:val="16"/>
                <w:szCs w:val="18"/>
              </w:rPr>
            </w:pPr>
          </w:p>
        </w:tc>
        <w:tc>
          <w:tcPr>
            <w:tcW w:w="3543" w:type="dxa"/>
            <w:gridSpan w:val="11"/>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spacing w:before="20" w:after="20"/>
              <w:ind w:right="57"/>
              <w:jc w:val="center"/>
              <w:textAlignment w:val="baseline"/>
              <w:rPr>
                <w:rFonts w:cs="Arial"/>
                <w:bCs/>
                <w:sz w:val="16"/>
                <w:szCs w:val="18"/>
              </w:rPr>
            </w:pPr>
            <w:r>
              <w:rPr>
                <w:sz w:val="16"/>
              </w:rPr>
              <w:t>Paraméter</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spacing w:before="20" w:after="20"/>
              <w:ind w:right="57"/>
              <w:jc w:val="center"/>
              <w:textAlignment w:val="baseline"/>
              <w:rPr>
                <w:rFonts w:cs="Arial"/>
                <w:bCs/>
                <w:sz w:val="16"/>
                <w:szCs w:val="18"/>
              </w:rPr>
            </w:pPr>
            <w:r>
              <w:rPr>
                <w:noProof/>
                <w:sz w:val="16"/>
              </w:rPr>
              <w:t>Rögzített érték</w:t>
            </w:r>
          </w:p>
        </w:tc>
        <w:tc>
          <w:tcPr>
            <w:tcW w:w="2127" w:type="dxa"/>
            <w:gridSpan w:val="9"/>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spacing w:before="20" w:after="20"/>
              <w:ind w:right="57"/>
              <w:jc w:val="center"/>
              <w:textAlignment w:val="baseline"/>
              <w:rPr>
                <w:rFonts w:cs="Arial"/>
                <w:bCs/>
                <w:sz w:val="16"/>
                <w:szCs w:val="18"/>
              </w:rPr>
            </w:pPr>
            <w:r>
              <w:rPr>
                <w:sz w:val="16"/>
              </w:rPr>
              <w:t>Megfelelőség</w:t>
            </w:r>
            <w:r>
              <w:rPr>
                <w:sz w:val="16"/>
                <w:vertAlign w:val="superscript"/>
              </w:rPr>
              <w:t>1)</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cantSplit/>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spacing w:before="20" w:after="20"/>
              <w:ind w:right="57"/>
              <w:jc w:val="center"/>
              <w:textAlignment w:val="baseline"/>
              <w:rPr>
                <w:rFonts w:cs="Arial"/>
                <w:sz w:val="16"/>
                <w:szCs w:val="16"/>
              </w:rPr>
            </w:pPr>
          </w:p>
        </w:tc>
        <w:tc>
          <w:tcPr>
            <w:tcW w:w="3543" w:type="dxa"/>
            <w:gridSpan w:val="11"/>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spacing w:before="20" w:after="20"/>
              <w:ind w:right="57"/>
              <w:jc w:val="center"/>
              <w:textAlignment w:val="baseline"/>
              <w:rPr>
                <w:rFonts w:cs="Arial"/>
                <w:sz w:val="16"/>
                <w:szCs w:val="16"/>
              </w:rPr>
            </w:pPr>
            <w:r>
              <w:rPr>
                <w:sz w:val="16"/>
              </w:rPr>
              <w:t>Befecskendezési idő, befecskendezési időtartam</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spacing w:before="20" w:after="20"/>
              <w:ind w:right="57"/>
              <w:jc w:val="center"/>
              <w:textAlignment w:val="baseline"/>
              <w:rPr>
                <w:rFonts w:cs="Arial"/>
                <w:sz w:val="16"/>
                <w:szCs w:val="16"/>
              </w:rPr>
            </w:pP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spacing w:before="20" w:after="20"/>
              <w:ind w:right="57"/>
              <w:jc w:val="center"/>
              <w:textAlignment w:val="baseline"/>
              <w:rPr>
                <w:rFonts w:cs="Arial"/>
                <w:sz w:val="16"/>
                <w:szCs w:val="16"/>
              </w:rPr>
            </w:pPr>
            <w:r>
              <w:rPr>
                <w:rFonts w:cs="Arial"/>
                <w:sz w:val="16"/>
                <w:szCs w:val="16"/>
              </w:rPr>
              <w:fldChar w:fldCharType="begin">
                <w:ffData>
                  <w:name w:val=""/>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Igen</w:t>
            </w:r>
          </w:p>
        </w:tc>
        <w:tc>
          <w:tcPr>
            <w:tcW w:w="1064" w:type="dxa"/>
            <w:gridSpan w:val="5"/>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spacing w:before="20" w:after="20"/>
              <w:ind w:right="57"/>
              <w:jc w:val="center"/>
              <w:textAlignment w:val="baseline"/>
              <w:rPr>
                <w:rFonts w:cs="Arial"/>
                <w:sz w:val="16"/>
                <w:szCs w:val="16"/>
              </w:rPr>
            </w:pPr>
            <w:r>
              <w:rPr>
                <w:rFonts w:cs="Arial"/>
                <w:sz w:val="16"/>
                <w:szCs w:val="16"/>
              </w:rPr>
              <w:fldChar w:fldCharType="begin">
                <w:ffData>
                  <w:name w:val="Kontrollkästchen20"/>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r>
              <w:rPr>
                <w:sz w:val="16"/>
              </w:rPr>
              <w:t xml:space="preserve"> Nem</w:t>
            </w:r>
          </w:p>
        </w:tc>
      </w:tr>
      <w:tr w:rsidR="005624E3" w:rsidRPr="00C903F8"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cantSplit/>
          <w:trHeight w:hRule="exact" w:val="160"/>
          <w:jc w:val="center"/>
        </w:trPr>
        <w:tc>
          <w:tcPr>
            <w:tcW w:w="9215" w:type="dxa"/>
            <w:gridSpan w:val="33"/>
            <w:tcBorders>
              <w:top w:val="nil"/>
              <w:left w:val="nil"/>
              <w:bottom w:val="nil"/>
              <w:right w:val="nil"/>
            </w:tcBorders>
            <w:vAlign w:val="center"/>
          </w:tcPr>
          <w:p w:rsidR="005624E3" w:rsidRPr="00C903F8" w:rsidRDefault="005624E3" w:rsidP="00101A80">
            <w:pPr>
              <w:overflowPunct w:val="0"/>
              <w:adjustRightInd w:val="0"/>
              <w:ind w:right="57"/>
              <w:textAlignment w:val="baseline"/>
              <w:rPr>
                <w:rFonts w:cs="Arial"/>
                <w:sz w:val="18"/>
                <w:szCs w:val="18"/>
              </w:rPr>
            </w:pPr>
          </w:p>
        </w:tc>
      </w:tr>
      <w:tr w:rsidR="005624E3" w:rsidRPr="00A0619C"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cantSplit/>
          <w:jc w:val="center"/>
        </w:trPr>
        <w:tc>
          <w:tcPr>
            <w:tcW w:w="9215" w:type="dxa"/>
            <w:gridSpan w:val="33"/>
            <w:tcBorders>
              <w:top w:val="nil"/>
              <w:left w:val="nil"/>
              <w:bottom w:val="nil"/>
              <w:right w:val="nil"/>
            </w:tcBorders>
            <w:vAlign w:val="center"/>
          </w:tcPr>
          <w:p w:rsidR="005624E3" w:rsidRPr="00C903F8" w:rsidRDefault="005624E3" w:rsidP="00101A80">
            <w:pPr>
              <w:spacing w:before="40" w:after="40"/>
              <w:ind w:left="286" w:right="57" w:hanging="286"/>
              <w:outlineLvl w:val="4"/>
              <w:rPr>
                <w:rFonts w:cs="Arial"/>
                <w:b/>
                <w:bCs/>
                <w:snapToGrid w:val="0"/>
                <w:sz w:val="18"/>
                <w:szCs w:val="18"/>
              </w:rPr>
            </w:pPr>
            <w:r>
              <w:rPr>
                <w:b/>
                <w:snapToGrid w:val="0"/>
                <w:sz w:val="18"/>
              </w:rPr>
              <w:t>C)</w:t>
            </w:r>
            <w:r>
              <w:tab/>
            </w:r>
            <w:r>
              <w:rPr>
                <w:b/>
                <w:snapToGrid w:val="0"/>
                <w:sz w:val="18"/>
              </w:rPr>
              <w:t>A légbeszívó és a kipufogórendszer ellenőrzése</w:t>
            </w:r>
          </w:p>
        </w:tc>
      </w:tr>
      <w:tr w:rsidR="005624E3" w:rsidRPr="00A0619C"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jc w:val="center"/>
              <w:textAlignment w:val="baseline"/>
              <w:rPr>
                <w:rFonts w:cs="Arial"/>
                <w:sz w:val="18"/>
                <w:szCs w:val="18"/>
              </w:rPr>
            </w:pPr>
          </w:p>
        </w:tc>
        <w:tc>
          <w:tcPr>
            <w:tcW w:w="567" w:type="dxa"/>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25"/>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p>
        </w:tc>
        <w:tc>
          <w:tcPr>
            <w:tcW w:w="8222" w:type="dxa"/>
            <w:gridSpan w:val="30"/>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overflowPunct w:val="0"/>
              <w:adjustRightInd w:val="0"/>
              <w:ind w:right="113"/>
              <w:textAlignment w:val="baseline"/>
              <w:rPr>
                <w:rFonts w:cs="Arial"/>
                <w:sz w:val="16"/>
                <w:szCs w:val="16"/>
              </w:rPr>
            </w:pPr>
            <w:r>
              <w:rPr>
                <w:sz w:val="16"/>
              </w:rPr>
              <w:t>Az engedélyezett értékeknek való megfelelés mérés útján történő ellenőrzése megtörtént.</w:t>
            </w:r>
          </w:p>
          <w:p w:rsidR="005624E3" w:rsidRPr="00C903F8" w:rsidRDefault="005624E3" w:rsidP="00101A80">
            <w:pPr>
              <w:overflowPunct w:val="0"/>
              <w:adjustRightInd w:val="0"/>
              <w:ind w:right="113"/>
              <w:textAlignment w:val="baseline"/>
              <w:rPr>
                <w:rFonts w:cs="Arial"/>
                <w:sz w:val="16"/>
                <w:szCs w:val="16"/>
              </w:rPr>
            </w:pPr>
            <w:r>
              <w:rPr>
                <w:sz w:val="16"/>
              </w:rPr>
              <w:t>Szívóoldali vákuum:</w:t>
            </w:r>
            <w:r>
              <w:tab/>
            </w:r>
            <w:r>
              <w:rPr>
                <w:sz w:val="16"/>
              </w:rPr>
              <w:t>……….. kPa a névleges fordulatszámon és teljes terhelés mellett</w:t>
            </w:r>
          </w:p>
          <w:p w:rsidR="005624E3" w:rsidRPr="00C903F8" w:rsidRDefault="005624E3" w:rsidP="00101A80">
            <w:pPr>
              <w:ind w:right="57"/>
              <w:rPr>
                <w:rFonts w:cs="Arial"/>
                <w:snapToGrid w:val="0"/>
                <w:sz w:val="16"/>
                <w:szCs w:val="16"/>
              </w:rPr>
            </w:pPr>
            <w:r>
              <w:rPr>
                <w:snapToGrid w:val="0"/>
                <w:sz w:val="16"/>
              </w:rPr>
              <w:t>Kipufogógáz-ellennyomás:</w:t>
            </w:r>
            <w:r>
              <w:tab/>
            </w:r>
            <w:r>
              <w:rPr>
                <w:snapToGrid w:val="0"/>
                <w:sz w:val="16"/>
              </w:rPr>
              <w:t xml:space="preserve"> ……….. kPa a névleges fordulatszámon és teljes terhelés mellett</w:t>
            </w:r>
          </w:p>
        </w:tc>
      </w:tr>
      <w:tr w:rsidR="005624E3" w:rsidRPr="00A0619C" w:rsidTr="00A74DA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jc w:val="center"/>
        </w:trPr>
        <w:tc>
          <w:tcPr>
            <w:tcW w:w="426" w:type="dxa"/>
            <w:gridSpan w:val="2"/>
            <w:tcBorders>
              <w:top w:val="nil"/>
              <w:left w:val="nil"/>
              <w:bottom w:val="nil"/>
              <w:right w:val="single" w:sz="4" w:space="0" w:color="auto"/>
            </w:tcBorders>
          </w:tcPr>
          <w:p w:rsidR="005624E3" w:rsidRPr="00C903F8" w:rsidRDefault="005624E3" w:rsidP="00101A80">
            <w:pPr>
              <w:overflowPunct w:val="0"/>
              <w:adjustRightInd w:val="0"/>
              <w:ind w:right="57"/>
              <w:jc w:val="center"/>
              <w:textAlignment w:val="baseline"/>
              <w:rPr>
                <w:rFonts w:cs="Arial"/>
                <w:sz w:val="16"/>
                <w:szCs w:val="16"/>
              </w:rPr>
            </w:pPr>
          </w:p>
        </w:tc>
        <w:tc>
          <w:tcPr>
            <w:tcW w:w="567" w:type="dxa"/>
            <w:tcBorders>
              <w:top w:val="single" w:sz="4" w:space="0" w:color="auto"/>
              <w:left w:val="nil"/>
              <w:bottom w:val="single" w:sz="4" w:space="0" w:color="auto"/>
              <w:right w:val="single" w:sz="4" w:space="0" w:color="auto"/>
            </w:tcBorders>
            <w:vAlign w:val="center"/>
          </w:tcPr>
          <w:p w:rsidR="005624E3" w:rsidRPr="00C903F8" w:rsidRDefault="005624E3" w:rsidP="00101A80">
            <w:pPr>
              <w:overflowPunct w:val="0"/>
              <w:adjustRightInd w:val="0"/>
              <w:ind w:right="57"/>
              <w:jc w:val="center"/>
              <w:textAlignment w:val="baseline"/>
              <w:rPr>
                <w:rFonts w:cs="Arial"/>
                <w:sz w:val="16"/>
                <w:szCs w:val="16"/>
              </w:rPr>
            </w:pPr>
            <w:r>
              <w:rPr>
                <w:rFonts w:cs="Arial"/>
                <w:sz w:val="16"/>
                <w:szCs w:val="16"/>
              </w:rPr>
              <w:fldChar w:fldCharType="begin">
                <w:ffData>
                  <w:name w:val="Kontrollkästchen25"/>
                  <w:enabled/>
                  <w:calcOnExit w:val="0"/>
                  <w:checkBox>
                    <w:sizeAuto/>
                    <w:default w:val="0"/>
                  </w:checkBox>
                </w:ffData>
              </w:fldChar>
            </w:r>
            <w:r>
              <w:rPr>
                <w:rFonts w:cs="Arial"/>
                <w:sz w:val="16"/>
                <w:szCs w:val="16"/>
              </w:rPr>
              <w:instrText xml:space="preserve"> FORMCHECKBOX _</w:instrText>
            </w:r>
            <w:r w:rsidR="003142CA">
              <w:rPr>
                <w:rFonts w:cs="Arial"/>
                <w:sz w:val="16"/>
                <w:szCs w:val="16"/>
              </w:rPr>
            </w:r>
            <w:r w:rsidR="003142CA">
              <w:rPr>
                <w:rFonts w:cs="Arial"/>
                <w:sz w:val="16"/>
                <w:szCs w:val="16"/>
              </w:rPr>
              <w:fldChar w:fldCharType="separate"/>
            </w:r>
            <w:r>
              <w:rPr>
                <w:rFonts w:cs="Arial"/>
                <w:sz w:val="16"/>
                <w:szCs w:val="16"/>
              </w:rPr>
              <w:fldChar w:fldCharType="end"/>
            </w:r>
          </w:p>
        </w:tc>
        <w:tc>
          <w:tcPr>
            <w:tcW w:w="8222" w:type="dxa"/>
            <w:gridSpan w:val="30"/>
            <w:tcBorders>
              <w:top w:val="single" w:sz="4" w:space="0" w:color="auto"/>
              <w:left w:val="single" w:sz="4" w:space="0" w:color="auto"/>
              <w:bottom w:val="single" w:sz="4" w:space="0" w:color="auto"/>
              <w:right w:val="single" w:sz="4" w:space="0" w:color="auto"/>
            </w:tcBorders>
            <w:vAlign w:val="center"/>
          </w:tcPr>
          <w:p w:rsidR="005624E3" w:rsidRPr="00C903F8" w:rsidRDefault="005624E3" w:rsidP="00101A80">
            <w:pPr>
              <w:ind w:right="57"/>
              <w:rPr>
                <w:rFonts w:cs="Arial"/>
                <w:snapToGrid w:val="0"/>
                <w:sz w:val="16"/>
                <w:szCs w:val="16"/>
              </w:rPr>
            </w:pPr>
            <w:bookmarkStart w:id="678" w:name="Kontrollkästchen25"/>
            <w:r>
              <w:rPr>
                <w:snapToGrid w:val="0"/>
                <w:sz w:val="16"/>
              </w:rPr>
              <w:t>A légbeszívás és a kipufogógáz-elvezetés rendszereinek szemrevételezéssel történő ellenőrzése megtörtént. Az engedélyezett értékeknek való meg nem felelésre utaló rendellenesség nem állapítható meg.</w:t>
            </w:r>
            <w:bookmarkEnd w:id="678"/>
          </w:p>
        </w:tc>
      </w:tr>
      <w:tr w:rsidR="005624E3" w:rsidRPr="00A0619C" w:rsidTr="00A74DAC">
        <w:tblPrEx>
          <w:jc w:val="center"/>
        </w:tblPrEx>
        <w:trPr>
          <w:gridBefore w:val="1"/>
          <w:cantSplit/>
          <w:trHeight w:hRule="exact" w:val="57"/>
          <w:jc w:val="center"/>
        </w:trPr>
        <w:tc>
          <w:tcPr>
            <w:tcW w:w="9215" w:type="dxa"/>
            <w:gridSpan w:val="33"/>
            <w:vAlign w:val="center"/>
          </w:tcPr>
          <w:p w:rsidR="005624E3" w:rsidRPr="00C903F8" w:rsidRDefault="005624E3" w:rsidP="00101A80">
            <w:pPr>
              <w:overflowPunct w:val="0"/>
              <w:adjustRightInd w:val="0"/>
              <w:ind w:right="57"/>
              <w:textAlignment w:val="baseline"/>
              <w:rPr>
                <w:rFonts w:cs="Arial"/>
                <w:b/>
                <w:bCs/>
                <w:sz w:val="16"/>
                <w:szCs w:val="16"/>
              </w:rPr>
            </w:pPr>
          </w:p>
        </w:tc>
      </w:tr>
      <w:tr w:rsidR="005624E3" w:rsidRPr="00C903F8" w:rsidTr="00A74DAC">
        <w:tblPrEx>
          <w:jc w:val="center"/>
        </w:tblPrEx>
        <w:trPr>
          <w:gridBefore w:val="1"/>
          <w:cantSplit/>
          <w:jc w:val="center"/>
        </w:trPr>
        <w:tc>
          <w:tcPr>
            <w:tcW w:w="1985" w:type="dxa"/>
            <w:gridSpan w:val="6"/>
            <w:vAlign w:val="center"/>
          </w:tcPr>
          <w:p w:rsidR="005624E3" w:rsidRPr="00C903F8" w:rsidRDefault="005624E3" w:rsidP="00101A80">
            <w:pPr>
              <w:overflowPunct w:val="0"/>
              <w:adjustRightInd w:val="0"/>
              <w:ind w:left="286" w:right="57" w:hanging="286"/>
              <w:textAlignment w:val="baseline"/>
              <w:rPr>
                <w:rFonts w:cs="Arial"/>
                <w:sz w:val="18"/>
                <w:szCs w:val="18"/>
              </w:rPr>
            </w:pPr>
            <w:bookmarkStart w:id="679" w:name="Text28"/>
            <w:r>
              <w:rPr>
                <w:b/>
                <w:sz w:val="18"/>
              </w:rPr>
              <w:t>D)</w:t>
            </w:r>
            <w:r>
              <w:tab/>
            </w:r>
            <w:r>
              <w:rPr>
                <w:b/>
                <w:sz w:val="18"/>
              </w:rPr>
              <w:t>Megjegyzések:</w:t>
            </w:r>
            <w:bookmarkEnd w:id="679"/>
          </w:p>
        </w:tc>
        <w:tc>
          <w:tcPr>
            <w:tcW w:w="7230" w:type="dxa"/>
            <w:gridSpan w:val="27"/>
            <w:tcBorders>
              <w:bottom w:val="dashed" w:sz="4" w:space="0" w:color="auto"/>
            </w:tcBorders>
            <w:vAlign w:val="center"/>
          </w:tcPr>
          <w:p w:rsidR="005624E3" w:rsidRPr="00C903F8" w:rsidRDefault="005624E3" w:rsidP="00101A80">
            <w:pPr>
              <w:overflowPunct w:val="0"/>
              <w:adjustRightInd w:val="0"/>
              <w:ind w:right="57"/>
              <w:textAlignment w:val="baseline"/>
              <w:rPr>
                <w:rFonts w:cs="Arial"/>
                <w:sz w:val="18"/>
                <w:szCs w:val="18"/>
              </w:rPr>
            </w:pPr>
          </w:p>
        </w:tc>
      </w:tr>
      <w:tr w:rsidR="005624E3" w:rsidRPr="00A0619C" w:rsidTr="00A74DAC">
        <w:tblPrEx>
          <w:jc w:val="center"/>
        </w:tblPrEx>
        <w:trPr>
          <w:gridBefore w:val="1"/>
          <w:cantSplit/>
          <w:jc w:val="center"/>
        </w:trPr>
        <w:tc>
          <w:tcPr>
            <w:tcW w:w="1985" w:type="dxa"/>
            <w:gridSpan w:val="6"/>
            <w:vAlign w:val="center"/>
          </w:tcPr>
          <w:p w:rsidR="005624E3" w:rsidRPr="00C903F8" w:rsidRDefault="005624E3" w:rsidP="00101A80">
            <w:pPr>
              <w:overflowPunct w:val="0"/>
              <w:adjustRightInd w:val="0"/>
              <w:ind w:right="57"/>
              <w:textAlignment w:val="baseline"/>
              <w:rPr>
                <w:rFonts w:cs="Arial"/>
                <w:b/>
                <w:bCs/>
                <w:szCs w:val="20"/>
              </w:rPr>
            </w:pPr>
          </w:p>
        </w:tc>
        <w:tc>
          <w:tcPr>
            <w:tcW w:w="7230" w:type="dxa"/>
            <w:gridSpan w:val="27"/>
            <w:tcBorders>
              <w:top w:val="dashed" w:sz="4" w:space="0" w:color="auto"/>
              <w:bottom w:val="nil"/>
            </w:tcBorders>
            <w:vAlign w:val="center"/>
          </w:tcPr>
          <w:p w:rsidR="005624E3" w:rsidRPr="00C903F8" w:rsidRDefault="005624E3" w:rsidP="00101A80">
            <w:pPr>
              <w:overflowPunct w:val="0"/>
              <w:adjustRightInd w:val="0"/>
              <w:ind w:right="57"/>
              <w:textAlignment w:val="baseline"/>
              <w:rPr>
                <w:rFonts w:cs="Arial"/>
                <w:sz w:val="12"/>
                <w:szCs w:val="12"/>
              </w:rPr>
            </w:pPr>
            <w:r>
              <w:rPr>
                <w:noProof/>
                <w:sz w:val="12"/>
              </w:rPr>
              <w:t>(A következő eltérő beállítások, módosítások vagy átalakítások észlelhetők a beépített motoron.)</w:t>
            </w:r>
          </w:p>
        </w:tc>
      </w:tr>
      <w:tr w:rsidR="005624E3" w:rsidRPr="00A0619C" w:rsidTr="00A74DAC">
        <w:tblPrEx>
          <w:jc w:val="center"/>
        </w:tblPrEx>
        <w:trPr>
          <w:gridBefore w:val="1"/>
          <w:cantSplit/>
          <w:jc w:val="center"/>
        </w:trPr>
        <w:tc>
          <w:tcPr>
            <w:tcW w:w="1985" w:type="dxa"/>
            <w:gridSpan w:val="6"/>
            <w:vAlign w:val="center"/>
          </w:tcPr>
          <w:p w:rsidR="005624E3" w:rsidRPr="00C903F8" w:rsidRDefault="005624E3" w:rsidP="00101A80">
            <w:pPr>
              <w:overflowPunct w:val="0"/>
              <w:adjustRightInd w:val="0"/>
              <w:ind w:right="57"/>
              <w:textAlignment w:val="baseline"/>
              <w:rPr>
                <w:rFonts w:cs="Arial"/>
                <w:sz w:val="18"/>
                <w:szCs w:val="18"/>
              </w:rPr>
            </w:pPr>
          </w:p>
        </w:tc>
        <w:tc>
          <w:tcPr>
            <w:tcW w:w="7230" w:type="dxa"/>
            <w:gridSpan w:val="27"/>
            <w:tcBorders>
              <w:bottom w:val="dashed" w:sz="4" w:space="0" w:color="auto"/>
            </w:tcBorders>
            <w:vAlign w:val="center"/>
          </w:tcPr>
          <w:p w:rsidR="005624E3" w:rsidRPr="00C903F8" w:rsidRDefault="005624E3" w:rsidP="00101A80">
            <w:pPr>
              <w:overflowPunct w:val="0"/>
              <w:adjustRightInd w:val="0"/>
              <w:ind w:right="57"/>
              <w:textAlignment w:val="baseline"/>
              <w:rPr>
                <w:rFonts w:cs="Arial"/>
                <w:sz w:val="18"/>
                <w:szCs w:val="18"/>
              </w:rPr>
            </w:pPr>
          </w:p>
        </w:tc>
      </w:tr>
      <w:tr w:rsidR="005624E3" w:rsidRPr="00A0619C" w:rsidTr="00A74DAC">
        <w:tblPrEx>
          <w:jc w:val="center"/>
        </w:tblPrEx>
        <w:trPr>
          <w:gridBefore w:val="1"/>
          <w:cantSplit/>
          <w:jc w:val="center"/>
        </w:trPr>
        <w:tc>
          <w:tcPr>
            <w:tcW w:w="1985" w:type="dxa"/>
            <w:gridSpan w:val="6"/>
            <w:vAlign w:val="center"/>
          </w:tcPr>
          <w:p w:rsidR="005624E3" w:rsidRPr="00C903F8" w:rsidRDefault="005624E3" w:rsidP="00101A80">
            <w:pPr>
              <w:overflowPunct w:val="0"/>
              <w:adjustRightInd w:val="0"/>
              <w:ind w:right="57"/>
              <w:textAlignment w:val="baseline"/>
              <w:rPr>
                <w:rFonts w:cs="Arial"/>
                <w:sz w:val="18"/>
                <w:szCs w:val="18"/>
              </w:rPr>
            </w:pPr>
          </w:p>
        </w:tc>
        <w:tc>
          <w:tcPr>
            <w:tcW w:w="7230" w:type="dxa"/>
            <w:gridSpan w:val="27"/>
            <w:tcBorders>
              <w:top w:val="dashed" w:sz="4" w:space="0" w:color="auto"/>
              <w:bottom w:val="dashed" w:sz="4" w:space="0" w:color="auto"/>
            </w:tcBorders>
            <w:vAlign w:val="center"/>
          </w:tcPr>
          <w:p w:rsidR="005624E3" w:rsidRPr="00C903F8" w:rsidRDefault="005624E3" w:rsidP="00101A80">
            <w:pPr>
              <w:overflowPunct w:val="0"/>
              <w:adjustRightInd w:val="0"/>
              <w:ind w:right="57"/>
              <w:textAlignment w:val="baseline"/>
              <w:rPr>
                <w:rFonts w:cs="Arial"/>
                <w:sz w:val="18"/>
                <w:szCs w:val="18"/>
              </w:rPr>
            </w:pPr>
          </w:p>
        </w:tc>
      </w:tr>
      <w:tr w:rsidR="005624E3" w:rsidRPr="00A0619C" w:rsidTr="00A74DAC">
        <w:tblPrEx>
          <w:jc w:val="center"/>
        </w:tblPrEx>
        <w:trPr>
          <w:gridBefore w:val="1"/>
          <w:cantSplit/>
          <w:jc w:val="center"/>
        </w:trPr>
        <w:tc>
          <w:tcPr>
            <w:tcW w:w="1985" w:type="dxa"/>
            <w:gridSpan w:val="6"/>
            <w:vAlign w:val="center"/>
          </w:tcPr>
          <w:p w:rsidR="005624E3" w:rsidRPr="00C903F8" w:rsidRDefault="005624E3" w:rsidP="00101A80">
            <w:pPr>
              <w:overflowPunct w:val="0"/>
              <w:adjustRightInd w:val="0"/>
              <w:ind w:right="57"/>
              <w:textAlignment w:val="baseline"/>
              <w:rPr>
                <w:rFonts w:cs="Arial"/>
                <w:sz w:val="18"/>
                <w:szCs w:val="18"/>
              </w:rPr>
            </w:pPr>
          </w:p>
        </w:tc>
        <w:tc>
          <w:tcPr>
            <w:tcW w:w="7230" w:type="dxa"/>
            <w:gridSpan w:val="27"/>
            <w:tcBorders>
              <w:top w:val="dashed" w:sz="4" w:space="0" w:color="auto"/>
              <w:bottom w:val="dashed" w:sz="4" w:space="0" w:color="auto"/>
            </w:tcBorders>
            <w:vAlign w:val="center"/>
          </w:tcPr>
          <w:p w:rsidR="005624E3" w:rsidRPr="00C903F8" w:rsidRDefault="005624E3" w:rsidP="00101A80">
            <w:pPr>
              <w:overflowPunct w:val="0"/>
              <w:adjustRightInd w:val="0"/>
              <w:ind w:right="57"/>
              <w:textAlignment w:val="baseline"/>
              <w:rPr>
                <w:rFonts w:cs="Arial"/>
                <w:sz w:val="18"/>
                <w:szCs w:val="18"/>
              </w:rPr>
            </w:pPr>
          </w:p>
        </w:tc>
      </w:tr>
      <w:tr w:rsidR="005624E3" w:rsidRPr="00A0619C" w:rsidTr="00A74DAC">
        <w:tblPrEx>
          <w:jc w:val="center"/>
        </w:tblPrEx>
        <w:trPr>
          <w:gridBefore w:val="1"/>
          <w:cantSplit/>
          <w:trHeight w:hRule="exact" w:val="160"/>
          <w:jc w:val="center"/>
        </w:trPr>
        <w:tc>
          <w:tcPr>
            <w:tcW w:w="9215" w:type="dxa"/>
            <w:gridSpan w:val="33"/>
            <w:vAlign w:val="center"/>
          </w:tcPr>
          <w:p w:rsidR="005624E3" w:rsidRPr="00C903F8" w:rsidRDefault="005624E3" w:rsidP="00101A80">
            <w:pPr>
              <w:overflowPunct w:val="0"/>
              <w:adjustRightInd w:val="0"/>
              <w:ind w:right="57"/>
              <w:textAlignment w:val="baseline"/>
              <w:rPr>
                <w:rFonts w:cs="Arial"/>
                <w:szCs w:val="20"/>
              </w:rPr>
            </w:pPr>
          </w:p>
        </w:tc>
      </w:tr>
      <w:tr w:rsidR="005624E3" w:rsidRPr="00C903F8" w:rsidTr="00A74DAC">
        <w:tblPrEx>
          <w:jc w:val="center"/>
        </w:tblPrEx>
        <w:trPr>
          <w:gridBefore w:val="1"/>
          <w:cantSplit/>
          <w:jc w:val="center"/>
        </w:trPr>
        <w:tc>
          <w:tcPr>
            <w:tcW w:w="2552" w:type="dxa"/>
            <w:gridSpan w:val="7"/>
            <w:vAlign w:val="center"/>
          </w:tcPr>
          <w:p w:rsidR="005624E3" w:rsidRPr="00C903F8" w:rsidRDefault="005624E3" w:rsidP="00101A80">
            <w:pPr>
              <w:overflowPunct w:val="0"/>
              <w:adjustRightInd w:val="0"/>
              <w:ind w:right="57"/>
              <w:textAlignment w:val="baseline"/>
              <w:rPr>
                <w:rFonts w:cs="Arial"/>
                <w:szCs w:val="20"/>
              </w:rPr>
            </w:pPr>
          </w:p>
        </w:tc>
        <w:tc>
          <w:tcPr>
            <w:tcW w:w="1984" w:type="dxa"/>
            <w:gridSpan w:val="8"/>
            <w:vAlign w:val="center"/>
          </w:tcPr>
          <w:p w:rsidR="005624E3" w:rsidRPr="00C903F8" w:rsidRDefault="005624E3" w:rsidP="00101A80">
            <w:pPr>
              <w:tabs>
                <w:tab w:val="center" w:pos="4819"/>
              </w:tabs>
              <w:overflowPunct w:val="0"/>
              <w:adjustRightInd w:val="0"/>
              <w:ind w:right="57"/>
              <w:textAlignment w:val="baseline"/>
              <w:rPr>
                <w:rFonts w:cs="Arial"/>
                <w:sz w:val="16"/>
                <w:szCs w:val="16"/>
              </w:rPr>
            </w:pPr>
            <w:bookmarkStart w:id="680" w:name="Text30"/>
            <w:r>
              <w:rPr>
                <w:sz w:val="16"/>
              </w:rPr>
              <w:t>Az ellenőr neve:</w:t>
            </w:r>
            <w:bookmarkEnd w:id="680"/>
          </w:p>
        </w:tc>
        <w:tc>
          <w:tcPr>
            <w:tcW w:w="4679" w:type="dxa"/>
            <w:gridSpan w:val="18"/>
            <w:vAlign w:val="center"/>
          </w:tcPr>
          <w:p w:rsidR="005624E3" w:rsidRPr="00C903F8" w:rsidRDefault="005624E3" w:rsidP="00101A80">
            <w:pPr>
              <w:overflowPunct w:val="0"/>
              <w:adjustRightInd w:val="0"/>
              <w:ind w:right="57"/>
              <w:textAlignment w:val="baseline"/>
              <w:rPr>
                <w:rFonts w:cs="Arial"/>
                <w:sz w:val="18"/>
                <w:szCs w:val="18"/>
              </w:rPr>
            </w:pPr>
            <w:r>
              <w:rPr>
                <w:sz w:val="18"/>
              </w:rPr>
              <w:t>………………………………………………………………...</w:t>
            </w:r>
          </w:p>
        </w:tc>
      </w:tr>
      <w:tr w:rsidR="005624E3" w:rsidRPr="00C903F8" w:rsidTr="00A74DAC">
        <w:tblPrEx>
          <w:jc w:val="center"/>
        </w:tblPrEx>
        <w:trPr>
          <w:gridBefore w:val="1"/>
          <w:cantSplit/>
          <w:trHeight w:hRule="exact" w:val="57"/>
          <w:jc w:val="center"/>
        </w:trPr>
        <w:tc>
          <w:tcPr>
            <w:tcW w:w="9215" w:type="dxa"/>
            <w:gridSpan w:val="33"/>
            <w:vAlign w:val="center"/>
          </w:tcPr>
          <w:p w:rsidR="005624E3" w:rsidRPr="00C903F8" w:rsidRDefault="005624E3" w:rsidP="00101A80">
            <w:pPr>
              <w:overflowPunct w:val="0"/>
              <w:adjustRightInd w:val="0"/>
              <w:ind w:right="57"/>
              <w:textAlignment w:val="baseline"/>
              <w:rPr>
                <w:rFonts w:cs="Arial"/>
                <w:sz w:val="16"/>
                <w:szCs w:val="16"/>
              </w:rPr>
            </w:pPr>
          </w:p>
        </w:tc>
      </w:tr>
      <w:tr w:rsidR="005624E3" w:rsidRPr="00C903F8" w:rsidTr="00A74DAC">
        <w:tblPrEx>
          <w:jc w:val="center"/>
        </w:tblPrEx>
        <w:trPr>
          <w:gridBefore w:val="1"/>
          <w:cantSplit/>
          <w:jc w:val="center"/>
        </w:trPr>
        <w:tc>
          <w:tcPr>
            <w:tcW w:w="2552" w:type="dxa"/>
            <w:gridSpan w:val="7"/>
            <w:vAlign w:val="center"/>
          </w:tcPr>
          <w:p w:rsidR="005624E3" w:rsidRPr="00C903F8" w:rsidRDefault="005624E3" w:rsidP="00101A80">
            <w:pPr>
              <w:overflowPunct w:val="0"/>
              <w:adjustRightInd w:val="0"/>
              <w:ind w:right="57"/>
              <w:textAlignment w:val="baseline"/>
              <w:rPr>
                <w:rFonts w:cs="Arial"/>
                <w:szCs w:val="20"/>
              </w:rPr>
            </w:pPr>
          </w:p>
        </w:tc>
        <w:tc>
          <w:tcPr>
            <w:tcW w:w="1984" w:type="dxa"/>
            <w:gridSpan w:val="8"/>
            <w:vAlign w:val="center"/>
          </w:tcPr>
          <w:p w:rsidR="005624E3" w:rsidRPr="00C903F8" w:rsidRDefault="005624E3" w:rsidP="00101A80">
            <w:pPr>
              <w:overflowPunct w:val="0"/>
              <w:adjustRightInd w:val="0"/>
              <w:ind w:right="57"/>
              <w:textAlignment w:val="baseline"/>
              <w:rPr>
                <w:rFonts w:cs="Arial"/>
                <w:sz w:val="16"/>
                <w:szCs w:val="16"/>
              </w:rPr>
            </w:pPr>
            <w:bookmarkStart w:id="681" w:name="Text31"/>
            <w:r>
              <w:rPr>
                <w:sz w:val="16"/>
              </w:rPr>
              <w:t>Hely és dátum:</w:t>
            </w:r>
            <w:bookmarkEnd w:id="681"/>
          </w:p>
        </w:tc>
        <w:tc>
          <w:tcPr>
            <w:tcW w:w="4679" w:type="dxa"/>
            <w:gridSpan w:val="18"/>
            <w:vAlign w:val="center"/>
          </w:tcPr>
          <w:p w:rsidR="005624E3" w:rsidRPr="00C903F8" w:rsidRDefault="005624E3" w:rsidP="00101A80">
            <w:pPr>
              <w:overflowPunct w:val="0"/>
              <w:adjustRightInd w:val="0"/>
              <w:ind w:right="57"/>
              <w:textAlignment w:val="baseline"/>
              <w:rPr>
                <w:rFonts w:cs="Arial"/>
                <w:szCs w:val="20"/>
              </w:rPr>
            </w:pPr>
            <w:r>
              <w:t>……………………………….</w:t>
            </w:r>
          </w:p>
        </w:tc>
      </w:tr>
      <w:tr w:rsidR="005624E3" w:rsidRPr="00C903F8" w:rsidTr="00A74DAC">
        <w:tblPrEx>
          <w:jc w:val="center"/>
        </w:tblPrEx>
        <w:trPr>
          <w:gridBefore w:val="1"/>
          <w:cantSplit/>
          <w:trHeight w:hRule="exact" w:val="57"/>
          <w:jc w:val="center"/>
        </w:trPr>
        <w:tc>
          <w:tcPr>
            <w:tcW w:w="9215" w:type="dxa"/>
            <w:gridSpan w:val="33"/>
            <w:vAlign w:val="center"/>
          </w:tcPr>
          <w:p w:rsidR="005624E3" w:rsidRPr="00C903F8" w:rsidRDefault="005624E3" w:rsidP="00101A80">
            <w:pPr>
              <w:overflowPunct w:val="0"/>
              <w:adjustRightInd w:val="0"/>
              <w:ind w:right="57"/>
              <w:textAlignment w:val="baseline"/>
              <w:rPr>
                <w:rFonts w:cs="Arial"/>
                <w:sz w:val="16"/>
                <w:szCs w:val="16"/>
              </w:rPr>
            </w:pPr>
          </w:p>
        </w:tc>
      </w:tr>
      <w:tr w:rsidR="005624E3" w:rsidRPr="00C903F8" w:rsidTr="00A74DAC">
        <w:tblPrEx>
          <w:jc w:val="center"/>
        </w:tblPrEx>
        <w:trPr>
          <w:gridBefore w:val="1"/>
          <w:cantSplit/>
          <w:jc w:val="center"/>
        </w:trPr>
        <w:tc>
          <w:tcPr>
            <w:tcW w:w="2552" w:type="dxa"/>
            <w:gridSpan w:val="7"/>
            <w:vAlign w:val="center"/>
          </w:tcPr>
          <w:p w:rsidR="005624E3" w:rsidRPr="00C903F8" w:rsidRDefault="005624E3" w:rsidP="00101A80">
            <w:pPr>
              <w:overflowPunct w:val="0"/>
              <w:adjustRightInd w:val="0"/>
              <w:ind w:right="57"/>
              <w:textAlignment w:val="baseline"/>
              <w:rPr>
                <w:rFonts w:cs="Arial"/>
                <w:szCs w:val="20"/>
              </w:rPr>
            </w:pPr>
          </w:p>
        </w:tc>
        <w:tc>
          <w:tcPr>
            <w:tcW w:w="1984" w:type="dxa"/>
            <w:gridSpan w:val="8"/>
            <w:vAlign w:val="center"/>
          </w:tcPr>
          <w:p w:rsidR="005624E3" w:rsidRPr="00C903F8" w:rsidRDefault="005624E3" w:rsidP="00101A80">
            <w:pPr>
              <w:overflowPunct w:val="0"/>
              <w:adjustRightInd w:val="0"/>
              <w:ind w:right="57"/>
              <w:textAlignment w:val="baseline"/>
              <w:rPr>
                <w:rFonts w:cs="Arial"/>
                <w:sz w:val="16"/>
                <w:szCs w:val="16"/>
              </w:rPr>
            </w:pPr>
            <w:r>
              <w:rPr>
                <w:sz w:val="16"/>
              </w:rPr>
              <w:t>Aláírás:</w:t>
            </w:r>
          </w:p>
        </w:tc>
        <w:tc>
          <w:tcPr>
            <w:tcW w:w="4679" w:type="dxa"/>
            <w:gridSpan w:val="18"/>
            <w:vAlign w:val="center"/>
          </w:tcPr>
          <w:p w:rsidR="005624E3" w:rsidRPr="00C903F8" w:rsidRDefault="005624E3" w:rsidP="00101A80">
            <w:pPr>
              <w:overflowPunct w:val="0"/>
              <w:adjustRightInd w:val="0"/>
              <w:ind w:right="57"/>
              <w:textAlignment w:val="baseline"/>
              <w:rPr>
                <w:rFonts w:cs="Arial"/>
                <w:szCs w:val="20"/>
              </w:rPr>
            </w:pPr>
          </w:p>
        </w:tc>
      </w:tr>
      <w:tr w:rsidR="005624E3" w:rsidRPr="00A0619C" w:rsidTr="00A74DAC">
        <w:tblPrEx>
          <w:jc w:val="center"/>
        </w:tblPrEx>
        <w:trPr>
          <w:gridBefore w:val="1"/>
          <w:jc w:val="center"/>
        </w:trPr>
        <w:tc>
          <w:tcPr>
            <w:tcW w:w="4818" w:type="dxa"/>
            <w:gridSpan w:val="17"/>
            <w:vAlign w:val="center"/>
          </w:tcPr>
          <w:p w:rsidR="005624E3" w:rsidRPr="00C903F8" w:rsidRDefault="005624E3" w:rsidP="00101A80">
            <w:pPr>
              <w:tabs>
                <w:tab w:val="center" w:pos="4536"/>
                <w:tab w:val="right" w:pos="9072"/>
              </w:tabs>
              <w:overflowPunct w:val="0"/>
              <w:adjustRightInd w:val="0"/>
              <w:ind w:right="57"/>
              <w:textAlignment w:val="baseline"/>
              <w:rPr>
                <w:rFonts w:cs="Arial"/>
                <w:b/>
                <w:bCs/>
                <w:szCs w:val="20"/>
                <w:u w:val="single"/>
              </w:rPr>
            </w:pPr>
            <w:r>
              <w:rPr>
                <w:sz w:val="16"/>
                <w:vertAlign w:val="superscript"/>
              </w:rPr>
              <w:t>1)</w:t>
            </w:r>
            <w:r>
              <w:t xml:space="preserve"> </w:t>
            </w:r>
            <w:r>
              <w:rPr>
                <w:sz w:val="14"/>
              </w:rPr>
              <w:t>A megfelelő négyzetet ikszelje be.</w:t>
            </w:r>
          </w:p>
        </w:tc>
        <w:tc>
          <w:tcPr>
            <w:tcW w:w="4397" w:type="dxa"/>
            <w:gridSpan w:val="16"/>
            <w:vAlign w:val="center"/>
          </w:tcPr>
          <w:p w:rsidR="005624E3" w:rsidRPr="00C903F8" w:rsidRDefault="005624E3" w:rsidP="00101A80">
            <w:pPr>
              <w:tabs>
                <w:tab w:val="center" w:pos="4536"/>
                <w:tab w:val="right" w:pos="9072"/>
              </w:tabs>
              <w:overflowPunct w:val="0"/>
              <w:adjustRightInd w:val="0"/>
              <w:ind w:right="57"/>
              <w:jc w:val="right"/>
              <w:textAlignment w:val="baseline"/>
              <w:rPr>
                <w:rFonts w:cs="Arial"/>
                <w:szCs w:val="20"/>
              </w:rPr>
            </w:pPr>
          </w:p>
        </w:tc>
      </w:tr>
    </w:tbl>
    <w:p w:rsidR="005624E3" w:rsidRPr="00C903F8" w:rsidRDefault="005624E3" w:rsidP="005624E3">
      <w:pPr>
        <w:rPr>
          <w:rFonts w:cs="Arial"/>
          <w:noProof/>
          <w:sz w:val="16"/>
          <w:szCs w:val="20"/>
        </w:rPr>
      </w:pPr>
    </w:p>
    <w:p w:rsidR="005624E3" w:rsidRPr="00C903F8" w:rsidRDefault="005624E3" w:rsidP="005624E3">
      <w:pPr>
        <w:rPr>
          <w:rFonts w:cs="Arial"/>
          <w:noProof/>
          <w:sz w:val="16"/>
          <w:szCs w:val="20"/>
        </w:rPr>
      </w:pPr>
      <w:r>
        <w:br w:type="page"/>
      </w:r>
    </w:p>
    <w:p w:rsidR="005624E3" w:rsidRPr="00C903F8" w:rsidRDefault="005624E3" w:rsidP="005624E3">
      <w:pPr>
        <w:rPr>
          <w:rFonts w:cs="Arial"/>
          <w:noProof/>
          <w:sz w:val="16"/>
          <w:szCs w:val="20"/>
        </w:rPr>
      </w:pPr>
    </w:p>
    <w:p w:rsidR="005624E3" w:rsidRPr="00C903F8" w:rsidRDefault="005624E3" w:rsidP="005624E3">
      <w:pPr>
        <w:rPr>
          <w:rFonts w:cs="Arial"/>
          <w:noProof/>
          <w:sz w:val="16"/>
          <w:szCs w:val="20"/>
        </w:rPr>
      </w:pPr>
    </w:p>
    <w:p w:rsidR="005624E3" w:rsidRPr="00C903F8" w:rsidRDefault="005624E3" w:rsidP="005624E3">
      <w:pPr>
        <w:rPr>
          <w:rFonts w:cs="Arial"/>
          <w:noProof/>
          <w:sz w:val="16"/>
          <w:szCs w:val="20"/>
        </w:rPr>
      </w:pPr>
    </w:p>
    <w:p w:rsidR="005624E3" w:rsidRPr="00C903F8" w:rsidRDefault="005624E3" w:rsidP="005624E3">
      <w:pPr>
        <w:rPr>
          <w:rFonts w:cs="Arial"/>
          <w:noProof/>
          <w:sz w:val="16"/>
          <w:szCs w:val="20"/>
        </w:rPr>
      </w:pPr>
    </w:p>
    <w:p w:rsidR="005624E3" w:rsidRPr="00C903F8" w:rsidRDefault="005624E3" w:rsidP="005624E3">
      <w:pPr>
        <w:rPr>
          <w:rFonts w:cs="Arial"/>
          <w:noProof/>
          <w:sz w:val="16"/>
          <w:szCs w:val="20"/>
        </w:rPr>
      </w:pPr>
    </w:p>
    <w:p w:rsidR="005624E3" w:rsidRPr="00C903F8" w:rsidRDefault="005624E3" w:rsidP="005624E3">
      <w:pPr>
        <w:rPr>
          <w:rFonts w:cs="Arial"/>
          <w:noProof/>
          <w:sz w:val="16"/>
          <w:szCs w:val="20"/>
        </w:rPr>
      </w:pPr>
    </w:p>
    <w:p w:rsidR="005624E3" w:rsidRDefault="005624E3" w:rsidP="005624E3">
      <w:pPr>
        <w:pStyle w:val="ES-Titre2"/>
        <w:pageBreakBefore w:val="0"/>
        <w:sectPr w:rsidR="005624E3" w:rsidSect="00FB55E9">
          <w:headerReference w:type="default" r:id="rId72"/>
          <w:footerReference w:type="default" r:id="rId73"/>
          <w:footnotePr>
            <w:numRestart w:val="eachPage"/>
          </w:footnotePr>
          <w:pgSz w:w="11907" w:h="16840" w:code="9"/>
          <w:pgMar w:top="1361" w:right="1418" w:bottom="1361" w:left="1418" w:header="680" w:footer="680" w:gutter="0"/>
          <w:cols w:space="720"/>
          <w:docGrid w:linePitch="326"/>
        </w:sectPr>
      </w:pPr>
    </w:p>
    <w:p w:rsidR="005624E3" w:rsidRPr="00C903F8" w:rsidRDefault="005624E3" w:rsidP="005624E3">
      <w:pPr>
        <w:pStyle w:val="ES-Titre2"/>
        <w:pageBreakBefore w:val="0"/>
        <w:rPr>
          <w:szCs w:val="20"/>
        </w:rPr>
      </w:pPr>
      <w:bookmarkStart w:id="682" w:name="_Toc491854323"/>
      <w:bookmarkStart w:id="683" w:name="_Toc535854104"/>
      <w:r>
        <w:t>7. melléklet</w:t>
      </w:r>
      <w:r>
        <w:br/>
        <w:t>Fedélzeti szennyvízkezelő művek</w:t>
      </w:r>
      <w:bookmarkEnd w:id="682"/>
      <w:bookmarkEnd w:id="683"/>
      <w:r>
        <w:t xml:space="preserve"> </w:t>
      </w:r>
    </w:p>
    <w:p w:rsidR="005624E3" w:rsidRPr="00D50F76" w:rsidRDefault="005624E3" w:rsidP="005624E3">
      <w:pPr>
        <w:tabs>
          <w:tab w:val="left" w:pos="2552"/>
        </w:tabs>
        <w:suppressAutoHyphens/>
        <w:spacing w:line="240" w:lineRule="atLeast"/>
        <w:jc w:val="center"/>
        <w:rPr>
          <w:rFonts w:cs="Arial"/>
          <w:b/>
          <w:szCs w:val="20"/>
        </w:rPr>
      </w:pPr>
    </w:p>
    <w:p w:rsidR="005624E3" w:rsidRPr="00D50F76" w:rsidRDefault="005624E3" w:rsidP="005624E3">
      <w:pPr>
        <w:overflowPunct w:val="0"/>
        <w:adjustRightInd w:val="0"/>
        <w:spacing w:line="240" w:lineRule="atLeast"/>
        <w:jc w:val="center"/>
        <w:textAlignment w:val="baseline"/>
        <w:rPr>
          <w:rFonts w:cs="Arial"/>
          <w:b/>
          <w:bCs/>
          <w:noProof/>
        </w:rPr>
      </w:pPr>
      <w:r w:rsidRPr="00D50F76">
        <w:rPr>
          <w:b/>
          <w:noProof/>
        </w:rPr>
        <w:t>Tartalomjegyzék</w:t>
      </w:r>
    </w:p>
    <w:p w:rsidR="005624E3" w:rsidRPr="00D50F76" w:rsidRDefault="005624E3" w:rsidP="005624E3">
      <w:pPr>
        <w:tabs>
          <w:tab w:val="left" w:pos="284"/>
          <w:tab w:val="left" w:pos="1134"/>
          <w:tab w:val="left" w:pos="1701"/>
        </w:tabs>
        <w:suppressAutoHyphens/>
        <w:spacing w:line="240" w:lineRule="atLeast"/>
        <w:rPr>
          <w:rFonts w:cs="Arial"/>
          <w:szCs w:val="20"/>
        </w:rPr>
      </w:pPr>
    </w:p>
    <w:p w:rsidR="005624E3" w:rsidRPr="00D50F76" w:rsidRDefault="005624E3" w:rsidP="005624E3">
      <w:pPr>
        <w:tabs>
          <w:tab w:val="left" w:pos="1701"/>
        </w:tabs>
        <w:suppressAutoHyphens/>
        <w:spacing w:line="240" w:lineRule="atLeast"/>
        <w:ind w:left="1134" w:hanging="1134"/>
        <w:rPr>
          <w:rFonts w:cs="Arial"/>
          <w:szCs w:val="20"/>
        </w:rPr>
      </w:pPr>
      <w:r w:rsidRPr="00D50F76">
        <w:rPr>
          <w:b/>
        </w:rPr>
        <w:t>I. szakasz</w:t>
      </w:r>
      <w:r w:rsidRPr="00D50F76">
        <w:tab/>
        <w:t>Kiegészítő rendelkezések</w:t>
      </w:r>
    </w:p>
    <w:p w:rsidR="005624E3" w:rsidRPr="00D50F76" w:rsidRDefault="005624E3" w:rsidP="005624E3">
      <w:pPr>
        <w:suppressAutoHyphens/>
        <w:spacing w:line="240" w:lineRule="atLeast"/>
        <w:ind w:left="1134" w:hanging="1134"/>
        <w:rPr>
          <w:rFonts w:cs="Arial"/>
          <w:b/>
          <w:szCs w:val="20"/>
        </w:rPr>
      </w:pPr>
    </w:p>
    <w:p w:rsidR="005624E3" w:rsidRPr="00D50F76" w:rsidRDefault="005624E3" w:rsidP="005624E3">
      <w:pPr>
        <w:suppressAutoHyphens/>
        <w:overflowPunct w:val="0"/>
        <w:spacing w:line="240" w:lineRule="atLeast"/>
        <w:ind w:left="1560" w:hanging="426"/>
        <w:textAlignment w:val="baseline"/>
        <w:rPr>
          <w:rFonts w:cs="Arial"/>
          <w:szCs w:val="20"/>
        </w:rPr>
      </w:pPr>
      <w:r w:rsidRPr="00D50F76">
        <w:t>1.</w:t>
      </w:r>
      <w:r w:rsidRPr="00D50F76">
        <w:tab/>
        <w:t>A fedélzeti szennyvízkezelő művek jelölése</w:t>
      </w:r>
    </w:p>
    <w:p w:rsidR="005624E3" w:rsidRPr="00D50F76" w:rsidRDefault="005624E3" w:rsidP="005624E3">
      <w:pPr>
        <w:suppressAutoHyphens/>
        <w:overflowPunct w:val="0"/>
        <w:spacing w:line="240" w:lineRule="atLeast"/>
        <w:ind w:left="1560" w:hanging="426"/>
        <w:textAlignment w:val="baseline"/>
        <w:rPr>
          <w:rFonts w:cs="Arial"/>
          <w:szCs w:val="20"/>
        </w:rPr>
      </w:pPr>
      <w:r w:rsidRPr="00D50F76">
        <w:t>2.</w:t>
      </w:r>
      <w:r w:rsidRPr="00D50F76">
        <w:tab/>
        <w:t>Vizsgálatok</w:t>
      </w:r>
    </w:p>
    <w:p w:rsidR="005624E3" w:rsidRPr="00D50F76" w:rsidRDefault="005624E3" w:rsidP="005624E3">
      <w:pPr>
        <w:suppressAutoHyphens/>
        <w:overflowPunct w:val="0"/>
        <w:spacing w:line="240" w:lineRule="atLeast"/>
        <w:ind w:left="1560" w:hanging="426"/>
        <w:textAlignment w:val="baseline"/>
        <w:rPr>
          <w:rFonts w:cs="Arial"/>
          <w:szCs w:val="20"/>
        </w:rPr>
      </w:pPr>
      <w:r w:rsidRPr="00D50F76">
        <w:t>3.</w:t>
      </w:r>
      <w:r w:rsidRPr="00D50F76">
        <w:tab/>
        <w:t>A gyártás megfelelőségének értékelése</w:t>
      </w:r>
    </w:p>
    <w:p w:rsidR="005624E3" w:rsidRPr="00D50F76" w:rsidRDefault="005624E3" w:rsidP="005624E3">
      <w:pPr>
        <w:suppressAutoHyphens/>
        <w:spacing w:line="240" w:lineRule="atLeast"/>
        <w:ind w:left="1134" w:hanging="1134"/>
        <w:rPr>
          <w:rFonts w:cs="Arial"/>
          <w:szCs w:val="20"/>
        </w:rPr>
      </w:pPr>
    </w:p>
    <w:p w:rsidR="005624E3" w:rsidRPr="00D50F76" w:rsidRDefault="005624E3" w:rsidP="005624E3">
      <w:pPr>
        <w:suppressAutoHyphens/>
        <w:spacing w:line="240" w:lineRule="atLeast"/>
        <w:ind w:left="1134" w:hanging="1134"/>
        <w:rPr>
          <w:rFonts w:cs="Arial"/>
          <w:szCs w:val="20"/>
        </w:rPr>
      </w:pPr>
      <w:r w:rsidRPr="00D50F76">
        <w:rPr>
          <w:b/>
        </w:rPr>
        <w:t>II. szakasz</w:t>
      </w:r>
      <w:r w:rsidRPr="00D50F76">
        <w:tab/>
        <w:t>... számú adatközlő lap a belvízi hajókon való rendszerbe állításra szánt fedélzeti szennyvízkezelő művek típusjóváhagyásához (minta)</w:t>
      </w:r>
    </w:p>
    <w:p w:rsidR="005624E3" w:rsidRPr="00D50F76" w:rsidRDefault="005624E3" w:rsidP="005624E3">
      <w:pPr>
        <w:suppressAutoHyphens/>
        <w:spacing w:line="240" w:lineRule="atLeast"/>
        <w:ind w:left="1134" w:hanging="1134"/>
        <w:rPr>
          <w:rFonts w:cs="Arial"/>
          <w:szCs w:val="20"/>
        </w:rPr>
      </w:pPr>
    </w:p>
    <w:p w:rsidR="005624E3" w:rsidRPr="00D50F76" w:rsidRDefault="005624E3" w:rsidP="005624E3">
      <w:pPr>
        <w:suppressAutoHyphens/>
        <w:overflowPunct w:val="0"/>
        <w:spacing w:line="240" w:lineRule="atLeast"/>
        <w:ind w:left="1134"/>
        <w:textAlignment w:val="baseline"/>
        <w:rPr>
          <w:rFonts w:cs="Arial"/>
          <w:szCs w:val="20"/>
        </w:rPr>
      </w:pPr>
      <w:r w:rsidRPr="00D50F76">
        <w:t>1. függelék – A fedélzeti szennyvízkezelő művek típusának legfontosabb jellemzői (minta)</w:t>
      </w:r>
    </w:p>
    <w:p w:rsidR="005624E3" w:rsidRPr="00D50F76" w:rsidRDefault="005624E3" w:rsidP="005624E3">
      <w:pPr>
        <w:suppressAutoHyphens/>
        <w:spacing w:line="240" w:lineRule="atLeast"/>
        <w:ind w:left="1134" w:hanging="1134"/>
        <w:rPr>
          <w:rFonts w:cs="Arial"/>
          <w:szCs w:val="20"/>
        </w:rPr>
      </w:pPr>
    </w:p>
    <w:p w:rsidR="005624E3" w:rsidRPr="00D50F76" w:rsidRDefault="005624E3" w:rsidP="005624E3">
      <w:pPr>
        <w:suppressAutoHyphens/>
        <w:spacing w:line="240" w:lineRule="atLeast"/>
        <w:ind w:left="1134" w:hanging="1134"/>
        <w:rPr>
          <w:rFonts w:cs="Arial"/>
          <w:szCs w:val="20"/>
        </w:rPr>
      </w:pPr>
      <w:r w:rsidRPr="00D50F76">
        <w:rPr>
          <w:b/>
        </w:rPr>
        <w:t>III. szakasz</w:t>
      </w:r>
      <w:r w:rsidRPr="00D50F76">
        <w:tab/>
        <w:t>Típusbizonyítvány (minta)</w:t>
      </w:r>
    </w:p>
    <w:p w:rsidR="005624E3" w:rsidRPr="00D50F76" w:rsidRDefault="005624E3" w:rsidP="005624E3">
      <w:pPr>
        <w:suppressAutoHyphens/>
        <w:spacing w:line="240" w:lineRule="atLeast"/>
        <w:ind w:left="1134" w:hanging="1134"/>
        <w:rPr>
          <w:rFonts w:cs="Arial"/>
          <w:szCs w:val="20"/>
        </w:rPr>
      </w:pPr>
    </w:p>
    <w:p w:rsidR="005624E3" w:rsidRPr="00D50F76" w:rsidRDefault="005624E3" w:rsidP="005624E3">
      <w:pPr>
        <w:suppressAutoHyphens/>
        <w:overflowPunct w:val="0"/>
        <w:spacing w:line="240" w:lineRule="atLeast"/>
        <w:ind w:left="1134"/>
        <w:textAlignment w:val="baseline"/>
        <w:rPr>
          <w:rFonts w:cs="Arial"/>
          <w:szCs w:val="20"/>
        </w:rPr>
      </w:pPr>
      <w:r w:rsidRPr="00D50F76">
        <w:t>1. függelék – A típusjóváhagyási vizsgálatok eredményei (minta)</w:t>
      </w:r>
    </w:p>
    <w:p w:rsidR="005624E3" w:rsidRPr="00D50F76" w:rsidRDefault="005624E3" w:rsidP="005624E3">
      <w:pPr>
        <w:suppressAutoHyphens/>
        <w:spacing w:line="240" w:lineRule="atLeast"/>
        <w:ind w:left="1134" w:hanging="1134"/>
        <w:rPr>
          <w:rFonts w:cs="Arial"/>
          <w:szCs w:val="20"/>
        </w:rPr>
      </w:pPr>
    </w:p>
    <w:p w:rsidR="005624E3" w:rsidRPr="00D50F76" w:rsidRDefault="005624E3" w:rsidP="005624E3">
      <w:pPr>
        <w:suppressAutoHyphens/>
        <w:spacing w:line="240" w:lineRule="atLeast"/>
        <w:ind w:left="1134" w:hanging="1134"/>
        <w:rPr>
          <w:rFonts w:cs="Arial"/>
          <w:szCs w:val="20"/>
        </w:rPr>
      </w:pPr>
      <w:r w:rsidRPr="00D50F76">
        <w:rPr>
          <w:b/>
        </w:rPr>
        <w:t>IV. szakasz</w:t>
      </w:r>
      <w:r w:rsidRPr="00D50F76">
        <w:tab/>
        <w:t>A típusjóváhagyások számozása</w:t>
      </w:r>
    </w:p>
    <w:p w:rsidR="005624E3" w:rsidRPr="00D50F76" w:rsidRDefault="005624E3" w:rsidP="005624E3">
      <w:pPr>
        <w:suppressAutoHyphens/>
        <w:spacing w:line="240" w:lineRule="atLeast"/>
        <w:ind w:left="1134" w:hanging="1134"/>
        <w:rPr>
          <w:rFonts w:cs="Arial"/>
          <w:szCs w:val="20"/>
        </w:rPr>
      </w:pPr>
    </w:p>
    <w:p w:rsidR="005624E3" w:rsidRPr="00D50F76" w:rsidRDefault="005624E3" w:rsidP="005624E3">
      <w:pPr>
        <w:suppressAutoHyphens/>
        <w:spacing w:line="240" w:lineRule="atLeast"/>
        <w:ind w:left="1134" w:hanging="1134"/>
        <w:rPr>
          <w:rFonts w:cs="Arial"/>
          <w:szCs w:val="20"/>
        </w:rPr>
      </w:pPr>
      <w:r w:rsidRPr="00D50F76">
        <w:rPr>
          <w:b/>
        </w:rPr>
        <w:t>V. szakasz</w:t>
      </w:r>
      <w:r w:rsidRPr="00D50F76">
        <w:tab/>
        <w:t>Összefoglaló adatok a fedélzeti szennyvízkezelő művek típusaira vonatkozó típusjóváhagyásokról</w:t>
      </w:r>
    </w:p>
    <w:p w:rsidR="005624E3" w:rsidRPr="00D50F76" w:rsidRDefault="005624E3" w:rsidP="005624E3">
      <w:pPr>
        <w:suppressAutoHyphens/>
        <w:spacing w:line="240" w:lineRule="atLeast"/>
        <w:ind w:left="1134" w:hanging="1134"/>
        <w:rPr>
          <w:rFonts w:cs="Arial"/>
          <w:szCs w:val="20"/>
        </w:rPr>
      </w:pPr>
    </w:p>
    <w:p w:rsidR="005624E3" w:rsidRPr="00D50F76" w:rsidRDefault="005624E3" w:rsidP="005624E3">
      <w:pPr>
        <w:suppressAutoHyphens/>
        <w:spacing w:line="240" w:lineRule="atLeast"/>
        <w:ind w:left="1134" w:hanging="1134"/>
        <w:rPr>
          <w:rFonts w:cs="Arial"/>
          <w:szCs w:val="20"/>
        </w:rPr>
      </w:pPr>
      <w:r w:rsidRPr="00D50F76">
        <w:rPr>
          <w:b/>
        </w:rPr>
        <w:t>VI. szakasz</w:t>
      </w:r>
      <w:r w:rsidRPr="00D50F76">
        <w:tab/>
        <w:t>Összefoglaló adatok a legyártott fedélzeti szennyvízkezelő művekről (minta)</w:t>
      </w:r>
    </w:p>
    <w:p w:rsidR="005624E3" w:rsidRPr="00D50F76" w:rsidRDefault="005624E3" w:rsidP="005624E3">
      <w:pPr>
        <w:suppressAutoHyphens/>
        <w:spacing w:line="240" w:lineRule="atLeast"/>
        <w:ind w:left="1134" w:hanging="1134"/>
        <w:rPr>
          <w:rFonts w:cs="Arial"/>
          <w:szCs w:val="20"/>
        </w:rPr>
      </w:pPr>
    </w:p>
    <w:p w:rsidR="005624E3" w:rsidRPr="00D50F76" w:rsidRDefault="005624E3" w:rsidP="005624E3">
      <w:pPr>
        <w:suppressAutoHyphens/>
        <w:spacing w:line="240" w:lineRule="atLeast"/>
        <w:ind w:left="1134" w:hanging="1134"/>
        <w:rPr>
          <w:rFonts w:cs="Arial"/>
          <w:szCs w:val="20"/>
        </w:rPr>
      </w:pPr>
      <w:r w:rsidRPr="00D50F76">
        <w:rPr>
          <w:b/>
        </w:rPr>
        <w:t>VII. szakasz</w:t>
      </w:r>
      <w:r w:rsidRPr="00D50F76">
        <w:tab/>
        <w:t>Adatlap a típusjóváhagyással rendelkező fedélzeti szennyvízkezelő művekről (minta)</w:t>
      </w:r>
    </w:p>
    <w:p w:rsidR="005624E3" w:rsidRPr="00D50F76" w:rsidRDefault="005624E3" w:rsidP="005624E3">
      <w:pPr>
        <w:suppressAutoHyphens/>
        <w:spacing w:line="240" w:lineRule="atLeast"/>
        <w:ind w:left="1134" w:hanging="1134"/>
        <w:rPr>
          <w:rFonts w:cs="Arial"/>
          <w:szCs w:val="20"/>
        </w:rPr>
      </w:pPr>
    </w:p>
    <w:p w:rsidR="005624E3" w:rsidRPr="00D50F76" w:rsidRDefault="005624E3" w:rsidP="005624E3">
      <w:pPr>
        <w:suppressAutoHyphens/>
        <w:spacing w:line="240" w:lineRule="atLeast"/>
        <w:ind w:left="1134" w:hanging="1134"/>
        <w:rPr>
          <w:rFonts w:cs="Arial"/>
          <w:szCs w:val="20"/>
        </w:rPr>
      </w:pPr>
      <w:r w:rsidRPr="00D50F76">
        <w:rPr>
          <w:b/>
        </w:rPr>
        <w:t>VIII. szakasz</w:t>
      </w:r>
      <w:r w:rsidRPr="00D50F76">
        <w:tab/>
        <w:t>A fedélzeti szennyvízkezelő mű paraméterjegyzéke a rendkívüli vizsgálathoz (minta)</w:t>
      </w:r>
    </w:p>
    <w:p w:rsidR="005624E3" w:rsidRPr="00D50F76" w:rsidRDefault="005624E3" w:rsidP="005624E3">
      <w:pPr>
        <w:suppressAutoHyphens/>
        <w:overflowPunct w:val="0"/>
        <w:spacing w:line="240" w:lineRule="atLeast"/>
        <w:ind w:left="1134" w:hanging="1134"/>
        <w:textAlignment w:val="baseline"/>
        <w:rPr>
          <w:rFonts w:cs="Arial"/>
          <w:szCs w:val="20"/>
        </w:rPr>
      </w:pPr>
    </w:p>
    <w:p w:rsidR="005624E3" w:rsidRPr="00D50F76" w:rsidRDefault="005624E3" w:rsidP="005624E3">
      <w:pPr>
        <w:suppressAutoHyphens/>
        <w:overflowPunct w:val="0"/>
        <w:spacing w:line="240" w:lineRule="atLeast"/>
        <w:ind w:left="1134"/>
        <w:textAlignment w:val="baseline"/>
        <w:rPr>
          <w:rFonts w:cs="Arial"/>
          <w:szCs w:val="20"/>
        </w:rPr>
      </w:pPr>
      <w:r w:rsidRPr="00D50F76">
        <w:t>1. függelék – Függelék a fedélzeti szennyvízkezelő mű paraméterjegyzékéhez</w:t>
      </w:r>
    </w:p>
    <w:p w:rsidR="005624E3" w:rsidRPr="00D50F76" w:rsidRDefault="005624E3" w:rsidP="005624E3">
      <w:pPr>
        <w:suppressAutoHyphens/>
        <w:overflowPunct w:val="0"/>
        <w:spacing w:line="240" w:lineRule="atLeast"/>
        <w:ind w:left="1134"/>
        <w:textAlignment w:val="baseline"/>
        <w:rPr>
          <w:rFonts w:cs="Arial"/>
          <w:szCs w:val="20"/>
        </w:rPr>
      </w:pPr>
    </w:p>
    <w:p w:rsidR="005624E3" w:rsidRPr="00D50F76" w:rsidRDefault="005624E3" w:rsidP="005624E3">
      <w:pPr>
        <w:suppressAutoHyphens/>
        <w:spacing w:line="240" w:lineRule="atLeast"/>
        <w:ind w:left="1134" w:hanging="1134"/>
        <w:rPr>
          <w:rFonts w:cs="Arial"/>
          <w:szCs w:val="20"/>
        </w:rPr>
      </w:pPr>
      <w:r w:rsidRPr="00D50F76">
        <w:rPr>
          <w:b/>
        </w:rPr>
        <w:t>IX. szakasz</w:t>
      </w:r>
      <w:r w:rsidRPr="00D50F76">
        <w:tab/>
      </w:r>
      <w:r w:rsidRPr="00D50F76">
        <w:rPr>
          <w:noProof/>
          <w:color w:val="000000"/>
        </w:rPr>
        <w:t>Vizsgálati eljárás</w:t>
      </w:r>
    </w:p>
    <w:p w:rsidR="005624E3" w:rsidRPr="00D50F76" w:rsidRDefault="005624E3" w:rsidP="005624E3">
      <w:pPr>
        <w:suppressAutoHyphens/>
        <w:overflowPunct w:val="0"/>
        <w:spacing w:line="240" w:lineRule="atLeast"/>
        <w:ind w:left="1134"/>
        <w:textAlignment w:val="baseline"/>
        <w:rPr>
          <w:rFonts w:cs="Arial"/>
          <w:szCs w:val="20"/>
        </w:rPr>
      </w:pPr>
    </w:p>
    <w:p w:rsidR="005624E3" w:rsidRPr="00D50F76" w:rsidRDefault="005624E3" w:rsidP="005624E3">
      <w:pPr>
        <w:suppressAutoHyphens/>
        <w:overflowPunct w:val="0"/>
        <w:spacing w:line="240" w:lineRule="atLeast"/>
        <w:ind w:left="1134"/>
        <w:textAlignment w:val="baseline"/>
        <w:rPr>
          <w:rFonts w:cs="Arial"/>
          <w:szCs w:val="20"/>
        </w:rPr>
      </w:pPr>
    </w:p>
    <w:p w:rsidR="005624E3" w:rsidRPr="00D50F76" w:rsidRDefault="005624E3" w:rsidP="005624E3">
      <w:pPr>
        <w:suppressAutoHyphens/>
        <w:overflowPunct w:val="0"/>
        <w:spacing w:line="240" w:lineRule="atLeast"/>
        <w:ind w:left="1134"/>
        <w:textAlignment w:val="baseline"/>
        <w:rPr>
          <w:rFonts w:cs="Arial"/>
          <w:szCs w:val="20"/>
        </w:rPr>
      </w:pPr>
      <w:r w:rsidRPr="00D50F76">
        <w:br w:type="page"/>
      </w:r>
    </w:p>
    <w:p w:rsidR="005624E3" w:rsidRPr="00D50F76" w:rsidRDefault="005624E3" w:rsidP="005624E3">
      <w:pPr>
        <w:suppressAutoHyphens/>
        <w:overflowPunct w:val="0"/>
        <w:spacing w:line="240" w:lineRule="atLeast"/>
        <w:ind w:left="1134"/>
        <w:textAlignment w:val="baseline"/>
        <w:rPr>
          <w:rFonts w:cs="Arial"/>
          <w:szCs w:val="20"/>
        </w:rPr>
      </w:pPr>
    </w:p>
    <w:p w:rsidR="005624E3" w:rsidRPr="00D50F76" w:rsidRDefault="005624E3" w:rsidP="005624E3">
      <w:pPr>
        <w:suppressAutoHyphens/>
        <w:overflowPunct w:val="0"/>
        <w:spacing w:line="240" w:lineRule="atLeast"/>
        <w:ind w:left="1134"/>
        <w:textAlignment w:val="baseline"/>
        <w:rPr>
          <w:rFonts w:cs="Arial"/>
          <w:szCs w:val="20"/>
        </w:rPr>
      </w:pPr>
    </w:p>
    <w:p w:rsidR="005624E3" w:rsidRPr="00D50F76" w:rsidRDefault="005624E3" w:rsidP="005624E3">
      <w:pPr>
        <w:suppressAutoHyphens/>
        <w:overflowPunct w:val="0"/>
        <w:spacing w:line="240" w:lineRule="atLeast"/>
        <w:ind w:left="1134"/>
        <w:textAlignment w:val="baseline"/>
        <w:rPr>
          <w:rFonts w:cs="Arial"/>
          <w:szCs w:val="20"/>
        </w:rPr>
      </w:pPr>
    </w:p>
    <w:p w:rsidR="005624E3" w:rsidRPr="00D50F76" w:rsidRDefault="005624E3" w:rsidP="005624E3">
      <w:pPr>
        <w:suppressAutoHyphens/>
        <w:overflowPunct w:val="0"/>
        <w:spacing w:line="240" w:lineRule="atLeast"/>
        <w:ind w:left="1134"/>
        <w:textAlignment w:val="baseline"/>
        <w:rPr>
          <w:rFonts w:cs="Arial"/>
          <w:szCs w:val="20"/>
        </w:rPr>
      </w:pPr>
    </w:p>
    <w:p w:rsidR="005624E3" w:rsidRPr="00D50F76" w:rsidRDefault="005624E3" w:rsidP="005624E3">
      <w:pPr>
        <w:suppressAutoHyphens/>
        <w:overflowPunct w:val="0"/>
        <w:spacing w:line="240" w:lineRule="atLeast"/>
        <w:ind w:left="1134"/>
        <w:textAlignment w:val="baseline"/>
        <w:rPr>
          <w:rFonts w:cs="Arial"/>
          <w:szCs w:val="20"/>
        </w:rPr>
      </w:pPr>
    </w:p>
    <w:p w:rsidR="005624E3" w:rsidRPr="00D50F76" w:rsidRDefault="005624E3" w:rsidP="005624E3">
      <w:pPr>
        <w:tabs>
          <w:tab w:val="center" w:pos="7956"/>
        </w:tabs>
        <w:suppressAutoHyphens/>
        <w:spacing w:line="240" w:lineRule="atLeast"/>
        <w:jc w:val="right"/>
        <w:rPr>
          <w:rFonts w:cs="Arial"/>
          <w:b/>
          <w:szCs w:val="20"/>
        </w:rPr>
        <w:sectPr w:rsidR="005624E3" w:rsidRPr="00D50F76" w:rsidSect="00FB55E9">
          <w:footnotePr>
            <w:numRestart w:val="eachPage"/>
          </w:footnotePr>
          <w:pgSz w:w="11907" w:h="16840" w:code="9"/>
          <w:pgMar w:top="1361" w:right="1418" w:bottom="1361" w:left="1418" w:header="680" w:footer="680" w:gutter="0"/>
          <w:cols w:space="720"/>
          <w:docGrid w:linePitch="326"/>
        </w:sectPr>
      </w:pPr>
    </w:p>
    <w:p w:rsidR="005624E3" w:rsidRPr="00D50F76" w:rsidRDefault="005624E3" w:rsidP="005624E3">
      <w:pPr>
        <w:pStyle w:val="ES-Titre3"/>
        <w:rPr>
          <w:noProof/>
        </w:rPr>
      </w:pPr>
      <w:bookmarkStart w:id="684" w:name="_Toc491854324"/>
      <w:bookmarkStart w:id="685" w:name="_Toc535854105"/>
      <w:r w:rsidRPr="00D50F76">
        <w:t>I. szakasz</w:t>
      </w:r>
      <w:bookmarkEnd w:id="684"/>
      <w:bookmarkEnd w:id="685"/>
    </w:p>
    <w:p w:rsidR="005624E3" w:rsidRPr="00D50F76" w:rsidRDefault="005624E3" w:rsidP="005624E3">
      <w:pPr>
        <w:pStyle w:val="ES-Titre3a"/>
        <w:rPr>
          <w:noProof/>
        </w:rPr>
      </w:pPr>
      <w:bookmarkStart w:id="686" w:name="_Toc491854325"/>
      <w:bookmarkStart w:id="687" w:name="_Toc535854106"/>
      <w:r w:rsidRPr="00D50F76">
        <w:t>Kiegészítő rendelkezések</w:t>
      </w:r>
      <w:bookmarkEnd w:id="686"/>
      <w:bookmarkEnd w:id="687"/>
    </w:p>
    <w:p w:rsidR="005624E3" w:rsidRPr="00D50F76" w:rsidRDefault="005624E3" w:rsidP="005624E3">
      <w:pPr>
        <w:ind w:left="709" w:hanging="709"/>
        <w:rPr>
          <w:noProof/>
        </w:rPr>
      </w:pPr>
    </w:p>
    <w:p w:rsidR="005624E3" w:rsidRPr="00D50F76" w:rsidRDefault="005624E3" w:rsidP="005624E3">
      <w:pPr>
        <w:spacing w:line="240" w:lineRule="atLeast"/>
        <w:ind w:left="709" w:hanging="709"/>
        <w:rPr>
          <w:b/>
          <w:noProof/>
        </w:rPr>
      </w:pPr>
      <w:r w:rsidRPr="00D50F76">
        <w:rPr>
          <w:b/>
          <w:noProof/>
        </w:rPr>
        <w:t>1.</w:t>
      </w:r>
      <w:r w:rsidRPr="00D50F76">
        <w:tab/>
      </w:r>
      <w:r w:rsidRPr="00D50F76">
        <w:rPr>
          <w:b/>
          <w:noProof/>
        </w:rPr>
        <w:t>A fedélzeti szennyvízkezelő művek jelölése</w:t>
      </w:r>
    </w:p>
    <w:p w:rsidR="005624E3" w:rsidRPr="00D50F76" w:rsidRDefault="005624E3" w:rsidP="005624E3">
      <w:pPr>
        <w:spacing w:line="240" w:lineRule="atLeast"/>
        <w:ind w:left="709" w:hanging="709"/>
        <w:rPr>
          <w:noProof/>
        </w:rPr>
      </w:pPr>
    </w:p>
    <w:p w:rsidR="005624E3" w:rsidRPr="00D50F76" w:rsidRDefault="005624E3" w:rsidP="005624E3">
      <w:pPr>
        <w:spacing w:line="240" w:lineRule="atLeast"/>
        <w:ind w:left="709" w:hanging="709"/>
        <w:rPr>
          <w:noProof/>
        </w:rPr>
      </w:pPr>
      <w:r w:rsidRPr="00D50F76">
        <w:t>1.1.</w:t>
      </w:r>
      <w:r w:rsidRPr="00D50F76">
        <w:tab/>
        <w:t>A típusjóváhagyás keretében vizsgálat alá vont fedélzeti szennyvízkezelő műveken a következő adatokat (jelöléseket) kell feltüntetni:</w:t>
      </w:r>
    </w:p>
    <w:p w:rsidR="005624E3" w:rsidRPr="00D50F76" w:rsidRDefault="005624E3" w:rsidP="005624E3">
      <w:pPr>
        <w:tabs>
          <w:tab w:val="left" w:leader="dot" w:pos="9072"/>
        </w:tabs>
        <w:spacing w:line="240" w:lineRule="atLeast"/>
        <w:ind w:left="709" w:hanging="709"/>
        <w:rPr>
          <w:rFonts w:cs="Arial"/>
          <w:noProof/>
        </w:rPr>
      </w:pPr>
    </w:p>
    <w:p w:rsidR="005624E3" w:rsidRPr="00D50F76" w:rsidRDefault="005624E3" w:rsidP="005624E3">
      <w:pPr>
        <w:spacing w:line="240" w:lineRule="atLeast"/>
        <w:ind w:left="709" w:hanging="709"/>
        <w:rPr>
          <w:noProof/>
        </w:rPr>
      </w:pPr>
      <w:r w:rsidRPr="00D50F76">
        <w:t>1.1.1.</w:t>
      </w:r>
      <w:r w:rsidRPr="00D50F76">
        <w:tab/>
        <w:t>a gyártó védjegye vagy kereskedelmi neve;</w:t>
      </w:r>
    </w:p>
    <w:p w:rsidR="005624E3" w:rsidRPr="00D50F76" w:rsidRDefault="005624E3" w:rsidP="005624E3">
      <w:pPr>
        <w:spacing w:line="240" w:lineRule="atLeast"/>
        <w:ind w:left="709" w:hanging="709"/>
        <w:rPr>
          <w:noProof/>
        </w:rPr>
      </w:pPr>
    </w:p>
    <w:p w:rsidR="005624E3" w:rsidRPr="00D50F76" w:rsidRDefault="005624E3" w:rsidP="005624E3">
      <w:pPr>
        <w:spacing w:line="240" w:lineRule="atLeast"/>
        <w:ind w:left="709" w:hanging="709"/>
        <w:rPr>
          <w:noProof/>
        </w:rPr>
      </w:pPr>
      <w:r w:rsidRPr="00D50F76">
        <w:t>1.1.2.</w:t>
      </w:r>
      <w:r w:rsidRPr="00D50F76">
        <w:tab/>
        <w:t xml:space="preserve">a fedélzeti szennyvízkezelő mű típusa és </w:t>
      </w:r>
      <w:r w:rsidR="00EA3F15">
        <w:t xml:space="preserve">gyártási </w:t>
      </w:r>
      <w:r w:rsidRPr="00D50F76">
        <w:t>száma;</w:t>
      </w:r>
    </w:p>
    <w:p w:rsidR="005624E3" w:rsidRPr="00D50F76" w:rsidRDefault="005624E3" w:rsidP="005624E3">
      <w:pPr>
        <w:spacing w:line="240" w:lineRule="atLeast"/>
        <w:ind w:left="709" w:hanging="709"/>
        <w:rPr>
          <w:noProof/>
        </w:rPr>
      </w:pPr>
    </w:p>
    <w:p w:rsidR="005624E3" w:rsidRPr="00D50F76" w:rsidRDefault="005624E3" w:rsidP="005624E3">
      <w:pPr>
        <w:spacing w:line="240" w:lineRule="atLeast"/>
        <w:ind w:left="709" w:hanging="709"/>
        <w:rPr>
          <w:noProof/>
        </w:rPr>
      </w:pPr>
      <w:r w:rsidRPr="00D50F76">
        <w:t>1.1.3.</w:t>
      </w:r>
      <w:r w:rsidRPr="00D50F76">
        <w:tab/>
        <w:t>a típusjóváhagyás e melléklet IV. szakasza szerinti száma;</w:t>
      </w:r>
    </w:p>
    <w:p w:rsidR="005624E3" w:rsidRPr="00D50F76" w:rsidRDefault="005624E3" w:rsidP="005624E3">
      <w:pPr>
        <w:spacing w:line="240" w:lineRule="atLeast"/>
        <w:ind w:left="709" w:hanging="709"/>
        <w:rPr>
          <w:noProof/>
        </w:rPr>
      </w:pPr>
    </w:p>
    <w:p w:rsidR="005624E3" w:rsidRPr="00D50F76" w:rsidRDefault="005624E3" w:rsidP="005624E3">
      <w:pPr>
        <w:spacing w:line="240" w:lineRule="atLeast"/>
        <w:ind w:left="709" w:hanging="709"/>
        <w:rPr>
          <w:noProof/>
        </w:rPr>
      </w:pPr>
      <w:r w:rsidRPr="00D50F76">
        <w:t>1.1.4.</w:t>
      </w:r>
      <w:r w:rsidRPr="00D50F76">
        <w:tab/>
        <w:t>a fedélzeti szennyvízkezelő mű gyártásának éve.</w:t>
      </w:r>
    </w:p>
    <w:p w:rsidR="005624E3" w:rsidRPr="00D50F76" w:rsidRDefault="005624E3" w:rsidP="005624E3">
      <w:pPr>
        <w:spacing w:line="240" w:lineRule="atLeast"/>
        <w:ind w:left="709" w:hanging="709"/>
        <w:rPr>
          <w:noProof/>
        </w:rPr>
      </w:pPr>
    </w:p>
    <w:p w:rsidR="005624E3" w:rsidRPr="00D50F76" w:rsidRDefault="005624E3" w:rsidP="005624E3">
      <w:pPr>
        <w:spacing w:line="240" w:lineRule="atLeast"/>
        <w:ind w:left="709" w:hanging="709"/>
        <w:rPr>
          <w:noProof/>
        </w:rPr>
      </w:pPr>
      <w:r w:rsidRPr="00D50F76">
        <w:t>1.2.</w:t>
      </w:r>
      <w:r w:rsidRPr="00D50F76">
        <w:tab/>
        <w:t>Az 1.1. pont szerinti jelölésnek a fedélzeti szennyvízkezelő mű teljes élettartama alatt tartósnak, jól olvashatónak és eltávolíthatatlannak kell lennie. Öntapadó címkék vagy táblák alkalmazása esetén a címkét vagy táblát úgy kell felerősíteni, hogy az a fedélzeti szennyvízkezelő mű teljes élettartama alatt a helyén maradjon, és megrongálása vagy olvashatatlanná tétele nélkül ne lehessen onnan eltávolítani.</w:t>
      </w:r>
    </w:p>
    <w:p w:rsidR="005624E3" w:rsidRPr="00D50F76" w:rsidRDefault="005624E3" w:rsidP="005624E3">
      <w:pPr>
        <w:spacing w:line="240" w:lineRule="atLeast"/>
        <w:ind w:left="709" w:hanging="709"/>
        <w:rPr>
          <w:noProof/>
        </w:rPr>
      </w:pPr>
    </w:p>
    <w:p w:rsidR="005624E3" w:rsidRPr="00D50F76" w:rsidRDefault="005624E3" w:rsidP="005624E3">
      <w:pPr>
        <w:spacing w:line="240" w:lineRule="atLeast"/>
        <w:ind w:left="709" w:hanging="709"/>
        <w:rPr>
          <w:noProof/>
        </w:rPr>
      </w:pPr>
      <w:r w:rsidRPr="00D50F76">
        <w:t>1.3.</w:t>
      </w:r>
      <w:r w:rsidRPr="00D50F76">
        <w:tab/>
        <w:t>A jelölést a fedélzeti szennyvízkezelő mű olyan részén kell elhelyezni, amely szükséges a fedélzeti szennyvízkezelő mű szokásos üzeméhez, és amely a fedélzeti szennyvízkezelő mű élettartama során rendesen nem igényel cserét.</w:t>
      </w:r>
    </w:p>
    <w:p w:rsidR="005624E3" w:rsidRPr="00D50F76" w:rsidRDefault="005624E3" w:rsidP="005624E3">
      <w:pPr>
        <w:spacing w:line="240" w:lineRule="atLeast"/>
        <w:ind w:left="709" w:hanging="709"/>
        <w:rPr>
          <w:noProof/>
        </w:rPr>
      </w:pPr>
    </w:p>
    <w:p w:rsidR="005624E3" w:rsidRPr="00D50F76" w:rsidRDefault="005624E3" w:rsidP="005624E3">
      <w:pPr>
        <w:spacing w:line="240" w:lineRule="atLeast"/>
        <w:ind w:left="709" w:hanging="709"/>
        <w:rPr>
          <w:noProof/>
        </w:rPr>
      </w:pPr>
      <w:r w:rsidRPr="00D50F76">
        <w:t>1.3.1.</w:t>
      </w:r>
      <w:r w:rsidRPr="00D50F76">
        <w:tab/>
        <w:t>A jelölést úgy kell elhelyezni, hogy akkor is jól látható legyen, amikor a fedélzeti szennyvízkezelő művet felszerelték valamennyi, üzemi szempontból szükséges kiegészítő berendezéssel.</w:t>
      </w:r>
    </w:p>
    <w:p w:rsidR="005624E3" w:rsidRPr="00D50F76" w:rsidRDefault="005624E3" w:rsidP="005624E3">
      <w:pPr>
        <w:spacing w:line="240" w:lineRule="atLeast"/>
        <w:ind w:left="709" w:hanging="709"/>
        <w:rPr>
          <w:noProof/>
        </w:rPr>
      </w:pPr>
    </w:p>
    <w:p w:rsidR="005624E3" w:rsidRPr="00D50F76" w:rsidRDefault="005624E3" w:rsidP="005624E3">
      <w:pPr>
        <w:spacing w:line="240" w:lineRule="atLeast"/>
        <w:ind w:left="709" w:hanging="709"/>
        <w:rPr>
          <w:noProof/>
        </w:rPr>
      </w:pPr>
      <w:r w:rsidRPr="00D50F76">
        <w:t>1.3.2.</w:t>
      </w:r>
      <w:r w:rsidRPr="00D50F76">
        <w:tab/>
        <w:t>A fedélzeti szennyvízkezelő műnek szükség esetén egy további, tartós anyagból készült, eltávolítható táblát is viselnie kell, amely tartalmazza az 1.1. pontban meghatározott összes adatot, és amelyet úgy kell elhelyezni, hogy az adatok jól olvashatók és könnyen hozzáférhetők legyenek azt követően is, hogy a fedélzeti szennyvízkezelő művet a hajón rendszerbe állították.</w:t>
      </w:r>
    </w:p>
    <w:p w:rsidR="005624E3" w:rsidRPr="00D50F76" w:rsidRDefault="005624E3" w:rsidP="005624E3">
      <w:pPr>
        <w:spacing w:line="240" w:lineRule="atLeast"/>
        <w:ind w:left="709" w:hanging="709"/>
        <w:rPr>
          <w:noProof/>
        </w:rPr>
      </w:pPr>
    </w:p>
    <w:p w:rsidR="005624E3" w:rsidRPr="00D50F76" w:rsidRDefault="005624E3" w:rsidP="005624E3">
      <w:pPr>
        <w:spacing w:line="240" w:lineRule="atLeast"/>
        <w:ind w:left="709" w:hanging="709"/>
        <w:rPr>
          <w:noProof/>
        </w:rPr>
      </w:pPr>
      <w:r w:rsidRPr="00D50F76">
        <w:t>1.4.</w:t>
      </w:r>
      <w:r w:rsidRPr="00D50F76">
        <w:tab/>
        <w:t>A fedélzeti szennyvízkezelő mű mindazon részeit, amelyek befolyásolhatják a szennyvízkezelés folyamatát, egyértelműen jelölni és azonosítani kell.</w:t>
      </w:r>
    </w:p>
    <w:p w:rsidR="005624E3" w:rsidRPr="00D50F76" w:rsidRDefault="005624E3" w:rsidP="005624E3">
      <w:pPr>
        <w:spacing w:line="240" w:lineRule="atLeast"/>
        <w:ind w:left="709" w:hanging="709"/>
        <w:rPr>
          <w:noProof/>
        </w:rPr>
      </w:pPr>
    </w:p>
    <w:p w:rsidR="005624E3" w:rsidRPr="00D50F76" w:rsidRDefault="005624E3" w:rsidP="005624E3">
      <w:pPr>
        <w:spacing w:line="240" w:lineRule="atLeast"/>
        <w:ind w:left="709" w:hanging="709"/>
        <w:rPr>
          <w:noProof/>
        </w:rPr>
      </w:pPr>
      <w:r w:rsidRPr="00D50F76">
        <w:t>1.5.</w:t>
      </w:r>
      <w:r w:rsidRPr="00D50F76">
        <w:tab/>
        <w:t>Az 1.1. pontban említett jelölés pontos helyét meg kell adni a típusbizonyítvány I. szakaszában.</w:t>
      </w:r>
    </w:p>
    <w:p w:rsidR="005624E3" w:rsidRPr="00D50F76" w:rsidRDefault="005624E3" w:rsidP="005624E3">
      <w:pPr>
        <w:suppressAutoHyphens/>
        <w:spacing w:line="240" w:lineRule="atLeast"/>
        <w:ind w:left="709" w:hanging="709"/>
        <w:rPr>
          <w:rFonts w:cs="Arial"/>
          <w:szCs w:val="20"/>
        </w:rPr>
      </w:pPr>
    </w:p>
    <w:p w:rsidR="005624E3" w:rsidRPr="00D50F76" w:rsidRDefault="005624E3" w:rsidP="005624E3">
      <w:pPr>
        <w:spacing w:line="240" w:lineRule="atLeast"/>
        <w:ind w:left="709" w:hanging="709"/>
        <w:outlineLvl w:val="0"/>
        <w:rPr>
          <w:b/>
          <w:noProof/>
          <w:szCs w:val="20"/>
        </w:rPr>
      </w:pPr>
      <w:r w:rsidRPr="00D50F76">
        <w:rPr>
          <w:b/>
          <w:noProof/>
        </w:rPr>
        <w:t>2.</w:t>
      </w:r>
      <w:r w:rsidRPr="00D50F76">
        <w:tab/>
      </w:r>
      <w:r w:rsidRPr="00D50F76">
        <w:rPr>
          <w:b/>
          <w:noProof/>
        </w:rPr>
        <w:t>Vizsgálatok</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rPr>
          <w:noProof/>
          <w:szCs w:val="20"/>
        </w:rPr>
      </w:pPr>
      <w:r w:rsidRPr="00D50F76">
        <w:t xml:space="preserve">A fedélzeti szennyvízkezelő művek vizsgálati eljárását a IX. szakasz ismerteti. </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hanging="709"/>
        <w:rPr>
          <w:noProof/>
          <w:szCs w:val="20"/>
        </w:rPr>
      </w:pPr>
      <w:r w:rsidRPr="00D50F76">
        <w:br w:type="page"/>
      </w:r>
    </w:p>
    <w:p w:rsidR="005624E3" w:rsidRPr="00D50F76" w:rsidRDefault="005624E3" w:rsidP="005624E3">
      <w:pPr>
        <w:spacing w:line="240" w:lineRule="atLeast"/>
        <w:ind w:left="709" w:hanging="709"/>
        <w:outlineLvl w:val="0"/>
        <w:rPr>
          <w:b/>
          <w:noProof/>
          <w:szCs w:val="20"/>
        </w:rPr>
      </w:pPr>
      <w:r w:rsidRPr="00D50F76">
        <w:rPr>
          <w:b/>
          <w:noProof/>
        </w:rPr>
        <w:t>3.</w:t>
      </w:r>
      <w:r w:rsidRPr="00D50F76">
        <w:tab/>
      </w:r>
      <w:r w:rsidRPr="00D50F76">
        <w:rPr>
          <w:b/>
          <w:noProof/>
        </w:rPr>
        <w:t>A gyártás megfelelőségének értékelése</w:t>
      </w:r>
    </w:p>
    <w:p w:rsidR="005624E3" w:rsidRPr="00D50F76" w:rsidRDefault="005624E3" w:rsidP="005624E3">
      <w:pPr>
        <w:spacing w:line="240" w:lineRule="atLeast"/>
        <w:ind w:left="709" w:hanging="709"/>
        <w:outlineLvl w:val="0"/>
        <w:rPr>
          <w:b/>
          <w:noProof/>
          <w:szCs w:val="20"/>
        </w:rPr>
      </w:pPr>
    </w:p>
    <w:p w:rsidR="005624E3" w:rsidRPr="00D50F76" w:rsidRDefault="005624E3" w:rsidP="005624E3">
      <w:pPr>
        <w:spacing w:line="240" w:lineRule="atLeast"/>
        <w:ind w:left="709" w:hanging="709"/>
        <w:rPr>
          <w:noProof/>
          <w:szCs w:val="20"/>
        </w:rPr>
      </w:pPr>
      <w:r w:rsidRPr="00D50F76">
        <w:t>3.1.</w:t>
      </w:r>
      <w:r w:rsidRPr="00D50F76">
        <w:tab/>
      </w:r>
      <w:r w:rsidRPr="00D50F76">
        <w:rPr>
          <w:rFonts w:ascii="ArialMT" w:hAnsi="ArialMT"/>
        </w:rPr>
        <w:t xml:space="preserve">A gyártásmegfelelőség ellenőrizhetőségének biztosítását szolgáló kielégítő intézkedések és eljárások meglétére vonatkozóan a típusjóváhagyás kibocsátása előtt végrehajtandó ellenőrzésekkel összefüggésben az illetékes hatóság a követelmények teljesülésének igazolására elfogadja a gyártónak az EN ISO 9001:2015 harmonizált szabvány (amelynek alkalmazási területe kiterjed az adott fedélzeti szennyvízkezelő művek gyártására) vagy más egyenértékű tanúsítási szabvány szerinti nyilvántartásba vételt. </w:t>
      </w:r>
      <w:r w:rsidRPr="00D50F76">
        <w:t xml:space="preserve">A gyártó köteles rendelkezésre bocsátani a nyilvántartásba vétel részletes adatait, továbbá köteles vállalni, hogy tájékoztatja az illetékes hatóságot minden olyan felülvizsgálatról, amely érinti e nyilvántartásba vétel érvényességét vagy alkalmazási területét. A 18.01. cikk 2–5. bekezdésében foglalt követelmények folyamatos teljesülésének biztosítása érdekében megfelelő gyártásellenőrző vizsgálatokat kell végezni. </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hanging="709"/>
        <w:rPr>
          <w:noProof/>
          <w:szCs w:val="20"/>
        </w:rPr>
      </w:pPr>
      <w:r w:rsidRPr="00D50F76">
        <w:t>3.2.</w:t>
      </w:r>
      <w:r w:rsidRPr="00D50F76">
        <w:tab/>
        <w:t>A típusjóváhagyás jogosultjának:</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hanging="709"/>
        <w:rPr>
          <w:noProof/>
          <w:szCs w:val="20"/>
        </w:rPr>
      </w:pPr>
      <w:r w:rsidRPr="00D50F76">
        <w:t>3.2.1.</w:t>
      </w:r>
      <w:r w:rsidRPr="00D50F76">
        <w:tab/>
        <w:t xml:space="preserve">gondoskodnia kell a termék minőségének ellenőrizhetőségét biztosító eljárások meglétéről; </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hanging="709"/>
        <w:rPr>
          <w:noProof/>
          <w:szCs w:val="20"/>
        </w:rPr>
      </w:pPr>
      <w:r w:rsidRPr="00D50F76">
        <w:t>3.2.2.</w:t>
      </w:r>
      <w:r w:rsidRPr="00D50F76">
        <w:tab/>
        <w:t xml:space="preserve">hozzá kell férnie azokhoz a vizsgálóberendezésekhez, amelyek szükségesek a típusjóváhagyás keretében jóváhagyott típusok megfelelő voltának ellenőrzéséhez; </w:t>
      </w:r>
    </w:p>
    <w:p w:rsidR="005624E3" w:rsidRPr="00D50F76" w:rsidRDefault="005624E3" w:rsidP="005624E3">
      <w:pPr>
        <w:ind w:left="850" w:hanging="850"/>
        <w:rPr>
          <w:noProof/>
          <w:szCs w:val="20"/>
        </w:rPr>
      </w:pPr>
    </w:p>
    <w:p w:rsidR="005624E3" w:rsidRPr="00D50F76" w:rsidRDefault="005624E3" w:rsidP="005624E3">
      <w:pPr>
        <w:spacing w:line="240" w:lineRule="atLeast"/>
        <w:ind w:left="709" w:hanging="709"/>
        <w:rPr>
          <w:noProof/>
          <w:szCs w:val="20"/>
        </w:rPr>
      </w:pPr>
      <w:r w:rsidRPr="00D50F76">
        <w:t>3.2.3.</w:t>
      </w:r>
      <w:r w:rsidRPr="00D50F76">
        <w:tab/>
        <w:t xml:space="preserve">biztosítania kell a vizsgálatok eredményeinek jegyzőkönyvezését, valamint azt, hogy a jegyzőkönyvek és minden lényeges kapcsolódó dokumentum az illetékes hatóság egyetértésével meghatározandó időtartamig hozzáférhetők legyenek; </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hanging="709"/>
        <w:rPr>
          <w:noProof/>
          <w:szCs w:val="20"/>
        </w:rPr>
      </w:pPr>
      <w:r w:rsidRPr="00D50F76">
        <w:t>3.2.4.</w:t>
      </w:r>
      <w:r w:rsidRPr="00D50F76">
        <w:tab/>
        <w:t xml:space="preserve">részletesen elemeznie kell valamennyi vizsgálattípus eredményeit annak ellenőrzése és biztosítása érdekében, hogy a fedélzeti szennyvízkezelő művek jellemzői – a sorozat gyártása során óhatatlanul előforduló rendes eltérések figyelembevételével – egyöntetűek legyenek; </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hanging="709"/>
        <w:rPr>
          <w:noProof/>
          <w:szCs w:val="20"/>
        </w:rPr>
      </w:pPr>
      <w:r w:rsidRPr="00D50F76">
        <w:t>3.2.5.</w:t>
      </w:r>
      <w:r w:rsidRPr="00D50F76">
        <w:tab/>
        <w:t>biztosítania kell, hogy további mintavételeket és vizsgálatokat vonjon maga után minden olyan, a fedélzeti szennyvízkezelő műből vett minta és minden olyan vizsgálati darab, amely az adott vizsgálattípus elvégzése során a gyártás meg nem felelőségére enged következtetni, és a gyártás megfelelőségének helyreállítása érdekében minden szükséges intézkedésre sor kerüljön.</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hanging="709"/>
        <w:rPr>
          <w:noProof/>
          <w:szCs w:val="20"/>
        </w:rPr>
      </w:pPr>
      <w:r w:rsidRPr="00D50F76">
        <w:t>3.3.</w:t>
      </w:r>
      <w:r w:rsidRPr="00D50F76">
        <w:tab/>
        <w:t>Az illetékes hatóság, amely a típusjóváhagyást kibocsátotta, bármikor jogosult ellenőrizni a gyártás megfelelőségének az egyes gyártóüzemekben alkalmazott ellenőrzési módszereit.</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hanging="709"/>
        <w:rPr>
          <w:noProof/>
          <w:szCs w:val="20"/>
        </w:rPr>
      </w:pPr>
      <w:r w:rsidRPr="00D50F76">
        <w:t>3.3.1.</w:t>
      </w:r>
      <w:r w:rsidRPr="00D50F76">
        <w:tab/>
        <w:t>A vizsgálati és a gyártási dokumentációt minden vizsgálat végrehajtásakor a vizsgálatot végző személy rendelkezésére kell bocsátani.</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hanging="709"/>
        <w:rPr>
          <w:noProof/>
          <w:szCs w:val="20"/>
        </w:rPr>
      </w:pPr>
      <w:r w:rsidRPr="00D50F76">
        <w:t>3.3.2.</w:t>
      </w:r>
      <w:r w:rsidRPr="00D50F76">
        <w:tab/>
        <w:t>Ha a vizsgálatok minősége nem tűnik kielégítőnek, a következők szerint kell eljárni:</w:t>
      </w:r>
    </w:p>
    <w:p w:rsidR="005624E3" w:rsidRPr="00D50F76" w:rsidRDefault="005624E3" w:rsidP="005624E3">
      <w:pPr>
        <w:spacing w:line="240" w:lineRule="atLeast"/>
        <w:ind w:left="709" w:hanging="709"/>
        <w:rPr>
          <w:noProof/>
          <w:szCs w:val="20"/>
        </w:rPr>
      </w:pPr>
    </w:p>
    <w:p w:rsidR="005624E3" w:rsidRPr="00D50F76" w:rsidRDefault="005624E3" w:rsidP="005624E3">
      <w:pPr>
        <w:spacing w:line="240" w:lineRule="atLeast"/>
        <w:ind w:left="709" w:hanging="709"/>
        <w:rPr>
          <w:noProof/>
          <w:szCs w:val="20"/>
        </w:rPr>
      </w:pPr>
      <w:r w:rsidRPr="00D50F76">
        <w:t>3.3.2.1.</w:t>
      </w:r>
      <w:r w:rsidRPr="00D50F76">
        <w:tab/>
        <w:t>A sorozatból ki kell venni egy fedélzeti szennykezelő művet, és egynapi üzem után, szúrópróbaszerű mintákon végrehajtott mérések útján, a IX. szakasz szerinti szokásos terhelés alkalmazásával vizsgálat alá kell vonni. A kezelt szennyvíz által mutatott értékek – a IX. szakasz szerinti vizsgálati módszerrel összhangban – nem haladhatják meg a 18.01. cikk 2. bekezdésének 2. táblázatában meghatározott értékeket.</w:t>
      </w:r>
    </w:p>
    <w:p w:rsidR="005624E3" w:rsidRPr="00D50F76" w:rsidRDefault="005624E3" w:rsidP="005624E3">
      <w:pPr>
        <w:tabs>
          <w:tab w:val="left" w:pos="709"/>
          <w:tab w:val="left" w:pos="851"/>
        </w:tabs>
        <w:suppressAutoHyphens/>
        <w:spacing w:line="240" w:lineRule="atLeast"/>
        <w:ind w:left="709" w:hanging="709"/>
        <w:rPr>
          <w:noProof/>
          <w:szCs w:val="20"/>
        </w:rPr>
      </w:pPr>
    </w:p>
    <w:p w:rsidR="005624E3" w:rsidRPr="00D50F76" w:rsidRDefault="005624E3" w:rsidP="005624E3">
      <w:pPr>
        <w:tabs>
          <w:tab w:val="left" w:pos="709"/>
          <w:tab w:val="left" w:pos="851"/>
        </w:tabs>
        <w:suppressAutoHyphens/>
        <w:spacing w:line="240" w:lineRule="atLeast"/>
        <w:ind w:left="709" w:hanging="709"/>
        <w:rPr>
          <w:noProof/>
          <w:szCs w:val="20"/>
        </w:rPr>
      </w:pPr>
      <w:r w:rsidRPr="00D50F76">
        <w:br w:type="page"/>
      </w:r>
    </w:p>
    <w:p w:rsidR="005624E3" w:rsidRPr="00D50F76" w:rsidRDefault="005624E3" w:rsidP="005624E3">
      <w:pPr>
        <w:tabs>
          <w:tab w:val="left" w:pos="709"/>
          <w:tab w:val="left" w:pos="851"/>
        </w:tabs>
        <w:suppressAutoHyphens/>
        <w:spacing w:line="240" w:lineRule="atLeast"/>
        <w:ind w:left="709" w:hanging="709"/>
        <w:rPr>
          <w:noProof/>
          <w:szCs w:val="20"/>
        </w:rPr>
      </w:pPr>
      <w:r w:rsidRPr="00D50F76">
        <w:t>3.3.2.2.</w:t>
      </w:r>
      <w:r w:rsidRPr="00D50F76">
        <w:tab/>
        <w:t xml:space="preserve">Ha a sorozatból kiválasztott fedélzeti szennyvízkezelő művek valamelyike nem teljesíti a 3.3.2.1. pont követelményeit, akkor a gyártó új mérések elvégzését kérheti, amelyeket az ugyanazon specifikáció alapján legyártott és ugyanabból a sorozatból kiválasztott meghatározott számú fedélzeti szennyvízkezelő műből szúrópróbaszerűen vett egyedi mintán kell végrehajtani. Ennek az új mintának magában kell foglalnia az eredetileg kiválasztott fedélzeti szennyvízkezelő művet is. </w:t>
      </w:r>
    </w:p>
    <w:p w:rsidR="005624E3" w:rsidRPr="00D50F76" w:rsidRDefault="005624E3" w:rsidP="005624E3">
      <w:pPr>
        <w:tabs>
          <w:tab w:val="left" w:pos="709"/>
          <w:tab w:val="left" w:pos="851"/>
        </w:tabs>
        <w:suppressAutoHyphens/>
        <w:spacing w:line="240" w:lineRule="atLeast"/>
        <w:ind w:left="709" w:hanging="709"/>
        <w:rPr>
          <w:noProof/>
          <w:szCs w:val="20"/>
        </w:rPr>
      </w:pPr>
    </w:p>
    <w:p w:rsidR="005624E3" w:rsidRPr="00D50F76" w:rsidRDefault="005624E3" w:rsidP="005624E3">
      <w:pPr>
        <w:tabs>
          <w:tab w:val="left" w:pos="709"/>
        </w:tabs>
        <w:suppressAutoHyphens/>
        <w:spacing w:line="240" w:lineRule="atLeast"/>
        <w:ind w:left="709"/>
        <w:rPr>
          <w:noProof/>
          <w:szCs w:val="20"/>
        </w:rPr>
      </w:pPr>
      <w:r w:rsidRPr="00D50F76">
        <w:t xml:space="preserve">Az </w:t>
      </w:r>
      <m:oMath>
        <m:r>
          <w:rPr>
            <w:rFonts w:ascii="Cambria Math" w:hAnsi="Cambria Math"/>
            <w:noProof/>
            <w:szCs w:val="20"/>
          </w:rPr>
          <m:t>'n'</m:t>
        </m:r>
      </m:oMath>
      <w:r w:rsidRPr="00D50F76">
        <w:t xml:space="preserve"> mintanagyságot – az illetékes hatósággal egyeztetve – a gyártó határozza meg. A kiválasztott fedélzeti szennyvízkezelő műveket – az eredetileg kiválasztott darab kivételével – szúrópróbaszerűen vett mintákon végrehajtott mérések útján vizsgálat alá kell vonni. Ezt követően meg kell határozni a fedélzeti szennyvízkezelő művek szúrópróbaszerű mintáin alapuló eredmények </w:t>
      </w:r>
      <m:oMath>
        <m:r>
          <w:rPr>
            <w:rFonts w:ascii="Cambria Math" w:hAnsi="Cambria Math"/>
            <w:noProof/>
            <w:szCs w:val="20"/>
          </w:rPr>
          <m:t>(</m:t>
        </m:r>
        <m:acc>
          <m:accPr>
            <m:chr m:val="̅"/>
            <m:ctrlPr>
              <w:rPr>
                <w:rFonts w:ascii="Cambria Math" w:hAnsi="Cambria Math"/>
                <w:i/>
                <w:noProof/>
                <w:szCs w:val="20"/>
              </w:rPr>
            </m:ctrlPr>
          </m:accPr>
          <m:e>
            <m:r>
              <w:rPr>
                <w:rFonts w:ascii="Cambria Math" w:hAnsi="Cambria Math"/>
                <w:noProof/>
                <w:szCs w:val="20"/>
              </w:rPr>
              <m:t>x</m:t>
            </m:r>
          </m:e>
        </m:acc>
        <m:r>
          <w:rPr>
            <w:rFonts w:ascii="Cambria Math" w:hAnsi="Cambria Math"/>
            <w:noProof/>
            <w:szCs w:val="20"/>
          </w:rPr>
          <m:t>)</m:t>
        </m:r>
      </m:oMath>
      <w:r w:rsidRPr="00D50F76">
        <w:t xml:space="preserve"> </w:t>
      </w:r>
      <w:r w:rsidRPr="00D50F76">
        <w:br/>
        <w:t>számtani közepét. A sorozat gyártása akkor tekinthető megfelelőnek, ha teljesül a következő feltétel:</w:t>
      </w:r>
    </w:p>
    <w:p w:rsidR="005624E3" w:rsidRPr="00D50F76" w:rsidRDefault="005624E3" w:rsidP="005624E3">
      <w:pPr>
        <w:suppressAutoHyphens/>
        <w:spacing w:line="240" w:lineRule="atLeast"/>
        <w:rPr>
          <w:noProof/>
          <w:szCs w:val="20"/>
        </w:rPr>
      </w:pPr>
    </w:p>
    <w:p w:rsidR="005624E3" w:rsidRPr="00C903F8" w:rsidRDefault="003142CA" w:rsidP="005624E3">
      <w:pPr>
        <w:suppressAutoHyphens/>
        <w:spacing w:line="240" w:lineRule="atLeast"/>
        <w:rPr>
          <w:noProof/>
          <w:szCs w:val="20"/>
        </w:rPr>
      </w:pPr>
      <m:oMathPara>
        <m:oMath>
          <m:acc>
            <m:accPr>
              <m:chr m:val="̅"/>
              <m:ctrlPr>
                <w:rPr>
                  <w:rFonts w:ascii="Cambria Math" w:hAnsi="Cambria Math"/>
                  <w:i/>
                  <w:noProof/>
                  <w:szCs w:val="20"/>
                </w:rPr>
              </m:ctrlPr>
            </m:accPr>
            <m:e>
              <m:r>
                <w:rPr>
                  <w:rFonts w:ascii="Cambria Math" w:hAnsi="Cambria Math"/>
                  <w:noProof/>
                  <w:szCs w:val="20"/>
                </w:rPr>
                <m:t>x</m:t>
              </m:r>
            </m:e>
          </m:acc>
          <m:r>
            <w:rPr>
              <w:rFonts w:ascii="Cambria Math" w:hAnsi="Cambria Math"/>
              <w:noProof/>
              <w:szCs w:val="20"/>
            </w:rPr>
            <m:t xml:space="preserve">+k ∙  </m:t>
          </m:r>
          <m:sSub>
            <m:sSubPr>
              <m:ctrlPr>
                <w:rPr>
                  <w:rFonts w:ascii="Cambria Math" w:hAnsi="Cambria Math"/>
                  <w:i/>
                  <w:noProof/>
                  <w:szCs w:val="20"/>
                </w:rPr>
              </m:ctrlPr>
            </m:sSubPr>
            <m:e>
              <m:r>
                <w:rPr>
                  <w:rFonts w:ascii="Cambria Math" w:hAnsi="Cambria Math"/>
                  <w:noProof/>
                  <w:szCs w:val="20"/>
                </w:rPr>
                <m:t>S</m:t>
              </m:r>
            </m:e>
            <m:sub>
              <m:r>
                <w:rPr>
                  <w:rFonts w:ascii="Cambria Math" w:hAnsi="Cambria Math"/>
                  <w:noProof/>
                  <w:szCs w:val="20"/>
                </w:rPr>
                <m:t>t</m:t>
              </m:r>
            </m:sub>
          </m:sSub>
          <m:r>
            <w:rPr>
              <w:rFonts w:ascii="Cambria Math" w:hAnsi="Cambria Math"/>
              <w:noProof/>
              <w:szCs w:val="20"/>
            </w:rPr>
            <m:t xml:space="preserve"> ≤L</m:t>
          </m:r>
        </m:oMath>
      </m:oMathPara>
    </w:p>
    <w:p w:rsidR="005624E3" w:rsidRPr="00C903F8" w:rsidRDefault="005624E3" w:rsidP="005624E3">
      <w:pPr>
        <w:tabs>
          <w:tab w:val="left" w:pos="709"/>
        </w:tabs>
        <w:suppressAutoHyphens/>
        <w:overflowPunct w:val="0"/>
        <w:spacing w:line="240" w:lineRule="atLeast"/>
        <w:ind w:left="709"/>
        <w:textAlignment w:val="baseline"/>
        <w:rPr>
          <w:rFonts w:cs="Arial"/>
          <w:szCs w:val="20"/>
        </w:rPr>
      </w:pPr>
    </w:p>
    <w:p w:rsidR="005624E3" w:rsidRPr="00C903F8" w:rsidRDefault="005624E3" w:rsidP="005624E3">
      <w:pPr>
        <w:tabs>
          <w:tab w:val="left" w:pos="709"/>
        </w:tabs>
        <w:suppressAutoHyphens/>
        <w:overflowPunct w:val="0"/>
        <w:spacing w:line="240" w:lineRule="atLeast"/>
        <w:ind w:left="709"/>
        <w:textAlignment w:val="baseline"/>
        <w:rPr>
          <w:rFonts w:cs="Arial"/>
          <w:szCs w:val="20"/>
        </w:rPr>
      </w:pPr>
      <w:r>
        <w:t>Ahol:</w:t>
      </w:r>
    </w:p>
    <w:p w:rsidR="005624E3" w:rsidRPr="00C903F8" w:rsidRDefault="005624E3" w:rsidP="005624E3">
      <w:pPr>
        <w:tabs>
          <w:tab w:val="left" w:pos="709"/>
          <w:tab w:val="left" w:pos="851"/>
        </w:tabs>
        <w:suppressAutoHyphens/>
        <w:spacing w:line="240" w:lineRule="atLeast"/>
        <w:ind w:left="709" w:hanging="709"/>
        <w:rPr>
          <w:rFonts w:cs="Arial"/>
          <w:szCs w:val="20"/>
        </w:rPr>
      </w:pPr>
      <w:r>
        <w:tab/>
      </w:r>
      <m:oMath>
        <m:r>
          <w:rPr>
            <w:rFonts w:ascii="Cambria Math" w:hAnsi="Cambria Math" w:cs="Arial"/>
            <w:szCs w:val="20"/>
          </w:rPr>
          <m:t>k</m:t>
        </m:r>
      </m:oMath>
      <w:r>
        <w:t>:</w:t>
      </w:r>
      <w:r>
        <w:tab/>
        <w:t xml:space="preserve">a következő táblázat szerinti, </w:t>
      </w:r>
      <m:oMath>
        <m:r>
          <w:rPr>
            <w:rFonts w:ascii="Cambria Math" w:hAnsi="Cambria Math"/>
            <w:noProof/>
            <w:szCs w:val="20"/>
          </w:rPr>
          <m:t>'n'</m:t>
        </m:r>
      </m:oMath>
      <w:r>
        <w:t>-től függő statisztikai tényező:</w:t>
      </w:r>
    </w:p>
    <w:p w:rsidR="005624E3" w:rsidRPr="00C903F8" w:rsidRDefault="005624E3" w:rsidP="005624E3">
      <w:pPr>
        <w:tabs>
          <w:tab w:val="left" w:pos="709"/>
          <w:tab w:val="left" w:pos="851"/>
        </w:tabs>
        <w:suppressAutoHyphens/>
        <w:spacing w:line="240" w:lineRule="atLeast"/>
        <w:ind w:left="709" w:hanging="709"/>
        <w:rPr>
          <w:rFonts w:cs="Arial"/>
          <w:szCs w:val="20"/>
        </w:rPr>
      </w:pPr>
    </w:p>
    <w:tbl>
      <w:tblPr>
        <w:tblW w:w="0" w:type="auto"/>
        <w:jc w:val="center"/>
        <w:tblLayout w:type="fixed"/>
        <w:tblCellMar>
          <w:left w:w="70" w:type="dxa"/>
          <w:right w:w="70" w:type="dxa"/>
        </w:tblCellMar>
        <w:tblLook w:val="0000" w:firstRow="0" w:lastRow="0" w:firstColumn="0" w:lastColumn="0" w:noHBand="0" w:noVBand="0"/>
      </w:tblPr>
      <w:tblGrid>
        <w:gridCol w:w="709"/>
        <w:gridCol w:w="850"/>
        <w:gridCol w:w="851"/>
        <w:gridCol w:w="850"/>
        <w:gridCol w:w="851"/>
        <w:gridCol w:w="850"/>
        <w:gridCol w:w="851"/>
        <w:gridCol w:w="850"/>
        <w:gridCol w:w="851"/>
        <w:gridCol w:w="975"/>
      </w:tblGrid>
      <w:tr w:rsidR="005624E3" w:rsidRPr="00C903F8" w:rsidTr="00101A80">
        <w:trPr>
          <w:jc w:val="center"/>
        </w:trPr>
        <w:tc>
          <w:tcPr>
            <w:tcW w:w="709"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m:oMathPara>
              <m:oMath>
                <m:r>
                  <w:rPr>
                    <w:rFonts w:ascii="Cambria Math" w:hAnsi="Cambria Math"/>
                    <w:noProof/>
                    <w:szCs w:val="20"/>
                  </w:rPr>
                  <m:t>n</m:t>
                </m:r>
              </m:oMath>
            </m:oMathPara>
          </w:p>
        </w:tc>
        <w:tc>
          <w:tcPr>
            <w:tcW w:w="850"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2</w:t>
            </w:r>
          </w:p>
        </w:tc>
        <w:tc>
          <w:tcPr>
            <w:tcW w:w="851"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3.</w:t>
            </w:r>
          </w:p>
        </w:tc>
        <w:tc>
          <w:tcPr>
            <w:tcW w:w="850"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4.</w:t>
            </w:r>
          </w:p>
        </w:tc>
        <w:tc>
          <w:tcPr>
            <w:tcW w:w="851"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5.</w:t>
            </w:r>
          </w:p>
        </w:tc>
        <w:tc>
          <w:tcPr>
            <w:tcW w:w="850"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6.</w:t>
            </w:r>
          </w:p>
        </w:tc>
        <w:tc>
          <w:tcPr>
            <w:tcW w:w="851"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7.</w:t>
            </w:r>
          </w:p>
        </w:tc>
        <w:tc>
          <w:tcPr>
            <w:tcW w:w="850"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8.</w:t>
            </w:r>
          </w:p>
        </w:tc>
        <w:tc>
          <w:tcPr>
            <w:tcW w:w="851"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9.</w:t>
            </w:r>
          </w:p>
        </w:tc>
        <w:tc>
          <w:tcPr>
            <w:tcW w:w="975" w:type="dxa"/>
            <w:tcBorders>
              <w:top w:val="single" w:sz="4" w:space="0" w:color="000000"/>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10.</w:t>
            </w:r>
          </w:p>
        </w:tc>
      </w:tr>
      <w:tr w:rsidR="005624E3" w:rsidRPr="00C903F8" w:rsidTr="00101A80">
        <w:trPr>
          <w:jc w:val="center"/>
        </w:trPr>
        <w:tc>
          <w:tcPr>
            <w:tcW w:w="709" w:type="dxa"/>
            <w:tcBorders>
              <w:top w:val="single" w:sz="4" w:space="0" w:color="000000"/>
              <w:left w:val="single" w:sz="4" w:space="0" w:color="000000"/>
              <w:bottom w:val="double" w:sz="4" w:space="0" w:color="auto"/>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m:oMathPara>
              <m:oMath>
                <m:r>
                  <w:rPr>
                    <w:rFonts w:ascii="Cambria Math" w:hAnsi="Cambria Math" w:cs="Arial"/>
                    <w:szCs w:val="20"/>
                  </w:rPr>
                  <m:t>k</m:t>
                </m:r>
              </m:oMath>
            </m:oMathPara>
          </w:p>
        </w:tc>
        <w:tc>
          <w:tcPr>
            <w:tcW w:w="850" w:type="dxa"/>
            <w:tcBorders>
              <w:top w:val="single" w:sz="4" w:space="0" w:color="000000"/>
              <w:left w:val="single" w:sz="4" w:space="0" w:color="000000"/>
              <w:bottom w:val="double" w:sz="4" w:space="0" w:color="auto"/>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0,973</w:t>
            </w:r>
          </w:p>
        </w:tc>
        <w:tc>
          <w:tcPr>
            <w:tcW w:w="851" w:type="dxa"/>
            <w:tcBorders>
              <w:top w:val="single" w:sz="4" w:space="0" w:color="000000"/>
              <w:left w:val="single" w:sz="4" w:space="0" w:color="000000"/>
              <w:bottom w:val="double" w:sz="4" w:space="0" w:color="auto"/>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0,613</w:t>
            </w:r>
          </w:p>
        </w:tc>
        <w:tc>
          <w:tcPr>
            <w:tcW w:w="850" w:type="dxa"/>
            <w:tcBorders>
              <w:top w:val="single" w:sz="4" w:space="0" w:color="000000"/>
              <w:left w:val="single" w:sz="4" w:space="0" w:color="000000"/>
              <w:bottom w:val="double" w:sz="4" w:space="0" w:color="auto"/>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0,489</w:t>
            </w:r>
          </w:p>
        </w:tc>
        <w:tc>
          <w:tcPr>
            <w:tcW w:w="851" w:type="dxa"/>
            <w:tcBorders>
              <w:top w:val="single" w:sz="4" w:space="0" w:color="000000"/>
              <w:left w:val="single" w:sz="4" w:space="0" w:color="000000"/>
              <w:bottom w:val="double" w:sz="4" w:space="0" w:color="auto"/>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0,421</w:t>
            </w:r>
          </w:p>
        </w:tc>
        <w:tc>
          <w:tcPr>
            <w:tcW w:w="850" w:type="dxa"/>
            <w:tcBorders>
              <w:top w:val="single" w:sz="4" w:space="0" w:color="000000"/>
              <w:left w:val="single" w:sz="4" w:space="0" w:color="000000"/>
              <w:bottom w:val="double" w:sz="4" w:space="0" w:color="auto"/>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0,376</w:t>
            </w:r>
          </w:p>
        </w:tc>
        <w:tc>
          <w:tcPr>
            <w:tcW w:w="851" w:type="dxa"/>
            <w:tcBorders>
              <w:top w:val="single" w:sz="4" w:space="0" w:color="000000"/>
              <w:left w:val="single" w:sz="4" w:space="0" w:color="000000"/>
              <w:bottom w:val="double" w:sz="4" w:space="0" w:color="auto"/>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0,342</w:t>
            </w:r>
          </w:p>
        </w:tc>
        <w:tc>
          <w:tcPr>
            <w:tcW w:w="850" w:type="dxa"/>
            <w:tcBorders>
              <w:top w:val="single" w:sz="4" w:space="0" w:color="000000"/>
              <w:left w:val="single" w:sz="4" w:space="0" w:color="000000"/>
              <w:bottom w:val="double" w:sz="4" w:space="0" w:color="auto"/>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0,317</w:t>
            </w:r>
          </w:p>
        </w:tc>
        <w:tc>
          <w:tcPr>
            <w:tcW w:w="851" w:type="dxa"/>
            <w:tcBorders>
              <w:top w:val="single" w:sz="4" w:space="0" w:color="000000"/>
              <w:left w:val="single" w:sz="4" w:space="0" w:color="000000"/>
              <w:bottom w:val="double" w:sz="4" w:space="0" w:color="auto"/>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0,296</w:t>
            </w:r>
          </w:p>
        </w:tc>
        <w:tc>
          <w:tcPr>
            <w:tcW w:w="975" w:type="dxa"/>
            <w:tcBorders>
              <w:top w:val="single" w:sz="4" w:space="0" w:color="000000"/>
              <w:left w:val="single" w:sz="4" w:space="0" w:color="000000"/>
              <w:bottom w:val="double" w:sz="4" w:space="0" w:color="auto"/>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0,279</w:t>
            </w:r>
          </w:p>
        </w:tc>
      </w:tr>
      <w:tr w:rsidR="005624E3" w:rsidRPr="00C903F8" w:rsidTr="00101A80">
        <w:trPr>
          <w:jc w:val="center"/>
        </w:trPr>
        <w:tc>
          <w:tcPr>
            <w:tcW w:w="709" w:type="dxa"/>
            <w:tcBorders>
              <w:top w:val="double" w:sz="4" w:space="0" w:color="auto"/>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m:oMathPara>
              <m:oMath>
                <m:r>
                  <w:rPr>
                    <w:rFonts w:ascii="Cambria Math" w:hAnsi="Cambria Math"/>
                    <w:noProof/>
                    <w:szCs w:val="20"/>
                  </w:rPr>
                  <m:t>n</m:t>
                </m:r>
              </m:oMath>
            </m:oMathPara>
          </w:p>
        </w:tc>
        <w:tc>
          <w:tcPr>
            <w:tcW w:w="850" w:type="dxa"/>
            <w:tcBorders>
              <w:top w:val="double" w:sz="4" w:space="0" w:color="auto"/>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11.</w:t>
            </w:r>
          </w:p>
        </w:tc>
        <w:tc>
          <w:tcPr>
            <w:tcW w:w="851" w:type="dxa"/>
            <w:tcBorders>
              <w:top w:val="double" w:sz="4" w:space="0" w:color="auto"/>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12.</w:t>
            </w:r>
          </w:p>
        </w:tc>
        <w:tc>
          <w:tcPr>
            <w:tcW w:w="850" w:type="dxa"/>
            <w:tcBorders>
              <w:top w:val="double" w:sz="4" w:space="0" w:color="auto"/>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13.</w:t>
            </w:r>
          </w:p>
        </w:tc>
        <w:tc>
          <w:tcPr>
            <w:tcW w:w="851" w:type="dxa"/>
            <w:tcBorders>
              <w:top w:val="double" w:sz="4" w:space="0" w:color="auto"/>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14.</w:t>
            </w:r>
          </w:p>
        </w:tc>
        <w:tc>
          <w:tcPr>
            <w:tcW w:w="850" w:type="dxa"/>
            <w:tcBorders>
              <w:top w:val="double" w:sz="4" w:space="0" w:color="auto"/>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15.</w:t>
            </w:r>
          </w:p>
        </w:tc>
        <w:tc>
          <w:tcPr>
            <w:tcW w:w="851" w:type="dxa"/>
            <w:tcBorders>
              <w:top w:val="double" w:sz="4" w:space="0" w:color="auto"/>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16.</w:t>
            </w:r>
          </w:p>
        </w:tc>
        <w:tc>
          <w:tcPr>
            <w:tcW w:w="850" w:type="dxa"/>
            <w:tcBorders>
              <w:top w:val="double" w:sz="4" w:space="0" w:color="auto"/>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17.</w:t>
            </w:r>
          </w:p>
        </w:tc>
        <w:tc>
          <w:tcPr>
            <w:tcW w:w="851" w:type="dxa"/>
            <w:tcBorders>
              <w:top w:val="double" w:sz="4" w:space="0" w:color="auto"/>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18.</w:t>
            </w:r>
          </w:p>
        </w:tc>
        <w:tc>
          <w:tcPr>
            <w:tcW w:w="975" w:type="dxa"/>
            <w:tcBorders>
              <w:top w:val="double" w:sz="4" w:space="0" w:color="auto"/>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19.</w:t>
            </w:r>
          </w:p>
        </w:tc>
      </w:tr>
      <w:tr w:rsidR="005624E3" w:rsidRPr="00C903F8" w:rsidTr="00101A80">
        <w:trPr>
          <w:jc w:val="center"/>
        </w:trPr>
        <w:tc>
          <w:tcPr>
            <w:tcW w:w="709"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m:oMathPara>
              <m:oMath>
                <m:r>
                  <w:rPr>
                    <w:rFonts w:ascii="Cambria Math" w:hAnsi="Cambria Math" w:cs="Arial"/>
                    <w:szCs w:val="20"/>
                  </w:rPr>
                  <m:t>k</m:t>
                </m:r>
              </m:oMath>
            </m:oMathPara>
          </w:p>
        </w:tc>
        <w:tc>
          <w:tcPr>
            <w:tcW w:w="850"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0,265</w:t>
            </w:r>
          </w:p>
        </w:tc>
        <w:tc>
          <w:tcPr>
            <w:tcW w:w="851"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0,253</w:t>
            </w:r>
          </w:p>
        </w:tc>
        <w:tc>
          <w:tcPr>
            <w:tcW w:w="850"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0,242</w:t>
            </w:r>
          </w:p>
        </w:tc>
        <w:tc>
          <w:tcPr>
            <w:tcW w:w="851"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0,233</w:t>
            </w:r>
          </w:p>
        </w:tc>
        <w:tc>
          <w:tcPr>
            <w:tcW w:w="850"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0,224</w:t>
            </w:r>
          </w:p>
        </w:tc>
        <w:tc>
          <w:tcPr>
            <w:tcW w:w="851"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0,216</w:t>
            </w:r>
          </w:p>
        </w:tc>
        <w:tc>
          <w:tcPr>
            <w:tcW w:w="850"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0,210</w:t>
            </w:r>
          </w:p>
        </w:tc>
        <w:tc>
          <w:tcPr>
            <w:tcW w:w="851"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0,203</w:t>
            </w:r>
          </w:p>
        </w:tc>
        <w:tc>
          <w:tcPr>
            <w:tcW w:w="975" w:type="dxa"/>
            <w:tcBorders>
              <w:top w:val="single" w:sz="4" w:space="0" w:color="000000"/>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60" w:after="60" w:line="240" w:lineRule="atLeast"/>
              <w:jc w:val="center"/>
              <w:rPr>
                <w:rFonts w:cs="Arial"/>
                <w:sz w:val="18"/>
                <w:szCs w:val="20"/>
              </w:rPr>
            </w:pPr>
            <w:r>
              <w:rPr>
                <w:sz w:val="18"/>
              </w:rPr>
              <w:t>0,198</w:t>
            </w:r>
          </w:p>
        </w:tc>
      </w:tr>
    </w:tbl>
    <w:p w:rsidR="005624E3" w:rsidRPr="00C903F8" w:rsidRDefault="005624E3" w:rsidP="005624E3">
      <w:pPr>
        <w:suppressAutoHyphens/>
        <w:spacing w:line="240" w:lineRule="atLeast"/>
        <w:ind w:left="851" w:hanging="851"/>
        <w:rPr>
          <w:rFonts w:cs="Arial"/>
          <w:szCs w:val="20"/>
        </w:rPr>
      </w:pPr>
    </w:p>
    <w:p w:rsidR="005624E3" w:rsidRPr="00C903F8" w:rsidRDefault="005624E3" w:rsidP="005624E3">
      <w:pPr>
        <w:suppressAutoHyphens/>
        <w:spacing w:line="240" w:lineRule="atLeast"/>
        <w:ind w:left="851" w:hanging="851"/>
        <w:rPr>
          <w:rFonts w:cs="Arial"/>
          <w:szCs w:val="20"/>
        </w:rPr>
      </w:pPr>
    </w:p>
    <w:p w:rsidR="005624E3" w:rsidRPr="00C903F8" w:rsidRDefault="003142CA" w:rsidP="005624E3">
      <w:pPr>
        <w:suppressAutoHyphens/>
        <w:spacing w:line="240" w:lineRule="atLeast"/>
        <w:ind w:left="851" w:hanging="851"/>
        <w:jc w:val="center"/>
        <w:rPr>
          <w:rFonts w:cs="Arial"/>
          <w:szCs w:val="20"/>
        </w:rPr>
      </w:pPr>
      <m:oMath>
        <m:func>
          <m:funcPr>
            <m:ctrlPr>
              <w:rPr>
                <w:rFonts w:ascii="Cambria Math" w:hAnsi="Cambria Math" w:cs="Arial"/>
                <w:i/>
                <w:szCs w:val="20"/>
              </w:rPr>
            </m:ctrlPr>
          </m:funcPr>
          <m:fName>
            <m:r>
              <m:rPr>
                <m:sty m:val="p"/>
              </m:rPr>
              <w:rPr>
                <w:rFonts w:ascii="Cambria Math" w:hAnsi="Cambria Math" w:cs="Arial"/>
                <w:szCs w:val="20"/>
              </w:rPr>
              <m:t>si n</m:t>
            </m:r>
          </m:fName>
          <m:e>
            <m:r>
              <w:rPr>
                <w:rFonts w:ascii="Cambria Math" w:hAnsi="Cambria Math" w:cs="Arial"/>
                <w:szCs w:val="20"/>
              </w:rPr>
              <m:t>≥</m:t>
            </m:r>
          </m:e>
        </m:func>
        <m:r>
          <w:rPr>
            <w:rFonts w:ascii="Cambria Math" w:hAnsi="Cambria Math" w:cs="Arial"/>
            <w:szCs w:val="20"/>
          </w:rPr>
          <m:t xml:space="preserve"> 20</m:t>
        </m:r>
      </m:oMath>
      <w:r w:rsidR="005624E3">
        <w:t xml:space="preserve">, </w:t>
      </w:r>
      <m:oMath>
        <m:r>
          <w:rPr>
            <w:rFonts w:ascii="Cambria Math" w:hAnsi="Cambria Math" w:cs="Arial"/>
            <w:szCs w:val="20"/>
          </w:rPr>
          <m:t xml:space="preserve">k= </m:t>
        </m:r>
        <m:f>
          <m:fPr>
            <m:ctrlPr>
              <w:rPr>
                <w:rFonts w:ascii="Cambria Math" w:hAnsi="Cambria Math" w:cs="Arial"/>
                <w:i/>
                <w:szCs w:val="20"/>
              </w:rPr>
            </m:ctrlPr>
          </m:fPr>
          <m:num>
            <m:r>
              <w:rPr>
                <w:rFonts w:ascii="Cambria Math" w:hAnsi="Cambria Math" w:cs="Arial"/>
                <w:szCs w:val="20"/>
              </w:rPr>
              <m:t>0,860</m:t>
            </m:r>
          </m:num>
          <m:den>
            <m:rad>
              <m:radPr>
                <m:degHide m:val="1"/>
                <m:ctrlPr>
                  <w:rPr>
                    <w:rFonts w:ascii="Cambria Math" w:hAnsi="Cambria Math" w:cs="Arial"/>
                    <w:i/>
                    <w:szCs w:val="20"/>
                  </w:rPr>
                </m:ctrlPr>
              </m:radPr>
              <m:deg/>
              <m:e>
                <m:r>
                  <w:rPr>
                    <w:rFonts w:ascii="Cambria Math" w:hAnsi="Cambria Math" w:cs="Arial"/>
                    <w:szCs w:val="20"/>
                  </w:rPr>
                  <m:t>n</m:t>
                </m:r>
              </m:e>
            </m:rad>
          </m:den>
        </m:f>
      </m:oMath>
    </w:p>
    <w:p w:rsidR="005624E3" w:rsidRPr="00C903F8" w:rsidRDefault="005624E3" w:rsidP="005624E3">
      <w:pPr>
        <w:suppressAutoHyphens/>
        <w:spacing w:line="240" w:lineRule="atLeast"/>
        <w:ind w:left="851" w:hanging="851"/>
        <w:jc w:val="center"/>
        <w:rPr>
          <w:rFonts w:cs="Arial"/>
          <w:szCs w:val="20"/>
        </w:rPr>
      </w:pPr>
    </w:p>
    <w:p w:rsidR="005624E3" w:rsidRPr="00C903F8" w:rsidRDefault="003142CA" w:rsidP="005624E3">
      <w:pPr>
        <w:tabs>
          <w:tab w:val="left" w:pos="1276"/>
        </w:tabs>
        <w:suppressAutoHyphens/>
        <w:overflowPunct w:val="0"/>
        <w:spacing w:line="240" w:lineRule="atLeast"/>
        <w:ind w:left="709"/>
        <w:textAlignment w:val="baseline"/>
        <w:rPr>
          <w:rFonts w:cs="Arial"/>
          <w:szCs w:val="20"/>
        </w:rPr>
      </w:pPr>
      <m:oMathPara>
        <m:oMathParaPr>
          <m:jc m:val="center"/>
        </m:oMathParaPr>
        <m:oMath>
          <m:sSub>
            <m:sSubPr>
              <m:ctrlPr>
                <w:rPr>
                  <w:rFonts w:ascii="Cambria Math" w:hAnsi="Cambria Math" w:cs="Arial"/>
                  <w:i/>
                  <w:szCs w:val="20"/>
                </w:rPr>
              </m:ctrlPr>
            </m:sSubPr>
            <m:e>
              <m:r>
                <w:rPr>
                  <w:rFonts w:ascii="Cambria Math" w:hAnsi="Cambria Math" w:cs="Arial"/>
                  <w:szCs w:val="20"/>
                </w:rPr>
                <m:t>S</m:t>
              </m:r>
            </m:e>
            <m:sub>
              <m:r>
                <w:rPr>
                  <w:rFonts w:ascii="Cambria Math" w:hAnsi="Cambria Math" w:cs="Arial"/>
                  <w:szCs w:val="20"/>
                </w:rPr>
                <m:t>t</m:t>
              </m:r>
            </m:sub>
          </m:sSub>
          <m:r>
            <w:rPr>
              <w:rFonts w:ascii="Cambria Math" w:hAnsi="Cambria Math" w:cs="Arial"/>
              <w:szCs w:val="20"/>
            </w:rPr>
            <m:t xml:space="preserve"> : </m:t>
          </m:r>
          <m:rad>
            <m:radPr>
              <m:degHide m:val="1"/>
              <m:ctrlPr>
                <w:rPr>
                  <w:rFonts w:ascii="Cambria Math" w:hAnsi="Cambria Math" w:cs="Arial"/>
                  <w:i/>
                  <w:szCs w:val="20"/>
                </w:rPr>
              </m:ctrlPr>
            </m:radPr>
            <m:deg/>
            <m:e>
              <m:nary>
                <m:naryPr>
                  <m:chr m:val="∑"/>
                  <m:limLoc m:val="undOvr"/>
                  <m:ctrlPr>
                    <w:rPr>
                      <w:rFonts w:ascii="Cambria Math" w:hAnsi="Cambria Math" w:cs="Arial"/>
                      <w:i/>
                      <w:szCs w:val="20"/>
                    </w:rPr>
                  </m:ctrlPr>
                </m:naryPr>
                <m:sub>
                  <m:r>
                    <w:rPr>
                      <w:rFonts w:ascii="Cambria Math" w:hAnsi="Cambria Math" w:cs="Arial"/>
                      <w:szCs w:val="20"/>
                    </w:rPr>
                    <m:t>i=1</m:t>
                  </m:r>
                </m:sub>
                <m:sup>
                  <m:r>
                    <w:rPr>
                      <w:rFonts w:ascii="Cambria Math" w:hAnsi="Cambria Math" w:cs="Arial"/>
                      <w:szCs w:val="20"/>
                    </w:rPr>
                    <m:t>n</m:t>
                  </m:r>
                </m:sup>
                <m:e>
                  <m:f>
                    <m:fPr>
                      <m:ctrlPr>
                        <w:rPr>
                          <w:rFonts w:ascii="Cambria Math" w:hAnsi="Cambria Math" w:cs="Arial"/>
                          <w:i/>
                          <w:szCs w:val="20"/>
                        </w:rPr>
                      </m:ctrlPr>
                    </m:fPr>
                    <m:num>
                      <m:d>
                        <m:dPr>
                          <m:ctrlPr>
                            <w:rPr>
                              <w:rFonts w:ascii="Cambria Math" w:hAnsi="Cambria Math" w:cs="Arial"/>
                              <w:i/>
                              <w:szCs w:val="20"/>
                            </w:rPr>
                          </m:ctrlPr>
                        </m:dPr>
                        <m:e>
                          <m:sSub>
                            <m:sSubPr>
                              <m:ctrlPr>
                                <w:rPr>
                                  <w:rFonts w:ascii="Cambria Math" w:hAnsi="Cambria Math" w:cs="Arial"/>
                                  <w:i/>
                                  <w:szCs w:val="20"/>
                                </w:rPr>
                              </m:ctrlPr>
                            </m:sSubPr>
                            <m:e>
                              <m:r>
                                <w:rPr>
                                  <w:rFonts w:ascii="Cambria Math" w:hAnsi="Cambria Math" w:cs="Arial"/>
                                  <w:szCs w:val="20"/>
                                </w:rPr>
                                <m:t>x</m:t>
                              </m:r>
                            </m:e>
                            <m:sub>
                              <m:r>
                                <w:rPr>
                                  <w:rFonts w:ascii="Cambria Math" w:hAnsi="Cambria Math" w:cs="Arial"/>
                                  <w:szCs w:val="20"/>
                                </w:rPr>
                                <m:t>i</m:t>
                              </m:r>
                            </m:sub>
                          </m:sSub>
                          <m:r>
                            <w:rPr>
                              <w:rFonts w:ascii="Cambria Math" w:hAnsi="Cambria Math" w:cs="Arial"/>
                              <w:szCs w:val="20"/>
                            </w:rPr>
                            <m:t xml:space="preserve">- </m:t>
                          </m:r>
                          <m:acc>
                            <m:accPr>
                              <m:chr m:val="̅"/>
                              <m:ctrlPr>
                                <w:rPr>
                                  <w:rFonts w:ascii="Cambria Math" w:hAnsi="Cambria Math" w:cs="Arial"/>
                                  <w:i/>
                                  <w:szCs w:val="20"/>
                                </w:rPr>
                              </m:ctrlPr>
                            </m:accPr>
                            <m:e>
                              <m:r>
                                <w:rPr>
                                  <w:rFonts w:ascii="Cambria Math" w:hAnsi="Cambria Math" w:cs="Arial"/>
                                  <w:szCs w:val="20"/>
                                </w:rPr>
                                <m:t>x</m:t>
                              </m:r>
                            </m:e>
                          </m:acc>
                        </m:e>
                      </m:d>
                    </m:num>
                    <m:den>
                      <m:r>
                        <w:rPr>
                          <w:rFonts w:ascii="Cambria Math" w:hAnsi="Cambria Math" w:cs="Arial"/>
                          <w:szCs w:val="20"/>
                        </w:rPr>
                        <m:t>n-1</m:t>
                      </m:r>
                    </m:den>
                  </m:f>
                </m:e>
              </m:nary>
            </m:e>
          </m:rad>
          <m:r>
            <m:rPr>
              <m:sty m:val="p"/>
            </m:rPr>
            <w:rPr>
              <w:rFonts w:ascii="Cambria Math" w:hAnsi="Cambria Math" w:cs="Arial"/>
              <w:szCs w:val="20"/>
            </w:rPr>
            <w:br/>
          </m:r>
        </m:oMath>
      </m:oMathPara>
      <w:r w:rsidR="005624E3">
        <w:t xml:space="preserve">ahol </w:t>
      </w:r>
      <m:oMath>
        <m:sSub>
          <m:sSubPr>
            <m:ctrlPr>
              <w:rPr>
                <w:rFonts w:ascii="Cambria Math" w:hAnsi="Cambria Math" w:cs="Arial"/>
                <w:i/>
                <w:szCs w:val="20"/>
              </w:rPr>
            </m:ctrlPr>
          </m:sSubPr>
          <m:e>
            <m:r>
              <w:rPr>
                <w:rFonts w:ascii="Cambria Math" w:hAnsi="Cambria Math" w:cs="Arial"/>
                <w:szCs w:val="20"/>
              </w:rPr>
              <m:t>x</m:t>
            </m:r>
          </m:e>
          <m:sub>
            <m:r>
              <w:rPr>
                <w:rFonts w:ascii="Cambria Math" w:hAnsi="Cambria Math" w:cs="Arial"/>
                <w:szCs w:val="20"/>
              </w:rPr>
              <m:t>i</m:t>
            </m:r>
          </m:sub>
        </m:sSub>
      </m:oMath>
      <w:r w:rsidR="005624E3">
        <w:t xml:space="preserve"> az </w:t>
      </w:r>
      <w:r w:rsidR="005624E3" w:rsidRPr="00D50F76">
        <w:rPr>
          <w:i/>
        </w:rPr>
        <w:t>n</w:t>
      </w:r>
      <w:r w:rsidR="005624E3">
        <w:t xml:space="preserve"> elemű szúrópróbaszerűen vett minta i-edik elemén kapott eredmény;</w:t>
      </w:r>
    </w:p>
    <w:p w:rsidR="005624E3" w:rsidRPr="00C903F8" w:rsidRDefault="005624E3" w:rsidP="005624E3">
      <w:pPr>
        <w:tabs>
          <w:tab w:val="left" w:pos="1134"/>
        </w:tabs>
        <w:suppressAutoHyphens/>
        <w:overflowPunct w:val="0"/>
        <w:spacing w:line="240" w:lineRule="atLeast"/>
        <w:ind w:left="1134"/>
        <w:textAlignment w:val="baseline"/>
        <w:rPr>
          <w:rFonts w:cs="Arial"/>
          <w:szCs w:val="20"/>
        </w:rPr>
      </w:pPr>
      <m:oMath>
        <m:r>
          <w:rPr>
            <w:rFonts w:ascii="Cambria Math" w:hAnsi="Cambria Math" w:cs="Arial"/>
            <w:szCs w:val="20"/>
          </w:rPr>
          <m:t>L</m:t>
        </m:r>
      </m:oMath>
      <w:r>
        <w:t>:</w:t>
      </w:r>
      <w:r>
        <w:tab/>
        <w:t>az egyes vizsgált szennyező anyagokra vonatkozóan a 18.01. cikk 2. bekezdésének 2. táblázatában meghatározott megengedhető határérték.</w:t>
      </w:r>
    </w:p>
    <w:p w:rsidR="005624E3" w:rsidRPr="00C903F8" w:rsidRDefault="005624E3" w:rsidP="005624E3">
      <w:pPr>
        <w:tabs>
          <w:tab w:val="left" w:pos="709"/>
        </w:tabs>
        <w:suppressAutoHyphens/>
        <w:overflowPunct w:val="0"/>
        <w:spacing w:line="240" w:lineRule="atLeast"/>
        <w:ind w:left="709" w:hanging="709"/>
        <w:textAlignment w:val="baseline"/>
        <w:rPr>
          <w:rFonts w:cs="Arial"/>
          <w:szCs w:val="20"/>
        </w:rPr>
      </w:pPr>
    </w:p>
    <w:p w:rsidR="005624E3" w:rsidRPr="00C903F8" w:rsidRDefault="005624E3" w:rsidP="005624E3">
      <w:pPr>
        <w:tabs>
          <w:tab w:val="left" w:pos="709"/>
        </w:tabs>
        <w:spacing w:line="240" w:lineRule="atLeast"/>
        <w:ind w:left="709" w:hanging="709"/>
        <w:rPr>
          <w:noProof/>
          <w:szCs w:val="20"/>
        </w:rPr>
      </w:pPr>
      <w:r>
        <w:t>3.3.3.</w:t>
      </w:r>
      <w:r>
        <w:tab/>
        <w:t>Ha a 18.01. cikk 2. bekezdésének 2. táblázata szerinti követelmények nem teljesülnek, akkor a 3.3.2.1. pontnak megfelelően új vizsgálatot kell végrehajtani; ha ez a vizsgálat sem ad kedvező eredményt, akkor a 3.3.2.2. pontnak megfelelően teljes vizsgálatot kell végezni a 9. melléklet szerinti vizsgálati eljárás alkalmazásával. A 18.01. cikk 2. bekezdésének 1. táblázatában foglalt határértékeket sem az egyesített minta, sem a szúrópróbaszerűen vett minta nem lépheti túl.</w:t>
      </w:r>
    </w:p>
    <w:p w:rsidR="005624E3" w:rsidRPr="00C903F8" w:rsidRDefault="005624E3" w:rsidP="005624E3">
      <w:pPr>
        <w:tabs>
          <w:tab w:val="left" w:pos="709"/>
        </w:tabs>
        <w:spacing w:line="240" w:lineRule="atLeast"/>
        <w:ind w:left="709" w:hanging="709"/>
        <w:rPr>
          <w:noProof/>
          <w:szCs w:val="20"/>
        </w:rPr>
      </w:pPr>
    </w:p>
    <w:p w:rsidR="005624E3" w:rsidRPr="00C903F8" w:rsidRDefault="005624E3" w:rsidP="005624E3">
      <w:pPr>
        <w:tabs>
          <w:tab w:val="left" w:pos="709"/>
        </w:tabs>
        <w:spacing w:line="240" w:lineRule="atLeast"/>
        <w:ind w:left="709" w:hanging="709"/>
        <w:rPr>
          <w:noProof/>
          <w:szCs w:val="20"/>
        </w:rPr>
      </w:pPr>
      <w:r>
        <w:t>3.3.4.</w:t>
      </w:r>
      <w:r>
        <w:tab/>
        <w:t>Az illetékes hatóság a részlegesen vagy teljes mértékben üzemképes fedélzeti szennyvízkezelő műveken a vizsgálatokat a gyártó által átadott információk alapján végzi el.</w:t>
      </w:r>
    </w:p>
    <w:p w:rsidR="005624E3" w:rsidRPr="00C903F8" w:rsidRDefault="005624E3" w:rsidP="005624E3">
      <w:pPr>
        <w:tabs>
          <w:tab w:val="left" w:pos="709"/>
        </w:tabs>
        <w:spacing w:line="240" w:lineRule="atLeast"/>
        <w:ind w:left="709" w:hanging="709"/>
        <w:rPr>
          <w:noProof/>
          <w:szCs w:val="20"/>
        </w:rPr>
      </w:pPr>
    </w:p>
    <w:p w:rsidR="005624E3" w:rsidRPr="00C903F8" w:rsidRDefault="005624E3" w:rsidP="005624E3">
      <w:pPr>
        <w:tabs>
          <w:tab w:val="left" w:pos="709"/>
        </w:tabs>
        <w:spacing w:line="240" w:lineRule="atLeast"/>
        <w:ind w:left="709" w:hanging="709"/>
        <w:rPr>
          <w:noProof/>
          <w:szCs w:val="20"/>
        </w:rPr>
      </w:pPr>
      <w:r>
        <w:t>3.3.5.</w:t>
      </w:r>
      <w:r>
        <w:tab/>
        <w:t>Rendes körülmények között az illetékes hatóság a gyártás megfelelőségével kapcsolatban évente egyszer jogosult vizsgálatokat végezni. Ha a 3.3.3. pont követelményei nem teljesülnek, az illetékes hatóság gondoskodik a gyártás megfelelőségének helyreállításához szükséges valamennyi intézkedés haladéktalan megtételéről.</w:t>
      </w:r>
    </w:p>
    <w:p w:rsidR="005624E3" w:rsidRPr="00C903F8" w:rsidRDefault="005624E3" w:rsidP="005624E3">
      <w:pPr>
        <w:tabs>
          <w:tab w:val="left" w:pos="709"/>
        </w:tabs>
        <w:suppressAutoHyphens/>
        <w:overflowPunct w:val="0"/>
        <w:spacing w:line="240" w:lineRule="atLeast"/>
        <w:ind w:left="709" w:hanging="709"/>
        <w:textAlignment w:val="baseline"/>
        <w:rPr>
          <w:rFonts w:cs="Arial"/>
          <w:szCs w:val="20"/>
        </w:rPr>
      </w:pPr>
    </w:p>
    <w:p w:rsidR="005624E3" w:rsidRPr="00C903F8" w:rsidRDefault="005624E3" w:rsidP="005624E3">
      <w:pPr>
        <w:tabs>
          <w:tab w:val="left" w:pos="709"/>
          <w:tab w:val="left" w:pos="1134"/>
        </w:tabs>
        <w:suppressAutoHyphens/>
        <w:overflowPunct w:val="0"/>
        <w:spacing w:line="240" w:lineRule="atLeast"/>
        <w:ind w:left="709" w:hanging="709"/>
        <w:textAlignment w:val="baseline"/>
        <w:rPr>
          <w:rFonts w:cs="Arial"/>
          <w:szCs w:val="20"/>
        </w:rPr>
      </w:pPr>
      <w:r>
        <w:br w:type="page"/>
      </w:r>
    </w:p>
    <w:p w:rsidR="005624E3" w:rsidRPr="00C903F8" w:rsidRDefault="005624E3" w:rsidP="005624E3">
      <w:pPr>
        <w:tabs>
          <w:tab w:val="left" w:pos="709"/>
          <w:tab w:val="left" w:pos="1134"/>
        </w:tabs>
        <w:suppressAutoHyphens/>
        <w:overflowPunct w:val="0"/>
        <w:spacing w:line="240" w:lineRule="atLeast"/>
        <w:ind w:left="709" w:hanging="709"/>
        <w:textAlignment w:val="baseline"/>
        <w:rPr>
          <w:rFonts w:cs="Arial"/>
          <w:szCs w:val="20"/>
        </w:rPr>
      </w:pPr>
    </w:p>
    <w:p w:rsidR="005624E3" w:rsidRPr="00C903F8" w:rsidRDefault="005624E3" w:rsidP="005624E3">
      <w:pPr>
        <w:tabs>
          <w:tab w:val="left" w:pos="709"/>
          <w:tab w:val="left" w:pos="1134"/>
        </w:tabs>
        <w:suppressAutoHyphens/>
        <w:overflowPunct w:val="0"/>
        <w:spacing w:line="240" w:lineRule="atLeast"/>
        <w:ind w:left="709" w:hanging="709"/>
        <w:textAlignment w:val="baseline"/>
        <w:rPr>
          <w:rFonts w:cs="Arial"/>
          <w:szCs w:val="20"/>
        </w:rPr>
      </w:pPr>
    </w:p>
    <w:p w:rsidR="005624E3" w:rsidRPr="00C903F8" w:rsidRDefault="005624E3" w:rsidP="005624E3">
      <w:pPr>
        <w:tabs>
          <w:tab w:val="left" w:pos="709"/>
          <w:tab w:val="left" w:pos="1134"/>
        </w:tabs>
        <w:suppressAutoHyphens/>
        <w:overflowPunct w:val="0"/>
        <w:spacing w:line="240" w:lineRule="atLeast"/>
        <w:ind w:left="709" w:hanging="709"/>
        <w:textAlignment w:val="baseline"/>
        <w:rPr>
          <w:rFonts w:cs="Arial"/>
          <w:szCs w:val="20"/>
        </w:rPr>
      </w:pPr>
    </w:p>
    <w:p w:rsidR="005624E3" w:rsidRPr="00C903F8" w:rsidRDefault="005624E3" w:rsidP="005624E3">
      <w:pPr>
        <w:tabs>
          <w:tab w:val="left" w:pos="709"/>
          <w:tab w:val="left" w:pos="1134"/>
        </w:tabs>
        <w:suppressAutoHyphens/>
        <w:overflowPunct w:val="0"/>
        <w:spacing w:line="240" w:lineRule="atLeast"/>
        <w:ind w:left="709" w:hanging="709"/>
        <w:textAlignment w:val="baseline"/>
        <w:rPr>
          <w:rFonts w:cs="Arial"/>
          <w:szCs w:val="20"/>
        </w:rPr>
      </w:pPr>
      <w:r>
        <w:br w:type="page"/>
      </w:r>
    </w:p>
    <w:p w:rsidR="005624E3" w:rsidRPr="002F672B" w:rsidRDefault="005624E3" w:rsidP="005624E3">
      <w:pPr>
        <w:pStyle w:val="ES-Titre3"/>
        <w:rPr>
          <w:noProof/>
        </w:rPr>
      </w:pPr>
      <w:bookmarkStart w:id="688" w:name="_Toc491854326"/>
      <w:bookmarkStart w:id="689" w:name="_Toc535854107"/>
      <w:r>
        <w:t>II. szakasz</w:t>
      </w:r>
      <w:bookmarkEnd w:id="688"/>
      <w:bookmarkEnd w:id="689"/>
    </w:p>
    <w:p w:rsidR="005624E3" w:rsidRPr="00C903F8" w:rsidRDefault="005624E3" w:rsidP="005624E3">
      <w:pPr>
        <w:pStyle w:val="ES-Titre3a"/>
        <w:rPr>
          <w:noProof/>
        </w:rPr>
      </w:pPr>
      <w:bookmarkStart w:id="690" w:name="_Toc491854327"/>
      <w:bookmarkStart w:id="691" w:name="_Toc535854108"/>
      <w:r>
        <w:t>... számú</w:t>
      </w:r>
      <w:r>
        <w:rPr>
          <w:noProof/>
          <w:vertAlign w:val="superscript"/>
        </w:rPr>
        <w:footnoteReference w:id="63"/>
      </w:r>
      <w:r>
        <w:t xml:space="preserve"> adatközlő lap a belvízi hajókon való rendszerbe állításra szánt fedélzeti szennyvízkezelő művek típusjóváhagyásához</w:t>
      </w:r>
      <w:bookmarkEnd w:id="690"/>
      <w:bookmarkEnd w:id="691"/>
    </w:p>
    <w:p w:rsidR="005624E3" w:rsidRPr="00C903F8" w:rsidRDefault="005624E3" w:rsidP="005624E3">
      <w:pPr>
        <w:overflowPunct w:val="0"/>
        <w:adjustRightInd w:val="0"/>
        <w:spacing w:line="240" w:lineRule="exact"/>
        <w:jc w:val="center"/>
        <w:textAlignment w:val="baseline"/>
        <w:rPr>
          <w:rFonts w:eastAsia="Calibri"/>
        </w:rPr>
      </w:pPr>
      <w:r>
        <w:t>(Minta)</w:t>
      </w:r>
    </w:p>
    <w:p w:rsidR="005624E3" w:rsidRPr="00C903F8" w:rsidRDefault="005624E3" w:rsidP="005624E3">
      <w:pPr>
        <w:tabs>
          <w:tab w:val="left" w:leader="dot" w:pos="9214"/>
        </w:tabs>
        <w:suppressAutoHyphens/>
        <w:spacing w:line="240" w:lineRule="atLeast"/>
        <w:rPr>
          <w:rFonts w:cs="Arial"/>
          <w:szCs w:val="20"/>
        </w:rPr>
      </w:pPr>
    </w:p>
    <w:p w:rsidR="005624E3" w:rsidRPr="00C903F8" w:rsidRDefault="005624E3" w:rsidP="005624E3">
      <w:pPr>
        <w:tabs>
          <w:tab w:val="left" w:leader="dot" w:pos="9072"/>
        </w:tabs>
        <w:ind w:left="850" w:hanging="850"/>
        <w:rPr>
          <w:noProof/>
          <w:szCs w:val="20"/>
        </w:rPr>
      </w:pPr>
      <w:r>
        <w:t xml:space="preserve">A fedélzeti szennyvízkezelő mű típusa: </w:t>
      </w:r>
      <w:r>
        <w:tab/>
      </w:r>
    </w:p>
    <w:p w:rsidR="005624E3" w:rsidRPr="00C903F8" w:rsidRDefault="005624E3" w:rsidP="005624E3">
      <w:pPr>
        <w:tabs>
          <w:tab w:val="left" w:leader="dot" w:pos="9072"/>
        </w:tabs>
        <w:ind w:left="567" w:hanging="567"/>
        <w:rPr>
          <w:noProof/>
          <w:szCs w:val="20"/>
        </w:rPr>
      </w:pPr>
    </w:p>
    <w:p w:rsidR="005624E3" w:rsidRPr="00C903F8" w:rsidRDefault="005624E3" w:rsidP="005624E3">
      <w:pPr>
        <w:tabs>
          <w:tab w:val="left" w:leader="dot" w:pos="9072"/>
        </w:tabs>
        <w:spacing w:line="240" w:lineRule="atLeast"/>
        <w:ind w:left="567" w:hanging="567"/>
        <w:rPr>
          <w:noProof/>
          <w:szCs w:val="20"/>
        </w:rPr>
      </w:pPr>
      <w:r>
        <w:t>0.</w:t>
      </w:r>
      <w:r>
        <w:tab/>
        <w:t>Általános rendelkezések</w:t>
      </w:r>
    </w:p>
    <w:p w:rsidR="005624E3" w:rsidRPr="00C903F8" w:rsidRDefault="005624E3" w:rsidP="005624E3">
      <w:pPr>
        <w:tabs>
          <w:tab w:val="left" w:leader="dot" w:pos="9072"/>
        </w:tabs>
        <w:spacing w:line="240" w:lineRule="atLeast"/>
        <w:ind w:left="567" w:hanging="567"/>
        <w:rPr>
          <w:noProof/>
          <w:szCs w:val="20"/>
        </w:rPr>
      </w:pPr>
    </w:p>
    <w:p w:rsidR="005624E3" w:rsidRPr="00C903F8" w:rsidRDefault="005624E3" w:rsidP="005624E3">
      <w:pPr>
        <w:tabs>
          <w:tab w:val="left" w:leader="dot" w:pos="9072"/>
        </w:tabs>
        <w:spacing w:line="240" w:lineRule="atLeast"/>
        <w:ind w:left="567" w:hanging="567"/>
        <w:rPr>
          <w:noProof/>
          <w:szCs w:val="20"/>
        </w:rPr>
      </w:pPr>
      <w:r>
        <w:t>0.1.</w:t>
      </w:r>
      <w:r>
        <w:tab/>
        <w:t xml:space="preserve">Gyártmány (a gyártó vállalat neve): </w:t>
      </w:r>
      <w:r>
        <w:tab/>
      </w:r>
    </w:p>
    <w:p w:rsidR="005624E3" w:rsidRPr="00C903F8" w:rsidRDefault="005624E3" w:rsidP="005624E3">
      <w:pPr>
        <w:tabs>
          <w:tab w:val="left" w:leader="dot" w:pos="9072"/>
        </w:tabs>
        <w:spacing w:line="240" w:lineRule="atLeast"/>
        <w:ind w:left="567" w:hanging="567"/>
        <w:rPr>
          <w:noProof/>
          <w:szCs w:val="20"/>
        </w:rPr>
      </w:pPr>
    </w:p>
    <w:p w:rsidR="005624E3" w:rsidRPr="00C903F8" w:rsidRDefault="005624E3" w:rsidP="005624E3">
      <w:pPr>
        <w:tabs>
          <w:tab w:val="left" w:leader="dot" w:pos="9072"/>
        </w:tabs>
        <w:spacing w:line="240" w:lineRule="atLeast"/>
        <w:ind w:left="567" w:hanging="567"/>
        <w:rPr>
          <w:noProof/>
          <w:szCs w:val="20"/>
        </w:rPr>
      </w:pPr>
      <w:r>
        <w:t>0.2.</w:t>
      </w:r>
      <w:r>
        <w:tab/>
        <w:t xml:space="preserve">Gyártói megjelölés a fedélzeti szennyvízkezelő mű típusának azonosítására: </w:t>
      </w:r>
      <w:r>
        <w:tab/>
      </w:r>
    </w:p>
    <w:p w:rsidR="005624E3" w:rsidRPr="00C903F8" w:rsidRDefault="005624E3" w:rsidP="005624E3">
      <w:pPr>
        <w:tabs>
          <w:tab w:val="left" w:leader="dot" w:pos="9072"/>
        </w:tabs>
        <w:spacing w:line="240" w:lineRule="atLeast"/>
        <w:ind w:left="567"/>
        <w:rPr>
          <w:noProof/>
          <w:szCs w:val="20"/>
        </w:rPr>
      </w:pPr>
      <w:r>
        <w:tab/>
      </w:r>
    </w:p>
    <w:p w:rsidR="005624E3" w:rsidRPr="00C903F8" w:rsidRDefault="005624E3" w:rsidP="005624E3">
      <w:pPr>
        <w:tabs>
          <w:tab w:val="left" w:leader="dot" w:pos="9072"/>
        </w:tabs>
        <w:spacing w:line="240" w:lineRule="atLeast"/>
        <w:ind w:left="567" w:hanging="567"/>
        <w:rPr>
          <w:noProof/>
          <w:szCs w:val="20"/>
        </w:rPr>
      </w:pPr>
    </w:p>
    <w:p w:rsidR="005624E3" w:rsidRPr="00C903F8" w:rsidRDefault="005624E3" w:rsidP="005624E3">
      <w:pPr>
        <w:tabs>
          <w:tab w:val="left" w:leader="dot" w:pos="9072"/>
        </w:tabs>
        <w:spacing w:line="240" w:lineRule="atLeast"/>
        <w:ind w:left="567" w:hanging="567"/>
        <w:rPr>
          <w:noProof/>
          <w:szCs w:val="20"/>
        </w:rPr>
      </w:pPr>
      <w:r>
        <w:t>0.3.</w:t>
      </w:r>
      <w:r>
        <w:tab/>
        <w:t xml:space="preserve">A fedélzeti szennyvízkezelő műről szolgáltatott információkhoz tartozó gyártói típuskód: </w:t>
      </w:r>
      <w:r>
        <w:tab/>
      </w:r>
    </w:p>
    <w:p w:rsidR="005624E3" w:rsidRPr="00C903F8" w:rsidRDefault="005624E3" w:rsidP="005624E3">
      <w:pPr>
        <w:tabs>
          <w:tab w:val="left" w:leader="dot" w:pos="9072"/>
        </w:tabs>
        <w:spacing w:line="240" w:lineRule="atLeast"/>
        <w:ind w:left="567"/>
        <w:rPr>
          <w:noProof/>
          <w:szCs w:val="20"/>
        </w:rPr>
      </w:pPr>
      <w:r>
        <w:tab/>
      </w:r>
    </w:p>
    <w:p w:rsidR="005624E3" w:rsidRPr="00C903F8" w:rsidRDefault="005624E3" w:rsidP="005624E3">
      <w:pPr>
        <w:tabs>
          <w:tab w:val="left" w:leader="dot" w:pos="9072"/>
        </w:tabs>
        <w:spacing w:line="240" w:lineRule="atLeast"/>
        <w:ind w:left="567" w:hanging="567"/>
        <w:rPr>
          <w:noProof/>
          <w:szCs w:val="20"/>
        </w:rPr>
      </w:pPr>
    </w:p>
    <w:p w:rsidR="005624E3" w:rsidRPr="00D50F76" w:rsidRDefault="005624E3" w:rsidP="005624E3">
      <w:pPr>
        <w:tabs>
          <w:tab w:val="left" w:leader="dot" w:pos="9072"/>
        </w:tabs>
        <w:spacing w:line="240" w:lineRule="atLeast"/>
        <w:ind w:left="567" w:hanging="567"/>
        <w:rPr>
          <w:noProof/>
          <w:szCs w:val="20"/>
          <w:lang w:val="pt-PT"/>
        </w:rPr>
      </w:pPr>
      <w:r w:rsidRPr="00D50F76">
        <w:rPr>
          <w:lang w:val="pt-PT"/>
        </w:rPr>
        <w:t>0.4.</w:t>
      </w:r>
      <w:r w:rsidRPr="00D50F76">
        <w:rPr>
          <w:lang w:val="pt-PT"/>
        </w:rPr>
        <w:tab/>
        <w:t xml:space="preserve">A gyártó neve és címe: </w:t>
      </w:r>
      <w:r w:rsidRPr="00D50F76">
        <w:rPr>
          <w:lang w:val="pt-PT"/>
        </w:rPr>
        <w:tab/>
      </w:r>
    </w:p>
    <w:p w:rsidR="005624E3" w:rsidRPr="00D50F76" w:rsidRDefault="005624E3" w:rsidP="005624E3">
      <w:pPr>
        <w:tabs>
          <w:tab w:val="left" w:leader="dot" w:pos="9072"/>
        </w:tabs>
        <w:spacing w:line="240" w:lineRule="atLeast"/>
        <w:ind w:left="567"/>
        <w:rPr>
          <w:noProof/>
          <w:szCs w:val="20"/>
          <w:lang w:val="pt-PT"/>
        </w:rPr>
      </w:pPr>
      <w:r w:rsidRPr="00D50F76">
        <w:rPr>
          <w:lang w:val="pt-PT"/>
        </w:rPr>
        <w:t xml:space="preserve">A gyártó meghatalmazott képviselőjének (ha van) neve és címe: </w:t>
      </w:r>
      <w:r w:rsidRPr="00D50F76">
        <w:rPr>
          <w:lang w:val="pt-PT"/>
        </w:rPr>
        <w:tab/>
      </w:r>
    </w:p>
    <w:p w:rsidR="005624E3" w:rsidRPr="00D50F76" w:rsidRDefault="005624E3" w:rsidP="005624E3">
      <w:pPr>
        <w:tabs>
          <w:tab w:val="left" w:leader="dot" w:pos="9072"/>
        </w:tabs>
        <w:spacing w:line="240" w:lineRule="atLeast"/>
        <w:ind w:left="567"/>
        <w:rPr>
          <w:noProof/>
          <w:szCs w:val="20"/>
          <w:lang w:val="pt-PT"/>
        </w:rPr>
      </w:pPr>
      <w:r w:rsidRPr="00D50F76">
        <w:rPr>
          <w:lang w:val="pt-PT"/>
        </w:rPr>
        <w:tab/>
      </w:r>
    </w:p>
    <w:p w:rsidR="005624E3" w:rsidRPr="00D50F76" w:rsidRDefault="005624E3" w:rsidP="005624E3">
      <w:pPr>
        <w:tabs>
          <w:tab w:val="left" w:leader="dot" w:pos="9072"/>
        </w:tabs>
        <w:spacing w:line="240" w:lineRule="atLeast"/>
        <w:ind w:left="567" w:hanging="567"/>
        <w:rPr>
          <w:noProof/>
          <w:szCs w:val="20"/>
          <w:lang w:val="pt-PT"/>
        </w:rPr>
      </w:pPr>
    </w:p>
    <w:p w:rsidR="005624E3" w:rsidRPr="00D50F76" w:rsidRDefault="005624E3" w:rsidP="005624E3">
      <w:pPr>
        <w:tabs>
          <w:tab w:val="left" w:leader="dot" w:pos="9072"/>
        </w:tabs>
        <w:spacing w:line="240" w:lineRule="atLeast"/>
        <w:ind w:left="567" w:hanging="567"/>
        <w:rPr>
          <w:noProof/>
          <w:szCs w:val="20"/>
          <w:lang w:val="pt-PT"/>
        </w:rPr>
      </w:pPr>
      <w:r w:rsidRPr="00D50F76">
        <w:rPr>
          <w:lang w:val="pt-PT"/>
        </w:rPr>
        <w:t>0.5.</w:t>
      </w:r>
      <w:r w:rsidRPr="00D50F76">
        <w:rPr>
          <w:lang w:val="pt-PT"/>
        </w:rPr>
        <w:tab/>
        <w:t xml:space="preserve">A fedélzeti szennyvízkezelő mű gyártási számának helye, kódolása és felhelyezésének módja: </w:t>
      </w:r>
      <w:r w:rsidRPr="00D50F76">
        <w:rPr>
          <w:lang w:val="pt-PT"/>
        </w:rPr>
        <w:tab/>
      </w:r>
    </w:p>
    <w:p w:rsidR="005624E3" w:rsidRPr="00D50F76" w:rsidRDefault="005624E3" w:rsidP="005624E3">
      <w:pPr>
        <w:tabs>
          <w:tab w:val="left" w:leader="dot" w:pos="9072"/>
        </w:tabs>
        <w:spacing w:line="240" w:lineRule="atLeast"/>
        <w:ind w:left="567"/>
        <w:rPr>
          <w:noProof/>
          <w:szCs w:val="20"/>
          <w:lang w:val="pt-PT"/>
        </w:rPr>
      </w:pPr>
      <w:r w:rsidRPr="00D50F76">
        <w:rPr>
          <w:lang w:val="pt-PT"/>
        </w:rPr>
        <w:tab/>
      </w:r>
    </w:p>
    <w:p w:rsidR="005624E3" w:rsidRPr="00D50F76" w:rsidRDefault="005624E3" w:rsidP="005624E3">
      <w:pPr>
        <w:tabs>
          <w:tab w:val="left" w:leader="dot" w:pos="9072"/>
        </w:tabs>
        <w:spacing w:line="240" w:lineRule="atLeast"/>
        <w:ind w:left="567" w:hanging="567"/>
        <w:rPr>
          <w:noProof/>
          <w:szCs w:val="20"/>
          <w:lang w:val="pt-PT"/>
        </w:rPr>
      </w:pPr>
    </w:p>
    <w:p w:rsidR="005624E3" w:rsidRPr="00D50F76" w:rsidRDefault="005624E3" w:rsidP="005624E3">
      <w:pPr>
        <w:tabs>
          <w:tab w:val="left" w:leader="dot" w:pos="9072"/>
        </w:tabs>
        <w:spacing w:line="240" w:lineRule="atLeast"/>
        <w:ind w:left="567" w:hanging="567"/>
        <w:rPr>
          <w:noProof/>
          <w:szCs w:val="20"/>
          <w:lang w:val="pt-PT"/>
        </w:rPr>
      </w:pPr>
      <w:r w:rsidRPr="00D50F76">
        <w:rPr>
          <w:lang w:val="pt-PT"/>
        </w:rPr>
        <w:t>0.6.</w:t>
      </w:r>
      <w:r w:rsidRPr="00D50F76">
        <w:rPr>
          <w:lang w:val="pt-PT"/>
        </w:rPr>
        <w:tab/>
        <w:t xml:space="preserve">A típusjóváhagyási szám helye és felhelyezésének módja: </w:t>
      </w:r>
      <w:r w:rsidRPr="00D50F76">
        <w:rPr>
          <w:lang w:val="pt-PT"/>
        </w:rPr>
        <w:tab/>
      </w:r>
    </w:p>
    <w:p w:rsidR="005624E3" w:rsidRPr="00D50F76" w:rsidRDefault="005624E3" w:rsidP="005624E3">
      <w:pPr>
        <w:tabs>
          <w:tab w:val="left" w:leader="dot" w:pos="9072"/>
        </w:tabs>
        <w:spacing w:line="240" w:lineRule="atLeast"/>
        <w:ind w:left="567"/>
        <w:rPr>
          <w:noProof/>
          <w:szCs w:val="20"/>
          <w:lang w:val="pt-PT"/>
        </w:rPr>
      </w:pPr>
      <w:r w:rsidRPr="00D50F76">
        <w:rPr>
          <w:lang w:val="pt-PT"/>
        </w:rPr>
        <w:tab/>
      </w:r>
    </w:p>
    <w:p w:rsidR="005624E3" w:rsidRPr="00D50F76" w:rsidRDefault="005624E3" w:rsidP="005624E3">
      <w:pPr>
        <w:tabs>
          <w:tab w:val="left" w:leader="dot" w:pos="9072"/>
        </w:tabs>
        <w:spacing w:line="240" w:lineRule="atLeast"/>
        <w:ind w:left="567" w:hanging="567"/>
        <w:rPr>
          <w:noProof/>
          <w:szCs w:val="20"/>
          <w:lang w:val="pt-PT"/>
        </w:rPr>
      </w:pPr>
    </w:p>
    <w:p w:rsidR="005624E3" w:rsidRPr="00D50F76" w:rsidRDefault="005624E3" w:rsidP="005624E3">
      <w:pPr>
        <w:tabs>
          <w:tab w:val="left" w:leader="dot" w:pos="9072"/>
        </w:tabs>
        <w:spacing w:line="240" w:lineRule="atLeast"/>
        <w:ind w:left="567" w:hanging="567"/>
        <w:rPr>
          <w:noProof/>
          <w:szCs w:val="20"/>
          <w:lang w:val="pt-PT"/>
        </w:rPr>
      </w:pPr>
      <w:r w:rsidRPr="00D50F76">
        <w:rPr>
          <w:lang w:val="pt-PT"/>
        </w:rPr>
        <w:t>0.7.</w:t>
      </w:r>
      <w:r w:rsidRPr="00D50F76">
        <w:rPr>
          <w:lang w:val="pt-PT"/>
        </w:rPr>
        <w:tab/>
        <w:t xml:space="preserve">A gyártóüzem címe(i): </w:t>
      </w:r>
      <w:r w:rsidRPr="00D50F76">
        <w:rPr>
          <w:lang w:val="pt-PT"/>
        </w:rPr>
        <w:tab/>
      </w:r>
    </w:p>
    <w:p w:rsidR="005624E3" w:rsidRPr="00D50F76" w:rsidRDefault="005624E3" w:rsidP="005624E3">
      <w:pPr>
        <w:tabs>
          <w:tab w:val="left" w:leader="dot" w:pos="9072"/>
        </w:tabs>
        <w:spacing w:line="240" w:lineRule="atLeast"/>
        <w:ind w:left="567"/>
        <w:rPr>
          <w:noProof/>
          <w:szCs w:val="20"/>
          <w:lang w:val="pt-PT"/>
        </w:rPr>
      </w:pPr>
      <w:r w:rsidRPr="00D50F76">
        <w:rPr>
          <w:lang w:val="pt-PT"/>
        </w:rPr>
        <w:tab/>
      </w:r>
    </w:p>
    <w:p w:rsidR="005624E3" w:rsidRPr="00D50F76" w:rsidRDefault="005624E3" w:rsidP="005624E3">
      <w:pPr>
        <w:spacing w:line="240" w:lineRule="atLeast"/>
        <w:ind w:left="850" w:hanging="850"/>
        <w:outlineLvl w:val="0"/>
        <w:rPr>
          <w:noProof/>
          <w:szCs w:val="20"/>
          <w:lang w:val="pt-PT"/>
        </w:rPr>
      </w:pPr>
    </w:p>
    <w:p w:rsidR="005624E3" w:rsidRPr="00D50F76" w:rsidRDefault="005624E3" w:rsidP="005624E3">
      <w:pPr>
        <w:spacing w:line="240" w:lineRule="atLeast"/>
        <w:ind w:left="850" w:hanging="850"/>
        <w:outlineLvl w:val="0"/>
        <w:rPr>
          <w:b/>
          <w:noProof/>
          <w:szCs w:val="20"/>
          <w:lang w:val="pt-PT"/>
        </w:rPr>
      </w:pPr>
      <w:r w:rsidRPr="00D50F76">
        <w:rPr>
          <w:b/>
          <w:noProof/>
          <w:lang w:val="pt-PT"/>
        </w:rPr>
        <w:t xml:space="preserve">Függelékek </w:t>
      </w:r>
    </w:p>
    <w:p w:rsidR="005624E3" w:rsidRPr="00D50F76" w:rsidRDefault="005624E3" w:rsidP="005624E3">
      <w:pPr>
        <w:spacing w:line="240" w:lineRule="atLeast"/>
        <w:ind w:left="850" w:hanging="850"/>
        <w:outlineLvl w:val="0"/>
        <w:rPr>
          <w:noProof/>
          <w:szCs w:val="20"/>
          <w:lang w:val="pt-PT"/>
        </w:rPr>
      </w:pPr>
    </w:p>
    <w:p w:rsidR="005624E3" w:rsidRPr="00D50F76" w:rsidRDefault="005624E3" w:rsidP="005624E3">
      <w:pPr>
        <w:spacing w:line="240" w:lineRule="atLeast"/>
        <w:ind w:left="567" w:hanging="567"/>
        <w:rPr>
          <w:noProof/>
          <w:szCs w:val="20"/>
          <w:lang w:val="pt-PT"/>
        </w:rPr>
      </w:pPr>
      <w:r w:rsidRPr="00D50F76">
        <w:rPr>
          <w:lang w:val="pt-PT"/>
        </w:rPr>
        <w:t>1.</w:t>
      </w:r>
      <w:r w:rsidRPr="00D50F76">
        <w:rPr>
          <w:lang w:val="pt-PT"/>
        </w:rPr>
        <w:tab/>
        <w:t xml:space="preserve">A fedélzeti szennyvízkezelő mű típusának legfontosabb jellemzői </w:t>
      </w:r>
    </w:p>
    <w:p w:rsidR="005624E3" w:rsidRPr="00D50F76" w:rsidRDefault="005624E3" w:rsidP="005624E3">
      <w:pPr>
        <w:spacing w:before="60" w:line="240" w:lineRule="atLeast"/>
        <w:ind w:left="567" w:hanging="567"/>
        <w:rPr>
          <w:noProof/>
          <w:szCs w:val="20"/>
          <w:lang w:val="pt-PT"/>
        </w:rPr>
      </w:pPr>
      <w:r w:rsidRPr="00D50F76">
        <w:rPr>
          <w:lang w:val="pt-PT"/>
        </w:rPr>
        <w:t>2.</w:t>
      </w:r>
      <w:r w:rsidRPr="00D50F76">
        <w:rPr>
          <w:lang w:val="pt-PT"/>
        </w:rPr>
        <w:tab/>
        <w:t xml:space="preserve">Alkalmazott tervezési és méretezési kritériumok, méretezési eljárások és szabályzatok </w:t>
      </w:r>
    </w:p>
    <w:p w:rsidR="005624E3" w:rsidRPr="00D50F76" w:rsidRDefault="005624E3" w:rsidP="005624E3">
      <w:pPr>
        <w:spacing w:before="60" w:line="240" w:lineRule="atLeast"/>
        <w:ind w:left="567" w:hanging="567"/>
        <w:rPr>
          <w:noProof/>
          <w:szCs w:val="20"/>
          <w:lang w:val="pt-PT"/>
        </w:rPr>
      </w:pPr>
      <w:r w:rsidRPr="00D50F76">
        <w:rPr>
          <w:lang w:val="pt-PT"/>
        </w:rPr>
        <w:t>3.</w:t>
      </w:r>
      <w:r w:rsidRPr="00D50F76">
        <w:rPr>
          <w:lang w:val="pt-PT"/>
        </w:rPr>
        <w:tab/>
        <w:t>A fedélzeti szennyvízkezelő mű vázlatos rajza alkatrészjegyzékkel</w:t>
      </w:r>
    </w:p>
    <w:p w:rsidR="005624E3" w:rsidRPr="00D50F76" w:rsidRDefault="005624E3" w:rsidP="005624E3">
      <w:pPr>
        <w:spacing w:before="60" w:line="240" w:lineRule="atLeast"/>
        <w:ind w:left="567" w:hanging="567"/>
        <w:rPr>
          <w:noProof/>
          <w:szCs w:val="20"/>
          <w:lang w:val="pt-PT"/>
        </w:rPr>
      </w:pPr>
      <w:r w:rsidRPr="00D50F76">
        <w:rPr>
          <w:lang w:val="pt-PT"/>
        </w:rPr>
        <w:t>4.</w:t>
      </w:r>
      <w:r w:rsidRPr="00D50F76">
        <w:rPr>
          <w:lang w:val="pt-PT"/>
        </w:rPr>
        <w:tab/>
        <w:t xml:space="preserve">A teszt-szennyvízkezelőmű vázlatos rajza alkatrészjegyzékkel </w:t>
      </w:r>
    </w:p>
    <w:p w:rsidR="005624E3" w:rsidRPr="00D50F76" w:rsidRDefault="005624E3" w:rsidP="005624E3">
      <w:pPr>
        <w:spacing w:before="60" w:line="240" w:lineRule="atLeast"/>
        <w:ind w:left="567" w:hanging="567"/>
        <w:rPr>
          <w:noProof/>
          <w:szCs w:val="20"/>
          <w:lang w:val="pt-PT"/>
        </w:rPr>
      </w:pPr>
      <w:r w:rsidRPr="00D50F76">
        <w:rPr>
          <w:lang w:val="pt-PT"/>
        </w:rPr>
        <w:t>5</w:t>
      </w:r>
      <w:r w:rsidRPr="00D50F76">
        <w:rPr>
          <w:lang w:val="pt-PT"/>
        </w:rPr>
        <w:tab/>
        <w:t xml:space="preserve">Elektromos huzalozási rajz (P/I vázlat) </w:t>
      </w:r>
    </w:p>
    <w:p w:rsidR="005624E3" w:rsidRPr="00D50F76" w:rsidRDefault="005624E3" w:rsidP="005624E3">
      <w:pPr>
        <w:spacing w:before="60" w:line="240" w:lineRule="atLeast"/>
        <w:ind w:left="567" w:hanging="567"/>
        <w:rPr>
          <w:noProof/>
          <w:szCs w:val="20"/>
          <w:lang w:val="pt-PT"/>
        </w:rPr>
      </w:pPr>
      <w:r w:rsidRPr="00D50F76">
        <w:rPr>
          <w:lang w:val="pt-PT"/>
        </w:rPr>
        <w:t>6.</w:t>
      </w:r>
      <w:r w:rsidRPr="00D50F76">
        <w:rPr>
          <w:lang w:val="pt-PT"/>
        </w:rPr>
        <w:tab/>
        <w:t xml:space="preserve">Nyilatkozat a szennyvízkezelő mű mechanikai, villamos és műszaki biztonságára, valamint a hajóbiztonságra vonatkozó előírások maradéktalan betartásáról </w:t>
      </w:r>
    </w:p>
    <w:p w:rsidR="005624E3" w:rsidRPr="00D50F76" w:rsidRDefault="005624E3" w:rsidP="005624E3">
      <w:pPr>
        <w:spacing w:before="60" w:line="240" w:lineRule="atLeast"/>
        <w:ind w:left="567" w:hanging="567"/>
        <w:rPr>
          <w:noProof/>
          <w:szCs w:val="20"/>
          <w:lang w:val="pt-PT"/>
        </w:rPr>
      </w:pPr>
      <w:r w:rsidRPr="00D50F76">
        <w:rPr>
          <w:lang w:val="pt-PT"/>
        </w:rPr>
        <w:t>7.</w:t>
      </w:r>
      <w:r w:rsidRPr="00D50F76">
        <w:rPr>
          <w:lang w:val="pt-PT"/>
        </w:rPr>
        <w:tab/>
        <w:t xml:space="preserve">A hajó azon részeinek jellemzői, amelyekhez a fedélzeti szennyvízkezelő mű kapcsolódik </w:t>
      </w:r>
    </w:p>
    <w:p w:rsidR="005624E3" w:rsidRPr="00D50F76" w:rsidRDefault="005624E3" w:rsidP="005624E3">
      <w:pPr>
        <w:spacing w:before="60" w:line="240" w:lineRule="atLeast"/>
        <w:ind w:left="567" w:hanging="567"/>
        <w:rPr>
          <w:noProof/>
          <w:szCs w:val="20"/>
          <w:lang w:val="pt-PT"/>
        </w:rPr>
      </w:pPr>
      <w:r w:rsidRPr="00D50F76">
        <w:rPr>
          <w:lang w:val="pt-PT"/>
        </w:rPr>
        <w:t>8.</w:t>
      </w:r>
      <w:r w:rsidRPr="00D50F76">
        <w:rPr>
          <w:lang w:val="pt-PT"/>
        </w:rPr>
        <w:tab/>
        <w:t>Gyártói útmutató a fedélzeti szennyvízkezelő mű szennyvízkezelés szempontjából lényeges alkatrészeinek és paramétereinek ellenőrzéséhez, az 1.01. cikk 9.10. pontjának megfelelően</w:t>
      </w:r>
    </w:p>
    <w:p w:rsidR="005624E3" w:rsidRPr="00D50F76" w:rsidRDefault="005624E3" w:rsidP="005624E3">
      <w:pPr>
        <w:spacing w:line="240" w:lineRule="atLeast"/>
        <w:ind w:left="567" w:hanging="567"/>
        <w:rPr>
          <w:noProof/>
          <w:szCs w:val="20"/>
          <w:lang w:val="pt-PT"/>
        </w:rPr>
      </w:pPr>
      <w:r w:rsidRPr="00D50F76">
        <w:rPr>
          <w:lang w:val="pt-PT"/>
        </w:rPr>
        <w:br w:type="page"/>
      </w:r>
    </w:p>
    <w:p w:rsidR="005624E3" w:rsidRPr="00D50F76" w:rsidRDefault="005624E3" w:rsidP="005624E3">
      <w:pPr>
        <w:spacing w:line="240" w:lineRule="atLeast"/>
        <w:ind w:left="567" w:hanging="567"/>
        <w:rPr>
          <w:noProof/>
          <w:szCs w:val="20"/>
          <w:lang w:val="pt-PT"/>
        </w:rPr>
      </w:pPr>
      <w:r w:rsidRPr="00D50F76">
        <w:rPr>
          <w:lang w:val="pt-PT"/>
        </w:rPr>
        <w:t>9.</w:t>
      </w:r>
      <w:r w:rsidRPr="00D50F76">
        <w:rPr>
          <w:lang w:val="pt-PT"/>
        </w:rPr>
        <w:tab/>
        <w:t>Fényképek a fedélzeti szennyvízkezelő műről</w:t>
      </w:r>
    </w:p>
    <w:p w:rsidR="005624E3" w:rsidRPr="00D50F76" w:rsidRDefault="005624E3" w:rsidP="005624E3">
      <w:pPr>
        <w:spacing w:before="60" w:line="240" w:lineRule="atLeast"/>
        <w:ind w:left="567" w:hanging="567"/>
        <w:rPr>
          <w:noProof/>
          <w:szCs w:val="20"/>
          <w:lang w:val="pt-PT"/>
        </w:rPr>
      </w:pPr>
      <w:r w:rsidRPr="00D50F76">
        <w:rPr>
          <w:lang w:val="pt-PT"/>
        </w:rPr>
        <w:t>10.</w:t>
      </w:r>
      <w:r w:rsidRPr="00D50F76">
        <w:rPr>
          <w:lang w:val="pt-PT"/>
        </w:rPr>
        <w:tab/>
        <w:t>Üzemeltetési elvek</w:t>
      </w:r>
      <w:r w:rsidRPr="00D50F76">
        <w:rPr>
          <w:noProof/>
          <w:vertAlign w:val="superscript"/>
          <w:lang w:val="pt-PT"/>
        </w:rPr>
        <w:t>(</w:t>
      </w:r>
      <w:r>
        <w:rPr>
          <w:noProof/>
          <w:vertAlign w:val="superscript"/>
        </w:rPr>
        <w:footnoteReference w:id="64"/>
      </w:r>
      <w:r w:rsidRPr="00D50F76">
        <w:rPr>
          <w:noProof/>
          <w:vertAlign w:val="superscript"/>
          <w:lang w:val="pt-PT"/>
        </w:rPr>
        <w:t>)</w:t>
      </w:r>
    </w:p>
    <w:p w:rsidR="005624E3" w:rsidRPr="00D50F76" w:rsidRDefault="005624E3" w:rsidP="005624E3">
      <w:pPr>
        <w:spacing w:before="60" w:line="240" w:lineRule="atLeast"/>
        <w:ind w:left="567" w:hanging="567"/>
        <w:rPr>
          <w:noProof/>
          <w:szCs w:val="20"/>
          <w:lang w:val="pt-PT"/>
        </w:rPr>
      </w:pPr>
      <w:r w:rsidRPr="00D50F76">
        <w:rPr>
          <w:lang w:val="pt-PT"/>
        </w:rPr>
        <w:t>10.1.</w:t>
      </w:r>
      <w:r w:rsidRPr="00D50F76">
        <w:rPr>
          <w:lang w:val="pt-PT"/>
        </w:rPr>
        <w:tab/>
        <w:t xml:space="preserve">Utasítások a fedélzeti szennyvízkezelő mű kézi működtetéséhez </w:t>
      </w:r>
    </w:p>
    <w:p w:rsidR="005624E3" w:rsidRPr="00D50F76" w:rsidRDefault="005624E3" w:rsidP="005624E3">
      <w:pPr>
        <w:spacing w:before="60" w:line="240" w:lineRule="atLeast"/>
        <w:ind w:left="567" w:hanging="567"/>
        <w:rPr>
          <w:noProof/>
          <w:szCs w:val="20"/>
          <w:lang w:val="pt-PT"/>
        </w:rPr>
      </w:pPr>
      <w:r w:rsidRPr="00D50F76">
        <w:rPr>
          <w:lang w:val="pt-PT"/>
        </w:rPr>
        <w:t>10.2.</w:t>
      </w:r>
      <w:r w:rsidRPr="00D50F76">
        <w:rPr>
          <w:lang w:val="pt-PT"/>
        </w:rPr>
        <w:tab/>
        <w:t>Észrevételek a felhalmozódott iszap kezeléséhez (ürítési gyakoriság)</w:t>
      </w:r>
    </w:p>
    <w:p w:rsidR="005624E3" w:rsidRPr="00D50F76" w:rsidRDefault="005624E3" w:rsidP="005624E3">
      <w:pPr>
        <w:spacing w:before="60" w:line="240" w:lineRule="atLeast"/>
        <w:ind w:left="567" w:hanging="567"/>
        <w:rPr>
          <w:noProof/>
          <w:szCs w:val="20"/>
          <w:lang w:val="pt-PT"/>
        </w:rPr>
      </w:pPr>
      <w:r w:rsidRPr="00D50F76">
        <w:rPr>
          <w:lang w:val="pt-PT"/>
        </w:rPr>
        <w:t>10.3.</w:t>
      </w:r>
      <w:r w:rsidRPr="00D50F76">
        <w:rPr>
          <w:lang w:val="pt-PT"/>
        </w:rPr>
        <w:tab/>
        <w:t>Észrevételek a karbantartáshoz és a javításhoz</w:t>
      </w:r>
    </w:p>
    <w:p w:rsidR="005624E3" w:rsidRPr="00D50F76" w:rsidRDefault="005624E3" w:rsidP="005624E3">
      <w:pPr>
        <w:spacing w:before="60" w:line="240" w:lineRule="atLeast"/>
        <w:ind w:left="567" w:hanging="567"/>
        <w:rPr>
          <w:noProof/>
          <w:szCs w:val="20"/>
          <w:lang w:val="pt-PT"/>
        </w:rPr>
      </w:pPr>
      <w:r w:rsidRPr="00D50F76">
        <w:rPr>
          <w:lang w:val="pt-PT"/>
        </w:rPr>
        <w:t>10.4.</w:t>
      </w:r>
      <w:r w:rsidRPr="00D50F76">
        <w:rPr>
          <w:lang w:val="pt-PT"/>
        </w:rPr>
        <w:tab/>
        <w:t>Észrevételek a fedélzeti szennyvízkezelő mű készenléti üzeme kapcsán meghozandó intézkedésekről</w:t>
      </w:r>
    </w:p>
    <w:p w:rsidR="005624E3" w:rsidRPr="00D50F76" w:rsidRDefault="005624E3" w:rsidP="005624E3">
      <w:pPr>
        <w:spacing w:before="60" w:line="240" w:lineRule="atLeast"/>
        <w:ind w:left="567" w:hanging="567"/>
        <w:rPr>
          <w:noProof/>
          <w:szCs w:val="20"/>
          <w:lang w:val="pt-PT"/>
        </w:rPr>
      </w:pPr>
      <w:r w:rsidRPr="00D50F76">
        <w:rPr>
          <w:lang w:val="pt-PT"/>
        </w:rPr>
        <w:t>10.5.</w:t>
      </w:r>
      <w:r w:rsidRPr="00D50F76">
        <w:rPr>
          <w:lang w:val="pt-PT"/>
        </w:rPr>
        <w:tab/>
        <w:t>Észrevételek a fedélzeti szennyvízkezelő mű vészhelyzeti üzeme kapcsán meghozandó intézkedésekről</w:t>
      </w:r>
    </w:p>
    <w:p w:rsidR="005624E3" w:rsidRPr="00D50F76" w:rsidRDefault="005624E3" w:rsidP="005624E3">
      <w:pPr>
        <w:spacing w:before="60" w:line="240" w:lineRule="atLeast"/>
        <w:ind w:left="567" w:hanging="567"/>
        <w:rPr>
          <w:noProof/>
          <w:szCs w:val="20"/>
          <w:lang w:val="pt-PT"/>
        </w:rPr>
      </w:pPr>
      <w:r w:rsidRPr="00D50F76">
        <w:rPr>
          <w:lang w:val="pt-PT"/>
        </w:rPr>
        <w:t>10.6.</w:t>
      </w:r>
      <w:r w:rsidRPr="00D50F76">
        <w:rPr>
          <w:lang w:val="pt-PT"/>
        </w:rPr>
        <w:tab/>
        <w:t>Észrevételek a fedélzeti szennyvízkezelő mű leállítási, állási és újraindítási üzeme kapcsán meghozandó intézkedésekről</w:t>
      </w:r>
    </w:p>
    <w:p w:rsidR="005624E3" w:rsidRPr="00D50F76" w:rsidRDefault="005624E3" w:rsidP="005624E3">
      <w:pPr>
        <w:spacing w:before="60" w:line="240" w:lineRule="atLeast"/>
        <w:ind w:left="567" w:hanging="567"/>
        <w:rPr>
          <w:noProof/>
          <w:szCs w:val="20"/>
          <w:lang w:val="pt-PT"/>
        </w:rPr>
      </w:pPr>
      <w:r w:rsidRPr="00D50F76">
        <w:rPr>
          <w:lang w:val="pt-PT"/>
        </w:rPr>
        <w:t>10.7.</w:t>
      </w:r>
      <w:r w:rsidRPr="00D50F76">
        <w:rPr>
          <w:lang w:val="pt-PT"/>
        </w:rPr>
        <w:tab/>
        <w:t xml:space="preserve">Észrevételek a konyhai szennyvíz előzetes kezeléséhez </w:t>
      </w:r>
    </w:p>
    <w:p w:rsidR="005624E3" w:rsidRPr="00D50F76" w:rsidRDefault="005624E3" w:rsidP="005624E3">
      <w:pPr>
        <w:spacing w:before="60" w:line="240" w:lineRule="atLeast"/>
        <w:ind w:left="567" w:hanging="567"/>
        <w:rPr>
          <w:noProof/>
          <w:szCs w:val="20"/>
          <w:lang w:val="sv-SE"/>
        </w:rPr>
      </w:pPr>
      <w:r w:rsidRPr="00D50F76">
        <w:rPr>
          <w:lang w:val="sv-SE"/>
        </w:rPr>
        <w:t>11.</w:t>
      </w:r>
      <w:r w:rsidRPr="00D50F76">
        <w:rPr>
          <w:lang w:val="sv-SE"/>
        </w:rPr>
        <w:tab/>
        <w:t>További berendezések (itt sorolja fel)</w:t>
      </w:r>
    </w:p>
    <w:p w:rsidR="005624E3" w:rsidRPr="00D50F76" w:rsidRDefault="005624E3" w:rsidP="005624E3">
      <w:pPr>
        <w:spacing w:line="240" w:lineRule="atLeast"/>
        <w:rPr>
          <w:rFonts w:cs="Arial"/>
          <w:noProof/>
          <w:color w:val="000000"/>
          <w:lang w:val="sv-SE"/>
        </w:rPr>
      </w:pPr>
    </w:p>
    <w:p w:rsidR="005624E3" w:rsidRPr="00D50F76" w:rsidRDefault="005624E3" w:rsidP="005624E3">
      <w:pPr>
        <w:spacing w:line="240" w:lineRule="atLeast"/>
        <w:rPr>
          <w:rFonts w:cs="Arial"/>
          <w:noProof/>
          <w:color w:val="000000"/>
          <w:lang w:val="sv-SE"/>
        </w:rPr>
      </w:pPr>
    </w:p>
    <w:p w:rsidR="005624E3" w:rsidRPr="00D50F76" w:rsidRDefault="005624E3" w:rsidP="005624E3">
      <w:pPr>
        <w:outlineLvl w:val="0"/>
        <w:rPr>
          <w:b/>
          <w:noProof/>
          <w:szCs w:val="20"/>
          <w:lang w:val="sv-SE"/>
        </w:rPr>
      </w:pPr>
      <w:r w:rsidRPr="00D50F76">
        <w:rPr>
          <w:b/>
          <w:noProof/>
          <w:lang w:val="sv-SE"/>
        </w:rPr>
        <w:t>Dátum, a fedélzeti szennyvízkezelő mű gyártójának aláírása</w:t>
      </w:r>
    </w:p>
    <w:p w:rsidR="005624E3" w:rsidRPr="00D50F76" w:rsidRDefault="005624E3" w:rsidP="005624E3">
      <w:pPr>
        <w:spacing w:line="240" w:lineRule="atLeast"/>
        <w:rPr>
          <w:rFonts w:cs="Arial"/>
          <w:noProof/>
          <w:color w:val="000000"/>
          <w:lang w:val="sv-SE"/>
        </w:rPr>
      </w:pPr>
    </w:p>
    <w:p w:rsidR="005624E3" w:rsidRPr="00D50F76" w:rsidRDefault="005624E3" w:rsidP="005624E3">
      <w:pPr>
        <w:rPr>
          <w:noProof/>
          <w:szCs w:val="20"/>
          <w:lang w:val="sv-SE"/>
        </w:rPr>
      </w:pPr>
      <w:r w:rsidRPr="00D50F76">
        <w:rPr>
          <w:lang w:val="sv-SE"/>
        </w:rPr>
        <w:t>……………………………………………</w:t>
      </w:r>
      <w:r w:rsidRPr="00D50F76">
        <w:rPr>
          <w:lang w:val="sv-SE"/>
        </w:rPr>
        <w:tab/>
        <w:t>………………………………………….</w:t>
      </w:r>
    </w:p>
    <w:p w:rsidR="005624E3" w:rsidRPr="00D50F76" w:rsidRDefault="005624E3" w:rsidP="005624E3">
      <w:pPr>
        <w:rPr>
          <w:noProof/>
          <w:szCs w:val="20"/>
          <w:lang w:val="sv-SE"/>
        </w:rPr>
      </w:pPr>
    </w:p>
    <w:p w:rsidR="005624E3" w:rsidRPr="00D50F76" w:rsidRDefault="005624E3" w:rsidP="005624E3">
      <w:pPr>
        <w:tabs>
          <w:tab w:val="left" w:pos="142"/>
        </w:tabs>
        <w:suppressAutoHyphens/>
        <w:spacing w:line="240" w:lineRule="atLeast"/>
        <w:rPr>
          <w:rFonts w:cs="Arial"/>
          <w:szCs w:val="20"/>
          <w:lang w:val="sv-SE"/>
        </w:rPr>
      </w:pPr>
    </w:p>
    <w:p w:rsidR="005624E3" w:rsidRPr="00D50F76" w:rsidRDefault="005624E3" w:rsidP="005624E3">
      <w:pPr>
        <w:tabs>
          <w:tab w:val="center" w:pos="7655"/>
        </w:tabs>
        <w:suppressAutoHyphens/>
        <w:spacing w:line="240" w:lineRule="atLeast"/>
        <w:jc w:val="center"/>
        <w:rPr>
          <w:rFonts w:cs="Arial"/>
          <w:b/>
          <w:lang w:val="sv-SE"/>
        </w:rPr>
      </w:pPr>
      <w:r w:rsidRPr="00D50F76">
        <w:rPr>
          <w:b/>
          <w:lang w:val="sv-SE"/>
        </w:rPr>
        <w:t>1. függelék</w:t>
      </w:r>
    </w:p>
    <w:p w:rsidR="005624E3" w:rsidRPr="00D50F76" w:rsidRDefault="005624E3" w:rsidP="005624E3">
      <w:pPr>
        <w:tabs>
          <w:tab w:val="center" w:pos="7655"/>
        </w:tabs>
        <w:suppressAutoHyphens/>
        <w:spacing w:line="240" w:lineRule="atLeast"/>
        <w:jc w:val="center"/>
        <w:rPr>
          <w:rFonts w:cs="Arial"/>
          <w:szCs w:val="20"/>
          <w:lang w:val="sv-SE"/>
        </w:rPr>
      </w:pPr>
      <w:r w:rsidRPr="00D50F76">
        <w:rPr>
          <w:b/>
          <w:lang w:val="sv-SE"/>
        </w:rPr>
        <w:t xml:space="preserve">A fedélzeti szennyvízkezelő mű típusának legfontosabb jellemzői </w:t>
      </w:r>
      <w:r w:rsidRPr="00D50F76">
        <w:rPr>
          <w:rFonts w:cs="Arial"/>
          <w:b/>
          <w:szCs w:val="20"/>
          <w:lang w:val="sv-SE"/>
        </w:rPr>
        <w:br/>
      </w:r>
      <w:r w:rsidRPr="00D50F76">
        <w:rPr>
          <w:lang w:val="sv-SE"/>
        </w:rPr>
        <w:t>(Minta)</w:t>
      </w:r>
    </w:p>
    <w:p w:rsidR="005624E3" w:rsidRPr="00D50F76" w:rsidRDefault="005624E3" w:rsidP="005624E3">
      <w:pPr>
        <w:suppressAutoHyphens/>
        <w:spacing w:line="240" w:lineRule="atLeast"/>
        <w:ind w:left="993" w:hanging="993"/>
        <w:rPr>
          <w:rFonts w:cs="Arial"/>
          <w:szCs w:val="20"/>
          <w:lang w:val="sv-SE"/>
        </w:rPr>
      </w:pPr>
    </w:p>
    <w:p w:rsidR="005624E3" w:rsidRPr="00D50F76" w:rsidRDefault="005624E3" w:rsidP="005624E3">
      <w:pPr>
        <w:ind w:left="850" w:hanging="850"/>
        <w:outlineLvl w:val="0"/>
        <w:rPr>
          <w:b/>
          <w:noProof/>
          <w:szCs w:val="20"/>
          <w:lang w:val="sv-SE"/>
        </w:rPr>
      </w:pPr>
      <w:r w:rsidRPr="00D50F76">
        <w:rPr>
          <w:b/>
          <w:noProof/>
          <w:lang w:val="sv-SE"/>
        </w:rPr>
        <w:t>1.</w:t>
      </w:r>
      <w:r w:rsidRPr="00D50F76">
        <w:rPr>
          <w:lang w:val="sv-SE"/>
        </w:rPr>
        <w:tab/>
      </w:r>
      <w:r w:rsidRPr="00D50F76">
        <w:rPr>
          <w:b/>
          <w:noProof/>
          <w:lang w:val="sv-SE"/>
        </w:rPr>
        <w:t>A fedélzeti szennyvízkezelő mű leírása</w:t>
      </w:r>
    </w:p>
    <w:p w:rsidR="005624E3" w:rsidRPr="00D50F76" w:rsidRDefault="005624E3" w:rsidP="005624E3">
      <w:pPr>
        <w:tabs>
          <w:tab w:val="left" w:leader="dot" w:pos="9072"/>
        </w:tabs>
        <w:ind w:left="851" w:hanging="851"/>
        <w:rPr>
          <w:noProof/>
          <w:szCs w:val="20"/>
          <w:lang w:val="sv-SE"/>
        </w:rPr>
      </w:pPr>
      <w:r w:rsidRPr="00D50F76">
        <w:rPr>
          <w:lang w:val="sv-SE"/>
        </w:rPr>
        <w:t>1.1.</w:t>
      </w:r>
      <w:r w:rsidRPr="00D50F76">
        <w:rPr>
          <w:lang w:val="sv-SE"/>
        </w:rPr>
        <w:tab/>
        <w:t xml:space="preserve">Gyártó: </w:t>
      </w:r>
      <w:r w:rsidRPr="00D50F76">
        <w:rPr>
          <w:lang w:val="sv-SE"/>
        </w:rPr>
        <w:tab/>
      </w:r>
    </w:p>
    <w:p w:rsidR="005624E3" w:rsidRPr="00D50F76" w:rsidRDefault="005624E3" w:rsidP="005624E3">
      <w:pPr>
        <w:tabs>
          <w:tab w:val="left" w:leader="dot" w:pos="9072"/>
        </w:tabs>
        <w:ind w:left="851" w:hanging="851"/>
        <w:rPr>
          <w:noProof/>
          <w:szCs w:val="20"/>
          <w:lang w:val="sv-SE"/>
        </w:rPr>
      </w:pPr>
      <w:r w:rsidRPr="00D50F76">
        <w:rPr>
          <w:lang w:val="sv-SE"/>
        </w:rPr>
        <w:t>1.2.</w:t>
      </w:r>
      <w:r w:rsidRPr="00D50F76">
        <w:rPr>
          <w:lang w:val="sv-SE"/>
        </w:rPr>
        <w:tab/>
        <w:t xml:space="preserve">A szennyvízkezelő mű sorozatszáma: </w:t>
      </w:r>
      <w:r w:rsidRPr="00D50F76">
        <w:rPr>
          <w:lang w:val="sv-SE"/>
        </w:rPr>
        <w:tab/>
      </w:r>
    </w:p>
    <w:p w:rsidR="005624E3" w:rsidRPr="00D50F76" w:rsidRDefault="005624E3" w:rsidP="005624E3">
      <w:pPr>
        <w:ind w:left="850" w:hanging="850"/>
        <w:rPr>
          <w:noProof/>
          <w:szCs w:val="20"/>
          <w:lang w:val="sv-SE"/>
        </w:rPr>
      </w:pPr>
      <w:r w:rsidRPr="00D50F76">
        <w:rPr>
          <w:lang w:val="sv-SE"/>
        </w:rPr>
        <w:t>1.3.</w:t>
      </w:r>
      <w:r w:rsidRPr="00D50F76">
        <w:rPr>
          <w:lang w:val="sv-SE"/>
        </w:rPr>
        <w:tab/>
        <w:t xml:space="preserve">A szennyvízkezelés elve: biológiai vagy mechanikai/kémiai </w:t>
      </w:r>
      <w:r w:rsidRPr="00D50F76">
        <w:rPr>
          <w:noProof/>
          <w:vertAlign w:val="superscript"/>
          <w:lang w:val="sv-SE"/>
        </w:rPr>
        <w:t>(</w:t>
      </w:r>
      <w:r>
        <w:rPr>
          <w:noProof/>
          <w:vertAlign w:val="superscript"/>
        </w:rPr>
        <w:footnoteReference w:id="65"/>
      </w:r>
      <w:r w:rsidRPr="00D50F76">
        <w:rPr>
          <w:noProof/>
          <w:vertAlign w:val="superscript"/>
          <w:lang w:val="sv-SE"/>
        </w:rPr>
        <w:t>)</w:t>
      </w:r>
    </w:p>
    <w:p w:rsidR="005624E3" w:rsidRPr="00D50F76" w:rsidRDefault="005624E3" w:rsidP="005624E3">
      <w:pPr>
        <w:ind w:left="850" w:hanging="850"/>
        <w:rPr>
          <w:noProof/>
          <w:szCs w:val="20"/>
          <w:lang w:val="sv-SE"/>
        </w:rPr>
      </w:pPr>
      <w:r w:rsidRPr="00D50F76">
        <w:rPr>
          <w:lang w:val="sv-SE"/>
        </w:rPr>
        <w:t>1.4.</w:t>
      </w:r>
      <w:r w:rsidRPr="00D50F76">
        <w:rPr>
          <w:lang w:val="sv-SE"/>
        </w:rPr>
        <w:tab/>
        <w:t>Van befolyó oldali szennyvízgyűjtő tartály? Van: … m³ / Nincs</w:t>
      </w:r>
      <w:r w:rsidRPr="00D50F76">
        <w:rPr>
          <w:noProof/>
          <w:vertAlign w:val="superscript"/>
          <w:lang w:val="sv-SE"/>
        </w:rPr>
        <w:t>(2)</w:t>
      </w:r>
    </w:p>
    <w:p w:rsidR="005624E3" w:rsidRPr="00D50F76" w:rsidRDefault="005624E3" w:rsidP="005624E3">
      <w:pPr>
        <w:ind w:left="850" w:hanging="850"/>
        <w:outlineLvl w:val="0"/>
        <w:rPr>
          <w:b/>
          <w:bCs/>
          <w:noProof/>
          <w:szCs w:val="20"/>
          <w:lang w:val="sv-SE"/>
        </w:rPr>
      </w:pPr>
    </w:p>
    <w:p w:rsidR="005624E3" w:rsidRPr="00D50F76" w:rsidRDefault="005624E3" w:rsidP="005624E3">
      <w:pPr>
        <w:ind w:left="850" w:hanging="850"/>
        <w:outlineLvl w:val="0"/>
        <w:rPr>
          <w:b/>
          <w:bCs/>
          <w:noProof/>
          <w:szCs w:val="20"/>
          <w:lang w:val="sv-SE"/>
        </w:rPr>
      </w:pPr>
      <w:r w:rsidRPr="00D50F76">
        <w:rPr>
          <w:b/>
          <w:noProof/>
          <w:lang w:val="sv-SE"/>
        </w:rPr>
        <w:t>2.</w:t>
      </w:r>
      <w:r w:rsidRPr="00D50F76">
        <w:rPr>
          <w:lang w:val="sv-SE"/>
        </w:rPr>
        <w:tab/>
      </w:r>
      <w:r w:rsidRPr="00D50F76">
        <w:rPr>
          <w:b/>
          <w:noProof/>
          <w:lang w:val="sv-SE"/>
        </w:rPr>
        <w:t xml:space="preserve">Tervezési és méretezési kritériumok (beleértve a rendszerbe állításra vonatkozó esetleges utasításokat és az esetleges üzemeltetési korlátozásokat is) </w:t>
      </w:r>
    </w:p>
    <w:p w:rsidR="005624E3" w:rsidRPr="00D50F76" w:rsidRDefault="005624E3" w:rsidP="005624E3">
      <w:pPr>
        <w:tabs>
          <w:tab w:val="left" w:leader="dot" w:pos="9072"/>
        </w:tabs>
        <w:ind w:left="851" w:hanging="851"/>
        <w:rPr>
          <w:noProof/>
          <w:szCs w:val="20"/>
          <w:lang w:val="sv-SE"/>
        </w:rPr>
      </w:pPr>
      <w:r w:rsidRPr="00D50F76">
        <w:rPr>
          <w:lang w:val="sv-SE"/>
        </w:rPr>
        <w:t>2.1.</w:t>
      </w:r>
      <w:r w:rsidRPr="00D50F76">
        <w:rPr>
          <w:lang w:val="sv-SE"/>
        </w:rPr>
        <w:tab/>
      </w:r>
      <w:r w:rsidRPr="00D50F76">
        <w:rPr>
          <w:lang w:val="sv-SE"/>
        </w:rPr>
        <w:tab/>
      </w:r>
    </w:p>
    <w:p w:rsidR="005624E3" w:rsidRPr="00D50F76" w:rsidRDefault="005624E3" w:rsidP="005624E3">
      <w:pPr>
        <w:tabs>
          <w:tab w:val="left" w:leader="dot" w:pos="9072"/>
        </w:tabs>
        <w:ind w:left="851" w:hanging="851"/>
        <w:rPr>
          <w:noProof/>
          <w:szCs w:val="20"/>
          <w:lang w:val="sv-SE"/>
        </w:rPr>
      </w:pPr>
      <w:r w:rsidRPr="00D50F76">
        <w:rPr>
          <w:lang w:val="sv-SE"/>
        </w:rPr>
        <w:t>2.2.</w:t>
      </w:r>
      <w:r w:rsidRPr="00D50F76">
        <w:rPr>
          <w:lang w:val="sv-SE"/>
        </w:rPr>
        <w:tab/>
      </w:r>
      <w:r w:rsidRPr="00D50F76">
        <w:rPr>
          <w:lang w:val="sv-SE"/>
        </w:rPr>
        <w:tab/>
      </w:r>
    </w:p>
    <w:p w:rsidR="005624E3" w:rsidRPr="00D50F76" w:rsidRDefault="005624E3" w:rsidP="005624E3">
      <w:pPr>
        <w:ind w:left="850" w:hanging="850"/>
        <w:rPr>
          <w:noProof/>
          <w:szCs w:val="20"/>
          <w:lang w:val="sv-SE"/>
        </w:rPr>
      </w:pPr>
    </w:p>
    <w:p w:rsidR="005624E3" w:rsidRPr="00D50F76" w:rsidRDefault="005624E3" w:rsidP="005624E3">
      <w:pPr>
        <w:ind w:left="850" w:hanging="850"/>
        <w:outlineLvl w:val="0"/>
        <w:rPr>
          <w:b/>
          <w:bCs/>
          <w:noProof/>
          <w:szCs w:val="20"/>
          <w:lang w:val="sv-SE"/>
        </w:rPr>
      </w:pPr>
      <w:r w:rsidRPr="00D50F76">
        <w:rPr>
          <w:b/>
          <w:noProof/>
          <w:lang w:val="sv-SE"/>
        </w:rPr>
        <w:t>3.</w:t>
      </w:r>
      <w:r w:rsidRPr="00D50F76">
        <w:rPr>
          <w:lang w:val="sv-SE"/>
        </w:rPr>
        <w:tab/>
      </w:r>
      <w:r w:rsidRPr="00D50F76">
        <w:rPr>
          <w:b/>
          <w:noProof/>
          <w:lang w:val="sv-SE"/>
        </w:rPr>
        <w:t>A fedélzeti szennyvízkezelő mű méretezése</w:t>
      </w:r>
    </w:p>
    <w:p w:rsidR="005624E3" w:rsidRPr="00D50F76" w:rsidRDefault="005624E3" w:rsidP="005624E3">
      <w:pPr>
        <w:tabs>
          <w:tab w:val="left" w:leader="dot" w:pos="9072"/>
        </w:tabs>
        <w:ind w:left="851" w:hanging="851"/>
        <w:rPr>
          <w:noProof/>
          <w:szCs w:val="20"/>
          <w:lang w:val="sv-SE"/>
        </w:rPr>
      </w:pPr>
      <w:r w:rsidRPr="00D50F76">
        <w:rPr>
          <w:lang w:val="sv-SE"/>
        </w:rPr>
        <w:t>3.1.</w:t>
      </w:r>
      <w:r w:rsidRPr="00D50F76">
        <w:rPr>
          <w:lang w:val="sv-SE"/>
        </w:rPr>
        <w:tab/>
        <w:t>Legnagyobb napi feldolgozható szennyvízmennyiség (</w:t>
      </w:r>
      <m:oMath>
        <m:sSub>
          <m:sSubPr>
            <m:ctrlPr>
              <w:rPr>
                <w:rFonts w:ascii="Cambria Math" w:hAnsi="Cambria Math" w:cs="Arial"/>
                <w:i/>
                <w:szCs w:val="20"/>
              </w:rPr>
            </m:ctrlPr>
          </m:sSubPr>
          <m:e>
            <m:r>
              <w:rPr>
                <w:rFonts w:ascii="Cambria Math" w:hAnsi="Cambria Math" w:cs="Arial"/>
                <w:szCs w:val="20"/>
              </w:rPr>
              <m:t>Q</m:t>
            </m:r>
          </m:e>
          <m:sub>
            <m:r>
              <w:rPr>
                <w:rFonts w:ascii="Cambria Math" w:hAnsi="Cambria Math" w:cs="Arial"/>
                <w:szCs w:val="20"/>
              </w:rPr>
              <m:t>d</m:t>
            </m:r>
          </m:sub>
        </m:sSub>
      </m:oMath>
      <w:r w:rsidRPr="00D50F76">
        <w:rPr>
          <w:lang w:val="sv-SE"/>
        </w:rPr>
        <w:t xml:space="preserve">, m³/nap): </w:t>
      </w:r>
      <w:r w:rsidRPr="00D50F76">
        <w:rPr>
          <w:lang w:val="sv-SE"/>
        </w:rPr>
        <w:tab/>
      </w:r>
    </w:p>
    <w:p w:rsidR="005624E3" w:rsidRPr="00D50F76" w:rsidRDefault="005624E3" w:rsidP="005624E3">
      <w:pPr>
        <w:tabs>
          <w:tab w:val="left" w:leader="dot" w:pos="9072"/>
        </w:tabs>
        <w:ind w:left="851" w:hanging="851"/>
        <w:rPr>
          <w:noProof/>
          <w:szCs w:val="20"/>
          <w:lang w:val="sv-SE"/>
        </w:rPr>
      </w:pPr>
      <w:r w:rsidRPr="00D50F76">
        <w:rPr>
          <w:lang w:val="sv-SE"/>
        </w:rPr>
        <w:t>3.2.</w:t>
      </w:r>
      <w:r w:rsidRPr="00D50F76">
        <w:rPr>
          <w:lang w:val="sv-SE"/>
        </w:rPr>
        <w:tab/>
        <w:t xml:space="preserve">Napi </w:t>
      </w:r>
      <m:oMath>
        <m:sSub>
          <m:sSubPr>
            <m:ctrlPr>
              <w:rPr>
                <w:rFonts w:ascii="Cambria Math" w:hAnsi="Cambria Math"/>
                <w:i/>
                <w:noProof/>
              </w:rPr>
            </m:ctrlPr>
          </m:sSubPr>
          <m:e>
            <m:r>
              <w:rPr>
                <w:rFonts w:ascii="Cambria Math" w:hAnsi="Cambria Math"/>
                <w:noProof/>
              </w:rPr>
              <m:t>BOD</m:t>
            </m:r>
          </m:e>
          <m:sub>
            <m:r>
              <w:rPr>
                <w:rFonts w:ascii="Cambria Math" w:hAnsi="Cambria Math"/>
                <w:noProof/>
                <w:lang w:val="sv-SE"/>
              </w:rPr>
              <m:t>5</m:t>
            </m:r>
          </m:sub>
        </m:sSub>
      </m:oMath>
      <w:r w:rsidRPr="00D50F76">
        <w:rPr>
          <w:lang w:val="sv-SE"/>
        </w:rPr>
        <w:t xml:space="preserve">-terhelés (kg/nap): </w:t>
      </w:r>
      <w:r w:rsidRPr="00D50F76">
        <w:rPr>
          <w:lang w:val="sv-SE"/>
        </w:rPr>
        <w:tab/>
      </w:r>
    </w:p>
    <w:p w:rsidR="005624E3" w:rsidRPr="00D50F76" w:rsidRDefault="005624E3" w:rsidP="005624E3">
      <w:pPr>
        <w:ind w:left="850" w:hanging="850"/>
        <w:rPr>
          <w:noProof/>
          <w:szCs w:val="20"/>
          <w:lang w:val="sv-SE"/>
        </w:rPr>
      </w:pPr>
    </w:p>
    <w:p w:rsidR="005624E3" w:rsidRPr="00D50F76" w:rsidRDefault="005624E3" w:rsidP="005624E3">
      <w:pPr>
        <w:ind w:left="850" w:hanging="850"/>
        <w:rPr>
          <w:noProof/>
          <w:szCs w:val="20"/>
          <w:lang w:val="sv-SE"/>
        </w:rPr>
      </w:pPr>
    </w:p>
    <w:p w:rsidR="005624E3" w:rsidRPr="00D50F76" w:rsidRDefault="005624E3" w:rsidP="005624E3">
      <w:pPr>
        <w:ind w:left="850" w:hanging="850"/>
        <w:rPr>
          <w:noProof/>
          <w:szCs w:val="20"/>
          <w:lang w:val="sv-SE"/>
        </w:rPr>
      </w:pPr>
    </w:p>
    <w:p w:rsidR="005624E3" w:rsidRPr="00D50F76" w:rsidRDefault="005624E3" w:rsidP="005624E3">
      <w:pPr>
        <w:tabs>
          <w:tab w:val="center" w:pos="7956"/>
        </w:tabs>
        <w:suppressAutoHyphens/>
        <w:spacing w:line="240" w:lineRule="atLeast"/>
        <w:jc w:val="right"/>
        <w:rPr>
          <w:rFonts w:cs="Arial"/>
          <w:szCs w:val="20"/>
          <w:lang w:val="sv-SE"/>
        </w:rPr>
      </w:pPr>
      <w:r w:rsidRPr="00D50F76">
        <w:rPr>
          <w:lang w:val="sv-SE"/>
        </w:rPr>
        <w:br w:type="page"/>
      </w:r>
    </w:p>
    <w:p w:rsidR="005624E3" w:rsidRPr="00D50F76" w:rsidRDefault="005624E3" w:rsidP="005624E3">
      <w:pPr>
        <w:pStyle w:val="ES-Titre3"/>
        <w:rPr>
          <w:noProof/>
          <w:lang w:val="sv-SE"/>
        </w:rPr>
      </w:pPr>
      <w:bookmarkStart w:id="692" w:name="_Toc491854328"/>
      <w:bookmarkStart w:id="693" w:name="_Toc535854109"/>
      <w:r w:rsidRPr="00D50F76">
        <w:rPr>
          <w:lang w:val="sv-SE"/>
        </w:rPr>
        <w:t>III. szakasz</w:t>
      </w:r>
      <w:bookmarkEnd w:id="692"/>
      <w:bookmarkEnd w:id="693"/>
    </w:p>
    <w:p w:rsidR="005624E3" w:rsidRPr="00D50F76" w:rsidRDefault="005624E3" w:rsidP="005624E3">
      <w:pPr>
        <w:pStyle w:val="ES-Titre3a"/>
        <w:rPr>
          <w:noProof/>
          <w:lang w:val="sv-SE"/>
        </w:rPr>
      </w:pPr>
      <w:bookmarkStart w:id="694" w:name="_Toc491854329"/>
      <w:bookmarkStart w:id="695" w:name="_Toc535854110"/>
      <w:r w:rsidRPr="00D50F76">
        <w:rPr>
          <w:lang w:val="sv-SE"/>
        </w:rPr>
        <w:t>Típusbizonyítvány</w:t>
      </w:r>
      <w:bookmarkEnd w:id="694"/>
      <w:bookmarkEnd w:id="695"/>
      <w:r w:rsidRPr="00D50F76">
        <w:rPr>
          <w:lang w:val="sv-SE"/>
        </w:rPr>
        <w:t xml:space="preserve"> </w:t>
      </w:r>
    </w:p>
    <w:p w:rsidR="005624E3" w:rsidRPr="00D50F76" w:rsidRDefault="005624E3" w:rsidP="005624E3">
      <w:pPr>
        <w:overflowPunct w:val="0"/>
        <w:adjustRightInd w:val="0"/>
        <w:spacing w:line="240" w:lineRule="exact"/>
        <w:jc w:val="center"/>
        <w:textAlignment w:val="baseline"/>
        <w:rPr>
          <w:rFonts w:eastAsia="Calibri"/>
          <w:noProof/>
          <w:lang w:val="sv-SE"/>
        </w:rPr>
      </w:pPr>
      <w:r w:rsidRPr="00D50F76">
        <w:rPr>
          <w:lang w:val="sv-SE"/>
        </w:rPr>
        <w:t>(Minta)</w:t>
      </w:r>
    </w:p>
    <w:p w:rsidR="005624E3" w:rsidRPr="00D50F76" w:rsidRDefault="005624E3" w:rsidP="005624E3">
      <w:pPr>
        <w:suppressAutoHyphens/>
        <w:spacing w:line="240" w:lineRule="atLeast"/>
        <w:rPr>
          <w:rFonts w:cs="Arial"/>
          <w:szCs w:val="20"/>
          <w:lang w:val="sv-SE"/>
        </w:rPr>
      </w:pPr>
    </w:p>
    <w:p w:rsidR="005624E3" w:rsidRPr="00D50F76" w:rsidRDefault="005624E3" w:rsidP="005624E3">
      <w:pPr>
        <w:jc w:val="right"/>
        <w:rPr>
          <w:b/>
          <w:noProof/>
          <w:szCs w:val="20"/>
          <w:lang w:val="sv-SE"/>
        </w:rPr>
      </w:pPr>
      <w:r w:rsidRPr="00D50F76">
        <w:rPr>
          <w:lang w:val="sv-SE"/>
        </w:rPr>
        <w:t>Az illetékes hatóság bélyegzője</w:t>
      </w:r>
    </w:p>
    <w:p w:rsidR="005624E3" w:rsidRPr="00D50F76" w:rsidRDefault="005624E3" w:rsidP="005624E3">
      <w:pPr>
        <w:rPr>
          <w:b/>
          <w:noProof/>
          <w:szCs w:val="20"/>
          <w:lang w:val="sv-SE"/>
        </w:rPr>
      </w:pPr>
    </w:p>
    <w:p w:rsidR="005624E3" w:rsidRPr="00D50F76" w:rsidRDefault="005624E3" w:rsidP="005624E3">
      <w:pPr>
        <w:tabs>
          <w:tab w:val="left" w:leader="dot" w:pos="4253"/>
          <w:tab w:val="left" w:pos="4536"/>
          <w:tab w:val="left" w:leader="dot" w:pos="9072"/>
        </w:tabs>
        <w:ind w:left="851" w:hanging="851"/>
        <w:outlineLvl w:val="0"/>
        <w:rPr>
          <w:noProof/>
          <w:szCs w:val="20"/>
          <w:lang w:val="sv-SE"/>
        </w:rPr>
      </w:pPr>
      <w:r w:rsidRPr="00D50F76">
        <w:rPr>
          <w:b/>
          <w:noProof/>
          <w:lang w:val="sv-SE"/>
        </w:rPr>
        <w:t>A típusjóváhagyás száma</w:t>
      </w:r>
      <w:r w:rsidRPr="00D50F76">
        <w:rPr>
          <w:lang w:val="sv-SE"/>
        </w:rPr>
        <w:t xml:space="preserve">: </w:t>
      </w:r>
      <w:r w:rsidRPr="00D50F76">
        <w:rPr>
          <w:lang w:val="sv-SE"/>
        </w:rPr>
        <w:tab/>
      </w:r>
      <w:r w:rsidRPr="00D50F76">
        <w:rPr>
          <w:lang w:val="sv-SE"/>
        </w:rPr>
        <w:tab/>
      </w:r>
      <w:r w:rsidRPr="00D50F76">
        <w:rPr>
          <w:b/>
          <w:noProof/>
          <w:lang w:val="sv-SE"/>
        </w:rPr>
        <w:t>Meghosszabbítás száma</w:t>
      </w:r>
      <w:r w:rsidRPr="00D50F76">
        <w:rPr>
          <w:lang w:val="sv-SE"/>
        </w:rPr>
        <w:t xml:space="preserve">: </w:t>
      </w:r>
      <w:r w:rsidRPr="00D50F76">
        <w:rPr>
          <w:lang w:val="sv-SE"/>
        </w:rPr>
        <w:tab/>
      </w:r>
    </w:p>
    <w:p w:rsidR="005624E3" w:rsidRPr="00D50F76" w:rsidRDefault="005624E3" w:rsidP="005624E3">
      <w:pPr>
        <w:ind w:left="850" w:hanging="850"/>
        <w:rPr>
          <w:noProof/>
          <w:szCs w:val="20"/>
          <w:lang w:val="sv-SE"/>
        </w:rPr>
      </w:pPr>
    </w:p>
    <w:p w:rsidR="005624E3" w:rsidRPr="00D50F76" w:rsidRDefault="005624E3" w:rsidP="005624E3">
      <w:pPr>
        <w:tabs>
          <w:tab w:val="left" w:leader="dot" w:pos="9072"/>
        </w:tabs>
        <w:spacing w:line="240" w:lineRule="atLeast"/>
        <w:rPr>
          <w:rFonts w:cs="Arial"/>
          <w:noProof/>
          <w:lang w:val="sv-SE"/>
        </w:rPr>
      </w:pPr>
      <w:r w:rsidRPr="00D50F76">
        <w:rPr>
          <w:lang w:val="sv-SE"/>
        </w:rPr>
        <w:t xml:space="preserve">Értesítés fedélzeti szennyvízkezelő mű típusjóváhagyásának </w:t>
      </w:r>
    </w:p>
    <w:p w:rsidR="005624E3" w:rsidRPr="00D50F76" w:rsidRDefault="005624E3" w:rsidP="005624E3">
      <w:pPr>
        <w:spacing w:line="240" w:lineRule="atLeast"/>
        <w:rPr>
          <w:rFonts w:cs="Arial"/>
          <w:noProof/>
          <w:color w:val="000000"/>
          <w:lang w:val="sv-SE"/>
        </w:rPr>
      </w:pPr>
      <w:r w:rsidRPr="00D50F76">
        <w:rPr>
          <w:noProof/>
          <w:color w:val="000000"/>
          <w:lang w:val="sv-SE"/>
        </w:rPr>
        <w:t>-</w:t>
      </w:r>
      <w:r w:rsidRPr="00D50F76">
        <w:rPr>
          <w:lang w:val="sv-SE"/>
        </w:rPr>
        <w:tab/>
      </w:r>
      <w:r w:rsidRPr="00D50F76">
        <w:rPr>
          <w:noProof/>
          <w:color w:val="000000"/>
          <w:lang w:val="sv-SE"/>
        </w:rPr>
        <w:t>kibocsátásáról/meghosszabbításáról/megtagadásáról/visszavonásáról</w:t>
      </w:r>
      <w:r>
        <w:rPr>
          <w:noProof/>
          <w:color w:val="000000"/>
          <w:vertAlign w:val="superscript"/>
        </w:rPr>
        <w:footnoteReference w:id="66"/>
      </w:r>
      <w:r w:rsidRPr="00D50F76">
        <w:rPr>
          <w:noProof/>
          <w:color w:val="000000"/>
          <w:lang w:val="sv-SE"/>
        </w:rPr>
        <w:t xml:space="preserve"> </w:t>
      </w:r>
    </w:p>
    <w:p w:rsidR="005624E3" w:rsidRPr="00D50F76" w:rsidRDefault="005624E3" w:rsidP="005624E3">
      <w:pPr>
        <w:tabs>
          <w:tab w:val="left" w:leader="dot" w:pos="9072"/>
        </w:tabs>
        <w:spacing w:line="240" w:lineRule="atLeast"/>
        <w:rPr>
          <w:rFonts w:cs="Arial"/>
          <w:noProof/>
          <w:lang w:val="sv-SE"/>
        </w:rPr>
      </w:pPr>
      <w:r w:rsidRPr="00D50F76">
        <w:rPr>
          <w:lang w:val="sv-SE"/>
        </w:rPr>
        <w:t xml:space="preserve">a </w:t>
      </w:r>
      <w:r w:rsidR="00E608AB" w:rsidRPr="00E608AB">
        <w:rPr>
          <w:lang w:val="sv-SE"/>
        </w:rPr>
        <w:t>belvízi hajók műszaki követelményeit meghatározó európai szabvány</w:t>
      </w:r>
      <w:r w:rsidRPr="00D50F76">
        <w:rPr>
          <w:lang w:val="sv-SE"/>
        </w:rPr>
        <w:t xml:space="preserve"> (ES-TRIN) alapján </w:t>
      </w:r>
    </w:p>
    <w:p w:rsidR="005624E3" w:rsidRPr="00D50F76" w:rsidRDefault="005624E3" w:rsidP="005624E3">
      <w:pPr>
        <w:ind w:left="850" w:hanging="850"/>
        <w:rPr>
          <w:noProof/>
          <w:szCs w:val="20"/>
          <w:lang w:val="sv-SE"/>
        </w:rPr>
      </w:pPr>
    </w:p>
    <w:p w:rsidR="005624E3" w:rsidRPr="00D50F76" w:rsidRDefault="005624E3" w:rsidP="005624E3">
      <w:pPr>
        <w:tabs>
          <w:tab w:val="left" w:leader="dot" w:pos="9072"/>
        </w:tabs>
        <w:ind w:left="851" w:hanging="851"/>
        <w:rPr>
          <w:noProof/>
          <w:szCs w:val="20"/>
          <w:lang w:val="sv-SE"/>
        </w:rPr>
      </w:pPr>
      <w:r w:rsidRPr="00D50F76">
        <w:rPr>
          <w:lang w:val="sv-SE"/>
        </w:rPr>
        <w:t xml:space="preserve">A meghosszabbítás indoka (ha alkalmazandó): </w:t>
      </w:r>
      <w:r w:rsidRPr="00D50F76">
        <w:rPr>
          <w:lang w:val="sv-SE"/>
        </w:rPr>
        <w:tab/>
      </w:r>
    </w:p>
    <w:p w:rsidR="005624E3" w:rsidRPr="00D50F76" w:rsidRDefault="005624E3" w:rsidP="005624E3">
      <w:pPr>
        <w:ind w:left="850" w:hanging="850"/>
        <w:rPr>
          <w:noProof/>
          <w:szCs w:val="20"/>
          <w:lang w:val="sv-SE"/>
        </w:rPr>
      </w:pPr>
    </w:p>
    <w:p w:rsidR="005624E3" w:rsidRPr="00D50F76" w:rsidRDefault="005624E3" w:rsidP="005624E3">
      <w:pPr>
        <w:ind w:left="850" w:hanging="850"/>
        <w:rPr>
          <w:noProof/>
          <w:szCs w:val="20"/>
          <w:lang w:val="sv-SE"/>
        </w:rPr>
      </w:pPr>
    </w:p>
    <w:p w:rsidR="005624E3" w:rsidRPr="00D50F76" w:rsidRDefault="005624E3" w:rsidP="005624E3">
      <w:pPr>
        <w:ind w:left="850" w:hanging="850"/>
        <w:outlineLvl w:val="0"/>
        <w:rPr>
          <w:b/>
          <w:bCs/>
          <w:noProof/>
          <w:szCs w:val="20"/>
          <w:lang w:val="sv-SE"/>
        </w:rPr>
      </w:pPr>
      <w:r w:rsidRPr="00D50F76">
        <w:rPr>
          <w:b/>
          <w:noProof/>
          <w:lang w:val="sv-SE"/>
        </w:rPr>
        <w:t>I. szakasz</w:t>
      </w:r>
    </w:p>
    <w:p w:rsidR="005624E3" w:rsidRPr="00D50F76" w:rsidRDefault="005624E3" w:rsidP="005624E3">
      <w:pPr>
        <w:ind w:left="850" w:hanging="850"/>
        <w:rPr>
          <w:noProof/>
          <w:szCs w:val="20"/>
          <w:lang w:val="sv-SE"/>
        </w:rPr>
      </w:pPr>
    </w:p>
    <w:p w:rsidR="005624E3" w:rsidRPr="00D50F76" w:rsidRDefault="005624E3" w:rsidP="005624E3">
      <w:pPr>
        <w:tabs>
          <w:tab w:val="left" w:leader="dot" w:pos="9072"/>
        </w:tabs>
        <w:spacing w:line="240" w:lineRule="atLeast"/>
        <w:ind w:left="709" w:hanging="709"/>
        <w:rPr>
          <w:noProof/>
          <w:szCs w:val="20"/>
          <w:lang w:val="sv-SE"/>
        </w:rPr>
      </w:pPr>
      <w:r w:rsidRPr="00D50F76">
        <w:rPr>
          <w:lang w:val="sv-SE"/>
        </w:rPr>
        <w:t>0.</w:t>
      </w:r>
      <w:r w:rsidRPr="00D50F76">
        <w:rPr>
          <w:lang w:val="sv-SE"/>
        </w:rPr>
        <w:tab/>
        <w:t>Általános rendelkezések</w:t>
      </w:r>
    </w:p>
    <w:p w:rsidR="005624E3" w:rsidRPr="00C903F8" w:rsidRDefault="005624E3" w:rsidP="005624E3">
      <w:pPr>
        <w:tabs>
          <w:tab w:val="left" w:leader="dot" w:pos="9072"/>
        </w:tabs>
        <w:spacing w:before="60" w:line="240" w:lineRule="atLeast"/>
        <w:ind w:left="709" w:hanging="709"/>
        <w:rPr>
          <w:noProof/>
          <w:szCs w:val="20"/>
        </w:rPr>
      </w:pPr>
      <w:r>
        <w:t>0.1.</w:t>
      </w:r>
      <w:r>
        <w:tab/>
        <w:t xml:space="preserve">Gyártmány (a gyártó vállalat neve): </w:t>
      </w:r>
      <w:r>
        <w:tab/>
      </w:r>
    </w:p>
    <w:p w:rsidR="005624E3" w:rsidRPr="00C903F8" w:rsidRDefault="005624E3" w:rsidP="005624E3">
      <w:pPr>
        <w:tabs>
          <w:tab w:val="left" w:leader="dot" w:pos="9072"/>
        </w:tabs>
        <w:spacing w:before="60" w:line="240" w:lineRule="atLeast"/>
        <w:ind w:left="720" w:hanging="709"/>
        <w:rPr>
          <w:noProof/>
          <w:szCs w:val="20"/>
        </w:rPr>
      </w:pPr>
      <w:r>
        <w:t>0.2.</w:t>
      </w:r>
      <w:r>
        <w:tab/>
        <w:t xml:space="preserve">Gyártói megjelölés a fedélzeti szennyvízkezelő mű típusának azonosítására: </w:t>
      </w:r>
      <w:r>
        <w:tab/>
      </w:r>
    </w:p>
    <w:p w:rsidR="005624E3" w:rsidRPr="00C903F8" w:rsidRDefault="005624E3" w:rsidP="005624E3">
      <w:pPr>
        <w:tabs>
          <w:tab w:val="left" w:leader="dot" w:pos="9072"/>
        </w:tabs>
        <w:spacing w:before="60" w:line="240" w:lineRule="atLeast"/>
        <w:ind w:left="709"/>
        <w:rPr>
          <w:noProof/>
          <w:szCs w:val="20"/>
        </w:rPr>
      </w:pPr>
      <w:r>
        <w:tab/>
      </w:r>
    </w:p>
    <w:p w:rsidR="005624E3" w:rsidRPr="00C903F8" w:rsidRDefault="005624E3" w:rsidP="005624E3">
      <w:pPr>
        <w:tabs>
          <w:tab w:val="left" w:leader="dot" w:pos="9072"/>
        </w:tabs>
        <w:spacing w:before="60" w:line="240" w:lineRule="atLeast"/>
        <w:ind w:left="709" w:hanging="709"/>
        <w:rPr>
          <w:noProof/>
          <w:szCs w:val="20"/>
        </w:rPr>
      </w:pPr>
      <w:r>
        <w:t>0.3.</w:t>
      </w:r>
      <w:r>
        <w:tab/>
        <w:t xml:space="preserve">A fedélzeti szennyvízkezelő művön elhelyezett információkhoz tartozó gyártói típuskód: </w:t>
      </w:r>
      <w:r>
        <w:tab/>
      </w:r>
    </w:p>
    <w:p w:rsidR="005624E3" w:rsidRPr="00C903F8" w:rsidRDefault="005624E3" w:rsidP="005624E3">
      <w:pPr>
        <w:tabs>
          <w:tab w:val="left" w:leader="dot" w:pos="9072"/>
        </w:tabs>
        <w:spacing w:before="60" w:line="240" w:lineRule="atLeast"/>
        <w:ind w:left="709"/>
        <w:rPr>
          <w:noProof/>
          <w:szCs w:val="20"/>
        </w:rPr>
      </w:pPr>
      <w:r>
        <w:tab/>
      </w:r>
    </w:p>
    <w:p w:rsidR="005624E3" w:rsidRPr="00C903F8" w:rsidRDefault="005624E3" w:rsidP="005624E3">
      <w:pPr>
        <w:tabs>
          <w:tab w:val="left" w:leader="dot" w:pos="9072"/>
        </w:tabs>
        <w:spacing w:before="60" w:line="240" w:lineRule="atLeast"/>
        <w:ind w:left="709"/>
        <w:rPr>
          <w:noProof/>
          <w:szCs w:val="20"/>
        </w:rPr>
      </w:pPr>
      <w:r>
        <w:t xml:space="preserve">Helye: </w:t>
      </w:r>
      <w:r>
        <w:tab/>
      </w:r>
    </w:p>
    <w:p w:rsidR="005624E3" w:rsidRPr="00C903F8" w:rsidRDefault="005624E3" w:rsidP="005624E3">
      <w:pPr>
        <w:tabs>
          <w:tab w:val="left" w:leader="dot" w:pos="9072"/>
        </w:tabs>
        <w:spacing w:before="60" w:line="240" w:lineRule="atLeast"/>
        <w:ind w:left="709"/>
        <w:rPr>
          <w:noProof/>
          <w:szCs w:val="20"/>
        </w:rPr>
      </w:pPr>
      <w:r>
        <w:t xml:space="preserve">Felhelyezésének módja: </w:t>
      </w:r>
      <w:r>
        <w:tab/>
      </w:r>
    </w:p>
    <w:p w:rsidR="005624E3" w:rsidRPr="00C903F8" w:rsidRDefault="005624E3" w:rsidP="005624E3">
      <w:pPr>
        <w:tabs>
          <w:tab w:val="left" w:leader="dot" w:pos="9072"/>
        </w:tabs>
        <w:spacing w:before="60" w:line="240" w:lineRule="atLeast"/>
        <w:ind w:left="709" w:hanging="709"/>
        <w:rPr>
          <w:noProof/>
          <w:szCs w:val="20"/>
        </w:rPr>
      </w:pPr>
      <w:r>
        <w:t>0.4.</w:t>
      </w:r>
      <w:r>
        <w:tab/>
        <w:t xml:space="preserve">A gyártó neve és címe: </w:t>
      </w:r>
      <w:r>
        <w:tab/>
      </w:r>
    </w:p>
    <w:p w:rsidR="005624E3" w:rsidRPr="00C903F8" w:rsidRDefault="005624E3" w:rsidP="005624E3">
      <w:pPr>
        <w:tabs>
          <w:tab w:val="left" w:leader="dot" w:pos="9072"/>
        </w:tabs>
        <w:spacing w:before="60" w:line="240" w:lineRule="atLeast"/>
        <w:ind w:left="709"/>
        <w:rPr>
          <w:noProof/>
          <w:szCs w:val="20"/>
        </w:rPr>
      </w:pPr>
      <w:r>
        <w:tab/>
      </w:r>
    </w:p>
    <w:p w:rsidR="005624E3" w:rsidRPr="00C903F8" w:rsidRDefault="005624E3" w:rsidP="005624E3">
      <w:pPr>
        <w:tabs>
          <w:tab w:val="left" w:leader="dot" w:pos="9072"/>
        </w:tabs>
        <w:spacing w:before="60" w:line="240" w:lineRule="atLeast"/>
        <w:ind w:left="709"/>
        <w:rPr>
          <w:noProof/>
          <w:szCs w:val="20"/>
        </w:rPr>
      </w:pPr>
      <w:r>
        <w:t xml:space="preserve">A gyártó meghatalmazott képviselőjének (ha van) neve és címe: </w:t>
      </w:r>
      <w:r>
        <w:tab/>
      </w:r>
    </w:p>
    <w:p w:rsidR="005624E3" w:rsidRPr="00C903F8" w:rsidRDefault="005624E3" w:rsidP="005624E3">
      <w:pPr>
        <w:tabs>
          <w:tab w:val="left" w:leader="dot" w:pos="9072"/>
        </w:tabs>
        <w:spacing w:before="60" w:line="240" w:lineRule="atLeast"/>
        <w:ind w:left="709"/>
        <w:rPr>
          <w:noProof/>
          <w:szCs w:val="20"/>
        </w:rPr>
      </w:pPr>
      <w:r>
        <w:tab/>
      </w:r>
    </w:p>
    <w:p w:rsidR="005624E3" w:rsidRPr="00C903F8" w:rsidRDefault="005624E3" w:rsidP="005624E3">
      <w:pPr>
        <w:tabs>
          <w:tab w:val="left" w:leader="dot" w:pos="9072"/>
        </w:tabs>
        <w:spacing w:before="60" w:line="240" w:lineRule="atLeast"/>
        <w:ind w:left="709" w:hanging="709"/>
        <w:rPr>
          <w:noProof/>
          <w:szCs w:val="20"/>
        </w:rPr>
      </w:pPr>
      <w:r>
        <w:t>0.5.</w:t>
      </w:r>
      <w:r>
        <w:tab/>
        <w:t xml:space="preserve">A fedélzeti szennyvízkezelő mű gyártási számának helye, kódolása és felhelyezésének módja: </w:t>
      </w:r>
      <w:r>
        <w:tab/>
      </w:r>
    </w:p>
    <w:p w:rsidR="005624E3" w:rsidRPr="00C903F8" w:rsidRDefault="005624E3" w:rsidP="005624E3">
      <w:pPr>
        <w:tabs>
          <w:tab w:val="left" w:leader="dot" w:pos="9072"/>
        </w:tabs>
        <w:spacing w:before="60" w:line="240" w:lineRule="atLeast"/>
        <w:ind w:left="709"/>
        <w:rPr>
          <w:noProof/>
          <w:szCs w:val="20"/>
        </w:rPr>
      </w:pPr>
      <w:r>
        <w:tab/>
      </w:r>
    </w:p>
    <w:p w:rsidR="005624E3" w:rsidRPr="00C903F8" w:rsidRDefault="005624E3" w:rsidP="005624E3">
      <w:pPr>
        <w:tabs>
          <w:tab w:val="left" w:leader="dot" w:pos="9072"/>
        </w:tabs>
        <w:spacing w:before="60" w:line="240" w:lineRule="atLeast"/>
        <w:ind w:left="709"/>
        <w:rPr>
          <w:noProof/>
          <w:szCs w:val="20"/>
        </w:rPr>
      </w:pPr>
      <w:r>
        <w:tab/>
      </w:r>
    </w:p>
    <w:p w:rsidR="005624E3" w:rsidRPr="00C903F8" w:rsidRDefault="005624E3" w:rsidP="005624E3">
      <w:pPr>
        <w:tabs>
          <w:tab w:val="left" w:leader="dot" w:pos="9072"/>
        </w:tabs>
        <w:spacing w:before="60" w:line="240" w:lineRule="atLeast"/>
        <w:ind w:left="709" w:hanging="709"/>
        <w:rPr>
          <w:noProof/>
          <w:szCs w:val="20"/>
        </w:rPr>
      </w:pPr>
      <w:r>
        <w:t>0.6.</w:t>
      </w:r>
      <w:r>
        <w:tab/>
        <w:t xml:space="preserve">A típusjóváhagyási szám helye és felhelyezésének módja: </w:t>
      </w:r>
      <w:r>
        <w:tab/>
      </w:r>
    </w:p>
    <w:p w:rsidR="005624E3" w:rsidRPr="00C903F8" w:rsidRDefault="005624E3" w:rsidP="005624E3">
      <w:pPr>
        <w:tabs>
          <w:tab w:val="left" w:leader="dot" w:pos="9072"/>
        </w:tabs>
        <w:spacing w:before="60" w:line="240" w:lineRule="atLeast"/>
        <w:ind w:left="709"/>
        <w:rPr>
          <w:noProof/>
          <w:szCs w:val="20"/>
        </w:rPr>
      </w:pPr>
      <w:r>
        <w:tab/>
      </w:r>
    </w:p>
    <w:p w:rsidR="005624E3" w:rsidRPr="00D50F76" w:rsidRDefault="005624E3" w:rsidP="005624E3">
      <w:pPr>
        <w:tabs>
          <w:tab w:val="left" w:leader="dot" w:pos="9072"/>
        </w:tabs>
        <w:spacing w:before="60" w:line="240" w:lineRule="atLeast"/>
        <w:ind w:left="709" w:hanging="709"/>
        <w:rPr>
          <w:noProof/>
          <w:szCs w:val="20"/>
          <w:lang w:val="pl-PL"/>
        </w:rPr>
      </w:pPr>
      <w:r w:rsidRPr="00D50F76">
        <w:rPr>
          <w:lang w:val="pl-PL"/>
        </w:rPr>
        <w:t>0.7.</w:t>
      </w:r>
      <w:r w:rsidRPr="00D50F76">
        <w:rPr>
          <w:lang w:val="pl-PL"/>
        </w:rPr>
        <w:tab/>
        <w:t xml:space="preserve">A gyártóüzem címe(i): </w:t>
      </w:r>
      <w:r w:rsidRPr="00D50F76">
        <w:rPr>
          <w:lang w:val="pl-PL"/>
        </w:rPr>
        <w:tab/>
      </w:r>
    </w:p>
    <w:p w:rsidR="005624E3" w:rsidRPr="00D50F76" w:rsidRDefault="005624E3" w:rsidP="005624E3">
      <w:pPr>
        <w:tabs>
          <w:tab w:val="left" w:leader="dot" w:pos="9072"/>
        </w:tabs>
        <w:spacing w:before="60" w:line="240" w:lineRule="atLeast"/>
        <w:ind w:left="709"/>
        <w:rPr>
          <w:noProof/>
          <w:szCs w:val="20"/>
          <w:lang w:val="pl-PL"/>
        </w:rPr>
      </w:pPr>
      <w:r w:rsidRPr="00D50F76">
        <w:rPr>
          <w:lang w:val="pl-PL"/>
        </w:rPr>
        <w:tab/>
      </w:r>
    </w:p>
    <w:p w:rsidR="005624E3" w:rsidRPr="00D50F76" w:rsidRDefault="005624E3" w:rsidP="005624E3">
      <w:pPr>
        <w:ind w:left="850" w:hanging="850"/>
        <w:outlineLvl w:val="0"/>
        <w:rPr>
          <w:b/>
          <w:bCs/>
          <w:noProof/>
          <w:szCs w:val="20"/>
          <w:lang w:val="pl-PL"/>
        </w:rPr>
      </w:pPr>
    </w:p>
    <w:p w:rsidR="005624E3" w:rsidRPr="00D50F76" w:rsidRDefault="005624E3" w:rsidP="005624E3">
      <w:pPr>
        <w:ind w:left="850" w:hanging="850"/>
        <w:outlineLvl w:val="0"/>
        <w:rPr>
          <w:b/>
          <w:bCs/>
          <w:noProof/>
          <w:szCs w:val="20"/>
          <w:lang w:val="pl-PL"/>
        </w:rPr>
      </w:pPr>
      <w:r w:rsidRPr="00D50F76">
        <w:rPr>
          <w:lang w:val="pl-PL"/>
        </w:rPr>
        <w:br w:type="page"/>
      </w:r>
    </w:p>
    <w:p w:rsidR="005624E3" w:rsidRPr="00D50F76" w:rsidRDefault="005624E3" w:rsidP="005624E3">
      <w:pPr>
        <w:ind w:left="850" w:hanging="850"/>
        <w:outlineLvl w:val="0"/>
        <w:rPr>
          <w:b/>
          <w:bCs/>
          <w:noProof/>
          <w:szCs w:val="20"/>
          <w:lang w:val="pl-PL"/>
        </w:rPr>
      </w:pPr>
      <w:r w:rsidRPr="00D50F76">
        <w:rPr>
          <w:b/>
          <w:noProof/>
          <w:lang w:val="pl-PL"/>
        </w:rPr>
        <w:t>II. szakasz</w:t>
      </w:r>
    </w:p>
    <w:p w:rsidR="005624E3" w:rsidRPr="00D50F76" w:rsidRDefault="005624E3" w:rsidP="005624E3">
      <w:pPr>
        <w:ind w:left="850" w:hanging="850"/>
        <w:rPr>
          <w:noProof/>
          <w:szCs w:val="20"/>
          <w:lang w:val="pl-PL"/>
        </w:rPr>
      </w:pPr>
    </w:p>
    <w:p w:rsidR="005624E3" w:rsidRPr="00D50F76" w:rsidRDefault="005624E3" w:rsidP="005624E3">
      <w:pPr>
        <w:tabs>
          <w:tab w:val="left" w:leader="dot" w:pos="9072"/>
        </w:tabs>
        <w:spacing w:before="60" w:line="240" w:lineRule="atLeast"/>
        <w:ind w:left="709" w:hanging="709"/>
        <w:rPr>
          <w:noProof/>
          <w:szCs w:val="20"/>
          <w:lang w:val="pl-PL"/>
        </w:rPr>
      </w:pPr>
      <w:r w:rsidRPr="00D50F76">
        <w:rPr>
          <w:lang w:val="pl-PL"/>
        </w:rPr>
        <w:t>1.</w:t>
      </w:r>
      <w:r w:rsidRPr="00D50F76">
        <w:rPr>
          <w:lang w:val="pl-PL"/>
        </w:rPr>
        <w:tab/>
        <w:t xml:space="preserve">Az üzemeltetésre vonatkozó korlátozások: </w:t>
      </w:r>
      <w:r w:rsidRPr="00D50F76">
        <w:rPr>
          <w:lang w:val="pl-PL"/>
        </w:rPr>
        <w:tab/>
      </w:r>
    </w:p>
    <w:p w:rsidR="005624E3" w:rsidRPr="00D50F76" w:rsidRDefault="005624E3" w:rsidP="005624E3">
      <w:pPr>
        <w:tabs>
          <w:tab w:val="left" w:leader="dot" w:pos="9072"/>
        </w:tabs>
        <w:spacing w:before="60" w:line="240" w:lineRule="atLeast"/>
        <w:ind w:left="709" w:hanging="709"/>
        <w:rPr>
          <w:noProof/>
          <w:szCs w:val="20"/>
          <w:lang w:val="pl-PL"/>
        </w:rPr>
      </w:pPr>
      <w:r w:rsidRPr="00D50F76">
        <w:rPr>
          <w:lang w:val="pl-PL"/>
        </w:rPr>
        <w:t>1.1.</w:t>
      </w:r>
      <w:r w:rsidRPr="00D50F76">
        <w:rPr>
          <w:lang w:val="pl-PL"/>
        </w:rPr>
        <w:tab/>
        <w:t>A fedélzeti szennyvízkezelő mű fedélzeti rendszerbe állításakor figyelembe veendő körülmények:</w:t>
      </w:r>
    </w:p>
    <w:p w:rsidR="005624E3" w:rsidRPr="00D50F76" w:rsidRDefault="005624E3" w:rsidP="005624E3">
      <w:pPr>
        <w:tabs>
          <w:tab w:val="left" w:leader="dot" w:pos="9072"/>
        </w:tabs>
        <w:spacing w:before="60" w:line="240" w:lineRule="atLeast"/>
        <w:ind w:left="709"/>
        <w:rPr>
          <w:noProof/>
          <w:szCs w:val="20"/>
          <w:lang w:val="pl-PL"/>
        </w:rPr>
      </w:pPr>
      <w:r w:rsidRPr="00D50F76">
        <w:rPr>
          <w:lang w:val="pl-PL"/>
        </w:rPr>
        <w:tab/>
      </w:r>
    </w:p>
    <w:p w:rsidR="005624E3" w:rsidRPr="00D50F76" w:rsidRDefault="005624E3" w:rsidP="005624E3">
      <w:pPr>
        <w:tabs>
          <w:tab w:val="left" w:leader="dot" w:pos="9072"/>
        </w:tabs>
        <w:spacing w:before="60" w:line="240" w:lineRule="atLeast"/>
        <w:ind w:left="709" w:hanging="709"/>
        <w:rPr>
          <w:noProof/>
          <w:szCs w:val="20"/>
          <w:lang w:val="pl-PL"/>
        </w:rPr>
      </w:pPr>
      <w:r w:rsidRPr="00D50F76">
        <w:rPr>
          <w:lang w:val="pl-PL"/>
        </w:rPr>
        <w:t xml:space="preserve">1.1.1. </w:t>
      </w:r>
      <w:r w:rsidRPr="00D50F76">
        <w:rPr>
          <w:lang w:val="pl-PL"/>
        </w:rPr>
        <w:tab/>
      </w:r>
      <w:r w:rsidRPr="00D50F76">
        <w:rPr>
          <w:lang w:val="pl-PL"/>
        </w:rPr>
        <w:tab/>
      </w:r>
    </w:p>
    <w:p w:rsidR="005624E3" w:rsidRPr="00D50F76" w:rsidRDefault="005624E3" w:rsidP="005624E3">
      <w:pPr>
        <w:tabs>
          <w:tab w:val="left" w:leader="dot" w:pos="9072"/>
        </w:tabs>
        <w:spacing w:before="60" w:line="240" w:lineRule="atLeast"/>
        <w:ind w:left="709" w:hanging="709"/>
        <w:rPr>
          <w:noProof/>
          <w:szCs w:val="20"/>
          <w:lang w:val="pl-PL"/>
        </w:rPr>
      </w:pPr>
      <w:r w:rsidRPr="00D50F76">
        <w:rPr>
          <w:lang w:val="pl-PL"/>
        </w:rPr>
        <w:t xml:space="preserve">1.1.2. </w:t>
      </w:r>
      <w:r w:rsidRPr="00D50F76">
        <w:rPr>
          <w:lang w:val="pl-PL"/>
        </w:rPr>
        <w:tab/>
      </w:r>
      <w:r w:rsidRPr="00D50F76">
        <w:rPr>
          <w:lang w:val="pl-PL"/>
        </w:rPr>
        <w:tab/>
      </w:r>
    </w:p>
    <w:p w:rsidR="005624E3" w:rsidRPr="00D50F76" w:rsidRDefault="005624E3" w:rsidP="005624E3">
      <w:pPr>
        <w:tabs>
          <w:tab w:val="left" w:leader="dot" w:pos="9072"/>
        </w:tabs>
        <w:spacing w:line="240" w:lineRule="atLeast"/>
        <w:ind w:left="709" w:hanging="709"/>
        <w:rPr>
          <w:noProof/>
          <w:szCs w:val="20"/>
          <w:lang w:val="pl-PL"/>
        </w:rPr>
      </w:pPr>
    </w:p>
    <w:p w:rsidR="005624E3" w:rsidRPr="00D50F76" w:rsidRDefault="005624E3" w:rsidP="005624E3">
      <w:pPr>
        <w:tabs>
          <w:tab w:val="left" w:leader="dot" w:pos="9072"/>
        </w:tabs>
        <w:spacing w:line="240" w:lineRule="atLeast"/>
        <w:ind w:left="709" w:hanging="709"/>
        <w:rPr>
          <w:noProof/>
          <w:szCs w:val="20"/>
          <w:lang w:val="pl-PL"/>
        </w:rPr>
      </w:pPr>
      <w:r w:rsidRPr="00D50F76">
        <w:rPr>
          <w:lang w:val="pl-PL"/>
        </w:rPr>
        <w:t>2.</w:t>
      </w:r>
      <w:r w:rsidRPr="00D50F76">
        <w:rPr>
          <w:lang w:val="pl-PL"/>
        </w:rPr>
        <w:tab/>
        <w:t>A vizsgálatok elvégzéséért felelős műszaki szolgálat</w:t>
      </w:r>
      <w:r>
        <w:rPr>
          <w:noProof/>
          <w:vertAlign w:val="superscript"/>
        </w:rPr>
        <w:footnoteReference w:id="67"/>
      </w:r>
      <w:r w:rsidRPr="00D50F76">
        <w:rPr>
          <w:lang w:val="pl-PL"/>
        </w:rPr>
        <w:t xml:space="preserve">: </w:t>
      </w:r>
      <w:r w:rsidRPr="00D50F76">
        <w:rPr>
          <w:lang w:val="pl-PL"/>
        </w:rPr>
        <w:tab/>
      </w:r>
    </w:p>
    <w:p w:rsidR="005624E3" w:rsidRPr="00D50F76" w:rsidRDefault="005624E3" w:rsidP="005624E3">
      <w:pPr>
        <w:tabs>
          <w:tab w:val="left" w:leader="dot" w:pos="9072"/>
        </w:tabs>
        <w:spacing w:before="60" w:line="240" w:lineRule="atLeast"/>
        <w:ind w:left="709"/>
        <w:rPr>
          <w:noProof/>
          <w:szCs w:val="20"/>
          <w:lang w:val="pl-PL"/>
        </w:rPr>
      </w:pPr>
      <w:r w:rsidRPr="00D50F76">
        <w:rPr>
          <w:lang w:val="pl-PL"/>
        </w:rPr>
        <w:tab/>
      </w:r>
    </w:p>
    <w:p w:rsidR="005624E3" w:rsidRPr="00D50F76" w:rsidRDefault="005624E3" w:rsidP="005624E3">
      <w:pPr>
        <w:tabs>
          <w:tab w:val="left" w:leader="dot" w:pos="9072"/>
        </w:tabs>
        <w:spacing w:before="60" w:line="240" w:lineRule="atLeast"/>
        <w:ind w:left="709"/>
        <w:rPr>
          <w:noProof/>
          <w:szCs w:val="20"/>
          <w:lang w:val="pl-PL"/>
        </w:rPr>
      </w:pPr>
      <w:r w:rsidRPr="00D50F76">
        <w:rPr>
          <w:lang w:val="pl-PL"/>
        </w:rPr>
        <w:tab/>
      </w:r>
    </w:p>
    <w:p w:rsidR="005624E3" w:rsidRPr="00D50F76" w:rsidRDefault="005624E3" w:rsidP="005624E3">
      <w:pPr>
        <w:tabs>
          <w:tab w:val="left" w:leader="dot" w:pos="9072"/>
        </w:tabs>
        <w:spacing w:line="240" w:lineRule="atLeast"/>
        <w:ind w:left="709" w:hanging="709"/>
        <w:rPr>
          <w:noProof/>
          <w:szCs w:val="20"/>
          <w:lang w:val="pl-PL"/>
        </w:rPr>
      </w:pPr>
    </w:p>
    <w:p w:rsidR="005624E3" w:rsidRPr="00D50F76" w:rsidRDefault="005624E3" w:rsidP="005624E3">
      <w:pPr>
        <w:tabs>
          <w:tab w:val="left" w:leader="dot" w:pos="9072"/>
        </w:tabs>
        <w:spacing w:line="240" w:lineRule="atLeast"/>
        <w:ind w:left="709" w:hanging="709"/>
        <w:rPr>
          <w:noProof/>
          <w:szCs w:val="20"/>
          <w:lang w:val="pl-PL"/>
        </w:rPr>
      </w:pPr>
      <w:r w:rsidRPr="00D50F76">
        <w:rPr>
          <w:lang w:val="pl-PL"/>
        </w:rPr>
        <w:t>3.</w:t>
      </w:r>
      <w:r w:rsidRPr="00D50F76">
        <w:rPr>
          <w:lang w:val="pl-PL"/>
        </w:rPr>
        <w:tab/>
        <w:t xml:space="preserve">A vizsgálati jegyzőkönyv dátuma: </w:t>
      </w:r>
      <w:r w:rsidRPr="00D50F76">
        <w:rPr>
          <w:lang w:val="pl-PL"/>
        </w:rPr>
        <w:tab/>
      </w:r>
    </w:p>
    <w:p w:rsidR="005624E3" w:rsidRPr="00D50F76" w:rsidRDefault="005624E3" w:rsidP="005624E3">
      <w:pPr>
        <w:tabs>
          <w:tab w:val="left" w:leader="dot" w:pos="9072"/>
        </w:tabs>
        <w:spacing w:line="240" w:lineRule="atLeast"/>
        <w:ind w:left="709" w:hanging="709"/>
        <w:rPr>
          <w:noProof/>
          <w:szCs w:val="20"/>
          <w:lang w:val="pl-PL"/>
        </w:rPr>
      </w:pPr>
    </w:p>
    <w:p w:rsidR="005624E3" w:rsidRPr="00D50F76" w:rsidRDefault="005624E3" w:rsidP="005624E3">
      <w:pPr>
        <w:tabs>
          <w:tab w:val="left" w:leader="dot" w:pos="9072"/>
        </w:tabs>
        <w:spacing w:line="240" w:lineRule="atLeast"/>
        <w:ind w:left="709" w:hanging="709"/>
        <w:rPr>
          <w:noProof/>
          <w:szCs w:val="20"/>
          <w:lang w:val="pl-PL"/>
        </w:rPr>
      </w:pPr>
      <w:r w:rsidRPr="00D50F76">
        <w:rPr>
          <w:lang w:val="pl-PL"/>
        </w:rPr>
        <w:t>4.</w:t>
      </w:r>
      <w:r w:rsidRPr="00D50F76">
        <w:rPr>
          <w:lang w:val="pl-PL"/>
        </w:rPr>
        <w:tab/>
        <w:t xml:space="preserve">A vizsgálati jegyzőkönyv száma: </w:t>
      </w:r>
      <w:r w:rsidRPr="00D50F76">
        <w:rPr>
          <w:lang w:val="pl-PL"/>
        </w:rPr>
        <w:tab/>
      </w:r>
    </w:p>
    <w:p w:rsidR="005624E3" w:rsidRPr="00D50F76" w:rsidRDefault="005624E3" w:rsidP="005624E3">
      <w:pPr>
        <w:tabs>
          <w:tab w:val="left" w:leader="dot" w:pos="9072"/>
        </w:tabs>
        <w:spacing w:line="240" w:lineRule="atLeast"/>
        <w:ind w:left="709" w:hanging="709"/>
        <w:rPr>
          <w:noProof/>
          <w:szCs w:val="20"/>
          <w:lang w:val="pl-PL"/>
        </w:rPr>
      </w:pPr>
    </w:p>
    <w:p w:rsidR="005624E3" w:rsidRPr="00D50F76" w:rsidRDefault="005624E3" w:rsidP="005624E3">
      <w:pPr>
        <w:tabs>
          <w:tab w:val="left" w:leader="dot" w:pos="9072"/>
        </w:tabs>
        <w:spacing w:line="240" w:lineRule="atLeast"/>
        <w:ind w:left="709" w:hanging="709"/>
        <w:rPr>
          <w:noProof/>
          <w:szCs w:val="20"/>
          <w:lang w:val="pl-PL"/>
        </w:rPr>
      </w:pPr>
      <w:r w:rsidRPr="00D50F76">
        <w:rPr>
          <w:lang w:val="pl-PL"/>
        </w:rPr>
        <w:t>5.</w:t>
      </w:r>
      <w:r w:rsidRPr="00D50F76">
        <w:rPr>
          <w:lang w:val="pl-PL"/>
        </w:rPr>
        <w:tab/>
        <w:t xml:space="preserve">Alulírott a </w:t>
      </w:r>
      <w:r w:rsidR="00E608AB" w:rsidRPr="00E608AB">
        <w:rPr>
          <w:lang w:val="pl-PL"/>
        </w:rPr>
        <w:t>belvízi hajók műszaki követelményeit meghatározó európai szabvány</w:t>
      </w:r>
      <w:r w:rsidRPr="00D50F76">
        <w:rPr>
          <w:lang w:val="pl-PL"/>
        </w:rPr>
        <w:t xml:space="preserve"> (ES-TRIN) 7. melléklete IX. szakaszának megfelelően ezúton tanúsítom, hogy a gyártó által a fentiekben meghatározott fedélzeti szennyvízkezelő műről a mellékelt adatközlő lapon megadott információk helytállóak, valamint hogy a mellékelt vizsgálati eredmények érvényesek a fedélzeti szennyvízkezelő művek szóban forgó típusára. A mintá(ka)t a gyártó az illetékes hatóság egyetértésével választotta ki, és bocsátotta vizsgálatra a fedélzeti szennyvízkezelő mű gyártmánytípusaként:</w:t>
      </w:r>
    </w:p>
    <w:p w:rsidR="005624E3" w:rsidRPr="00D50F76" w:rsidRDefault="005624E3" w:rsidP="005624E3">
      <w:pPr>
        <w:tabs>
          <w:tab w:val="left" w:leader="dot" w:pos="9072"/>
        </w:tabs>
        <w:spacing w:line="240" w:lineRule="atLeast"/>
        <w:ind w:left="709" w:hanging="709"/>
        <w:rPr>
          <w:noProof/>
          <w:szCs w:val="20"/>
          <w:lang w:val="pl-PL"/>
        </w:rPr>
      </w:pPr>
    </w:p>
    <w:p w:rsidR="005624E3" w:rsidRPr="00D50F76" w:rsidRDefault="005624E3" w:rsidP="005624E3">
      <w:pPr>
        <w:tabs>
          <w:tab w:val="left" w:leader="dot" w:pos="9072"/>
        </w:tabs>
        <w:spacing w:line="240" w:lineRule="atLeast"/>
        <w:ind w:left="709"/>
        <w:rPr>
          <w:noProof/>
          <w:szCs w:val="20"/>
          <w:lang w:val="pl-PL"/>
        </w:rPr>
      </w:pPr>
      <w:r w:rsidRPr="00D50F76">
        <w:rPr>
          <w:lang w:val="pl-PL"/>
        </w:rPr>
        <w:t>A típusjóváhagyást kibocsátom/meghosszabbítom/megtagadom/visszavonom</w:t>
      </w:r>
      <w:r>
        <w:rPr>
          <w:noProof/>
          <w:vertAlign w:val="superscript"/>
        </w:rPr>
        <w:footnoteReference w:id="68"/>
      </w:r>
      <w:r w:rsidRPr="00D50F76">
        <w:rPr>
          <w:lang w:val="pl-PL"/>
        </w:rPr>
        <w:t>:</w:t>
      </w:r>
    </w:p>
    <w:p w:rsidR="005624E3" w:rsidRPr="00D50F76" w:rsidRDefault="005624E3" w:rsidP="005624E3">
      <w:pPr>
        <w:tabs>
          <w:tab w:val="left" w:leader="dot" w:pos="9072"/>
        </w:tabs>
        <w:spacing w:before="60" w:line="240" w:lineRule="atLeast"/>
        <w:ind w:left="709"/>
        <w:rPr>
          <w:noProof/>
          <w:szCs w:val="20"/>
          <w:lang w:val="pl-PL"/>
        </w:rPr>
      </w:pPr>
      <w:r w:rsidRPr="00D50F76">
        <w:rPr>
          <w:lang w:val="pl-PL"/>
        </w:rPr>
        <w:t xml:space="preserve">Hely: </w:t>
      </w:r>
      <w:r w:rsidRPr="00D50F76">
        <w:rPr>
          <w:lang w:val="pl-PL"/>
        </w:rPr>
        <w:tab/>
      </w:r>
    </w:p>
    <w:p w:rsidR="005624E3" w:rsidRPr="00D50F76" w:rsidRDefault="005624E3" w:rsidP="005624E3">
      <w:pPr>
        <w:tabs>
          <w:tab w:val="left" w:leader="dot" w:pos="9072"/>
        </w:tabs>
        <w:spacing w:before="60" w:line="240" w:lineRule="atLeast"/>
        <w:ind w:left="709"/>
        <w:rPr>
          <w:noProof/>
          <w:szCs w:val="20"/>
          <w:lang w:val="pl-PL"/>
        </w:rPr>
      </w:pPr>
      <w:r w:rsidRPr="00D50F76">
        <w:rPr>
          <w:lang w:val="pl-PL"/>
        </w:rPr>
        <w:t xml:space="preserve">Dátum: </w:t>
      </w:r>
      <w:r w:rsidRPr="00D50F76">
        <w:rPr>
          <w:lang w:val="pl-PL"/>
        </w:rPr>
        <w:tab/>
      </w:r>
    </w:p>
    <w:p w:rsidR="005624E3" w:rsidRPr="00D50F76" w:rsidRDefault="005624E3" w:rsidP="005624E3">
      <w:pPr>
        <w:tabs>
          <w:tab w:val="left" w:leader="dot" w:pos="9072"/>
        </w:tabs>
        <w:spacing w:before="60" w:line="240" w:lineRule="atLeast"/>
        <w:ind w:left="709"/>
        <w:rPr>
          <w:noProof/>
          <w:szCs w:val="20"/>
          <w:lang w:val="pl-PL"/>
        </w:rPr>
      </w:pPr>
      <w:r w:rsidRPr="00D50F76">
        <w:rPr>
          <w:lang w:val="pl-PL"/>
        </w:rPr>
        <w:t xml:space="preserve">Aláírás: </w:t>
      </w:r>
      <w:r w:rsidRPr="00D50F76">
        <w:rPr>
          <w:lang w:val="pl-PL"/>
        </w:rPr>
        <w:tab/>
      </w:r>
    </w:p>
    <w:p w:rsidR="005624E3" w:rsidRPr="00D50F76" w:rsidRDefault="005624E3" w:rsidP="005624E3">
      <w:pPr>
        <w:tabs>
          <w:tab w:val="left" w:leader="dot" w:pos="9072"/>
        </w:tabs>
        <w:spacing w:before="60" w:line="240" w:lineRule="atLeast"/>
        <w:ind w:left="709"/>
        <w:rPr>
          <w:i/>
          <w:noProof/>
          <w:szCs w:val="20"/>
          <w:lang w:val="pl-PL"/>
        </w:rPr>
      </w:pPr>
    </w:p>
    <w:p w:rsidR="005624E3" w:rsidRPr="00D50F76" w:rsidRDefault="005624E3" w:rsidP="005624E3">
      <w:pPr>
        <w:tabs>
          <w:tab w:val="left" w:leader="dot" w:pos="9072"/>
        </w:tabs>
        <w:spacing w:before="60" w:line="240" w:lineRule="atLeast"/>
        <w:ind w:left="709"/>
        <w:rPr>
          <w:noProof/>
          <w:szCs w:val="20"/>
          <w:lang w:val="pl-PL"/>
        </w:rPr>
      </w:pPr>
    </w:p>
    <w:p w:rsidR="005624E3" w:rsidRPr="00D50F76" w:rsidRDefault="005624E3" w:rsidP="005624E3">
      <w:pPr>
        <w:tabs>
          <w:tab w:val="left" w:pos="1276"/>
          <w:tab w:val="left" w:leader="dot" w:pos="9072"/>
        </w:tabs>
        <w:spacing w:before="60" w:line="240" w:lineRule="atLeast"/>
        <w:rPr>
          <w:noProof/>
          <w:szCs w:val="20"/>
          <w:lang w:val="pl-PL"/>
        </w:rPr>
      </w:pPr>
      <w:r w:rsidRPr="00D50F76">
        <w:rPr>
          <w:lang w:val="pl-PL"/>
        </w:rPr>
        <w:t>Függelékek:</w:t>
      </w:r>
      <w:r w:rsidRPr="00D50F76">
        <w:rPr>
          <w:lang w:val="pl-PL"/>
        </w:rPr>
        <w:tab/>
        <w:t>Adatközlő mappa</w:t>
      </w:r>
    </w:p>
    <w:p w:rsidR="005624E3" w:rsidRPr="00D50F76" w:rsidRDefault="005624E3" w:rsidP="005624E3">
      <w:pPr>
        <w:tabs>
          <w:tab w:val="left" w:leader="dot" w:pos="9072"/>
        </w:tabs>
        <w:spacing w:before="60" w:line="240" w:lineRule="atLeast"/>
        <w:ind w:left="1276"/>
        <w:rPr>
          <w:noProof/>
          <w:szCs w:val="20"/>
          <w:lang w:val="pl-PL"/>
        </w:rPr>
      </w:pPr>
      <w:r w:rsidRPr="00D50F76">
        <w:rPr>
          <w:lang w:val="pl-PL"/>
        </w:rPr>
        <w:t>Vizsgálati eredmények (lásd az 1. függeléket)</w:t>
      </w:r>
    </w:p>
    <w:p w:rsidR="005624E3" w:rsidRPr="00D50F76" w:rsidRDefault="005624E3" w:rsidP="005624E3">
      <w:pPr>
        <w:suppressAutoHyphens/>
        <w:spacing w:line="240" w:lineRule="atLeast"/>
        <w:jc w:val="center"/>
        <w:rPr>
          <w:rFonts w:cs="Arial"/>
          <w:szCs w:val="20"/>
          <w:lang w:val="pl-PL"/>
        </w:rPr>
      </w:pPr>
      <w:r w:rsidRPr="00D50F76">
        <w:rPr>
          <w:lang w:val="pl-PL"/>
        </w:rPr>
        <w:br w:type="page"/>
      </w:r>
    </w:p>
    <w:p w:rsidR="005624E3" w:rsidRPr="00D50F76" w:rsidRDefault="005624E3" w:rsidP="005624E3">
      <w:pPr>
        <w:suppressAutoHyphens/>
        <w:spacing w:line="240" w:lineRule="atLeast"/>
        <w:jc w:val="center"/>
        <w:rPr>
          <w:rFonts w:cs="Arial"/>
          <w:b/>
          <w:szCs w:val="20"/>
          <w:lang w:val="pl-PL"/>
        </w:rPr>
      </w:pPr>
      <w:r w:rsidRPr="00D50F76">
        <w:rPr>
          <w:b/>
          <w:lang w:val="pl-PL"/>
        </w:rPr>
        <w:t>1. függelék</w:t>
      </w:r>
    </w:p>
    <w:p w:rsidR="005624E3" w:rsidRPr="00D50F76" w:rsidRDefault="005624E3" w:rsidP="005624E3">
      <w:pPr>
        <w:tabs>
          <w:tab w:val="center" w:pos="7513"/>
          <w:tab w:val="center" w:pos="8222"/>
        </w:tabs>
        <w:suppressAutoHyphens/>
        <w:spacing w:line="240" w:lineRule="atLeast"/>
        <w:jc w:val="center"/>
        <w:rPr>
          <w:rFonts w:cs="Arial"/>
          <w:szCs w:val="20"/>
          <w:lang w:val="pl-PL"/>
        </w:rPr>
      </w:pPr>
      <w:r w:rsidRPr="00D50F76">
        <w:rPr>
          <w:b/>
          <w:lang w:val="pl-PL"/>
        </w:rPr>
        <w:t xml:space="preserve">A típusjóváhagyási vizsgálatok eredményei </w:t>
      </w:r>
      <w:r w:rsidRPr="00D50F76">
        <w:rPr>
          <w:rFonts w:cs="Arial"/>
          <w:b/>
          <w:szCs w:val="20"/>
          <w:lang w:val="pl-PL"/>
        </w:rPr>
        <w:br/>
      </w:r>
      <w:r w:rsidRPr="00D50F76">
        <w:rPr>
          <w:lang w:val="pl-PL"/>
        </w:rPr>
        <w:t>(Minta)</w:t>
      </w:r>
    </w:p>
    <w:p w:rsidR="005624E3" w:rsidRPr="00D50F76" w:rsidRDefault="005624E3" w:rsidP="005624E3">
      <w:pPr>
        <w:spacing w:line="240" w:lineRule="atLeast"/>
        <w:ind w:left="709" w:hanging="709"/>
        <w:rPr>
          <w:rFonts w:cs="Arial"/>
          <w:color w:val="000000"/>
          <w:szCs w:val="20"/>
          <w:lang w:val="pl-PL"/>
        </w:rPr>
      </w:pPr>
    </w:p>
    <w:p w:rsidR="005624E3" w:rsidRPr="00D50F76" w:rsidRDefault="005624E3" w:rsidP="005624E3">
      <w:pPr>
        <w:spacing w:line="240" w:lineRule="atLeast"/>
        <w:ind w:left="709" w:hanging="709"/>
        <w:rPr>
          <w:rFonts w:cs="Arial"/>
          <w:color w:val="000000"/>
          <w:szCs w:val="20"/>
          <w:lang w:val="pl-PL"/>
        </w:rPr>
      </w:pPr>
    </w:p>
    <w:p w:rsidR="005624E3" w:rsidRPr="00D50F76" w:rsidRDefault="005624E3" w:rsidP="005624E3">
      <w:pPr>
        <w:spacing w:line="240" w:lineRule="atLeast"/>
        <w:ind w:left="709" w:hanging="709"/>
        <w:rPr>
          <w:rFonts w:cs="Arial"/>
          <w:noProof/>
          <w:color w:val="000000"/>
          <w:szCs w:val="20"/>
          <w:lang w:val="pl-PL"/>
        </w:rPr>
      </w:pPr>
      <w:r w:rsidRPr="00D50F76">
        <w:rPr>
          <w:noProof/>
          <w:color w:val="000000"/>
          <w:lang w:val="pl-PL"/>
        </w:rPr>
        <w:t>0.</w:t>
      </w:r>
      <w:r w:rsidRPr="00D50F76">
        <w:rPr>
          <w:lang w:val="pl-PL"/>
        </w:rPr>
        <w:tab/>
      </w:r>
      <w:r w:rsidRPr="00D50F76">
        <w:rPr>
          <w:noProof/>
          <w:color w:val="000000"/>
          <w:lang w:val="pl-PL"/>
        </w:rPr>
        <w:t>Általános rendelkezések</w:t>
      </w:r>
    </w:p>
    <w:p w:rsidR="005624E3" w:rsidRPr="00D50F76" w:rsidRDefault="005624E3" w:rsidP="005624E3">
      <w:pPr>
        <w:tabs>
          <w:tab w:val="left" w:leader="dot" w:pos="9072"/>
        </w:tabs>
        <w:spacing w:before="60" w:line="240" w:lineRule="atLeast"/>
        <w:ind w:left="709" w:hanging="709"/>
        <w:rPr>
          <w:rFonts w:cs="Arial"/>
          <w:noProof/>
          <w:color w:val="000000"/>
          <w:szCs w:val="20"/>
          <w:lang w:val="pl-PL"/>
        </w:rPr>
      </w:pPr>
      <w:r w:rsidRPr="00D50F76">
        <w:rPr>
          <w:noProof/>
          <w:color w:val="000000"/>
          <w:lang w:val="pl-PL"/>
        </w:rPr>
        <w:t>0.1.</w:t>
      </w:r>
      <w:r w:rsidRPr="00D50F76">
        <w:rPr>
          <w:lang w:val="pl-PL"/>
        </w:rPr>
        <w:tab/>
      </w:r>
      <w:r w:rsidRPr="00D50F76">
        <w:rPr>
          <w:noProof/>
          <w:color w:val="000000"/>
          <w:lang w:val="pl-PL"/>
        </w:rPr>
        <w:t xml:space="preserve">Gyártmány (a gyártó vállalat neve): </w:t>
      </w:r>
      <w:r w:rsidRPr="00D50F76">
        <w:rPr>
          <w:lang w:val="pl-PL"/>
        </w:rPr>
        <w:tab/>
      </w:r>
    </w:p>
    <w:p w:rsidR="005624E3" w:rsidRPr="00D50F76" w:rsidRDefault="005624E3" w:rsidP="005624E3">
      <w:pPr>
        <w:tabs>
          <w:tab w:val="left" w:leader="dot" w:pos="9072"/>
        </w:tabs>
        <w:spacing w:before="60" w:line="240" w:lineRule="atLeast"/>
        <w:ind w:left="709" w:hanging="709"/>
        <w:rPr>
          <w:rFonts w:cs="Arial"/>
          <w:noProof/>
          <w:color w:val="000000"/>
          <w:szCs w:val="20"/>
          <w:lang w:val="pl-PL"/>
        </w:rPr>
      </w:pPr>
      <w:r w:rsidRPr="00D50F76">
        <w:rPr>
          <w:noProof/>
          <w:color w:val="000000"/>
          <w:lang w:val="pl-PL"/>
        </w:rPr>
        <w:t>0.2.</w:t>
      </w:r>
      <w:r w:rsidRPr="00D50F76">
        <w:rPr>
          <w:lang w:val="pl-PL"/>
        </w:rPr>
        <w:tab/>
      </w:r>
      <w:r w:rsidRPr="00D50F76">
        <w:rPr>
          <w:noProof/>
          <w:color w:val="000000"/>
          <w:lang w:val="pl-PL"/>
        </w:rPr>
        <w:t xml:space="preserve">Gyártói megjelölés a fedélzeti szennyvízkezelő mű típusának azonosítására: </w:t>
      </w:r>
      <w:r w:rsidRPr="00D50F76">
        <w:rPr>
          <w:lang w:val="pl-PL"/>
        </w:rPr>
        <w:tab/>
      </w:r>
    </w:p>
    <w:p w:rsidR="005624E3" w:rsidRPr="00D50F76" w:rsidRDefault="005624E3" w:rsidP="005624E3">
      <w:pPr>
        <w:tabs>
          <w:tab w:val="left" w:leader="dot" w:pos="9072"/>
        </w:tabs>
        <w:spacing w:line="240" w:lineRule="atLeast"/>
        <w:ind w:left="709" w:hanging="709"/>
        <w:rPr>
          <w:rFonts w:cs="Arial"/>
          <w:noProof/>
          <w:color w:val="000000"/>
          <w:szCs w:val="20"/>
          <w:lang w:val="pl-PL"/>
        </w:rPr>
      </w:pPr>
    </w:p>
    <w:p w:rsidR="005624E3" w:rsidRPr="00D50F76" w:rsidRDefault="005624E3" w:rsidP="005624E3">
      <w:pPr>
        <w:tabs>
          <w:tab w:val="left" w:leader="dot" w:pos="9072"/>
        </w:tabs>
        <w:spacing w:line="240" w:lineRule="atLeast"/>
        <w:ind w:left="709" w:hanging="709"/>
        <w:rPr>
          <w:rFonts w:cs="Arial"/>
          <w:noProof/>
          <w:color w:val="000000"/>
          <w:szCs w:val="20"/>
          <w:vertAlign w:val="superscript"/>
          <w:lang w:val="pl-PL"/>
        </w:rPr>
      </w:pPr>
      <w:r w:rsidRPr="00D50F76">
        <w:rPr>
          <w:noProof/>
          <w:color w:val="000000"/>
          <w:lang w:val="pl-PL"/>
        </w:rPr>
        <w:t>1.</w:t>
      </w:r>
      <w:r w:rsidRPr="00D50F76">
        <w:rPr>
          <w:lang w:val="pl-PL"/>
        </w:rPr>
        <w:tab/>
      </w:r>
      <w:r w:rsidRPr="00D50F76">
        <w:rPr>
          <w:b/>
          <w:noProof/>
          <w:color w:val="000000"/>
          <w:lang w:val="pl-PL"/>
        </w:rPr>
        <w:t>Információk a vizsgálat(ok) végrehajtásáról</w:t>
      </w:r>
      <w:r>
        <w:rPr>
          <w:noProof/>
          <w:color w:val="000000"/>
          <w:vertAlign w:val="superscript"/>
        </w:rPr>
        <w:footnoteReference w:id="69"/>
      </w:r>
      <w:r w:rsidRPr="00D50F76">
        <w:rPr>
          <w:noProof/>
          <w:color w:val="000000"/>
          <w:lang w:val="pl-PL"/>
        </w:rPr>
        <w:t>.</w:t>
      </w:r>
      <w:r w:rsidRPr="00D50F76">
        <w:rPr>
          <w:noProof/>
          <w:color w:val="000000"/>
          <w:vertAlign w:val="superscript"/>
          <w:lang w:val="pl-PL"/>
        </w:rPr>
        <w:t xml:space="preserve"> </w:t>
      </w:r>
    </w:p>
    <w:p w:rsidR="005624E3" w:rsidRPr="00D50F76" w:rsidRDefault="005624E3" w:rsidP="005624E3">
      <w:pPr>
        <w:tabs>
          <w:tab w:val="left" w:leader="dot" w:pos="9072"/>
        </w:tabs>
        <w:spacing w:before="60" w:line="240" w:lineRule="atLeast"/>
        <w:ind w:left="709" w:hanging="709"/>
        <w:rPr>
          <w:rFonts w:cs="Arial"/>
          <w:noProof/>
          <w:color w:val="000000"/>
          <w:szCs w:val="20"/>
          <w:lang w:val="pl-PL"/>
        </w:rPr>
      </w:pPr>
      <w:r w:rsidRPr="00D50F76">
        <w:rPr>
          <w:noProof/>
          <w:color w:val="000000"/>
          <w:lang w:val="pl-PL"/>
        </w:rPr>
        <w:t>1.1.</w:t>
      </w:r>
      <w:r w:rsidRPr="00D50F76">
        <w:rPr>
          <w:lang w:val="pl-PL"/>
        </w:rPr>
        <w:tab/>
      </w:r>
      <w:r w:rsidRPr="00D50F76">
        <w:rPr>
          <w:noProof/>
          <w:color w:val="000000"/>
          <w:lang w:val="pl-PL"/>
        </w:rPr>
        <w:t>Belépő mennyiségek</w:t>
      </w:r>
    </w:p>
    <w:p w:rsidR="005624E3" w:rsidRPr="00D50F76" w:rsidRDefault="005624E3" w:rsidP="005624E3">
      <w:pPr>
        <w:tabs>
          <w:tab w:val="left" w:leader="dot" w:pos="9072"/>
        </w:tabs>
        <w:spacing w:before="60" w:line="240" w:lineRule="atLeast"/>
        <w:ind w:left="709" w:hanging="709"/>
        <w:rPr>
          <w:rFonts w:cs="Arial"/>
          <w:noProof/>
          <w:color w:val="000000"/>
          <w:szCs w:val="20"/>
          <w:lang w:val="pl-PL"/>
        </w:rPr>
      </w:pPr>
      <w:r w:rsidRPr="00D50F76">
        <w:rPr>
          <w:noProof/>
          <w:color w:val="000000"/>
          <w:lang w:val="pl-PL"/>
        </w:rPr>
        <w:t>1.1.1.</w:t>
      </w:r>
      <w:r w:rsidRPr="00D50F76">
        <w:rPr>
          <w:lang w:val="pl-PL"/>
        </w:rPr>
        <w:tab/>
      </w:r>
      <w:r w:rsidRPr="00D50F76">
        <w:rPr>
          <w:noProof/>
          <w:color w:val="000000"/>
          <w:lang w:val="pl-PL"/>
        </w:rPr>
        <w:t>Napi belépő szennyvízmennyiség (</w:t>
      </w:r>
      <m:oMath>
        <m:sSub>
          <m:sSubPr>
            <m:ctrlPr>
              <w:rPr>
                <w:rFonts w:ascii="Cambria Math" w:hAnsi="Cambria Math" w:cs="Arial"/>
                <w:i/>
                <w:szCs w:val="20"/>
              </w:rPr>
            </m:ctrlPr>
          </m:sSubPr>
          <m:e>
            <m:r>
              <w:rPr>
                <w:rFonts w:ascii="Cambria Math" w:hAnsi="Cambria Math" w:cs="Arial"/>
                <w:szCs w:val="20"/>
              </w:rPr>
              <m:t>Q</m:t>
            </m:r>
          </m:e>
          <m:sub>
            <m:r>
              <w:rPr>
                <w:rFonts w:ascii="Cambria Math" w:hAnsi="Cambria Math" w:cs="Arial"/>
                <w:szCs w:val="20"/>
              </w:rPr>
              <m:t>d</m:t>
            </m:r>
          </m:sub>
        </m:sSub>
      </m:oMath>
      <w:r w:rsidRPr="00D50F76">
        <w:rPr>
          <w:noProof/>
          <w:color w:val="000000"/>
          <w:lang w:val="pl-PL"/>
        </w:rPr>
        <w:t xml:space="preserve">, m³/nap): </w:t>
      </w:r>
      <w:r w:rsidRPr="00D50F76">
        <w:rPr>
          <w:lang w:val="pl-PL"/>
        </w:rPr>
        <w:tab/>
      </w:r>
    </w:p>
    <w:p w:rsidR="005624E3" w:rsidRPr="00D50F76" w:rsidRDefault="005624E3" w:rsidP="005624E3">
      <w:pPr>
        <w:tabs>
          <w:tab w:val="left" w:leader="dot" w:pos="9072"/>
        </w:tabs>
        <w:spacing w:before="60" w:line="240" w:lineRule="atLeast"/>
        <w:ind w:left="709" w:hanging="709"/>
        <w:rPr>
          <w:rFonts w:cs="Arial"/>
          <w:noProof/>
          <w:color w:val="000000"/>
          <w:szCs w:val="20"/>
          <w:lang w:val="pl-PL"/>
        </w:rPr>
      </w:pPr>
      <w:r w:rsidRPr="00D50F76">
        <w:rPr>
          <w:noProof/>
          <w:color w:val="000000"/>
          <w:lang w:val="pl-PL"/>
        </w:rPr>
        <w:t>1.1.2.</w:t>
      </w:r>
      <w:r w:rsidRPr="00D50F76">
        <w:rPr>
          <w:lang w:val="pl-PL"/>
        </w:rPr>
        <w:tab/>
      </w:r>
      <w:r w:rsidRPr="00D50F76">
        <w:rPr>
          <w:noProof/>
          <w:color w:val="000000"/>
          <w:lang w:val="pl-PL"/>
        </w:rPr>
        <w:t xml:space="preserve">Napi </w:t>
      </w:r>
      <m:oMath>
        <m:sSub>
          <m:sSubPr>
            <m:ctrlPr>
              <w:rPr>
                <w:rFonts w:ascii="Cambria Math" w:hAnsi="Cambria Math"/>
                <w:i/>
                <w:noProof/>
              </w:rPr>
            </m:ctrlPr>
          </m:sSubPr>
          <m:e>
            <m:r>
              <w:rPr>
                <w:rFonts w:ascii="Cambria Math" w:hAnsi="Cambria Math"/>
                <w:noProof/>
              </w:rPr>
              <m:t>BOD</m:t>
            </m:r>
          </m:e>
          <m:sub>
            <m:r>
              <w:rPr>
                <w:rFonts w:ascii="Cambria Math" w:hAnsi="Cambria Math"/>
                <w:noProof/>
                <w:lang w:val="pl-PL"/>
              </w:rPr>
              <m:t>5</m:t>
            </m:r>
          </m:sub>
        </m:sSub>
      </m:oMath>
      <w:r w:rsidRPr="00D50F76">
        <w:rPr>
          <w:noProof/>
          <w:color w:val="000000"/>
          <w:lang w:val="pl-PL"/>
        </w:rPr>
        <w:t xml:space="preserve">-terhelés (kg/nap): </w:t>
      </w:r>
      <w:r w:rsidRPr="00D50F76">
        <w:rPr>
          <w:lang w:val="pl-PL"/>
        </w:rPr>
        <w:tab/>
      </w:r>
    </w:p>
    <w:p w:rsidR="005624E3" w:rsidRPr="00D50F76" w:rsidRDefault="005624E3" w:rsidP="005624E3">
      <w:pPr>
        <w:spacing w:before="60" w:line="240" w:lineRule="atLeast"/>
        <w:ind w:left="709" w:hanging="709"/>
        <w:rPr>
          <w:rFonts w:cs="Arial"/>
          <w:noProof/>
          <w:color w:val="000000"/>
          <w:szCs w:val="20"/>
          <w:lang w:val="pl-PL"/>
        </w:rPr>
      </w:pPr>
      <w:r w:rsidRPr="00D50F76">
        <w:rPr>
          <w:noProof/>
          <w:color w:val="000000"/>
          <w:lang w:val="pl-PL"/>
        </w:rPr>
        <w:t>1.2.</w:t>
      </w:r>
      <w:r w:rsidRPr="00D50F76">
        <w:rPr>
          <w:lang w:val="pl-PL"/>
        </w:rPr>
        <w:tab/>
      </w:r>
      <w:r w:rsidRPr="00D50F76">
        <w:rPr>
          <w:noProof/>
          <w:color w:val="000000"/>
          <w:lang w:val="pl-PL"/>
        </w:rPr>
        <w:t>Tisztítási hatékonyság</w:t>
      </w:r>
    </w:p>
    <w:p w:rsidR="005624E3" w:rsidRPr="00D50F76" w:rsidRDefault="005624E3" w:rsidP="005624E3">
      <w:pPr>
        <w:spacing w:before="60" w:line="240" w:lineRule="atLeast"/>
        <w:ind w:left="709" w:hanging="709"/>
        <w:rPr>
          <w:rFonts w:cs="Arial"/>
          <w:noProof/>
          <w:color w:val="000000"/>
          <w:szCs w:val="20"/>
          <w:lang w:val="pl-PL"/>
        </w:rPr>
      </w:pPr>
      <w:r w:rsidRPr="00D50F76">
        <w:rPr>
          <w:noProof/>
          <w:color w:val="000000"/>
          <w:lang w:val="pl-PL"/>
        </w:rPr>
        <w:t>1.2.1.</w:t>
      </w:r>
      <w:r w:rsidRPr="00D50F76">
        <w:rPr>
          <w:lang w:val="pl-PL"/>
        </w:rPr>
        <w:tab/>
      </w:r>
      <w:r w:rsidRPr="00D50F76">
        <w:rPr>
          <w:noProof/>
          <w:color w:val="000000"/>
          <w:lang w:val="pl-PL"/>
        </w:rPr>
        <w:t>A kilépő mennyiségek elemzése</w:t>
      </w:r>
    </w:p>
    <w:p w:rsidR="005624E3" w:rsidRPr="00D50F76" w:rsidRDefault="005624E3" w:rsidP="005624E3">
      <w:pPr>
        <w:spacing w:line="240" w:lineRule="atLeast"/>
        <w:rPr>
          <w:rFonts w:cs="Arial"/>
          <w:color w:val="000000"/>
          <w:lang w:val="pl-PL"/>
        </w:rPr>
      </w:pPr>
    </w:p>
    <w:p w:rsidR="005624E3" w:rsidRPr="00D50F76" w:rsidRDefault="005624E3" w:rsidP="005624E3">
      <w:pPr>
        <w:tabs>
          <w:tab w:val="left" w:leader="dot" w:pos="9072"/>
        </w:tabs>
        <w:spacing w:line="240" w:lineRule="atLeast"/>
        <w:rPr>
          <w:rFonts w:cs="Arial"/>
          <w:noProof/>
          <w:lang w:val="pl-PL"/>
        </w:rPr>
      </w:pPr>
      <w:r w:rsidRPr="00D50F76">
        <w:rPr>
          <w:lang w:val="pl-PL"/>
        </w:rPr>
        <w:t xml:space="preserve">A </w:t>
      </w:r>
      <m:oMath>
        <m:sSub>
          <m:sSubPr>
            <m:ctrlPr>
              <w:rPr>
                <w:rFonts w:ascii="Cambria Math" w:hAnsi="Cambria Math"/>
                <w:b/>
                <w:i/>
                <w:noProof/>
              </w:rPr>
            </m:ctrlPr>
          </m:sSubPr>
          <m:e>
            <m:r>
              <m:rPr>
                <m:sty m:val="bi"/>
              </m:rPr>
              <w:rPr>
                <w:rFonts w:ascii="Cambria Math" w:hAnsi="Cambria Math"/>
                <w:noProof/>
              </w:rPr>
              <m:t>BOD</m:t>
            </m:r>
          </m:e>
          <m:sub>
            <m:r>
              <m:rPr>
                <m:sty m:val="bi"/>
              </m:rPr>
              <w:rPr>
                <w:rFonts w:ascii="Cambria Math" w:hAnsi="Cambria Math"/>
                <w:noProof/>
              </w:rPr>
              <m:t>5</m:t>
            </m:r>
          </m:sub>
        </m:sSub>
      </m:oMath>
      <w:r w:rsidRPr="00D50F76">
        <w:rPr>
          <w:lang w:val="pl-PL"/>
        </w:rPr>
        <w:t xml:space="preserve"> kilépő mennyiségeinek elemzése (mg/l)</w:t>
      </w:r>
    </w:p>
    <w:p w:rsidR="005624E3" w:rsidRPr="00D50F76" w:rsidRDefault="005624E3" w:rsidP="005624E3">
      <w:pPr>
        <w:tabs>
          <w:tab w:val="left" w:leader="dot" w:pos="9072"/>
        </w:tabs>
        <w:spacing w:line="240" w:lineRule="atLeast"/>
        <w:rPr>
          <w:rFonts w:cs="Arial"/>
          <w:noProof/>
          <w:lang w:val="pl-P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5624E3" w:rsidRPr="00C903F8" w:rsidTr="00101A80">
        <w:trPr>
          <w:trHeight w:val="300"/>
        </w:trPr>
        <w:tc>
          <w:tcPr>
            <w:tcW w:w="1560" w:type="dxa"/>
            <w:vMerge w:val="restart"/>
          </w:tcPr>
          <w:p w:rsidR="005624E3" w:rsidRPr="00C903F8" w:rsidRDefault="005624E3" w:rsidP="00101A80">
            <w:pPr>
              <w:spacing w:before="60" w:after="60"/>
              <w:rPr>
                <w:noProof/>
                <w:sz w:val="18"/>
                <w:szCs w:val="18"/>
              </w:rPr>
            </w:pPr>
            <w:r>
              <w:rPr>
                <w:noProof/>
                <w:sz w:val="18"/>
              </w:rPr>
              <w:t>Hely</w:t>
            </w:r>
          </w:p>
        </w:tc>
        <w:tc>
          <w:tcPr>
            <w:tcW w:w="1842" w:type="dxa"/>
            <w:vMerge w:val="restart"/>
          </w:tcPr>
          <w:p w:rsidR="005624E3" w:rsidRPr="00C903F8" w:rsidRDefault="005624E3" w:rsidP="00101A80">
            <w:pPr>
              <w:spacing w:before="60" w:after="60"/>
              <w:jc w:val="center"/>
              <w:rPr>
                <w:noProof/>
                <w:sz w:val="18"/>
                <w:szCs w:val="18"/>
              </w:rPr>
            </w:pPr>
            <w:r>
              <w:rPr>
                <w:noProof/>
                <w:sz w:val="18"/>
              </w:rPr>
              <w:t>Minta típusa</w:t>
            </w:r>
          </w:p>
        </w:tc>
        <w:tc>
          <w:tcPr>
            <w:tcW w:w="1058" w:type="dxa"/>
            <w:vMerge w:val="restart"/>
          </w:tcPr>
          <w:p w:rsidR="005624E3" w:rsidRPr="00C903F8" w:rsidRDefault="005624E3" w:rsidP="00101A80">
            <w:pPr>
              <w:spacing w:before="60" w:after="60"/>
              <w:jc w:val="center"/>
              <w:rPr>
                <w:noProof/>
                <w:sz w:val="18"/>
                <w:szCs w:val="18"/>
              </w:rPr>
            </w:pPr>
            <w:r>
              <w:rPr>
                <w:noProof/>
                <w:sz w:val="18"/>
              </w:rPr>
              <w:t>A határértékeket teljesítő vizsgálatok száma</w:t>
            </w:r>
          </w:p>
        </w:tc>
        <w:tc>
          <w:tcPr>
            <w:tcW w:w="992" w:type="dxa"/>
            <w:vMerge w:val="restart"/>
          </w:tcPr>
          <w:p w:rsidR="005624E3" w:rsidRPr="00C903F8" w:rsidRDefault="005624E3" w:rsidP="00101A80">
            <w:pPr>
              <w:spacing w:before="60" w:after="60"/>
              <w:jc w:val="center"/>
              <w:rPr>
                <w:noProof/>
                <w:sz w:val="18"/>
                <w:szCs w:val="18"/>
              </w:rPr>
            </w:pPr>
            <w:r>
              <w:rPr>
                <w:noProof/>
                <w:sz w:val="18"/>
              </w:rPr>
              <w:t>Min.</w:t>
            </w:r>
          </w:p>
        </w:tc>
        <w:tc>
          <w:tcPr>
            <w:tcW w:w="2203" w:type="dxa"/>
            <w:gridSpan w:val="2"/>
          </w:tcPr>
          <w:p w:rsidR="005624E3" w:rsidRPr="00C903F8" w:rsidRDefault="005624E3" w:rsidP="00101A80">
            <w:pPr>
              <w:spacing w:before="60" w:after="60"/>
              <w:jc w:val="center"/>
              <w:rPr>
                <w:noProof/>
                <w:sz w:val="18"/>
                <w:szCs w:val="18"/>
              </w:rPr>
            </w:pPr>
            <w:r>
              <w:rPr>
                <w:noProof/>
                <w:sz w:val="18"/>
              </w:rPr>
              <w:t>Max.</w:t>
            </w:r>
          </w:p>
        </w:tc>
        <w:tc>
          <w:tcPr>
            <w:tcW w:w="1134" w:type="dxa"/>
            <w:vMerge w:val="restart"/>
          </w:tcPr>
          <w:p w:rsidR="005624E3" w:rsidRPr="00C903F8" w:rsidRDefault="005624E3" w:rsidP="00101A80">
            <w:pPr>
              <w:spacing w:before="60" w:after="60"/>
              <w:jc w:val="center"/>
              <w:rPr>
                <w:noProof/>
                <w:sz w:val="18"/>
                <w:szCs w:val="18"/>
              </w:rPr>
            </w:pPr>
            <w:r>
              <w:rPr>
                <w:noProof/>
                <w:sz w:val="18"/>
              </w:rPr>
              <w:t>Átlag</w:t>
            </w:r>
          </w:p>
        </w:tc>
      </w:tr>
      <w:tr w:rsidR="005624E3" w:rsidRPr="00C903F8" w:rsidTr="00101A80">
        <w:trPr>
          <w:trHeight w:val="300"/>
        </w:trPr>
        <w:tc>
          <w:tcPr>
            <w:tcW w:w="1560" w:type="dxa"/>
            <w:vMerge/>
          </w:tcPr>
          <w:p w:rsidR="005624E3" w:rsidRPr="00C903F8" w:rsidRDefault="005624E3" w:rsidP="00101A80">
            <w:pPr>
              <w:spacing w:before="60" w:after="60"/>
              <w:rPr>
                <w:noProof/>
                <w:sz w:val="18"/>
                <w:szCs w:val="18"/>
              </w:rPr>
            </w:pPr>
          </w:p>
        </w:tc>
        <w:tc>
          <w:tcPr>
            <w:tcW w:w="1842" w:type="dxa"/>
            <w:vMerge/>
          </w:tcPr>
          <w:p w:rsidR="005624E3" w:rsidRPr="00C903F8" w:rsidRDefault="005624E3" w:rsidP="00101A80">
            <w:pPr>
              <w:spacing w:before="60" w:after="60"/>
              <w:rPr>
                <w:noProof/>
                <w:sz w:val="18"/>
                <w:szCs w:val="18"/>
              </w:rPr>
            </w:pPr>
          </w:p>
        </w:tc>
        <w:tc>
          <w:tcPr>
            <w:tcW w:w="1058" w:type="dxa"/>
            <w:vMerge/>
          </w:tcPr>
          <w:p w:rsidR="005624E3" w:rsidRPr="00C903F8" w:rsidRDefault="005624E3" w:rsidP="00101A80">
            <w:pPr>
              <w:spacing w:before="60" w:after="60"/>
              <w:rPr>
                <w:noProof/>
                <w:sz w:val="18"/>
                <w:szCs w:val="18"/>
              </w:rPr>
            </w:pPr>
          </w:p>
        </w:tc>
        <w:tc>
          <w:tcPr>
            <w:tcW w:w="992" w:type="dxa"/>
            <w:vMerge/>
          </w:tcPr>
          <w:p w:rsidR="005624E3" w:rsidRPr="00C903F8" w:rsidRDefault="005624E3" w:rsidP="00101A80">
            <w:pPr>
              <w:spacing w:before="60" w:after="60"/>
              <w:rPr>
                <w:noProof/>
                <w:sz w:val="18"/>
                <w:szCs w:val="18"/>
              </w:rPr>
            </w:pPr>
          </w:p>
        </w:tc>
        <w:tc>
          <w:tcPr>
            <w:tcW w:w="1069" w:type="dxa"/>
          </w:tcPr>
          <w:p w:rsidR="005624E3" w:rsidRPr="00C903F8" w:rsidRDefault="005624E3" w:rsidP="00101A80">
            <w:pPr>
              <w:spacing w:before="60" w:after="60"/>
              <w:jc w:val="center"/>
              <w:rPr>
                <w:noProof/>
                <w:sz w:val="18"/>
                <w:szCs w:val="18"/>
              </w:rPr>
            </w:pPr>
            <w:r>
              <w:rPr>
                <w:noProof/>
                <w:sz w:val="18"/>
              </w:rPr>
              <w:t>Érték</w:t>
            </w:r>
          </w:p>
        </w:tc>
        <w:tc>
          <w:tcPr>
            <w:tcW w:w="1134" w:type="dxa"/>
          </w:tcPr>
          <w:p w:rsidR="005624E3" w:rsidRPr="00C903F8" w:rsidRDefault="005624E3" w:rsidP="00101A80">
            <w:pPr>
              <w:spacing w:before="60" w:after="60"/>
              <w:jc w:val="center"/>
              <w:rPr>
                <w:noProof/>
                <w:sz w:val="18"/>
                <w:szCs w:val="18"/>
              </w:rPr>
            </w:pPr>
            <w:r>
              <w:rPr>
                <w:noProof/>
                <w:sz w:val="18"/>
              </w:rPr>
              <w:t>Terhelési szakasz</w:t>
            </w:r>
          </w:p>
        </w:tc>
        <w:tc>
          <w:tcPr>
            <w:tcW w:w="1134" w:type="dxa"/>
            <w:vMerge/>
          </w:tcPr>
          <w:p w:rsidR="005624E3" w:rsidRPr="00C903F8" w:rsidRDefault="005624E3" w:rsidP="00101A80">
            <w:pPr>
              <w:spacing w:before="60" w:after="60"/>
              <w:rPr>
                <w:noProof/>
                <w:sz w:val="18"/>
                <w:szCs w:val="18"/>
              </w:rPr>
            </w:pPr>
          </w:p>
        </w:tc>
      </w:tr>
      <w:tr w:rsidR="005624E3" w:rsidRPr="00C903F8" w:rsidTr="00101A80">
        <w:tc>
          <w:tcPr>
            <w:tcW w:w="1560" w:type="dxa"/>
            <w:vAlign w:val="center"/>
          </w:tcPr>
          <w:p w:rsidR="005624E3" w:rsidRPr="00C903F8" w:rsidRDefault="005624E3" w:rsidP="00101A80">
            <w:pPr>
              <w:spacing w:before="60" w:after="60"/>
              <w:rPr>
                <w:noProof/>
                <w:sz w:val="18"/>
                <w:szCs w:val="18"/>
              </w:rPr>
            </w:pPr>
            <w:r>
              <w:rPr>
                <w:noProof/>
                <w:sz w:val="18"/>
              </w:rPr>
              <w:t>Belépési oldal</w:t>
            </w:r>
          </w:p>
        </w:tc>
        <w:tc>
          <w:tcPr>
            <w:tcW w:w="1842" w:type="dxa"/>
            <w:vAlign w:val="center"/>
          </w:tcPr>
          <w:p w:rsidR="005624E3" w:rsidRPr="00C903F8" w:rsidRDefault="005624E3" w:rsidP="00101A80">
            <w:pPr>
              <w:spacing w:before="60" w:after="60"/>
              <w:rPr>
                <w:noProof/>
                <w:sz w:val="18"/>
                <w:szCs w:val="18"/>
              </w:rPr>
            </w:pPr>
            <w:r>
              <w:rPr>
                <w:noProof/>
                <w:sz w:val="18"/>
              </w:rPr>
              <w:t>24 órás egyesített minták</w:t>
            </w:r>
          </w:p>
        </w:tc>
        <w:tc>
          <w:tcPr>
            <w:tcW w:w="1058" w:type="dxa"/>
            <w:vAlign w:val="center"/>
          </w:tcPr>
          <w:p w:rsidR="005624E3" w:rsidRPr="00C903F8" w:rsidRDefault="005624E3" w:rsidP="00101A80">
            <w:pPr>
              <w:spacing w:before="60" w:after="60"/>
              <w:jc w:val="center"/>
              <w:rPr>
                <w:noProof/>
                <w:sz w:val="18"/>
                <w:szCs w:val="18"/>
              </w:rPr>
            </w:pPr>
            <w:r>
              <w:rPr>
                <w:noProof/>
                <w:sz w:val="18"/>
              </w:rPr>
              <w:t>--</w:t>
            </w: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r>
      <w:tr w:rsidR="005624E3" w:rsidRPr="00C903F8" w:rsidTr="00101A80">
        <w:tc>
          <w:tcPr>
            <w:tcW w:w="1560" w:type="dxa"/>
          </w:tcPr>
          <w:p w:rsidR="005624E3" w:rsidRPr="00C903F8" w:rsidRDefault="005624E3" w:rsidP="00101A80">
            <w:pPr>
              <w:spacing w:before="60" w:after="60"/>
              <w:rPr>
                <w:noProof/>
                <w:sz w:val="18"/>
                <w:szCs w:val="18"/>
              </w:rPr>
            </w:pPr>
            <w:r>
              <w:rPr>
                <w:noProof/>
                <w:sz w:val="18"/>
              </w:rPr>
              <w:t>Kilépési oldal</w:t>
            </w:r>
          </w:p>
        </w:tc>
        <w:tc>
          <w:tcPr>
            <w:tcW w:w="1842" w:type="dxa"/>
            <w:vAlign w:val="center"/>
          </w:tcPr>
          <w:p w:rsidR="005624E3" w:rsidRPr="00C903F8" w:rsidRDefault="005624E3" w:rsidP="00101A80">
            <w:pPr>
              <w:spacing w:before="60" w:after="60"/>
              <w:rPr>
                <w:noProof/>
                <w:sz w:val="18"/>
                <w:szCs w:val="18"/>
              </w:rPr>
            </w:pPr>
            <w:r>
              <w:rPr>
                <w:noProof/>
                <w:sz w:val="18"/>
              </w:rPr>
              <w:t>24 órás egyesített minták</w:t>
            </w:r>
          </w:p>
        </w:tc>
        <w:tc>
          <w:tcPr>
            <w:tcW w:w="1058" w:type="dxa"/>
            <w:vAlign w:val="center"/>
          </w:tcPr>
          <w:p w:rsidR="005624E3" w:rsidRPr="00C903F8" w:rsidRDefault="005624E3" w:rsidP="00101A80">
            <w:pPr>
              <w:spacing w:before="60" w:after="60"/>
              <w:rPr>
                <w:noProof/>
                <w:sz w:val="18"/>
                <w:szCs w:val="18"/>
              </w:rPr>
            </w:pP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tcPr>
          <w:p w:rsidR="005624E3" w:rsidRPr="00C903F8" w:rsidRDefault="005624E3" w:rsidP="00101A80">
            <w:pPr>
              <w:spacing w:before="60" w:after="60"/>
              <w:rPr>
                <w:noProof/>
                <w:sz w:val="18"/>
                <w:szCs w:val="18"/>
              </w:rPr>
            </w:pPr>
          </w:p>
        </w:tc>
      </w:tr>
      <w:tr w:rsidR="005624E3" w:rsidRPr="00C903F8" w:rsidTr="00101A80">
        <w:tc>
          <w:tcPr>
            <w:tcW w:w="1560" w:type="dxa"/>
            <w:vAlign w:val="center"/>
          </w:tcPr>
          <w:p w:rsidR="005624E3" w:rsidRPr="00C903F8" w:rsidRDefault="005624E3" w:rsidP="00101A80">
            <w:pPr>
              <w:spacing w:before="60" w:after="60"/>
              <w:rPr>
                <w:noProof/>
                <w:sz w:val="18"/>
                <w:szCs w:val="18"/>
              </w:rPr>
            </w:pPr>
            <w:r>
              <w:rPr>
                <w:noProof/>
                <w:sz w:val="18"/>
              </w:rPr>
              <w:t>Belépési oldal</w:t>
            </w:r>
          </w:p>
        </w:tc>
        <w:tc>
          <w:tcPr>
            <w:tcW w:w="1842" w:type="dxa"/>
            <w:vAlign w:val="center"/>
          </w:tcPr>
          <w:p w:rsidR="005624E3" w:rsidRPr="00C903F8" w:rsidRDefault="005624E3" w:rsidP="00101A80">
            <w:pPr>
              <w:spacing w:before="60" w:after="60"/>
              <w:rPr>
                <w:noProof/>
                <w:sz w:val="18"/>
                <w:szCs w:val="18"/>
              </w:rPr>
            </w:pPr>
            <w:r>
              <w:rPr>
                <w:noProof/>
                <w:sz w:val="18"/>
              </w:rPr>
              <w:t>Szúrópróbaszerű minták</w:t>
            </w:r>
          </w:p>
        </w:tc>
        <w:tc>
          <w:tcPr>
            <w:tcW w:w="1058" w:type="dxa"/>
            <w:vAlign w:val="center"/>
          </w:tcPr>
          <w:p w:rsidR="005624E3" w:rsidRPr="00C903F8" w:rsidRDefault="005624E3" w:rsidP="00101A80">
            <w:pPr>
              <w:spacing w:before="60" w:after="60"/>
              <w:jc w:val="center"/>
              <w:rPr>
                <w:noProof/>
                <w:sz w:val="18"/>
                <w:szCs w:val="18"/>
              </w:rPr>
            </w:pPr>
            <w:r>
              <w:rPr>
                <w:noProof/>
                <w:sz w:val="18"/>
              </w:rPr>
              <w:t>--</w:t>
            </w: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r>
      <w:tr w:rsidR="005624E3" w:rsidRPr="00C903F8" w:rsidTr="00101A80">
        <w:tc>
          <w:tcPr>
            <w:tcW w:w="1560" w:type="dxa"/>
          </w:tcPr>
          <w:p w:rsidR="005624E3" w:rsidRPr="00C903F8" w:rsidRDefault="005624E3" w:rsidP="00101A80">
            <w:pPr>
              <w:spacing w:before="60" w:after="60"/>
              <w:rPr>
                <w:noProof/>
                <w:sz w:val="18"/>
                <w:szCs w:val="18"/>
              </w:rPr>
            </w:pPr>
            <w:r>
              <w:rPr>
                <w:noProof/>
                <w:sz w:val="18"/>
              </w:rPr>
              <w:t>Kilépési oldal</w:t>
            </w:r>
          </w:p>
        </w:tc>
        <w:tc>
          <w:tcPr>
            <w:tcW w:w="1842" w:type="dxa"/>
            <w:vAlign w:val="center"/>
          </w:tcPr>
          <w:p w:rsidR="005624E3" w:rsidRPr="00C903F8" w:rsidRDefault="005624E3" w:rsidP="00101A80">
            <w:pPr>
              <w:spacing w:before="60" w:after="60"/>
              <w:rPr>
                <w:noProof/>
                <w:sz w:val="18"/>
                <w:szCs w:val="18"/>
              </w:rPr>
            </w:pPr>
            <w:r>
              <w:rPr>
                <w:noProof/>
                <w:sz w:val="18"/>
              </w:rPr>
              <w:t>Szúrópróbaszerű minták</w:t>
            </w:r>
          </w:p>
        </w:tc>
        <w:tc>
          <w:tcPr>
            <w:tcW w:w="1058" w:type="dxa"/>
            <w:vAlign w:val="center"/>
          </w:tcPr>
          <w:p w:rsidR="005624E3" w:rsidRPr="00C903F8" w:rsidRDefault="005624E3" w:rsidP="00101A80">
            <w:pPr>
              <w:spacing w:before="60" w:after="60"/>
              <w:rPr>
                <w:noProof/>
                <w:sz w:val="18"/>
                <w:szCs w:val="18"/>
              </w:rPr>
            </w:pP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tcPr>
          <w:p w:rsidR="005624E3" w:rsidRPr="00C903F8" w:rsidRDefault="005624E3" w:rsidP="00101A80">
            <w:pPr>
              <w:spacing w:before="60" w:after="60"/>
              <w:rPr>
                <w:noProof/>
                <w:sz w:val="18"/>
                <w:szCs w:val="18"/>
              </w:rPr>
            </w:pPr>
          </w:p>
        </w:tc>
      </w:tr>
    </w:tbl>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 xml:space="preserve">A </w:t>
      </w:r>
      <w:r>
        <w:rPr>
          <w:b/>
          <w:noProof/>
          <w:color w:val="000000"/>
        </w:rPr>
        <w:t>COD</w:t>
      </w:r>
      <w:r>
        <w:rPr>
          <w:noProof/>
          <w:color w:val="000000"/>
        </w:rPr>
        <w:t xml:space="preserve"> kilépő mennyiségeinek elemzése (mg/l)</w:t>
      </w:r>
    </w:p>
    <w:p w:rsidR="005624E3" w:rsidRPr="00C903F8" w:rsidRDefault="005624E3" w:rsidP="005624E3">
      <w:pPr>
        <w:spacing w:line="240" w:lineRule="atLeast"/>
        <w:rPr>
          <w:rFonts w:cs="Arial"/>
          <w:noProof/>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5624E3" w:rsidRPr="00C903F8" w:rsidTr="00101A80">
        <w:tc>
          <w:tcPr>
            <w:tcW w:w="1560" w:type="dxa"/>
            <w:vMerge w:val="restart"/>
          </w:tcPr>
          <w:p w:rsidR="005624E3" w:rsidRPr="00C903F8" w:rsidRDefault="005624E3" w:rsidP="00101A80">
            <w:pPr>
              <w:spacing w:before="60" w:after="60"/>
              <w:rPr>
                <w:noProof/>
                <w:sz w:val="18"/>
                <w:szCs w:val="18"/>
              </w:rPr>
            </w:pPr>
            <w:r>
              <w:rPr>
                <w:noProof/>
                <w:sz w:val="18"/>
              </w:rPr>
              <w:t>Hely</w:t>
            </w:r>
          </w:p>
        </w:tc>
        <w:tc>
          <w:tcPr>
            <w:tcW w:w="1842" w:type="dxa"/>
            <w:vMerge w:val="restart"/>
          </w:tcPr>
          <w:p w:rsidR="005624E3" w:rsidRPr="00C903F8" w:rsidRDefault="005624E3" w:rsidP="00101A80">
            <w:pPr>
              <w:spacing w:before="60" w:after="60"/>
              <w:jc w:val="center"/>
              <w:rPr>
                <w:noProof/>
                <w:sz w:val="18"/>
                <w:szCs w:val="18"/>
              </w:rPr>
            </w:pPr>
            <w:r>
              <w:rPr>
                <w:noProof/>
                <w:sz w:val="18"/>
              </w:rPr>
              <w:t>Minta típusa</w:t>
            </w:r>
          </w:p>
        </w:tc>
        <w:tc>
          <w:tcPr>
            <w:tcW w:w="1058" w:type="dxa"/>
            <w:vMerge w:val="restart"/>
          </w:tcPr>
          <w:p w:rsidR="005624E3" w:rsidRPr="00C903F8" w:rsidRDefault="005624E3" w:rsidP="00101A80">
            <w:pPr>
              <w:spacing w:before="60" w:after="60"/>
              <w:jc w:val="center"/>
              <w:rPr>
                <w:noProof/>
                <w:sz w:val="18"/>
                <w:szCs w:val="18"/>
              </w:rPr>
            </w:pPr>
            <w:r>
              <w:rPr>
                <w:noProof/>
                <w:sz w:val="18"/>
              </w:rPr>
              <w:t>A határértékeket teljesítő vizsgálatok száma</w:t>
            </w:r>
          </w:p>
        </w:tc>
        <w:tc>
          <w:tcPr>
            <w:tcW w:w="992" w:type="dxa"/>
            <w:vMerge w:val="restart"/>
          </w:tcPr>
          <w:p w:rsidR="005624E3" w:rsidRPr="00C903F8" w:rsidRDefault="005624E3" w:rsidP="00101A80">
            <w:pPr>
              <w:spacing w:before="60" w:after="60"/>
              <w:jc w:val="center"/>
              <w:rPr>
                <w:noProof/>
                <w:sz w:val="18"/>
                <w:szCs w:val="18"/>
              </w:rPr>
            </w:pPr>
            <w:r>
              <w:rPr>
                <w:noProof/>
                <w:sz w:val="18"/>
              </w:rPr>
              <w:t>Min.</w:t>
            </w:r>
          </w:p>
        </w:tc>
        <w:tc>
          <w:tcPr>
            <w:tcW w:w="2203" w:type="dxa"/>
            <w:gridSpan w:val="2"/>
          </w:tcPr>
          <w:p w:rsidR="005624E3" w:rsidRPr="00C903F8" w:rsidRDefault="005624E3" w:rsidP="00101A80">
            <w:pPr>
              <w:spacing w:before="60" w:after="60"/>
              <w:jc w:val="center"/>
              <w:rPr>
                <w:noProof/>
                <w:sz w:val="18"/>
                <w:szCs w:val="18"/>
              </w:rPr>
            </w:pPr>
            <w:r>
              <w:rPr>
                <w:noProof/>
                <w:sz w:val="18"/>
              </w:rPr>
              <w:t>Max.</w:t>
            </w:r>
          </w:p>
        </w:tc>
        <w:tc>
          <w:tcPr>
            <w:tcW w:w="1134" w:type="dxa"/>
            <w:vMerge w:val="restart"/>
          </w:tcPr>
          <w:p w:rsidR="005624E3" w:rsidRPr="00C903F8" w:rsidRDefault="005624E3" w:rsidP="00101A80">
            <w:pPr>
              <w:spacing w:before="60" w:after="60"/>
              <w:jc w:val="center"/>
              <w:rPr>
                <w:noProof/>
                <w:sz w:val="18"/>
                <w:szCs w:val="18"/>
              </w:rPr>
            </w:pPr>
            <w:r>
              <w:rPr>
                <w:noProof/>
                <w:sz w:val="18"/>
              </w:rPr>
              <w:t>Átlag</w:t>
            </w:r>
          </w:p>
        </w:tc>
      </w:tr>
      <w:tr w:rsidR="005624E3" w:rsidRPr="00C903F8" w:rsidTr="00101A80">
        <w:tc>
          <w:tcPr>
            <w:tcW w:w="1560" w:type="dxa"/>
            <w:vMerge/>
          </w:tcPr>
          <w:p w:rsidR="005624E3" w:rsidRPr="00C903F8" w:rsidRDefault="005624E3" w:rsidP="00101A80">
            <w:pPr>
              <w:spacing w:before="60" w:after="60"/>
              <w:rPr>
                <w:noProof/>
                <w:sz w:val="18"/>
                <w:szCs w:val="18"/>
              </w:rPr>
            </w:pPr>
          </w:p>
        </w:tc>
        <w:tc>
          <w:tcPr>
            <w:tcW w:w="1842" w:type="dxa"/>
            <w:vMerge/>
          </w:tcPr>
          <w:p w:rsidR="005624E3" w:rsidRPr="00C903F8" w:rsidRDefault="005624E3" w:rsidP="00101A80">
            <w:pPr>
              <w:spacing w:before="60" w:after="60"/>
              <w:rPr>
                <w:noProof/>
                <w:sz w:val="18"/>
                <w:szCs w:val="18"/>
              </w:rPr>
            </w:pPr>
          </w:p>
        </w:tc>
        <w:tc>
          <w:tcPr>
            <w:tcW w:w="1058" w:type="dxa"/>
            <w:vMerge/>
          </w:tcPr>
          <w:p w:rsidR="005624E3" w:rsidRPr="00C903F8" w:rsidRDefault="005624E3" w:rsidP="00101A80">
            <w:pPr>
              <w:spacing w:before="60" w:after="60"/>
              <w:rPr>
                <w:noProof/>
                <w:sz w:val="18"/>
                <w:szCs w:val="18"/>
              </w:rPr>
            </w:pPr>
          </w:p>
        </w:tc>
        <w:tc>
          <w:tcPr>
            <w:tcW w:w="992" w:type="dxa"/>
            <w:vMerge/>
          </w:tcPr>
          <w:p w:rsidR="005624E3" w:rsidRPr="00C903F8" w:rsidRDefault="005624E3" w:rsidP="00101A80">
            <w:pPr>
              <w:spacing w:before="60" w:after="60"/>
              <w:rPr>
                <w:noProof/>
                <w:sz w:val="18"/>
                <w:szCs w:val="18"/>
              </w:rPr>
            </w:pPr>
          </w:p>
        </w:tc>
        <w:tc>
          <w:tcPr>
            <w:tcW w:w="1069" w:type="dxa"/>
          </w:tcPr>
          <w:p w:rsidR="005624E3" w:rsidRPr="00C903F8" w:rsidRDefault="005624E3" w:rsidP="00101A80">
            <w:pPr>
              <w:spacing w:before="60" w:after="60"/>
              <w:jc w:val="center"/>
              <w:rPr>
                <w:noProof/>
                <w:sz w:val="18"/>
                <w:szCs w:val="18"/>
              </w:rPr>
            </w:pPr>
            <w:r>
              <w:rPr>
                <w:noProof/>
                <w:sz w:val="18"/>
              </w:rPr>
              <w:t>Érték</w:t>
            </w:r>
          </w:p>
        </w:tc>
        <w:tc>
          <w:tcPr>
            <w:tcW w:w="1134" w:type="dxa"/>
          </w:tcPr>
          <w:p w:rsidR="005624E3" w:rsidRPr="00C903F8" w:rsidRDefault="005624E3" w:rsidP="00101A80">
            <w:pPr>
              <w:spacing w:before="60" w:after="60"/>
              <w:jc w:val="center"/>
              <w:rPr>
                <w:noProof/>
                <w:sz w:val="18"/>
                <w:szCs w:val="18"/>
              </w:rPr>
            </w:pPr>
            <w:r>
              <w:rPr>
                <w:noProof/>
                <w:sz w:val="18"/>
              </w:rPr>
              <w:t>Terhelési szakasz</w:t>
            </w:r>
          </w:p>
        </w:tc>
        <w:tc>
          <w:tcPr>
            <w:tcW w:w="1134" w:type="dxa"/>
            <w:vMerge/>
          </w:tcPr>
          <w:p w:rsidR="005624E3" w:rsidRPr="00C903F8" w:rsidRDefault="005624E3" w:rsidP="00101A80">
            <w:pPr>
              <w:spacing w:before="60" w:after="60"/>
              <w:rPr>
                <w:noProof/>
                <w:sz w:val="18"/>
                <w:szCs w:val="18"/>
              </w:rPr>
            </w:pPr>
          </w:p>
        </w:tc>
      </w:tr>
      <w:tr w:rsidR="005624E3" w:rsidRPr="00C903F8" w:rsidTr="00101A80">
        <w:tc>
          <w:tcPr>
            <w:tcW w:w="1560" w:type="dxa"/>
            <w:vAlign w:val="center"/>
          </w:tcPr>
          <w:p w:rsidR="005624E3" w:rsidRPr="00C903F8" w:rsidRDefault="005624E3" w:rsidP="00101A80">
            <w:pPr>
              <w:spacing w:before="60" w:after="60"/>
              <w:rPr>
                <w:noProof/>
                <w:sz w:val="18"/>
                <w:szCs w:val="18"/>
              </w:rPr>
            </w:pPr>
            <w:r>
              <w:rPr>
                <w:noProof/>
                <w:sz w:val="18"/>
              </w:rPr>
              <w:t>Belépési oldal</w:t>
            </w:r>
          </w:p>
        </w:tc>
        <w:tc>
          <w:tcPr>
            <w:tcW w:w="1842" w:type="dxa"/>
            <w:vAlign w:val="center"/>
          </w:tcPr>
          <w:p w:rsidR="005624E3" w:rsidRPr="00C903F8" w:rsidRDefault="005624E3" w:rsidP="00101A80">
            <w:pPr>
              <w:spacing w:before="60" w:after="60"/>
              <w:rPr>
                <w:noProof/>
                <w:sz w:val="18"/>
                <w:szCs w:val="18"/>
              </w:rPr>
            </w:pPr>
            <w:r>
              <w:rPr>
                <w:noProof/>
                <w:sz w:val="18"/>
              </w:rPr>
              <w:t>24 órás egyesített minták</w:t>
            </w:r>
          </w:p>
        </w:tc>
        <w:tc>
          <w:tcPr>
            <w:tcW w:w="1058" w:type="dxa"/>
            <w:vAlign w:val="center"/>
          </w:tcPr>
          <w:p w:rsidR="005624E3" w:rsidRPr="00C903F8" w:rsidRDefault="005624E3" w:rsidP="00101A80">
            <w:pPr>
              <w:spacing w:before="60" w:after="60"/>
              <w:jc w:val="center"/>
              <w:rPr>
                <w:noProof/>
                <w:sz w:val="18"/>
                <w:szCs w:val="18"/>
              </w:rPr>
            </w:pPr>
            <w:r>
              <w:rPr>
                <w:noProof/>
                <w:sz w:val="18"/>
              </w:rPr>
              <w:t>--</w:t>
            </w: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r>
      <w:tr w:rsidR="005624E3" w:rsidRPr="00C903F8" w:rsidTr="00101A80">
        <w:tc>
          <w:tcPr>
            <w:tcW w:w="1560" w:type="dxa"/>
          </w:tcPr>
          <w:p w:rsidR="005624E3" w:rsidRPr="00C903F8" w:rsidRDefault="005624E3" w:rsidP="00101A80">
            <w:pPr>
              <w:spacing w:before="60" w:after="60"/>
              <w:rPr>
                <w:noProof/>
                <w:sz w:val="18"/>
                <w:szCs w:val="18"/>
              </w:rPr>
            </w:pPr>
            <w:r>
              <w:rPr>
                <w:noProof/>
                <w:sz w:val="18"/>
              </w:rPr>
              <w:t>Kilépési oldal</w:t>
            </w:r>
          </w:p>
        </w:tc>
        <w:tc>
          <w:tcPr>
            <w:tcW w:w="1842" w:type="dxa"/>
            <w:vAlign w:val="center"/>
          </w:tcPr>
          <w:p w:rsidR="005624E3" w:rsidRPr="00C903F8" w:rsidRDefault="005624E3" w:rsidP="00101A80">
            <w:pPr>
              <w:spacing w:before="60" w:after="60"/>
              <w:rPr>
                <w:noProof/>
                <w:sz w:val="18"/>
                <w:szCs w:val="18"/>
              </w:rPr>
            </w:pPr>
            <w:r>
              <w:rPr>
                <w:noProof/>
                <w:sz w:val="18"/>
              </w:rPr>
              <w:t>24 órás egyesített minták</w:t>
            </w:r>
          </w:p>
        </w:tc>
        <w:tc>
          <w:tcPr>
            <w:tcW w:w="1058" w:type="dxa"/>
            <w:vAlign w:val="center"/>
          </w:tcPr>
          <w:p w:rsidR="005624E3" w:rsidRPr="00C903F8" w:rsidRDefault="005624E3" w:rsidP="00101A80">
            <w:pPr>
              <w:spacing w:before="60" w:after="60"/>
              <w:rPr>
                <w:noProof/>
                <w:sz w:val="18"/>
                <w:szCs w:val="18"/>
              </w:rPr>
            </w:pP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r>
      <w:tr w:rsidR="005624E3" w:rsidRPr="00C903F8" w:rsidTr="00101A80">
        <w:tc>
          <w:tcPr>
            <w:tcW w:w="1560" w:type="dxa"/>
            <w:vAlign w:val="center"/>
          </w:tcPr>
          <w:p w:rsidR="005624E3" w:rsidRPr="00C903F8" w:rsidRDefault="005624E3" w:rsidP="00101A80">
            <w:pPr>
              <w:spacing w:before="60" w:after="60"/>
              <w:rPr>
                <w:noProof/>
                <w:sz w:val="18"/>
                <w:szCs w:val="18"/>
              </w:rPr>
            </w:pPr>
            <w:r>
              <w:rPr>
                <w:noProof/>
                <w:sz w:val="18"/>
              </w:rPr>
              <w:t>Belépési oldal</w:t>
            </w:r>
          </w:p>
        </w:tc>
        <w:tc>
          <w:tcPr>
            <w:tcW w:w="1842" w:type="dxa"/>
            <w:vAlign w:val="center"/>
          </w:tcPr>
          <w:p w:rsidR="005624E3" w:rsidRPr="00C903F8" w:rsidRDefault="005624E3" w:rsidP="00101A80">
            <w:pPr>
              <w:spacing w:before="60" w:after="60"/>
              <w:rPr>
                <w:noProof/>
                <w:sz w:val="18"/>
                <w:szCs w:val="18"/>
              </w:rPr>
            </w:pPr>
            <w:r>
              <w:rPr>
                <w:noProof/>
                <w:sz w:val="18"/>
              </w:rPr>
              <w:t>Szúrópróbaszerű minták</w:t>
            </w:r>
          </w:p>
        </w:tc>
        <w:tc>
          <w:tcPr>
            <w:tcW w:w="1058" w:type="dxa"/>
            <w:vAlign w:val="center"/>
          </w:tcPr>
          <w:p w:rsidR="005624E3" w:rsidRPr="00C903F8" w:rsidRDefault="005624E3" w:rsidP="00101A80">
            <w:pPr>
              <w:spacing w:before="60" w:after="60"/>
              <w:jc w:val="center"/>
              <w:rPr>
                <w:noProof/>
                <w:sz w:val="18"/>
                <w:szCs w:val="18"/>
              </w:rPr>
            </w:pPr>
            <w:r>
              <w:rPr>
                <w:noProof/>
                <w:sz w:val="18"/>
              </w:rPr>
              <w:t>--</w:t>
            </w: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r>
      <w:tr w:rsidR="005624E3" w:rsidRPr="00C903F8" w:rsidTr="00101A80">
        <w:tc>
          <w:tcPr>
            <w:tcW w:w="1560" w:type="dxa"/>
          </w:tcPr>
          <w:p w:rsidR="005624E3" w:rsidRPr="00C903F8" w:rsidRDefault="005624E3" w:rsidP="00101A80">
            <w:pPr>
              <w:spacing w:before="60" w:after="60"/>
              <w:rPr>
                <w:noProof/>
                <w:sz w:val="18"/>
                <w:szCs w:val="18"/>
              </w:rPr>
            </w:pPr>
            <w:r>
              <w:rPr>
                <w:noProof/>
                <w:sz w:val="18"/>
              </w:rPr>
              <w:t>Kilépési oldal</w:t>
            </w:r>
          </w:p>
        </w:tc>
        <w:tc>
          <w:tcPr>
            <w:tcW w:w="1842" w:type="dxa"/>
            <w:vAlign w:val="center"/>
          </w:tcPr>
          <w:p w:rsidR="005624E3" w:rsidRPr="00C903F8" w:rsidRDefault="005624E3" w:rsidP="00101A80">
            <w:pPr>
              <w:spacing w:before="60" w:after="60"/>
              <w:rPr>
                <w:noProof/>
                <w:sz w:val="18"/>
                <w:szCs w:val="18"/>
              </w:rPr>
            </w:pPr>
            <w:r>
              <w:rPr>
                <w:noProof/>
                <w:sz w:val="18"/>
              </w:rPr>
              <w:t>Szúrópróbaszerű minták</w:t>
            </w:r>
          </w:p>
        </w:tc>
        <w:tc>
          <w:tcPr>
            <w:tcW w:w="1058" w:type="dxa"/>
            <w:vAlign w:val="center"/>
          </w:tcPr>
          <w:p w:rsidR="005624E3" w:rsidRPr="00C903F8" w:rsidRDefault="005624E3" w:rsidP="00101A80">
            <w:pPr>
              <w:spacing w:before="60" w:after="60"/>
              <w:rPr>
                <w:noProof/>
                <w:sz w:val="18"/>
                <w:szCs w:val="18"/>
              </w:rPr>
            </w:pP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r>
    </w:tbl>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br w:type="page"/>
      </w:r>
    </w:p>
    <w:p w:rsidR="005624E3" w:rsidRPr="00C903F8" w:rsidRDefault="005624E3" w:rsidP="005624E3">
      <w:pPr>
        <w:spacing w:line="240" w:lineRule="atLeast"/>
        <w:rPr>
          <w:rFonts w:cs="Arial"/>
          <w:noProof/>
          <w:color w:val="000000"/>
        </w:rPr>
      </w:pPr>
      <w:r>
        <w:rPr>
          <w:noProof/>
          <w:color w:val="000000"/>
        </w:rPr>
        <w:t xml:space="preserve">A </w:t>
      </w:r>
      <w:r>
        <w:rPr>
          <w:b/>
          <w:noProof/>
          <w:color w:val="000000"/>
        </w:rPr>
        <w:t>TOC</w:t>
      </w:r>
      <w:r>
        <w:rPr>
          <w:noProof/>
          <w:color w:val="000000"/>
        </w:rPr>
        <w:t xml:space="preserve"> kilépő mennyiségeinek elemzése (mg/l)</w:t>
      </w:r>
    </w:p>
    <w:p w:rsidR="005624E3" w:rsidRPr="00C903F8" w:rsidRDefault="005624E3" w:rsidP="005624E3">
      <w:pPr>
        <w:spacing w:line="240" w:lineRule="atLeast"/>
        <w:rPr>
          <w:rFonts w:cs="Arial"/>
          <w:noProof/>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5624E3" w:rsidRPr="00C903F8" w:rsidTr="00101A80">
        <w:tc>
          <w:tcPr>
            <w:tcW w:w="1560" w:type="dxa"/>
            <w:vMerge w:val="restart"/>
          </w:tcPr>
          <w:p w:rsidR="005624E3" w:rsidRPr="00C903F8" w:rsidRDefault="005624E3" w:rsidP="00101A80">
            <w:pPr>
              <w:spacing w:before="60" w:after="60"/>
              <w:rPr>
                <w:noProof/>
                <w:sz w:val="18"/>
                <w:szCs w:val="18"/>
              </w:rPr>
            </w:pPr>
            <w:r>
              <w:rPr>
                <w:noProof/>
                <w:sz w:val="18"/>
              </w:rPr>
              <w:t>Hely</w:t>
            </w:r>
          </w:p>
        </w:tc>
        <w:tc>
          <w:tcPr>
            <w:tcW w:w="1842" w:type="dxa"/>
            <w:vMerge w:val="restart"/>
          </w:tcPr>
          <w:p w:rsidR="005624E3" w:rsidRPr="00C903F8" w:rsidRDefault="005624E3" w:rsidP="00101A80">
            <w:pPr>
              <w:spacing w:before="60" w:after="60"/>
              <w:jc w:val="center"/>
              <w:rPr>
                <w:noProof/>
                <w:sz w:val="18"/>
                <w:szCs w:val="18"/>
              </w:rPr>
            </w:pPr>
            <w:r>
              <w:rPr>
                <w:noProof/>
                <w:sz w:val="18"/>
              </w:rPr>
              <w:t>Minta típusa</w:t>
            </w:r>
          </w:p>
        </w:tc>
        <w:tc>
          <w:tcPr>
            <w:tcW w:w="1058" w:type="dxa"/>
            <w:vMerge w:val="restart"/>
          </w:tcPr>
          <w:p w:rsidR="005624E3" w:rsidRPr="00C903F8" w:rsidRDefault="005624E3" w:rsidP="00101A80">
            <w:pPr>
              <w:spacing w:before="60" w:after="60"/>
              <w:jc w:val="center"/>
              <w:rPr>
                <w:noProof/>
                <w:sz w:val="18"/>
                <w:szCs w:val="18"/>
              </w:rPr>
            </w:pPr>
            <w:r>
              <w:rPr>
                <w:noProof/>
                <w:sz w:val="18"/>
              </w:rPr>
              <w:t>A határértékeket teljesítő vizsgálatok száma</w:t>
            </w:r>
          </w:p>
        </w:tc>
        <w:tc>
          <w:tcPr>
            <w:tcW w:w="992" w:type="dxa"/>
            <w:vMerge w:val="restart"/>
          </w:tcPr>
          <w:p w:rsidR="005624E3" w:rsidRPr="00C903F8" w:rsidRDefault="005624E3" w:rsidP="00101A80">
            <w:pPr>
              <w:spacing w:before="60" w:after="60"/>
              <w:jc w:val="center"/>
              <w:rPr>
                <w:noProof/>
                <w:sz w:val="18"/>
                <w:szCs w:val="18"/>
              </w:rPr>
            </w:pPr>
            <w:r>
              <w:rPr>
                <w:noProof/>
                <w:sz w:val="18"/>
              </w:rPr>
              <w:t>Min.</w:t>
            </w:r>
          </w:p>
        </w:tc>
        <w:tc>
          <w:tcPr>
            <w:tcW w:w="2203" w:type="dxa"/>
            <w:gridSpan w:val="2"/>
          </w:tcPr>
          <w:p w:rsidR="005624E3" w:rsidRPr="00C903F8" w:rsidRDefault="005624E3" w:rsidP="00101A80">
            <w:pPr>
              <w:spacing w:before="60" w:after="60"/>
              <w:jc w:val="center"/>
              <w:rPr>
                <w:noProof/>
                <w:sz w:val="18"/>
                <w:szCs w:val="18"/>
              </w:rPr>
            </w:pPr>
            <w:r>
              <w:rPr>
                <w:noProof/>
                <w:sz w:val="18"/>
              </w:rPr>
              <w:t>Max.</w:t>
            </w:r>
          </w:p>
        </w:tc>
        <w:tc>
          <w:tcPr>
            <w:tcW w:w="1134" w:type="dxa"/>
            <w:vMerge w:val="restart"/>
          </w:tcPr>
          <w:p w:rsidR="005624E3" w:rsidRPr="00C903F8" w:rsidRDefault="005624E3" w:rsidP="00101A80">
            <w:pPr>
              <w:spacing w:before="60" w:after="60"/>
              <w:jc w:val="center"/>
              <w:rPr>
                <w:noProof/>
                <w:sz w:val="18"/>
                <w:szCs w:val="18"/>
              </w:rPr>
            </w:pPr>
            <w:r>
              <w:rPr>
                <w:noProof/>
                <w:sz w:val="18"/>
              </w:rPr>
              <w:t>Átlag</w:t>
            </w:r>
          </w:p>
        </w:tc>
      </w:tr>
      <w:tr w:rsidR="005624E3" w:rsidRPr="00C903F8" w:rsidTr="00101A80">
        <w:tc>
          <w:tcPr>
            <w:tcW w:w="1560" w:type="dxa"/>
            <w:vMerge/>
          </w:tcPr>
          <w:p w:rsidR="005624E3" w:rsidRPr="00C903F8" w:rsidRDefault="005624E3" w:rsidP="00101A80">
            <w:pPr>
              <w:spacing w:before="60" w:after="60"/>
              <w:rPr>
                <w:noProof/>
                <w:sz w:val="18"/>
                <w:szCs w:val="18"/>
              </w:rPr>
            </w:pPr>
          </w:p>
        </w:tc>
        <w:tc>
          <w:tcPr>
            <w:tcW w:w="1842" w:type="dxa"/>
            <w:vMerge/>
          </w:tcPr>
          <w:p w:rsidR="005624E3" w:rsidRPr="00C903F8" w:rsidRDefault="005624E3" w:rsidP="00101A80">
            <w:pPr>
              <w:spacing w:before="60" w:after="60"/>
              <w:rPr>
                <w:noProof/>
                <w:sz w:val="18"/>
                <w:szCs w:val="18"/>
              </w:rPr>
            </w:pPr>
          </w:p>
        </w:tc>
        <w:tc>
          <w:tcPr>
            <w:tcW w:w="1058" w:type="dxa"/>
            <w:vMerge/>
          </w:tcPr>
          <w:p w:rsidR="005624E3" w:rsidRPr="00C903F8" w:rsidRDefault="005624E3" w:rsidP="00101A80">
            <w:pPr>
              <w:spacing w:before="60" w:after="60"/>
              <w:rPr>
                <w:noProof/>
                <w:sz w:val="18"/>
                <w:szCs w:val="18"/>
              </w:rPr>
            </w:pPr>
          </w:p>
        </w:tc>
        <w:tc>
          <w:tcPr>
            <w:tcW w:w="992" w:type="dxa"/>
            <w:vMerge/>
          </w:tcPr>
          <w:p w:rsidR="005624E3" w:rsidRPr="00C903F8" w:rsidRDefault="005624E3" w:rsidP="00101A80">
            <w:pPr>
              <w:spacing w:before="60" w:after="60"/>
              <w:rPr>
                <w:noProof/>
                <w:sz w:val="18"/>
                <w:szCs w:val="18"/>
              </w:rPr>
            </w:pPr>
          </w:p>
        </w:tc>
        <w:tc>
          <w:tcPr>
            <w:tcW w:w="1069" w:type="dxa"/>
          </w:tcPr>
          <w:p w:rsidR="005624E3" w:rsidRPr="00C903F8" w:rsidRDefault="005624E3" w:rsidP="00101A80">
            <w:pPr>
              <w:spacing w:before="60" w:after="60"/>
              <w:jc w:val="center"/>
              <w:rPr>
                <w:noProof/>
                <w:sz w:val="18"/>
                <w:szCs w:val="18"/>
              </w:rPr>
            </w:pPr>
            <w:r>
              <w:rPr>
                <w:noProof/>
                <w:sz w:val="18"/>
              </w:rPr>
              <w:t>Érték</w:t>
            </w:r>
          </w:p>
        </w:tc>
        <w:tc>
          <w:tcPr>
            <w:tcW w:w="1134" w:type="dxa"/>
          </w:tcPr>
          <w:p w:rsidR="005624E3" w:rsidRPr="00C903F8" w:rsidRDefault="005624E3" w:rsidP="00101A80">
            <w:pPr>
              <w:spacing w:before="60" w:after="60"/>
              <w:jc w:val="center"/>
              <w:rPr>
                <w:noProof/>
                <w:sz w:val="18"/>
                <w:szCs w:val="18"/>
              </w:rPr>
            </w:pPr>
            <w:r>
              <w:rPr>
                <w:noProof/>
                <w:sz w:val="18"/>
              </w:rPr>
              <w:t>Terhelési szakasz</w:t>
            </w:r>
          </w:p>
        </w:tc>
        <w:tc>
          <w:tcPr>
            <w:tcW w:w="1134" w:type="dxa"/>
            <w:vMerge/>
          </w:tcPr>
          <w:p w:rsidR="005624E3" w:rsidRPr="00C903F8" w:rsidRDefault="005624E3" w:rsidP="00101A80">
            <w:pPr>
              <w:spacing w:before="60" w:after="60"/>
              <w:rPr>
                <w:noProof/>
                <w:sz w:val="18"/>
                <w:szCs w:val="18"/>
              </w:rPr>
            </w:pPr>
          </w:p>
        </w:tc>
      </w:tr>
      <w:tr w:rsidR="005624E3" w:rsidRPr="00C903F8" w:rsidTr="00101A80">
        <w:tc>
          <w:tcPr>
            <w:tcW w:w="1560" w:type="dxa"/>
            <w:vAlign w:val="center"/>
          </w:tcPr>
          <w:p w:rsidR="005624E3" w:rsidRPr="00C903F8" w:rsidRDefault="005624E3" w:rsidP="00101A80">
            <w:pPr>
              <w:spacing w:before="60" w:after="60"/>
              <w:rPr>
                <w:noProof/>
                <w:sz w:val="18"/>
                <w:szCs w:val="18"/>
              </w:rPr>
            </w:pPr>
            <w:r>
              <w:rPr>
                <w:noProof/>
                <w:sz w:val="18"/>
              </w:rPr>
              <w:t>Belépési oldal</w:t>
            </w:r>
          </w:p>
        </w:tc>
        <w:tc>
          <w:tcPr>
            <w:tcW w:w="1842" w:type="dxa"/>
            <w:vAlign w:val="center"/>
          </w:tcPr>
          <w:p w:rsidR="005624E3" w:rsidRPr="00C903F8" w:rsidRDefault="005624E3" w:rsidP="00101A80">
            <w:pPr>
              <w:spacing w:before="60" w:after="60"/>
              <w:rPr>
                <w:noProof/>
                <w:sz w:val="18"/>
                <w:szCs w:val="18"/>
              </w:rPr>
            </w:pPr>
            <w:r>
              <w:rPr>
                <w:noProof/>
                <w:sz w:val="18"/>
              </w:rPr>
              <w:t>24 órás egyesített minták</w:t>
            </w:r>
          </w:p>
        </w:tc>
        <w:tc>
          <w:tcPr>
            <w:tcW w:w="1058" w:type="dxa"/>
            <w:vAlign w:val="center"/>
          </w:tcPr>
          <w:p w:rsidR="005624E3" w:rsidRPr="00C903F8" w:rsidRDefault="005624E3" w:rsidP="00101A80">
            <w:pPr>
              <w:spacing w:before="60" w:after="60"/>
              <w:jc w:val="center"/>
              <w:rPr>
                <w:noProof/>
                <w:sz w:val="18"/>
                <w:szCs w:val="18"/>
              </w:rPr>
            </w:pPr>
            <w:r>
              <w:rPr>
                <w:noProof/>
                <w:sz w:val="18"/>
              </w:rPr>
              <w:t>--</w:t>
            </w: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r>
      <w:tr w:rsidR="005624E3" w:rsidRPr="00C903F8" w:rsidTr="00101A80">
        <w:tc>
          <w:tcPr>
            <w:tcW w:w="1560" w:type="dxa"/>
          </w:tcPr>
          <w:p w:rsidR="005624E3" w:rsidRPr="00C903F8" w:rsidRDefault="005624E3" w:rsidP="00101A80">
            <w:pPr>
              <w:spacing w:before="60" w:after="60"/>
              <w:rPr>
                <w:noProof/>
                <w:sz w:val="18"/>
                <w:szCs w:val="18"/>
              </w:rPr>
            </w:pPr>
            <w:r>
              <w:rPr>
                <w:noProof/>
                <w:sz w:val="18"/>
              </w:rPr>
              <w:t>Kilépési oldal</w:t>
            </w:r>
          </w:p>
        </w:tc>
        <w:tc>
          <w:tcPr>
            <w:tcW w:w="1842" w:type="dxa"/>
            <w:vAlign w:val="center"/>
          </w:tcPr>
          <w:p w:rsidR="005624E3" w:rsidRPr="00C903F8" w:rsidRDefault="005624E3" w:rsidP="00101A80">
            <w:pPr>
              <w:spacing w:before="60" w:after="60"/>
              <w:rPr>
                <w:noProof/>
                <w:sz w:val="18"/>
                <w:szCs w:val="18"/>
              </w:rPr>
            </w:pPr>
            <w:r>
              <w:rPr>
                <w:noProof/>
                <w:sz w:val="18"/>
              </w:rPr>
              <w:t>24 órás egyesített minták</w:t>
            </w:r>
          </w:p>
        </w:tc>
        <w:tc>
          <w:tcPr>
            <w:tcW w:w="1058" w:type="dxa"/>
            <w:vAlign w:val="center"/>
          </w:tcPr>
          <w:p w:rsidR="005624E3" w:rsidRPr="00C903F8" w:rsidRDefault="005624E3" w:rsidP="00101A80">
            <w:pPr>
              <w:spacing w:before="60" w:after="60"/>
              <w:rPr>
                <w:noProof/>
                <w:sz w:val="18"/>
                <w:szCs w:val="18"/>
              </w:rPr>
            </w:pP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r>
      <w:tr w:rsidR="005624E3" w:rsidRPr="00C903F8" w:rsidTr="00101A80">
        <w:tc>
          <w:tcPr>
            <w:tcW w:w="1560" w:type="dxa"/>
            <w:vAlign w:val="center"/>
          </w:tcPr>
          <w:p w:rsidR="005624E3" w:rsidRPr="00C903F8" w:rsidRDefault="005624E3" w:rsidP="00101A80">
            <w:pPr>
              <w:spacing w:before="60" w:after="60"/>
              <w:rPr>
                <w:noProof/>
                <w:sz w:val="18"/>
                <w:szCs w:val="18"/>
              </w:rPr>
            </w:pPr>
            <w:r>
              <w:rPr>
                <w:noProof/>
                <w:sz w:val="18"/>
              </w:rPr>
              <w:t>Belépési oldal</w:t>
            </w:r>
          </w:p>
        </w:tc>
        <w:tc>
          <w:tcPr>
            <w:tcW w:w="1842" w:type="dxa"/>
            <w:vAlign w:val="center"/>
          </w:tcPr>
          <w:p w:rsidR="005624E3" w:rsidRPr="00C903F8" w:rsidRDefault="005624E3" w:rsidP="00101A80">
            <w:pPr>
              <w:spacing w:before="60" w:after="60"/>
              <w:rPr>
                <w:noProof/>
                <w:sz w:val="18"/>
                <w:szCs w:val="18"/>
              </w:rPr>
            </w:pPr>
            <w:r>
              <w:rPr>
                <w:noProof/>
                <w:sz w:val="18"/>
              </w:rPr>
              <w:t>Szúrópróbaszerű minták</w:t>
            </w:r>
          </w:p>
        </w:tc>
        <w:tc>
          <w:tcPr>
            <w:tcW w:w="1058" w:type="dxa"/>
            <w:vAlign w:val="center"/>
          </w:tcPr>
          <w:p w:rsidR="005624E3" w:rsidRPr="00C903F8" w:rsidRDefault="005624E3" w:rsidP="00101A80">
            <w:pPr>
              <w:spacing w:before="60" w:after="60"/>
              <w:jc w:val="center"/>
              <w:rPr>
                <w:noProof/>
                <w:sz w:val="18"/>
                <w:szCs w:val="18"/>
              </w:rPr>
            </w:pPr>
            <w:r>
              <w:rPr>
                <w:noProof/>
                <w:sz w:val="18"/>
              </w:rPr>
              <w:t>--</w:t>
            </w: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r>
      <w:tr w:rsidR="005624E3" w:rsidRPr="00C903F8" w:rsidTr="00101A80">
        <w:tc>
          <w:tcPr>
            <w:tcW w:w="1560" w:type="dxa"/>
          </w:tcPr>
          <w:p w:rsidR="005624E3" w:rsidRPr="00C903F8" w:rsidRDefault="005624E3" w:rsidP="00101A80">
            <w:pPr>
              <w:spacing w:before="60" w:after="60"/>
              <w:rPr>
                <w:noProof/>
                <w:sz w:val="18"/>
                <w:szCs w:val="18"/>
              </w:rPr>
            </w:pPr>
            <w:r>
              <w:rPr>
                <w:noProof/>
                <w:sz w:val="18"/>
              </w:rPr>
              <w:t>Kilépési oldal</w:t>
            </w:r>
          </w:p>
        </w:tc>
        <w:tc>
          <w:tcPr>
            <w:tcW w:w="1842" w:type="dxa"/>
            <w:vAlign w:val="center"/>
          </w:tcPr>
          <w:p w:rsidR="005624E3" w:rsidRPr="00C903F8" w:rsidRDefault="005624E3" w:rsidP="00101A80">
            <w:pPr>
              <w:spacing w:before="60" w:after="60"/>
              <w:rPr>
                <w:noProof/>
                <w:sz w:val="18"/>
                <w:szCs w:val="18"/>
              </w:rPr>
            </w:pPr>
            <w:r>
              <w:rPr>
                <w:noProof/>
                <w:sz w:val="18"/>
              </w:rPr>
              <w:t>Szúrópróbaszerű minták</w:t>
            </w:r>
          </w:p>
        </w:tc>
        <w:tc>
          <w:tcPr>
            <w:tcW w:w="1058" w:type="dxa"/>
            <w:vAlign w:val="center"/>
          </w:tcPr>
          <w:p w:rsidR="005624E3" w:rsidRPr="00C903F8" w:rsidRDefault="005624E3" w:rsidP="00101A80">
            <w:pPr>
              <w:spacing w:before="60" w:after="60"/>
              <w:rPr>
                <w:noProof/>
                <w:sz w:val="18"/>
                <w:szCs w:val="18"/>
              </w:rPr>
            </w:pPr>
          </w:p>
        </w:tc>
        <w:tc>
          <w:tcPr>
            <w:tcW w:w="992" w:type="dxa"/>
            <w:vAlign w:val="center"/>
          </w:tcPr>
          <w:p w:rsidR="005624E3" w:rsidRPr="00C903F8" w:rsidRDefault="005624E3" w:rsidP="00101A80">
            <w:pPr>
              <w:spacing w:before="60" w:after="60"/>
              <w:rPr>
                <w:noProof/>
                <w:sz w:val="18"/>
                <w:szCs w:val="18"/>
              </w:rPr>
            </w:pPr>
          </w:p>
        </w:tc>
        <w:tc>
          <w:tcPr>
            <w:tcW w:w="1069"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c>
          <w:tcPr>
            <w:tcW w:w="1134" w:type="dxa"/>
            <w:vAlign w:val="center"/>
          </w:tcPr>
          <w:p w:rsidR="005624E3" w:rsidRPr="00C903F8" w:rsidRDefault="005624E3" w:rsidP="00101A80">
            <w:pPr>
              <w:spacing w:before="60" w:after="60"/>
              <w:rPr>
                <w:noProof/>
                <w:sz w:val="18"/>
                <w:szCs w:val="18"/>
              </w:rPr>
            </w:pPr>
          </w:p>
        </w:tc>
      </w:tr>
    </w:tbl>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 xml:space="preserve">Az </w:t>
      </w:r>
      <w:r>
        <w:rPr>
          <w:b/>
          <w:noProof/>
          <w:color w:val="000000"/>
        </w:rPr>
        <w:t>SRF</w:t>
      </w:r>
      <w:r>
        <w:rPr>
          <w:noProof/>
          <w:color w:val="000000"/>
        </w:rPr>
        <w:t xml:space="preserve"> kilépő mennyiségeinek elemzése (mg/l)</w:t>
      </w:r>
    </w:p>
    <w:p w:rsidR="005624E3" w:rsidRPr="00C903F8" w:rsidRDefault="005624E3" w:rsidP="005624E3">
      <w:pPr>
        <w:spacing w:line="240" w:lineRule="atLeast"/>
        <w:rPr>
          <w:rFonts w:cs="Arial"/>
          <w:noProof/>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5624E3" w:rsidRPr="00C903F8" w:rsidTr="00101A80">
        <w:tc>
          <w:tcPr>
            <w:tcW w:w="1560" w:type="dxa"/>
            <w:vMerge w:val="restart"/>
          </w:tcPr>
          <w:p w:rsidR="005624E3" w:rsidRPr="00C903F8" w:rsidRDefault="005624E3" w:rsidP="00101A80">
            <w:pPr>
              <w:spacing w:before="60" w:after="60"/>
              <w:rPr>
                <w:noProof/>
                <w:sz w:val="18"/>
              </w:rPr>
            </w:pPr>
            <w:r>
              <w:rPr>
                <w:noProof/>
                <w:sz w:val="18"/>
              </w:rPr>
              <w:t>Hely</w:t>
            </w:r>
          </w:p>
        </w:tc>
        <w:tc>
          <w:tcPr>
            <w:tcW w:w="1842" w:type="dxa"/>
            <w:vMerge w:val="restart"/>
          </w:tcPr>
          <w:p w:rsidR="005624E3" w:rsidRPr="00C903F8" w:rsidRDefault="005624E3" w:rsidP="00101A80">
            <w:pPr>
              <w:spacing w:before="60" w:after="60"/>
              <w:jc w:val="center"/>
              <w:rPr>
                <w:noProof/>
                <w:sz w:val="18"/>
              </w:rPr>
            </w:pPr>
            <w:r>
              <w:rPr>
                <w:noProof/>
                <w:sz w:val="18"/>
              </w:rPr>
              <w:t>Minta típusa</w:t>
            </w:r>
          </w:p>
        </w:tc>
        <w:tc>
          <w:tcPr>
            <w:tcW w:w="1058" w:type="dxa"/>
            <w:vMerge w:val="restart"/>
          </w:tcPr>
          <w:p w:rsidR="005624E3" w:rsidRPr="00C903F8" w:rsidRDefault="005624E3" w:rsidP="00101A80">
            <w:pPr>
              <w:spacing w:before="60" w:after="60"/>
              <w:jc w:val="center"/>
              <w:rPr>
                <w:noProof/>
                <w:sz w:val="18"/>
              </w:rPr>
            </w:pPr>
            <w:r>
              <w:rPr>
                <w:noProof/>
                <w:sz w:val="18"/>
              </w:rPr>
              <w:t>A határértékeket teljesítő vizsgálatok száma</w:t>
            </w:r>
          </w:p>
        </w:tc>
        <w:tc>
          <w:tcPr>
            <w:tcW w:w="992" w:type="dxa"/>
            <w:vMerge w:val="restart"/>
          </w:tcPr>
          <w:p w:rsidR="005624E3" w:rsidRPr="00C903F8" w:rsidRDefault="005624E3" w:rsidP="00101A80">
            <w:pPr>
              <w:spacing w:before="60" w:after="60"/>
              <w:jc w:val="center"/>
              <w:rPr>
                <w:noProof/>
                <w:sz w:val="18"/>
              </w:rPr>
            </w:pPr>
            <w:r>
              <w:rPr>
                <w:noProof/>
                <w:sz w:val="18"/>
              </w:rPr>
              <w:t>Min.</w:t>
            </w:r>
          </w:p>
        </w:tc>
        <w:tc>
          <w:tcPr>
            <w:tcW w:w="2203" w:type="dxa"/>
            <w:gridSpan w:val="2"/>
          </w:tcPr>
          <w:p w:rsidR="005624E3" w:rsidRPr="00C903F8" w:rsidRDefault="005624E3" w:rsidP="00101A80">
            <w:pPr>
              <w:spacing w:before="60" w:after="60"/>
              <w:jc w:val="center"/>
              <w:rPr>
                <w:noProof/>
                <w:sz w:val="18"/>
              </w:rPr>
            </w:pPr>
            <w:r>
              <w:rPr>
                <w:noProof/>
                <w:sz w:val="18"/>
              </w:rPr>
              <w:t>Max.</w:t>
            </w:r>
          </w:p>
        </w:tc>
        <w:tc>
          <w:tcPr>
            <w:tcW w:w="1134" w:type="dxa"/>
            <w:vMerge w:val="restart"/>
          </w:tcPr>
          <w:p w:rsidR="005624E3" w:rsidRPr="00C903F8" w:rsidRDefault="005624E3" w:rsidP="00101A80">
            <w:pPr>
              <w:spacing w:before="60" w:after="60"/>
              <w:jc w:val="center"/>
              <w:rPr>
                <w:noProof/>
                <w:sz w:val="18"/>
              </w:rPr>
            </w:pPr>
            <w:r>
              <w:rPr>
                <w:noProof/>
                <w:sz w:val="18"/>
              </w:rPr>
              <w:t>Átlag</w:t>
            </w:r>
          </w:p>
        </w:tc>
      </w:tr>
      <w:tr w:rsidR="005624E3" w:rsidRPr="00C903F8" w:rsidTr="00101A80">
        <w:tc>
          <w:tcPr>
            <w:tcW w:w="1560" w:type="dxa"/>
            <w:vMerge/>
          </w:tcPr>
          <w:p w:rsidR="005624E3" w:rsidRPr="00C903F8" w:rsidRDefault="005624E3" w:rsidP="00101A80">
            <w:pPr>
              <w:spacing w:before="60" w:after="60"/>
              <w:rPr>
                <w:noProof/>
                <w:sz w:val="18"/>
              </w:rPr>
            </w:pPr>
          </w:p>
        </w:tc>
        <w:tc>
          <w:tcPr>
            <w:tcW w:w="1842" w:type="dxa"/>
            <w:vMerge/>
          </w:tcPr>
          <w:p w:rsidR="005624E3" w:rsidRPr="00C903F8" w:rsidRDefault="005624E3" w:rsidP="00101A80">
            <w:pPr>
              <w:spacing w:before="60" w:after="60"/>
              <w:rPr>
                <w:noProof/>
                <w:sz w:val="18"/>
              </w:rPr>
            </w:pPr>
          </w:p>
        </w:tc>
        <w:tc>
          <w:tcPr>
            <w:tcW w:w="1058" w:type="dxa"/>
            <w:vMerge/>
          </w:tcPr>
          <w:p w:rsidR="005624E3" w:rsidRPr="00C903F8" w:rsidRDefault="005624E3" w:rsidP="00101A80">
            <w:pPr>
              <w:spacing w:before="60" w:after="60"/>
              <w:rPr>
                <w:noProof/>
                <w:sz w:val="18"/>
              </w:rPr>
            </w:pPr>
          </w:p>
        </w:tc>
        <w:tc>
          <w:tcPr>
            <w:tcW w:w="992" w:type="dxa"/>
            <w:vMerge/>
          </w:tcPr>
          <w:p w:rsidR="005624E3" w:rsidRPr="00C903F8" w:rsidRDefault="005624E3" w:rsidP="00101A80">
            <w:pPr>
              <w:spacing w:before="60" w:after="60"/>
              <w:rPr>
                <w:noProof/>
                <w:sz w:val="18"/>
              </w:rPr>
            </w:pPr>
          </w:p>
        </w:tc>
        <w:tc>
          <w:tcPr>
            <w:tcW w:w="1069" w:type="dxa"/>
          </w:tcPr>
          <w:p w:rsidR="005624E3" w:rsidRPr="00C903F8" w:rsidRDefault="005624E3" w:rsidP="00101A80">
            <w:pPr>
              <w:spacing w:before="60" w:after="60"/>
              <w:jc w:val="center"/>
              <w:rPr>
                <w:noProof/>
                <w:sz w:val="18"/>
              </w:rPr>
            </w:pPr>
            <w:r>
              <w:rPr>
                <w:noProof/>
                <w:sz w:val="18"/>
              </w:rPr>
              <w:t>Érték</w:t>
            </w:r>
          </w:p>
        </w:tc>
        <w:tc>
          <w:tcPr>
            <w:tcW w:w="1134" w:type="dxa"/>
          </w:tcPr>
          <w:p w:rsidR="005624E3" w:rsidRPr="00C903F8" w:rsidRDefault="005624E3" w:rsidP="00101A80">
            <w:pPr>
              <w:spacing w:before="60" w:after="60"/>
              <w:jc w:val="center"/>
              <w:rPr>
                <w:noProof/>
                <w:sz w:val="18"/>
              </w:rPr>
            </w:pPr>
            <w:r>
              <w:rPr>
                <w:noProof/>
                <w:sz w:val="18"/>
              </w:rPr>
              <w:t>Terhelési szakasz</w:t>
            </w:r>
          </w:p>
        </w:tc>
        <w:tc>
          <w:tcPr>
            <w:tcW w:w="1134" w:type="dxa"/>
            <w:vMerge/>
          </w:tcPr>
          <w:p w:rsidR="005624E3" w:rsidRPr="00C903F8" w:rsidRDefault="005624E3" w:rsidP="00101A80">
            <w:pPr>
              <w:spacing w:before="60" w:after="60"/>
              <w:rPr>
                <w:noProof/>
                <w:sz w:val="18"/>
              </w:rPr>
            </w:pPr>
          </w:p>
        </w:tc>
      </w:tr>
      <w:tr w:rsidR="005624E3" w:rsidRPr="00C903F8" w:rsidTr="00101A80">
        <w:tc>
          <w:tcPr>
            <w:tcW w:w="1560" w:type="dxa"/>
            <w:vAlign w:val="center"/>
          </w:tcPr>
          <w:p w:rsidR="005624E3" w:rsidRPr="00C903F8" w:rsidRDefault="005624E3" w:rsidP="00101A80">
            <w:pPr>
              <w:spacing w:before="60" w:after="60"/>
              <w:rPr>
                <w:noProof/>
                <w:sz w:val="18"/>
              </w:rPr>
            </w:pPr>
            <w:r>
              <w:rPr>
                <w:noProof/>
                <w:sz w:val="18"/>
              </w:rPr>
              <w:t>Belépési oldal</w:t>
            </w:r>
          </w:p>
        </w:tc>
        <w:tc>
          <w:tcPr>
            <w:tcW w:w="1842" w:type="dxa"/>
            <w:vAlign w:val="center"/>
          </w:tcPr>
          <w:p w:rsidR="005624E3" w:rsidRPr="00C903F8" w:rsidRDefault="005624E3" w:rsidP="00101A80">
            <w:pPr>
              <w:spacing w:before="60" w:after="60"/>
              <w:rPr>
                <w:noProof/>
                <w:sz w:val="18"/>
              </w:rPr>
            </w:pPr>
            <w:r>
              <w:rPr>
                <w:noProof/>
                <w:sz w:val="18"/>
              </w:rPr>
              <w:t>24 órás egyesített minták</w:t>
            </w:r>
          </w:p>
        </w:tc>
        <w:tc>
          <w:tcPr>
            <w:tcW w:w="1058" w:type="dxa"/>
            <w:vAlign w:val="center"/>
          </w:tcPr>
          <w:p w:rsidR="005624E3" w:rsidRPr="00C903F8" w:rsidRDefault="005624E3" w:rsidP="00101A80">
            <w:pPr>
              <w:spacing w:before="60" w:after="60"/>
              <w:jc w:val="center"/>
              <w:rPr>
                <w:noProof/>
                <w:sz w:val="18"/>
              </w:rPr>
            </w:pPr>
            <w:r>
              <w:rPr>
                <w:noProof/>
                <w:sz w:val="18"/>
              </w:rPr>
              <w:t>--</w:t>
            </w:r>
          </w:p>
        </w:tc>
        <w:tc>
          <w:tcPr>
            <w:tcW w:w="992" w:type="dxa"/>
            <w:vAlign w:val="center"/>
          </w:tcPr>
          <w:p w:rsidR="005624E3" w:rsidRPr="00C903F8" w:rsidRDefault="005624E3" w:rsidP="00101A80">
            <w:pPr>
              <w:spacing w:before="60" w:after="60"/>
              <w:rPr>
                <w:noProof/>
                <w:sz w:val="18"/>
              </w:rPr>
            </w:pPr>
          </w:p>
        </w:tc>
        <w:tc>
          <w:tcPr>
            <w:tcW w:w="1069" w:type="dxa"/>
            <w:vAlign w:val="center"/>
          </w:tcPr>
          <w:p w:rsidR="005624E3" w:rsidRPr="00C903F8" w:rsidRDefault="005624E3" w:rsidP="00101A80">
            <w:pPr>
              <w:spacing w:before="60" w:after="60"/>
              <w:rPr>
                <w:noProof/>
                <w:sz w:val="18"/>
              </w:rPr>
            </w:pPr>
          </w:p>
        </w:tc>
        <w:tc>
          <w:tcPr>
            <w:tcW w:w="1134" w:type="dxa"/>
            <w:vAlign w:val="center"/>
          </w:tcPr>
          <w:p w:rsidR="005624E3" w:rsidRPr="00C903F8" w:rsidRDefault="005624E3" w:rsidP="00101A80">
            <w:pPr>
              <w:spacing w:before="60" w:after="60"/>
              <w:rPr>
                <w:noProof/>
                <w:sz w:val="18"/>
              </w:rPr>
            </w:pPr>
          </w:p>
        </w:tc>
        <w:tc>
          <w:tcPr>
            <w:tcW w:w="1134" w:type="dxa"/>
            <w:vAlign w:val="center"/>
          </w:tcPr>
          <w:p w:rsidR="005624E3" w:rsidRPr="00C903F8" w:rsidRDefault="005624E3" w:rsidP="00101A80">
            <w:pPr>
              <w:spacing w:before="60" w:after="60"/>
              <w:rPr>
                <w:noProof/>
                <w:sz w:val="18"/>
              </w:rPr>
            </w:pPr>
          </w:p>
        </w:tc>
      </w:tr>
      <w:tr w:rsidR="005624E3" w:rsidRPr="00C903F8" w:rsidTr="00101A80">
        <w:tc>
          <w:tcPr>
            <w:tcW w:w="1560" w:type="dxa"/>
          </w:tcPr>
          <w:p w:rsidR="005624E3" w:rsidRPr="00C903F8" w:rsidRDefault="005624E3" w:rsidP="00101A80">
            <w:pPr>
              <w:spacing w:before="60" w:after="60"/>
              <w:rPr>
                <w:noProof/>
                <w:sz w:val="18"/>
              </w:rPr>
            </w:pPr>
            <w:r>
              <w:rPr>
                <w:noProof/>
                <w:sz w:val="18"/>
              </w:rPr>
              <w:t>Kilépési oldal</w:t>
            </w:r>
          </w:p>
        </w:tc>
        <w:tc>
          <w:tcPr>
            <w:tcW w:w="1842" w:type="dxa"/>
            <w:vAlign w:val="center"/>
          </w:tcPr>
          <w:p w:rsidR="005624E3" w:rsidRPr="00C903F8" w:rsidRDefault="005624E3" w:rsidP="00101A80">
            <w:pPr>
              <w:spacing w:before="60" w:after="60"/>
              <w:rPr>
                <w:noProof/>
                <w:sz w:val="18"/>
              </w:rPr>
            </w:pPr>
            <w:r>
              <w:rPr>
                <w:noProof/>
                <w:sz w:val="18"/>
              </w:rPr>
              <w:t>24 órás egyesített minták</w:t>
            </w:r>
          </w:p>
        </w:tc>
        <w:tc>
          <w:tcPr>
            <w:tcW w:w="1058" w:type="dxa"/>
            <w:vAlign w:val="center"/>
          </w:tcPr>
          <w:p w:rsidR="005624E3" w:rsidRPr="00C903F8" w:rsidRDefault="005624E3" w:rsidP="00101A80">
            <w:pPr>
              <w:spacing w:before="60" w:after="60"/>
              <w:rPr>
                <w:noProof/>
                <w:sz w:val="18"/>
              </w:rPr>
            </w:pPr>
          </w:p>
        </w:tc>
        <w:tc>
          <w:tcPr>
            <w:tcW w:w="992" w:type="dxa"/>
            <w:vAlign w:val="center"/>
          </w:tcPr>
          <w:p w:rsidR="005624E3" w:rsidRPr="00C903F8" w:rsidRDefault="005624E3" w:rsidP="00101A80">
            <w:pPr>
              <w:spacing w:before="60" w:after="60"/>
              <w:rPr>
                <w:noProof/>
                <w:sz w:val="18"/>
              </w:rPr>
            </w:pPr>
          </w:p>
        </w:tc>
        <w:tc>
          <w:tcPr>
            <w:tcW w:w="1069" w:type="dxa"/>
            <w:vAlign w:val="center"/>
          </w:tcPr>
          <w:p w:rsidR="005624E3" w:rsidRPr="00C903F8" w:rsidRDefault="005624E3" w:rsidP="00101A80">
            <w:pPr>
              <w:spacing w:before="60" w:after="60"/>
              <w:rPr>
                <w:noProof/>
                <w:sz w:val="18"/>
              </w:rPr>
            </w:pPr>
          </w:p>
        </w:tc>
        <w:tc>
          <w:tcPr>
            <w:tcW w:w="1134" w:type="dxa"/>
            <w:vAlign w:val="center"/>
          </w:tcPr>
          <w:p w:rsidR="005624E3" w:rsidRPr="00C903F8" w:rsidRDefault="005624E3" w:rsidP="00101A80">
            <w:pPr>
              <w:spacing w:before="60" w:after="60"/>
              <w:rPr>
                <w:noProof/>
                <w:sz w:val="18"/>
              </w:rPr>
            </w:pPr>
          </w:p>
        </w:tc>
        <w:tc>
          <w:tcPr>
            <w:tcW w:w="1134" w:type="dxa"/>
            <w:vAlign w:val="center"/>
          </w:tcPr>
          <w:p w:rsidR="005624E3" w:rsidRPr="00C903F8" w:rsidRDefault="005624E3" w:rsidP="00101A80">
            <w:pPr>
              <w:spacing w:before="60" w:after="60"/>
              <w:rPr>
                <w:noProof/>
                <w:sz w:val="18"/>
              </w:rPr>
            </w:pPr>
          </w:p>
        </w:tc>
      </w:tr>
      <w:tr w:rsidR="005624E3" w:rsidRPr="00C903F8" w:rsidTr="00101A80">
        <w:tc>
          <w:tcPr>
            <w:tcW w:w="1560" w:type="dxa"/>
            <w:vAlign w:val="center"/>
          </w:tcPr>
          <w:p w:rsidR="005624E3" w:rsidRPr="00C903F8" w:rsidRDefault="005624E3" w:rsidP="00101A80">
            <w:pPr>
              <w:spacing w:before="60" w:after="60"/>
              <w:rPr>
                <w:noProof/>
                <w:sz w:val="18"/>
              </w:rPr>
            </w:pPr>
            <w:r>
              <w:rPr>
                <w:noProof/>
                <w:sz w:val="18"/>
              </w:rPr>
              <w:t>Belépési oldal</w:t>
            </w:r>
          </w:p>
        </w:tc>
        <w:tc>
          <w:tcPr>
            <w:tcW w:w="1842" w:type="dxa"/>
            <w:vAlign w:val="center"/>
          </w:tcPr>
          <w:p w:rsidR="005624E3" w:rsidRPr="00C903F8" w:rsidRDefault="005624E3" w:rsidP="00101A80">
            <w:pPr>
              <w:spacing w:before="60" w:after="60"/>
              <w:rPr>
                <w:noProof/>
                <w:sz w:val="18"/>
              </w:rPr>
            </w:pPr>
            <w:r>
              <w:rPr>
                <w:noProof/>
                <w:sz w:val="18"/>
              </w:rPr>
              <w:t>Szúrópróbaszerű minták</w:t>
            </w:r>
          </w:p>
        </w:tc>
        <w:tc>
          <w:tcPr>
            <w:tcW w:w="1058" w:type="dxa"/>
            <w:vAlign w:val="center"/>
          </w:tcPr>
          <w:p w:rsidR="005624E3" w:rsidRPr="00C903F8" w:rsidRDefault="005624E3" w:rsidP="00101A80">
            <w:pPr>
              <w:spacing w:before="60" w:after="60"/>
              <w:jc w:val="center"/>
              <w:rPr>
                <w:noProof/>
                <w:sz w:val="18"/>
              </w:rPr>
            </w:pPr>
            <w:r>
              <w:rPr>
                <w:noProof/>
                <w:sz w:val="18"/>
              </w:rPr>
              <w:t>--</w:t>
            </w:r>
          </w:p>
        </w:tc>
        <w:tc>
          <w:tcPr>
            <w:tcW w:w="992" w:type="dxa"/>
            <w:vAlign w:val="center"/>
          </w:tcPr>
          <w:p w:rsidR="005624E3" w:rsidRPr="00C903F8" w:rsidRDefault="005624E3" w:rsidP="00101A80">
            <w:pPr>
              <w:spacing w:before="60" w:after="60"/>
              <w:rPr>
                <w:noProof/>
                <w:sz w:val="18"/>
              </w:rPr>
            </w:pPr>
          </w:p>
        </w:tc>
        <w:tc>
          <w:tcPr>
            <w:tcW w:w="1069" w:type="dxa"/>
            <w:vAlign w:val="center"/>
          </w:tcPr>
          <w:p w:rsidR="005624E3" w:rsidRPr="00C903F8" w:rsidRDefault="005624E3" w:rsidP="00101A80">
            <w:pPr>
              <w:spacing w:before="60" w:after="60"/>
              <w:rPr>
                <w:noProof/>
                <w:sz w:val="18"/>
              </w:rPr>
            </w:pPr>
          </w:p>
        </w:tc>
        <w:tc>
          <w:tcPr>
            <w:tcW w:w="1134" w:type="dxa"/>
            <w:vAlign w:val="center"/>
          </w:tcPr>
          <w:p w:rsidR="005624E3" w:rsidRPr="00C903F8" w:rsidRDefault="005624E3" w:rsidP="00101A80">
            <w:pPr>
              <w:spacing w:before="60" w:after="60"/>
              <w:rPr>
                <w:noProof/>
                <w:sz w:val="18"/>
              </w:rPr>
            </w:pPr>
          </w:p>
        </w:tc>
        <w:tc>
          <w:tcPr>
            <w:tcW w:w="1134" w:type="dxa"/>
            <w:vAlign w:val="center"/>
          </w:tcPr>
          <w:p w:rsidR="005624E3" w:rsidRPr="00C903F8" w:rsidRDefault="005624E3" w:rsidP="00101A80">
            <w:pPr>
              <w:spacing w:before="60" w:after="60"/>
              <w:rPr>
                <w:noProof/>
                <w:sz w:val="18"/>
              </w:rPr>
            </w:pPr>
          </w:p>
        </w:tc>
      </w:tr>
      <w:tr w:rsidR="005624E3" w:rsidRPr="00C903F8" w:rsidTr="00101A80">
        <w:tc>
          <w:tcPr>
            <w:tcW w:w="1560" w:type="dxa"/>
          </w:tcPr>
          <w:p w:rsidR="005624E3" w:rsidRPr="00C903F8" w:rsidRDefault="005624E3" w:rsidP="00101A80">
            <w:pPr>
              <w:spacing w:before="60" w:after="60"/>
              <w:rPr>
                <w:noProof/>
                <w:sz w:val="18"/>
              </w:rPr>
            </w:pPr>
            <w:r>
              <w:rPr>
                <w:noProof/>
                <w:sz w:val="18"/>
              </w:rPr>
              <w:t>Kilépési oldal</w:t>
            </w:r>
          </w:p>
        </w:tc>
        <w:tc>
          <w:tcPr>
            <w:tcW w:w="1842" w:type="dxa"/>
            <w:vAlign w:val="center"/>
          </w:tcPr>
          <w:p w:rsidR="005624E3" w:rsidRPr="00C903F8" w:rsidRDefault="005624E3" w:rsidP="00101A80">
            <w:pPr>
              <w:spacing w:before="60" w:after="60"/>
              <w:rPr>
                <w:noProof/>
                <w:sz w:val="18"/>
              </w:rPr>
            </w:pPr>
            <w:r>
              <w:rPr>
                <w:noProof/>
                <w:sz w:val="18"/>
              </w:rPr>
              <w:t>Szúrópróbaszerű minták</w:t>
            </w:r>
          </w:p>
        </w:tc>
        <w:tc>
          <w:tcPr>
            <w:tcW w:w="1058" w:type="dxa"/>
            <w:vAlign w:val="center"/>
          </w:tcPr>
          <w:p w:rsidR="005624E3" w:rsidRPr="00C903F8" w:rsidRDefault="005624E3" w:rsidP="00101A80">
            <w:pPr>
              <w:spacing w:before="60" w:after="60"/>
              <w:rPr>
                <w:noProof/>
                <w:sz w:val="18"/>
              </w:rPr>
            </w:pPr>
          </w:p>
        </w:tc>
        <w:tc>
          <w:tcPr>
            <w:tcW w:w="992" w:type="dxa"/>
            <w:vAlign w:val="center"/>
          </w:tcPr>
          <w:p w:rsidR="005624E3" w:rsidRPr="00C903F8" w:rsidRDefault="005624E3" w:rsidP="00101A80">
            <w:pPr>
              <w:spacing w:before="60" w:after="60"/>
              <w:rPr>
                <w:noProof/>
                <w:sz w:val="18"/>
              </w:rPr>
            </w:pPr>
          </w:p>
        </w:tc>
        <w:tc>
          <w:tcPr>
            <w:tcW w:w="1069" w:type="dxa"/>
            <w:vAlign w:val="center"/>
          </w:tcPr>
          <w:p w:rsidR="005624E3" w:rsidRPr="00C903F8" w:rsidRDefault="005624E3" w:rsidP="00101A80">
            <w:pPr>
              <w:spacing w:before="60" w:after="60"/>
              <w:rPr>
                <w:noProof/>
                <w:sz w:val="18"/>
              </w:rPr>
            </w:pPr>
          </w:p>
        </w:tc>
        <w:tc>
          <w:tcPr>
            <w:tcW w:w="1134" w:type="dxa"/>
            <w:vAlign w:val="center"/>
          </w:tcPr>
          <w:p w:rsidR="005624E3" w:rsidRPr="00C903F8" w:rsidRDefault="005624E3" w:rsidP="00101A80">
            <w:pPr>
              <w:spacing w:before="60" w:after="60"/>
              <w:rPr>
                <w:noProof/>
                <w:sz w:val="18"/>
              </w:rPr>
            </w:pPr>
          </w:p>
        </w:tc>
        <w:tc>
          <w:tcPr>
            <w:tcW w:w="1134" w:type="dxa"/>
            <w:vAlign w:val="center"/>
          </w:tcPr>
          <w:p w:rsidR="005624E3" w:rsidRPr="00C903F8" w:rsidRDefault="005624E3" w:rsidP="00101A80">
            <w:pPr>
              <w:spacing w:before="60" w:after="60"/>
              <w:rPr>
                <w:noProof/>
                <w:sz w:val="18"/>
              </w:rPr>
            </w:pPr>
          </w:p>
        </w:tc>
      </w:tr>
    </w:tbl>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br w:type="page"/>
      </w:r>
    </w:p>
    <w:p w:rsidR="005624E3" w:rsidRPr="00C903F8" w:rsidRDefault="005624E3" w:rsidP="005624E3">
      <w:pPr>
        <w:spacing w:line="240" w:lineRule="atLeast"/>
        <w:ind w:left="709" w:hanging="709"/>
        <w:rPr>
          <w:rFonts w:cs="Arial"/>
          <w:noProof/>
          <w:color w:val="000000"/>
        </w:rPr>
      </w:pPr>
      <w:r>
        <w:rPr>
          <w:noProof/>
          <w:color w:val="000000"/>
        </w:rPr>
        <w:t>1.2.2.</w:t>
      </w:r>
      <w:r>
        <w:tab/>
      </w:r>
      <w:r>
        <w:rPr>
          <w:noProof/>
          <w:color w:val="000000"/>
        </w:rPr>
        <w:t xml:space="preserve">Tisztítási (eltávolítási) hatékonyság </w:t>
      </w:r>
    </w:p>
    <w:p w:rsidR="005624E3" w:rsidRPr="00C903F8" w:rsidRDefault="005624E3" w:rsidP="005624E3">
      <w:pPr>
        <w:spacing w:line="240" w:lineRule="atLeast"/>
        <w:rPr>
          <w:rFonts w:cs="Arial"/>
          <w:noProof/>
          <w:color w:val="000000"/>
        </w:rPr>
      </w:pPr>
    </w:p>
    <w:tbl>
      <w:tblPr>
        <w:tblW w:w="6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876"/>
        <w:gridCol w:w="1046"/>
        <w:gridCol w:w="1065"/>
        <w:gridCol w:w="1134"/>
      </w:tblGrid>
      <w:tr w:rsidR="005624E3" w:rsidRPr="00C903F8" w:rsidTr="00101A80">
        <w:trPr>
          <w:jc w:val="center"/>
        </w:trPr>
        <w:tc>
          <w:tcPr>
            <w:tcW w:w="1526" w:type="dxa"/>
            <w:vAlign w:val="center"/>
          </w:tcPr>
          <w:p w:rsidR="005624E3" w:rsidRPr="00C903F8" w:rsidRDefault="005624E3" w:rsidP="00101A80">
            <w:pPr>
              <w:spacing w:before="60" w:after="60"/>
              <w:rPr>
                <w:noProof/>
                <w:sz w:val="18"/>
              </w:rPr>
            </w:pPr>
            <w:r>
              <w:rPr>
                <w:noProof/>
                <w:sz w:val="18"/>
              </w:rPr>
              <w:t>Paraméter</w:t>
            </w:r>
          </w:p>
        </w:tc>
        <w:tc>
          <w:tcPr>
            <w:tcW w:w="1876" w:type="dxa"/>
            <w:vAlign w:val="center"/>
          </w:tcPr>
          <w:p w:rsidR="005624E3" w:rsidRPr="00C903F8" w:rsidRDefault="005624E3" w:rsidP="00101A80">
            <w:pPr>
              <w:spacing w:before="60" w:after="60"/>
              <w:rPr>
                <w:noProof/>
                <w:sz w:val="18"/>
              </w:rPr>
            </w:pPr>
            <w:r>
              <w:rPr>
                <w:noProof/>
                <w:sz w:val="18"/>
              </w:rPr>
              <w:t>Minta típusa</w:t>
            </w:r>
          </w:p>
        </w:tc>
        <w:tc>
          <w:tcPr>
            <w:tcW w:w="1046" w:type="dxa"/>
            <w:vAlign w:val="center"/>
          </w:tcPr>
          <w:p w:rsidR="005624E3" w:rsidRPr="00C903F8" w:rsidRDefault="005624E3" w:rsidP="00101A80">
            <w:pPr>
              <w:spacing w:before="60" w:after="60"/>
              <w:jc w:val="center"/>
              <w:rPr>
                <w:noProof/>
                <w:sz w:val="18"/>
              </w:rPr>
            </w:pPr>
            <w:r>
              <w:rPr>
                <w:noProof/>
                <w:sz w:val="18"/>
              </w:rPr>
              <w:t>Min.</w:t>
            </w:r>
          </w:p>
        </w:tc>
        <w:tc>
          <w:tcPr>
            <w:tcW w:w="1065" w:type="dxa"/>
            <w:vAlign w:val="center"/>
          </w:tcPr>
          <w:p w:rsidR="005624E3" w:rsidRPr="00C903F8" w:rsidRDefault="005624E3" w:rsidP="00101A80">
            <w:pPr>
              <w:spacing w:before="60" w:after="60"/>
              <w:jc w:val="center"/>
              <w:rPr>
                <w:noProof/>
                <w:sz w:val="18"/>
              </w:rPr>
            </w:pPr>
            <w:r>
              <w:rPr>
                <w:noProof/>
                <w:sz w:val="18"/>
              </w:rPr>
              <w:t>Max.</w:t>
            </w:r>
          </w:p>
        </w:tc>
        <w:tc>
          <w:tcPr>
            <w:tcW w:w="1134" w:type="dxa"/>
            <w:vAlign w:val="center"/>
          </w:tcPr>
          <w:p w:rsidR="005624E3" w:rsidRPr="00C903F8" w:rsidRDefault="005624E3" w:rsidP="00101A80">
            <w:pPr>
              <w:spacing w:before="60" w:after="60"/>
              <w:jc w:val="center"/>
              <w:rPr>
                <w:noProof/>
                <w:sz w:val="18"/>
              </w:rPr>
            </w:pPr>
            <w:r>
              <w:rPr>
                <w:noProof/>
                <w:sz w:val="18"/>
              </w:rPr>
              <w:t>Átlag</w:t>
            </w:r>
          </w:p>
        </w:tc>
      </w:tr>
      <w:tr w:rsidR="005624E3" w:rsidRPr="00C903F8" w:rsidTr="00101A80">
        <w:trPr>
          <w:jc w:val="center"/>
        </w:trPr>
        <w:tc>
          <w:tcPr>
            <w:tcW w:w="1526" w:type="dxa"/>
            <w:vAlign w:val="center"/>
          </w:tcPr>
          <w:p w:rsidR="005624E3" w:rsidRPr="00C903F8" w:rsidRDefault="003142CA" w:rsidP="00101A80">
            <w:pPr>
              <w:spacing w:before="60" w:after="60"/>
              <w:rPr>
                <w:noProof/>
                <w:sz w:val="18"/>
                <w:szCs w:val="18"/>
              </w:rPr>
            </w:pPr>
            <m:oMathPara>
              <m:oMathParaPr>
                <m:jc m:val="left"/>
              </m:oMathParaP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m:oMathPara>
          </w:p>
        </w:tc>
        <w:tc>
          <w:tcPr>
            <w:tcW w:w="1876" w:type="dxa"/>
            <w:vAlign w:val="center"/>
          </w:tcPr>
          <w:p w:rsidR="005624E3" w:rsidRPr="00C903F8" w:rsidRDefault="005624E3" w:rsidP="00101A80">
            <w:pPr>
              <w:spacing w:before="60" w:after="60"/>
              <w:rPr>
                <w:noProof/>
                <w:sz w:val="18"/>
              </w:rPr>
            </w:pPr>
            <w:r>
              <w:rPr>
                <w:noProof/>
                <w:sz w:val="18"/>
              </w:rPr>
              <w:t>24 órás egyesített minták</w:t>
            </w:r>
          </w:p>
        </w:tc>
        <w:tc>
          <w:tcPr>
            <w:tcW w:w="1046" w:type="dxa"/>
            <w:vAlign w:val="center"/>
          </w:tcPr>
          <w:p w:rsidR="005624E3" w:rsidRPr="00C903F8" w:rsidRDefault="005624E3" w:rsidP="00101A80">
            <w:pPr>
              <w:spacing w:before="60" w:after="60"/>
              <w:rPr>
                <w:noProof/>
                <w:sz w:val="18"/>
              </w:rPr>
            </w:pPr>
          </w:p>
        </w:tc>
        <w:tc>
          <w:tcPr>
            <w:tcW w:w="1065" w:type="dxa"/>
            <w:vAlign w:val="center"/>
          </w:tcPr>
          <w:p w:rsidR="005624E3" w:rsidRPr="00C903F8" w:rsidRDefault="005624E3" w:rsidP="00101A80">
            <w:pPr>
              <w:spacing w:before="60" w:after="60"/>
              <w:rPr>
                <w:noProof/>
                <w:sz w:val="18"/>
              </w:rPr>
            </w:pPr>
          </w:p>
        </w:tc>
        <w:tc>
          <w:tcPr>
            <w:tcW w:w="1134" w:type="dxa"/>
            <w:vAlign w:val="center"/>
          </w:tcPr>
          <w:p w:rsidR="005624E3" w:rsidRPr="00C903F8" w:rsidRDefault="005624E3" w:rsidP="00101A80">
            <w:pPr>
              <w:spacing w:before="60" w:after="60"/>
              <w:rPr>
                <w:noProof/>
                <w:sz w:val="18"/>
              </w:rPr>
            </w:pPr>
          </w:p>
        </w:tc>
      </w:tr>
      <w:tr w:rsidR="005624E3" w:rsidRPr="00C903F8" w:rsidTr="00101A80">
        <w:trPr>
          <w:jc w:val="center"/>
        </w:trPr>
        <w:tc>
          <w:tcPr>
            <w:tcW w:w="1526" w:type="dxa"/>
            <w:vAlign w:val="center"/>
          </w:tcPr>
          <w:p w:rsidR="005624E3" w:rsidRPr="00C903F8" w:rsidRDefault="003142CA" w:rsidP="00101A80">
            <w:pPr>
              <w:spacing w:before="60" w:after="60"/>
              <w:rPr>
                <w:noProof/>
                <w:sz w:val="18"/>
                <w:szCs w:val="18"/>
              </w:rPr>
            </w:pPr>
            <m:oMathPara>
              <m:oMathParaPr>
                <m:jc m:val="left"/>
              </m:oMathParaP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m:oMathPara>
          </w:p>
        </w:tc>
        <w:tc>
          <w:tcPr>
            <w:tcW w:w="1876" w:type="dxa"/>
            <w:vAlign w:val="center"/>
          </w:tcPr>
          <w:p w:rsidR="005624E3" w:rsidRPr="00C903F8" w:rsidRDefault="005624E3" w:rsidP="00101A80">
            <w:pPr>
              <w:spacing w:before="60" w:after="60"/>
              <w:rPr>
                <w:noProof/>
                <w:sz w:val="18"/>
              </w:rPr>
            </w:pPr>
            <w:r>
              <w:rPr>
                <w:noProof/>
                <w:sz w:val="18"/>
              </w:rPr>
              <w:t>Szúrópróbaszerű minták</w:t>
            </w:r>
          </w:p>
        </w:tc>
        <w:tc>
          <w:tcPr>
            <w:tcW w:w="1046" w:type="dxa"/>
            <w:vAlign w:val="center"/>
          </w:tcPr>
          <w:p w:rsidR="005624E3" w:rsidRPr="00C903F8" w:rsidRDefault="005624E3" w:rsidP="00101A80">
            <w:pPr>
              <w:spacing w:before="60" w:after="60"/>
              <w:rPr>
                <w:noProof/>
                <w:sz w:val="18"/>
              </w:rPr>
            </w:pPr>
          </w:p>
        </w:tc>
        <w:tc>
          <w:tcPr>
            <w:tcW w:w="1065" w:type="dxa"/>
            <w:vAlign w:val="center"/>
          </w:tcPr>
          <w:p w:rsidR="005624E3" w:rsidRPr="00C903F8" w:rsidRDefault="005624E3" w:rsidP="00101A80">
            <w:pPr>
              <w:spacing w:before="60" w:after="60"/>
              <w:rPr>
                <w:noProof/>
                <w:sz w:val="18"/>
              </w:rPr>
            </w:pPr>
          </w:p>
        </w:tc>
        <w:tc>
          <w:tcPr>
            <w:tcW w:w="1134" w:type="dxa"/>
            <w:vAlign w:val="center"/>
          </w:tcPr>
          <w:p w:rsidR="005624E3" w:rsidRPr="00C903F8" w:rsidRDefault="005624E3" w:rsidP="00101A80">
            <w:pPr>
              <w:spacing w:before="60" w:after="60"/>
              <w:rPr>
                <w:noProof/>
                <w:sz w:val="18"/>
              </w:rPr>
            </w:pPr>
          </w:p>
        </w:tc>
      </w:tr>
      <w:tr w:rsidR="005624E3" w:rsidRPr="00C903F8" w:rsidTr="00101A80">
        <w:trPr>
          <w:jc w:val="center"/>
        </w:trPr>
        <w:tc>
          <w:tcPr>
            <w:tcW w:w="1526" w:type="dxa"/>
          </w:tcPr>
          <w:p w:rsidR="005624E3" w:rsidRPr="00C903F8" w:rsidRDefault="005624E3" w:rsidP="00101A80">
            <w:pPr>
              <w:spacing w:before="60" w:after="60"/>
              <w:rPr>
                <w:noProof/>
                <w:sz w:val="18"/>
              </w:rPr>
            </w:pPr>
            <w:r>
              <w:rPr>
                <w:noProof/>
                <w:sz w:val="18"/>
              </w:rPr>
              <w:t>COD</w:t>
            </w:r>
          </w:p>
        </w:tc>
        <w:tc>
          <w:tcPr>
            <w:tcW w:w="1876" w:type="dxa"/>
          </w:tcPr>
          <w:p w:rsidR="005624E3" w:rsidRPr="00C903F8" w:rsidRDefault="005624E3" w:rsidP="00101A80">
            <w:pPr>
              <w:spacing w:before="60" w:after="60"/>
              <w:rPr>
                <w:noProof/>
                <w:sz w:val="18"/>
              </w:rPr>
            </w:pPr>
            <w:r>
              <w:rPr>
                <w:noProof/>
                <w:sz w:val="18"/>
              </w:rPr>
              <w:t>24 órás egyesített minták</w:t>
            </w:r>
          </w:p>
        </w:tc>
        <w:tc>
          <w:tcPr>
            <w:tcW w:w="1046" w:type="dxa"/>
          </w:tcPr>
          <w:p w:rsidR="005624E3" w:rsidRPr="00C903F8" w:rsidRDefault="005624E3" w:rsidP="00101A80">
            <w:pPr>
              <w:spacing w:before="60" w:after="60"/>
              <w:rPr>
                <w:noProof/>
                <w:sz w:val="18"/>
              </w:rPr>
            </w:pPr>
          </w:p>
        </w:tc>
        <w:tc>
          <w:tcPr>
            <w:tcW w:w="1065" w:type="dxa"/>
          </w:tcPr>
          <w:p w:rsidR="005624E3" w:rsidRPr="00C903F8" w:rsidRDefault="005624E3" w:rsidP="00101A80">
            <w:pPr>
              <w:spacing w:before="60" w:after="60"/>
              <w:rPr>
                <w:noProof/>
                <w:sz w:val="18"/>
              </w:rPr>
            </w:pPr>
          </w:p>
        </w:tc>
        <w:tc>
          <w:tcPr>
            <w:tcW w:w="1134" w:type="dxa"/>
          </w:tcPr>
          <w:p w:rsidR="005624E3" w:rsidRPr="00C903F8" w:rsidRDefault="005624E3" w:rsidP="00101A80">
            <w:pPr>
              <w:spacing w:before="60" w:after="60"/>
              <w:rPr>
                <w:noProof/>
                <w:sz w:val="18"/>
              </w:rPr>
            </w:pPr>
          </w:p>
        </w:tc>
      </w:tr>
      <w:tr w:rsidR="005624E3" w:rsidRPr="00C903F8" w:rsidTr="00101A80">
        <w:trPr>
          <w:jc w:val="center"/>
        </w:trPr>
        <w:tc>
          <w:tcPr>
            <w:tcW w:w="1526" w:type="dxa"/>
          </w:tcPr>
          <w:p w:rsidR="005624E3" w:rsidRPr="00C903F8" w:rsidRDefault="005624E3" w:rsidP="00101A80">
            <w:pPr>
              <w:spacing w:before="60" w:after="60"/>
              <w:rPr>
                <w:noProof/>
                <w:sz w:val="18"/>
              </w:rPr>
            </w:pPr>
            <w:r>
              <w:rPr>
                <w:noProof/>
                <w:sz w:val="18"/>
              </w:rPr>
              <w:t>COD</w:t>
            </w:r>
          </w:p>
        </w:tc>
        <w:tc>
          <w:tcPr>
            <w:tcW w:w="1876" w:type="dxa"/>
          </w:tcPr>
          <w:p w:rsidR="005624E3" w:rsidRPr="00C903F8" w:rsidRDefault="005624E3" w:rsidP="00101A80">
            <w:pPr>
              <w:spacing w:before="60" w:after="60"/>
              <w:rPr>
                <w:noProof/>
                <w:sz w:val="18"/>
              </w:rPr>
            </w:pPr>
            <w:r>
              <w:rPr>
                <w:noProof/>
                <w:sz w:val="18"/>
              </w:rPr>
              <w:t>Szúrópróbaszerű minták</w:t>
            </w:r>
          </w:p>
        </w:tc>
        <w:tc>
          <w:tcPr>
            <w:tcW w:w="1046" w:type="dxa"/>
          </w:tcPr>
          <w:p w:rsidR="005624E3" w:rsidRPr="00C903F8" w:rsidRDefault="005624E3" w:rsidP="00101A80">
            <w:pPr>
              <w:spacing w:before="60" w:after="60"/>
              <w:rPr>
                <w:noProof/>
                <w:sz w:val="18"/>
              </w:rPr>
            </w:pPr>
          </w:p>
        </w:tc>
        <w:tc>
          <w:tcPr>
            <w:tcW w:w="1065" w:type="dxa"/>
          </w:tcPr>
          <w:p w:rsidR="005624E3" w:rsidRPr="00C903F8" w:rsidRDefault="005624E3" w:rsidP="00101A80">
            <w:pPr>
              <w:spacing w:before="60" w:after="60"/>
              <w:rPr>
                <w:noProof/>
                <w:sz w:val="18"/>
              </w:rPr>
            </w:pPr>
          </w:p>
        </w:tc>
        <w:tc>
          <w:tcPr>
            <w:tcW w:w="1134" w:type="dxa"/>
          </w:tcPr>
          <w:p w:rsidR="005624E3" w:rsidRPr="00C903F8" w:rsidRDefault="005624E3" w:rsidP="00101A80">
            <w:pPr>
              <w:spacing w:before="60" w:after="60"/>
              <w:rPr>
                <w:noProof/>
                <w:sz w:val="18"/>
              </w:rPr>
            </w:pPr>
          </w:p>
        </w:tc>
      </w:tr>
      <w:tr w:rsidR="005624E3" w:rsidRPr="00C903F8" w:rsidTr="00101A80">
        <w:trPr>
          <w:jc w:val="center"/>
        </w:trPr>
        <w:tc>
          <w:tcPr>
            <w:tcW w:w="1526" w:type="dxa"/>
          </w:tcPr>
          <w:p w:rsidR="005624E3" w:rsidRPr="00C903F8" w:rsidRDefault="005624E3" w:rsidP="00101A80">
            <w:pPr>
              <w:spacing w:before="60" w:after="60"/>
              <w:rPr>
                <w:noProof/>
                <w:sz w:val="18"/>
              </w:rPr>
            </w:pPr>
            <w:r>
              <w:rPr>
                <w:noProof/>
                <w:sz w:val="18"/>
              </w:rPr>
              <w:t>TOC</w:t>
            </w:r>
          </w:p>
        </w:tc>
        <w:tc>
          <w:tcPr>
            <w:tcW w:w="1876" w:type="dxa"/>
          </w:tcPr>
          <w:p w:rsidR="005624E3" w:rsidRPr="00C903F8" w:rsidRDefault="005624E3" w:rsidP="00101A80">
            <w:pPr>
              <w:spacing w:before="60" w:after="60"/>
              <w:rPr>
                <w:noProof/>
                <w:sz w:val="18"/>
              </w:rPr>
            </w:pPr>
            <w:r>
              <w:rPr>
                <w:noProof/>
                <w:sz w:val="18"/>
              </w:rPr>
              <w:t>24 órás egyesített minták</w:t>
            </w:r>
          </w:p>
        </w:tc>
        <w:tc>
          <w:tcPr>
            <w:tcW w:w="1046" w:type="dxa"/>
          </w:tcPr>
          <w:p w:rsidR="005624E3" w:rsidRPr="00C903F8" w:rsidRDefault="005624E3" w:rsidP="00101A80">
            <w:pPr>
              <w:spacing w:before="60" w:after="60"/>
              <w:rPr>
                <w:noProof/>
                <w:sz w:val="18"/>
              </w:rPr>
            </w:pPr>
          </w:p>
        </w:tc>
        <w:tc>
          <w:tcPr>
            <w:tcW w:w="1065" w:type="dxa"/>
          </w:tcPr>
          <w:p w:rsidR="005624E3" w:rsidRPr="00C903F8" w:rsidRDefault="005624E3" w:rsidP="00101A80">
            <w:pPr>
              <w:spacing w:before="60" w:after="60"/>
              <w:rPr>
                <w:noProof/>
                <w:sz w:val="18"/>
              </w:rPr>
            </w:pPr>
          </w:p>
        </w:tc>
        <w:tc>
          <w:tcPr>
            <w:tcW w:w="1134" w:type="dxa"/>
          </w:tcPr>
          <w:p w:rsidR="005624E3" w:rsidRPr="00C903F8" w:rsidRDefault="005624E3" w:rsidP="00101A80">
            <w:pPr>
              <w:spacing w:before="60" w:after="60"/>
              <w:rPr>
                <w:noProof/>
                <w:sz w:val="18"/>
              </w:rPr>
            </w:pPr>
          </w:p>
        </w:tc>
      </w:tr>
      <w:tr w:rsidR="005624E3" w:rsidRPr="00C903F8" w:rsidTr="00101A80">
        <w:trPr>
          <w:jc w:val="center"/>
        </w:trPr>
        <w:tc>
          <w:tcPr>
            <w:tcW w:w="1526" w:type="dxa"/>
          </w:tcPr>
          <w:p w:rsidR="005624E3" w:rsidRPr="00C903F8" w:rsidRDefault="005624E3" w:rsidP="00101A80">
            <w:pPr>
              <w:spacing w:before="60" w:after="60"/>
              <w:rPr>
                <w:noProof/>
                <w:sz w:val="18"/>
              </w:rPr>
            </w:pPr>
            <w:r>
              <w:rPr>
                <w:noProof/>
                <w:sz w:val="18"/>
              </w:rPr>
              <w:t>TOC</w:t>
            </w:r>
          </w:p>
        </w:tc>
        <w:tc>
          <w:tcPr>
            <w:tcW w:w="1876" w:type="dxa"/>
          </w:tcPr>
          <w:p w:rsidR="005624E3" w:rsidRPr="00C903F8" w:rsidRDefault="005624E3" w:rsidP="00101A80">
            <w:pPr>
              <w:spacing w:before="60" w:after="60"/>
              <w:rPr>
                <w:noProof/>
                <w:sz w:val="18"/>
              </w:rPr>
            </w:pPr>
            <w:r>
              <w:rPr>
                <w:noProof/>
                <w:sz w:val="18"/>
              </w:rPr>
              <w:t>Szúrópróbaszerű minták</w:t>
            </w:r>
          </w:p>
        </w:tc>
        <w:tc>
          <w:tcPr>
            <w:tcW w:w="1046" w:type="dxa"/>
          </w:tcPr>
          <w:p w:rsidR="005624E3" w:rsidRPr="00C903F8" w:rsidRDefault="005624E3" w:rsidP="00101A80">
            <w:pPr>
              <w:spacing w:before="60" w:after="60"/>
              <w:rPr>
                <w:noProof/>
                <w:sz w:val="18"/>
              </w:rPr>
            </w:pPr>
          </w:p>
        </w:tc>
        <w:tc>
          <w:tcPr>
            <w:tcW w:w="1065" w:type="dxa"/>
          </w:tcPr>
          <w:p w:rsidR="005624E3" w:rsidRPr="00C903F8" w:rsidRDefault="005624E3" w:rsidP="00101A80">
            <w:pPr>
              <w:spacing w:before="60" w:after="60"/>
              <w:rPr>
                <w:noProof/>
                <w:sz w:val="18"/>
              </w:rPr>
            </w:pPr>
          </w:p>
        </w:tc>
        <w:tc>
          <w:tcPr>
            <w:tcW w:w="1134" w:type="dxa"/>
          </w:tcPr>
          <w:p w:rsidR="005624E3" w:rsidRPr="00C903F8" w:rsidRDefault="005624E3" w:rsidP="00101A80">
            <w:pPr>
              <w:spacing w:before="60" w:after="60"/>
              <w:rPr>
                <w:noProof/>
                <w:sz w:val="18"/>
              </w:rPr>
            </w:pPr>
          </w:p>
        </w:tc>
      </w:tr>
      <w:tr w:rsidR="005624E3" w:rsidRPr="00C903F8" w:rsidTr="00101A80">
        <w:trPr>
          <w:jc w:val="center"/>
        </w:trPr>
        <w:tc>
          <w:tcPr>
            <w:tcW w:w="1526" w:type="dxa"/>
          </w:tcPr>
          <w:p w:rsidR="005624E3" w:rsidRPr="00C903F8" w:rsidRDefault="005624E3" w:rsidP="00101A80">
            <w:pPr>
              <w:spacing w:before="60" w:after="60"/>
              <w:rPr>
                <w:noProof/>
                <w:sz w:val="18"/>
              </w:rPr>
            </w:pPr>
            <w:r>
              <w:rPr>
                <w:noProof/>
                <w:sz w:val="18"/>
              </w:rPr>
              <w:t>SRF</w:t>
            </w:r>
          </w:p>
        </w:tc>
        <w:tc>
          <w:tcPr>
            <w:tcW w:w="1876" w:type="dxa"/>
          </w:tcPr>
          <w:p w:rsidR="005624E3" w:rsidRPr="00C903F8" w:rsidRDefault="005624E3" w:rsidP="00101A80">
            <w:pPr>
              <w:spacing w:before="60" w:after="60"/>
              <w:rPr>
                <w:noProof/>
                <w:sz w:val="18"/>
              </w:rPr>
            </w:pPr>
            <w:r>
              <w:rPr>
                <w:noProof/>
                <w:sz w:val="18"/>
              </w:rPr>
              <w:t>24 órás egyesített minták</w:t>
            </w:r>
          </w:p>
        </w:tc>
        <w:tc>
          <w:tcPr>
            <w:tcW w:w="1046" w:type="dxa"/>
          </w:tcPr>
          <w:p w:rsidR="005624E3" w:rsidRPr="00C903F8" w:rsidRDefault="005624E3" w:rsidP="00101A80">
            <w:pPr>
              <w:spacing w:before="60" w:after="60"/>
              <w:rPr>
                <w:noProof/>
                <w:sz w:val="18"/>
              </w:rPr>
            </w:pPr>
          </w:p>
        </w:tc>
        <w:tc>
          <w:tcPr>
            <w:tcW w:w="1065" w:type="dxa"/>
          </w:tcPr>
          <w:p w:rsidR="005624E3" w:rsidRPr="00C903F8" w:rsidRDefault="005624E3" w:rsidP="00101A80">
            <w:pPr>
              <w:spacing w:before="60" w:after="60"/>
              <w:rPr>
                <w:noProof/>
                <w:sz w:val="18"/>
              </w:rPr>
            </w:pPr>
          </w:p>
        </w:tc>
        <w:tc>
          <w:tcPr>
            <w:tcW w:w="1134" w:type="dxa"/>
          </w:tcPr>
          <w:p w:rsidR="005624E3" w:rsidRPr="00C903F8" w:rsidRDefault="005624E3" w:rsidP="00101A80">
            <w:pPr>
              <w:spacing w:before="60" w:after="60"/>
              <w:rPr>
                <w:noProof/>
                <w:sz w:val="18"/>
              </w:rPr>
            </w:pPr>
          </w:p>
        </w:tc>
      </w:tr>
      <w:tr w:rsidR="005624E3" w:rsidRPr="00C903F8" w:rsidTr="00101A80">
        <w:trPr>
          <w:jc w:val="center"/>
        </w:trPr>
        <w:tc>
          <w:tcPr>
            <w:tcW w:w="1526" w:type="dxa"/>
          </w:tcPr>
          <w:p w:rsidR="005624E3" w:rsidRPr="00C903F8" w:rsidRDefault="005624E3" w:rsidP="00101A80">
            <w:pPr>
              <w:spacing w:before="60" w:after="60"/>
              <w:rPr>
                <w:noProof/>
                <w:sz w:val="18"/>
              </w:rPr>
            </w:pPr>
            <w:r>
              <w:rPr>
                <w:noProof/>
                <w:sz w:val="18"/>
              </w:rPr>
              <w:t>SRF</w:t>
            </w:r>
          </w:p>
        </w:tc>
        <w:tc>
          <w:tcPr>
            <w:tcW w:w="1876" w:type="dxa"/>
          </w:tcPr>
          <w:p w:rsidR="005624E3" w:rsidRPr="00C903F8" w:rsidRDefault="005624E3" w:rsidP="00101A80">
            <w:pPr>
              <w:spacing w:before="60" w:after="60"/>
              <w:rPr>
                <w:noProof/>
                <w:sz w:val="18"/>
              </w:rPr>
            </w:pPr>
            <w:r>
              <w:rPr>
                <w:noProof/>
                <w:sz w:val="18"/>
              </w:rPr>
              <w:t>Szúrópróbaszerű minták</w:t>
            </w:r>
          </w:p>
        </w:tc>
        <w:tc>
          <w:tcPr>
            <w:tcW w:w="1046" w:type="dxa"/>
          </w:tcPr>
          <w:p w:rsidR="005624E3" w:rsidRPr="00C903F8" w:rsidRDefault="005624E3" w:rsidP="00101A80">
            <w:pPr>
              <w:spacing w:before="60" w:after="60"/>
              <w:rPr>
                <w:noProof/>
                <w:sz w:val="18"/>
              </w:rPr>
            </w:pPr>
          </w:p>
        </w:tc>
        <w:tc>
          <w:tcPr>
            <w:tcW w:w="1065" w:type="dxa"/>
          </w:tcPr>
          <w:p w:rsidR="005624E3" w:rsidRPr="00C903F8" w:rsidRDefault="005624E3" w:rsidP="00101A80">
            <w:pPr>
              <w:spacing w:before="60" w:after="60"/>
              <w:rPr>
                <w:noProof/>
                <w:sz w:val="18"/>
              </w:rPr>
            </w:pPr>
          </w:p>
        </w:tc>
        <w:tc>
          <w:tcPr>
            <w:tcW w:w="1134" w:type="dxa"/>
          </w:tcPr>
          <w:p w:rsidR="005624E3" w:rsidRPr="00C903F8" w:rsidRDefault="005624E3" w:rsidP="00101A80">
            <w:pPr>
              <w:spacing w:before="60" w:after="60"/>
              <w:rPr>
                <w:noProof/>
                <w:sz w:val="18"/>
              </w:rPr>
            </w:pPr>
          </w:p>
        </w:tc>
      </w:tr>
    </w:tbl>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ind w:left="709" w:hanging="709"/>
        <w:rPr>
          <w:rFonts w:cs="Arial"/>
          <w:noProof/>
          <w:color w:val="000000"/>
        </w:rPr>
      </w:pPr>
      <w:r>
        <w:rPr>
          <w:noProof/>
          <w:color w:val="000000"/>
        </w:rPr>
        <w:t>1.3.</w:t>
      </w:r>
      <w:r>
        <w:tab/>
      </w:r>
      <w:r>
        <w:rPr>
          <w:noProof/>
          <w:color w:val="000000"/>
        </w:rPr>
        <w:t xml:space="preserve">További mért paraméterek </w:t>
      </w:r>
    </w:p>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ind w:left="709" w:hanging="709"/>
        <w:rPr>
          <w:rFonts w:cs="Arial"/>
          <w:noProof/>
          <w:color w:val="000000"/>
        </w:rPr>
      </w:pPr>
      <w:r>
        <w:rPr>
          <w:noProof/>
          <w:color w:val="000000"/>
        </w:rPr>
        <w:t>1.3.1.</w:t>
      </w:r>
      <w:r>
        <w:tab/>
      </w:r>
      <w:r>
        <w:rPr>
          <w:noProof/>
          <w:color w:val="000000"/>
        </w:rPr>
        <w:t>A belépő és a kilépő anyag további paraméterei:</w:t>
      </w:r>
    </w:p>
    <w:p w:rsidR="005624E3" w:rsidRPr="00C903F8" w:rsidRDefault="005624E3" w:rsidP="005624E3">
      <w:pPr>
        <w:spacing w:line="240" w:lineRule="atLeast"/>
        <w:rPr>
          <w:rFonts w:cs="Arial"/>
          <w:noProof/>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gridCol w:w="1639"/>
      </w:tblGrid>
      <w:tr w:rsidR="005624E3" w:rsidRPr="00C903F8" w:rsidTr="00101A80">
        <w:trPr>
          <w:jc w:val="center"/>
        </w:trPr>
        <w:tc>
          <w:tcPr>
            <w:tcW w:w="5103" w:type="dxa"/>
            <w:shd w:val="clear" w:color="auto" w:fill="auto"/>
          </w:tcPr>
          <w:p w:rsidR="005624E3" w:rsidRPr="00C903F8" w:rsidRDefault="005624E3" w:rsidP="00101A80">
            <w:pPr>
              <w:spacing w:before="60" w:after="60"/>
              <w:rPr>
                <w:noProof/>
                <w:sz w:val="18"/>
              </w:rPr>
            </w:pPr>
            <w:r>
              <w:rPr>
                <w:noProof/>
                <w:sz w:val="18"/>
              </w:rPr>
              <w:t>Paraméter</w:t>
            </w:r>
          </w:p>
        </w:tc>
        <w:tc>
          <w:tcPr>
            <w:tcW w:w="1417" w:type="dxa"/>
            <w:shd w:val="clear" w:color="auto" w:fill="auto"/>
          </w:tcPr>
          <w:p w:rsidR="005624E3" w:rsidRPr="00C903F8" w:rsidRDefault="005624E3" w:rsidP="00101A80">
            <w:pPr>
              <w:spacing w:before="60" w:after="60"/>
              <w:jc w:val="center"/>
              <w:rPr>
                <w:noProof/>
                <w:sz w:val="18"/>
              </w:rPr>
            </w:pPr>
            <w:r>
              <w:rPr>
                <w:noProof/>
                <w:sz w:val="18"/>
              </w:rPr>
              <w:t>Belépő</w:t>
            </w:r>
          </w:p>
        </w:tc>
        <w:tc>
          <w:tcPr>
            <w:tcW w:w="1639" w:type="dxa"/>
            <w:shd w:val="clear" w:color="auto" w:fill="auto"/>
          </w:tcPr>
          <w:p w:rsidR="005624E3" w:rsidRPr="00C903F8" w:rsidRDefault="005624E3" w:rsidP="00101A80">
            <w:pPr>
              <w:spacing w:before="60" w:after="60"/>
              <w:jc w:val="center"/>
              <w:rPr>
                <w:noProof/>
                <w:sz w:val="18"/>
              </w:rPr>
            </w:pPr>
            <w:r>
              <w:rPr>
                <w:noProof/>
                <w:sz w:val="18"/>
              </w:rPr>
              <w:t>Kilépő</w:t>
            </w:r>
          </w:p>
        </w:tc>
      </w:tr>
      <w:tr w:rsidR="005624E3" w:rsidRPr="00C903F8" w:rsidTr="00101A80">
        <w:trPr>
          <w:jc w:val="center"/>
        </w:trPr>
        <w:tc>
          <w:tcPr>
            <w:tcW w:w="5103" w:type="dxa"/>
            <w:shd w:val="clear" w:color="auto" w:fill="auto"/>
          </w:tcPr>
          <w:p w:rsidR="005624E3" w:rsidRPr="00C903F8" w:rsidRDefault="005624E3" w:rsidP="00101A80">
            <w:pPr>
              <w:spacing w:before="60" w:after="60"/>
              <w:rPr>
                <w:noProof/>
                <w:sz w:val="18"/>
              </w:rPr>
            </w:pPr>
            <w:r>
              <w:rPr>
                <w:noProof/>
                <w:sz w:val="18"/>
              </w:rPr>
              <w:t>pH</w:t>
            </w:r>
          </w:p>
        </w:tc>
        <w:tc>
          <w:tcPr>
            <w:tcW w:w="1417" w:type="dxa"/>
            <w:shd w:val="clear" w:color="auto" w:fill="auto"/>
          </w:tcPr>
          <w:p w:rsidR="005624E3" w:rsidRPr="00C903F8" w:rsidRDefault="005624E3" w:rsidP="00101A80">
            <w:pPr>
              <w:spacing w:before="60" w:after="60"/>
              <w:rPr>
                <w:noProof/>
                <w:sz w:val="18"/>
              </w:rPr>
            </w:pPr>
          </w:p>
        </w:tc>
        <w:tc>
          <w:tcPr>
            <w:tcW w:w="1639" w:type="dxa"/>
            <w:shd w:val="clear" w:color="auto" w:fill="auto"/>
          </w:tcPr>
          <w:p w:rsidR="005624E3" w:rsidRPr="00C903F8" w:rsidRDefault="005624E3" w:rsidP="00101A80">
            <w:pPr>
              <w:spacing w:before="60" w:after="60"/>
              <w:rPr>
                <w:noProof/>
                <w:sz w:val="18"/>
              </w:rPr>
            </w:pPr>
          </w:p>
        </w:tc>
      </w:tr>
      <w:tr w:rsidR="005624E3" w:rsidRPr="00C903F8" w:rsidTr="00101A80">
        <w:trPr>
          <w:jc w:val="center"/>
        </w:trPr>
        <w:tc>
          <w:tcPr>
            <w:tcW w:w="5103" w:type="dxa"/>
            <w:shd w:val="clear" w:color="auto" w:fill="auto"/>
          </w:tcPr>
          <w:p w:rsidR="005624E3" w:rsidRPr="00C903F8" w:rsidRDefault="005624E3" w:rsidP="00101A80">
            <w:pPr>
              <w:spacing w:before="60" w:after="60"/>
              <w:rPr>
                <w:noProof/>
                <w:sz w:val="18"/>
              </w:rPr>
            </w:pPr>
            <w:r>
              <w:rPr>
                <w:noProof/>
                <w:sz w:val="18"/>
              </w:rPr>
              <w:t>Vezetőképesség</w:t>
            </w:r>
          </w:p>
        </w:tc>
        <w:tc>
          <w:tcPr>
            <w:tcW w:w="1417" w:type="dxa"/>
            <w:shd w:val="clear" w:color="auto" w:fill="auto"/>
          </w:tcPr>
          <w:p w:rsidR="005624E3" w:rsidRPr="00C903F8" w:rsidRDefault="005624E3" w:rsidP="00101A80">
            <w:pPr>
              <w:spacing w:before="60" w:after="60"/>
              <w:rPr>
                <w:noProof/>
                <w:sz w:val="18"/>
              </w:rPr>
            </w:pPr>
          </w:p>
        </w:tc>
        <w:tc>
          <w:tcPr>
            <w:tcW w:w="1639" w:type="dxa"/>
            <w:shd w:val="clear" w:color="auto" w:fill="auto"/>
          </w:tcPr>
          <w:p w:rsidR="005624E3" w:rsidRPr="00C903F8" w:rsidRDefault="005624E3" w:rsidP="00101A80">
            <w:pPr>
              <w:spacing w:before="60" w:after="60"/>
              <w:rPr>
                <w:noProof/>
                <w:sz w:val="18"/>
              </w:rPr>
            </w:pPr>
          </w:p>
        </w:tc>
      </w:tr>
      <w:tr w:rsidR="005624E3" w:rsidRPr="00C903F8" w:rsidTr="00101A80">
        <w:trPr>
          <w:jc w:val="center"/>
        </w:trPr>
        <w:tc>
          <w:tcPr>
            <w:tcW w:w="5103" w:type="dxa"/>
            <w:shd w:val="clear" w:color="auto" w:fill="auto"/>
          </w:tcPr>
          <w:p w:rsidR="005624E3" w:rsidRPr="00C903F8" w:rsidRDefault="005624E3" w:rsidP="00101A80">
            <w:pPr>
              <w:spacing w:before="60" w:after="60"/>
              <w:rPr>
                <w:noProof/>
                <w:sz w:val="18"/>
              </w:rPr>
            </w:pPr>
            <w:r>
              <w:rPr>
                <w:noProof/>
                <w:sz w:val="18"/>
              </w:rPr>
              <w:t>A folyékony fázisok hőmérséklete</w:t>
            </w:r>
          </w:p>
        </w:tc>
        <w:tc>
          <w:tcPr>
            <w:tcW w:w="1417" w:type="dxa"/>
            <w:shd w:val="clear" w:color="auto" w:fill="auto"/>
          </w:tcPr>
          <w:p w:rsidR="005624E3" w:rsidRPr="00C903F8" w:rsidRDefault="005624E3" w:rsidP="00101A80">
            <w:pPr>
              <w:spacing w:before="60" w:after="60"/>
              <w:rPr>
                <w:noProof/>
                <w:sz w:val="18"/>
              </w:rPr>
            </w:pPr>
          </w:p>
        </w:tc>
        <w:tc>
          <w:tcPr>
            <w:tcW w:w="1639" w:type="dxa"/>
            <w:shd w:val="clear" w:color="auto" w:fill="auto"/>
          </w:tcPr>
          <w:p w:rsidR="005624E3" w:rsidRPr="00C903F8" w:rsidRDefault="005624E3" w:rsidP="00101A80">
            <w:pPr>
              <w:spacing w:before="60" w:after="60"/>
              <w:rPr>
                <w:noProof/>
                <w:sz w:val="18"/>
              </w:rPr>
            </w:pPr>
          </w:p>
        </w:tc>
      </w:tr>
    </w:tbl>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ind w:left="709" w:hanging="709"/>
        <w:rPr>
          <w:rFonts w:cs="Arial"/>
          <w:noProof/>
          <w:color w:val="000000"/>
        </w:rPr>
      </w:pPr>
      <w:r>
        <w:rPr>
          <w:noProof/>
          <w:color w:val="000000"/>
        </w:rPr>
        <w:t>1.3.2.</w:t>
      </w:r>
      <w:r>
        <w:tab/>
      </w:r>
      <w:r>
        <w:rPr>
          <w:noProof/>
          <w:color w:val="000000"/>
        </w:rPr>
        <w:t>A minták vételekor lehetőleg a következő üzemi paramétereket is fel kell jegyezni:</w:t>
      </w:r>
    </w:p>
    <w:p w:rsidR="005624E3" w:rsidRPr="00C903F8" w:rsidRDefault="005624E3" w:rsidP="005624E3">
      <w:pPr>
        <w:spacing w:line="240" w:lineRule="atLeast"/>
        <w:ind w:left="709" w:hanging="709"/>
        <w:rPr>
          <w:rFonts w:cs="Arial"/>
          <w:noProof/>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tblGrid>
      <w:tr w:rsidR="005624E3" w:rsidRPr="00A0619C" w:rsidTr="00101A80">
        <w:trPr>
          <w:jc w:val="center"/>
        </w:trPr>
        <w:tc>
          <w:tcPr>
            <w:tcW w:w="5103" w:type="dxa"/>
            <w:shd w:val="clear" w:color="auto" w:fill="auto"/>
          </w:tcPr>
          <w:p w:rsidR="005624E3" w:rsidRPr="00C903F8" w:rsidRDefault="005624E3" w:rsidP="00101A80">
            <w:pPr>
              <w:spacing w:before="60" w:after="60" w:line="240" w:lineRule="atLeast"/>
              <w:rPr>
                <w:rFonts w:cs="Arial"/>
                <w:noProof/>
                <w:color w:val="000000"/>
                <w:sz w:val="18"/>
              </w:rPr>
            </w:pPr>
            <w:r>
              <w:rPr>
                <w:noProof/>
                <w:color w:val="000000"/>
                <w:sz w:val="18"/>
              </w:rPr>
              <w:t>Az oldott oxigén koncentrációja a bioreaktorban</w:t>
            </w:r>
          </w:p>
        </w:tc>
        <w:tc>
          <w:tcPr>
            <w:tcW w:w="1417" w:type="dxa"/>
            <w:shd w:val="clear" w:color="auto" w:fill="auto"/>
          </w:tcPr>
          <w:p w:rsidR="005624E3" w:rsidRPr="00C903F8" w:rsidRDefault="005624E3" w:rsidP="00101A80">
            <w:pPr>
              <w:spacing w:before="60" w:after="60" w:line="240" w:lineRule="atLeast"/>
              <w:rPr>
                <w:rFonts w:cs="Arial"/>
                <w:noProof/>
                <w:color w:val="000000"/>
                <w:sz w:val="18"/>
              </w:rPr>
            </w:pPr>
          </w:p>
        </w:tc>
      </w:tr>
      <w:tr w:rsidR="005624E3" w:rsidRPr="00A0619C" w:rsidTr="00101A80">
        <w:trPr>
          <w:jc w:val="center"/>
        </w:trPr>
        <w:tc>
          <w:tcPr>
            <w:tcW w:w="5103" w:type="dxa"/>
            <w:shd w:val="clear" w:color="auto" w:fill="auto"/>
          </w:tcPr>
          <w:p w:rsidR="005624E3" w:rsidRPr="00C903F8" w:rsidRDefault="005624E3" w:rsidP="00101A80">
            <w:pPr>
              <w:spacing w:before="60" w:after="60" w:line="240" w:lineRule="atLeast"/>
              <w:rPr>
                <w:rFonts w:cs="Arial"/>
                <w:noProof/>
                <w:color w:val="000000"/>
                <w:sz w:val="18"/>
              </w:rPr>
            </w:pPr>
            <w:r>
              <w:rPr>
                <w:noProof/>
                <w:color w:val="000000"/>
                <w:sz w:val="18"/>
              </w:rPr>
              <w:t>Szárazanyag-tartalom a bioreaktorban</w:t>
            </w:r>
          </w:p>
        </w:tc>
        <w:tc>
          <w:tcPr>
            <w:tcW w:w="1417" w:type="dxa"/>
            <w:shd w:val="clear" w:color="auto" w:fill="auto"/>
          </w:tcPr>
          <w:p w:rsidR="005624E3" w:rsidRPr="00C903F8" w:rsidRDefault="005624E3" w:rsidP="00101A80">
            <w:pPr>
              <w:spacing w:before="60" w:after="60" w:line="240" w:lineRule="atLeast"/>
              <w:rPr>
                <w:rFonts w:cs="Arial"/>
                <w:noProof/>
                <w:color w:val="000000"/>
                <w:sz w:val="18"/>
              </w:rPr>
            </w:pPr>
          </w:p>
        </w:tc>
      </w:tr>
      <w:tr w:rsidR="005624E3" w:rsidRPr="00C903F8" w:rsidTr="00101A80">
        <w:trPr>
          <w:jc w:val="center"/>
        </w:trPr>
        <w:tc>
          <w:tcPr>
            <w:tcW w:w="5103" w:type="dxa"/>
            <w:shd w:val="clear" w:color="auto" w:fill="auto"/>
          </w:tcPr>
          <w:p w:rsidR="005624E3" w:rsidRPr="00C903F8" w:rsidRDefault="005624E3" w:rsidP="00101A80">
            <w:pPr>
              <w:spacing w:before="60" w:after="60" w:line="240" w:lineRule="atLeast"/>
              <w:rPr>
                <w:rFonts w:cs="Arial"/>
                <w:noProof/>
                <w:color w:val="000000"/>
                <w:sz w:val="18"/>
              </w:rPr>
            </w:pPr>
            <w:r>
              <w:rPr>
                <w:noProof/>
                <w:color w:val="000000"/>
                <w:sz w:val="18"/>
              </w:rPr>
              <w:t>Hőmérséklet a bioreaktorban</w:t>
            </w:r>
          </w:p>
        </w:tc>
        <w:tc>
          <w:tcPr>
            <w:tcW w:w="1417" w:type="dxa"/>
            <w:shd w:val="clear" w:color="auto" w:fill="auto"/>
          </w:tcPr>
          <w:p w:rsidR="005624E3" w:rsidRPr="00C903F8" w:rsidRDefault="005624E3" w:rsidP="00101A80">
            <w:pPr>
              <w:spacing w:before="60" w:after="60" w:line="240" w:lineRule="atLeast"/>
              <w:rPr>
                <w:rFonts w:cs="Arial"/>
                <w:noProof/>
                <w:color w:val="000000"/>
                <w:sz w:val="18"/>
              </w:rPr>
            </w:pPr>
          </w:p>
        </w:tc>
      </w:tr>
      <w:tr w:rsidR="005624E3" w:rsidRPr="00C903F8" w:rsidTr="00101A80">
        <w:trPr>
          <w:jc w:val="center"/>
        </w:trPr>
        <w:tc>
          <w:tcPr>
            <w:tcW w:w="5103" w:type="dxa"/>
            <w:shd w:val="clear" w:color="auto" w:fill="auto"/>
          </w:tcPr>
          <w:p w:rsidR="005624E3" w:rsidRPr="00C903F8" w:rsidRDefault="005624E3" w:rsidP="00101A80">
            <w:pPr>
              <w:spacing w:before="60" w:after="60" w:line="240" w:lineRule="atLeast"/>
              <w:rPr>
                <w:rFonts w:cs="Arial"/>
                <w:noProof/>
                <w:color w:val="000000"/>
                <w:sz w:val="18"/>
              </w:rPr>
            </w:pPr>
            <w:r>
              <w:rPr>
                <w:noProof/>
                <w:color w:val="000000"/>
                <w:sz w:val="18"/>
              </w:rPr>
              <w:t>Környezeti hőmérséklet</w:t>
            </w:r>
          </w:p>
        </w:tc>
        <w:tc>
          <w:tcPr>
            <w:tcW w:w="1417" w:type="dxa"/>
            <w:shd w:val="clear" w:color="auto" w:fill="auto"/>
          </w:tcPr>
          <w:p w:rsidR="005624E3" w:rsidRPr="00C903F8" w:rsidRDefault="005624E3" w:rsidP="00101A80">
            <w:pPr>
              <w:spacing w:before="60" w:after="60" w:line="240" w:lineRule="atLeast"/>
              <w:rPr>
                <w:rFonts w:cs="Arial"/>
                <w:noProof/>
                <w:color w:val="000000"/>
                <w:sz w:val="18"/>
              </w:rPr>
            </w:pPr>
          </w:p>
        </w:tc>
      </w:tr>
    </w:tbl>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ind w:left="709" w:hanging="709"/>
        <w:rPr>
          <w:rFonts w:cs="Arial"/>
          <w:noProof/>
          <w:color w:val="000000"/>
        </w:rPr>
      </w:pPr>
      <w:r>
        <w:rPr>
          <w:noProof/>
          <w:color w:val="000000"/>
        </w:rPr>
        <w:t>1.3.3.</w:t>
      </w:r>
      <w:r>
        <w:tab/>
      </w:r>
      <w:r>
        <w:rPr>
          <w:noProof/>
          <w:color w:val="000000"/>
        </w:rPr>
        <w:t>További üzemi paraméterek a gyártó üzemeltetési utasításainak megfelelően</w:t>
      </w:r>
    </w:p>
    <w:p w:rsidR="005624E3" w:rsidRPr="00C903F8" w:rsidRDefault="005624E3" w:rsidP="005624E3">
      <w:pPr>
        <w:tabs>
          <w:tab w:val="left" w:leader="dot" w:pos="9072"/>
        </w:tabs>
        <w:spacing w:before="60" w:line="240" w:lineRule="atLeast"/>
        <w:ind w:left="709"/>
        <w:rPr>
          <w:rFonts w:cs="Arial"/>
          <w:noProof/>
          <w:color w:val="000000"/>
        </w:rPr>
      </w:pPr>
      <w:r>
        <w:tab/>
      </w:r>
    </w:p>
    <w:p w:rsidR="005624E3" w:rsidRPr="00C903F8" w:rsidRDefault="005624E3" w:rsidP="005624E3">
      <w:pPr>
        <w:tabs>
          <w:tab w:val="left" w:leader="dot" w:pos="9072"/>
        </w:tabs>
        <w:spacing w:before="60" w:line="240" w:lineRule="atLeast"/>
        <w:ind w:left="709"/>
        <w:rPr>
          <w:rFonts w:cs="Arial"/>
          <w:noProof/>
          <w:color w:val="000000"/>
        </w:rPr>
      </w:pPr>
      <w:r>
        <w:tab/>
      </w:r>
    </w:p>
    <w:p w:rsidR="005624E3" w:rsidRPr="00C903F8" w:rsidRDefault="005624E3" w:rsidP="005624E3">
      <w:pPr>
        <w:tabs>
          <w:tab w:val="left" w:leader="dot" w:pos="9072"/>
        </w:tabs>
        <w:spacing w:before="60" w:line="240" w:lineRule="atLeast"/>
        <w:ind w:left="709"/>
        <w:rPr>
          <w:rFonts w:cs="Arial"/>
          <w:noProof/>
          <w:color w:val="000000"/>
        </w:rPr>
      </w:pPr>
      <w:r>
        <w:tab/>
      </w:r>
    </w:p>
    <w:p w:rsidR="005624E3" w:rsidRPr="00C903F8" w:rsidRDefault="005624E3" w:rsidP="005624E3">
      <w:pPr>
        <w:tabs>
          <w:tab w:val="left" w:leader="dot" w:pos="9072"/>
        </w:tabs>
        <w:spacing w:before="60" w:line="240" w:lineRule="atLeast"/>
        <w:ind w:left="709"/>
        <w:rPr>
          <w:rFonts w:cs="Arial"/>
          <w:noProof/>
          <w:color w:val="000000"/>
        </w:rPr>
      </w:pPr>
      <w:r>
        <w:tab/>
      </w:r>
    </w:p>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ind w:left="709" w:hanging="709"/>
        <w:rPr>
          <w:rFonts w:cs="Arial"/>
          <w:noProof/>
          <w:color w:val="000000"/>
        </w:rPr>
      </w:pPr>
      <w:r>
        <w:rPr>
          <w:noProof/>
          <w:color w:val="000000"/>
        </w:rPr>
        <w:t>1.4.</w:t>
      </w:r>
      <w:r>
        <w:tab/>
      </w:r>
      <w:r>
        <w:rPr>
          <w:noProof/>
          <w:color w:val="000000"/>
        </w:rPr>
        <w:t>Illetékes hatóság vagy műszaki szolgálat:</w:t>
      </w:r>
    </w:p>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ind w:left="709" w:hanging="709"/>
        <w:rPr>
          <w:rFonts w:cs="Arial"/>
          <w:noProof/>
          <w:color w:val="000000"/>
        </w:rPr>
      </w:pPr>
    </w:p>
    <w:p w:rsidR="005624E3" w:rsidRPr="00C903F8" w:rsidRDefault="005624E3" w:rsidP="005624E3">
      <w:pPr>
        <w:tabs>
          <w:tab w:val="left" w:leader="dot" w:pos="3828"/>
          <w:tab w:val="left" w:pos="4111"/>
          <w:tab w:val="left" w:leader="dot" w:pos="9072"/>
        </w:tabs>
        <w:spacing w:line="240" w:lineRule="atLeast"/>
        <w:rPr>
          <w:rFonts w:cs="Arial"/>
          <w:noProof/>
          <w:color w:val="000000"/>
        </w:rPr>
      </w:pPr>
      <w:r>
        <w:rPr>
          <w:noProof/>
          <w:color w:val="000000"/>
        </w:rPr>
        <w:t xml:space="preserve">Hely, dátum: </w:t>
      </w:r>
      <w:r>
        <w:tab/>
      </w:r>
      <w:r>
        <w:tab/>
      </w:r>
      <w:r>
        <w:rPr>
          <w:noProof/>
          <w:color w:val="000000"/>
        </w:rPr>
        <w:t xml:space="preserve">Aláírás: </w:t>
      </w:r>
      <w:r>
        <w:tab/>
      </w:r>
    </w:p>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ind w:left="709" w:hanging="709"/>
        <w:rPr>
          <w:rFonts w:cs="Arial"/>
          <w:noProof/>
          <w:color w:val="000000"/>
        </w:rPr>
      </w:pPr>
      <w:r>
        <w:br w:type="page"/>
      </w:r>
    </w:p>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ind w:left="709" w:hanging="709"/>
        <w:rPr>
          <w:rFonts w:cs="Arial"/>
          <w:noProof/>
          <w:color w:val="000000"/>
        </w:rPr>
      </w:pPr>
    </w:p>
    <w:p w:rsidR="005624E3" w:rsidRPr="00C903F8" w:rsidRDefault="005624E3" w:rsidP="005624E3">
      <w:pPr>
        <w:spacing w:line="240" w:lineRule="atLeast"/>
        <w:rPr>
          <w:rFonts w:cs="Arial"/>
          <w:color w:val="000000"/>
        </w:rPr>
      </w:pPr>
      <w:r>
        <w:br w:type="page"/>
      </w:r>
    </w:p>
    <w:p w:rsidR="005624E3" w:rsidRPr="00C903F8" w:rsidRDefault="005624E3" w:rsidP="005624E3">
      <w:pPr>
        <w:pStyle w:val="ES-Titre3"/>
        <w:rPr>
          <w:noProof/>
        </w:rPr>
      </w:pPr>
      <w:bookmarkStart w:id="696" w:name="_Toc491854330"/>
      <w:bookmarkStart w:id="697" w:name="_Toc535854111"/>
      <w:r>
        <w:t>IV. szakasz</w:t>
      </w:r>
      <w:bookmarkEnd w:id="696"/>
      <w:bookmarkEnd w:id="697"/>
    </w:p>
    <w:p w:rsidR="005624E3" w:rsidRPr="00C903F8" w:rsidRDefault="005624E3" w:rsidP="005624E3">
      <w:pPr>
        <w:pStyle w:val="ES-Titre3a"/>
        <w:rPr>
          <w:noProof/>
        </w:rPr>
      </w:pPr>
      <w:bookmarkStart w:id="698" w:name="_Toc491854331"/>
      <w:bookmarkStart w:id="699" w:name="_Toc535854112"/>
      <w:r>
        <w:t>A típusjóváhagyások számozása</w:t>
      </w:r>
      <w:bookmarkEnd w:id="698"/>
      <w:bookmarkEnd w:id="699"/>
    </w:p>
    <w:p w:rsidR="005624E3" w:rsidRPr="00C903F8" w:rsidRDefault="005624E3" w:rsidP="005624E3">
      <w:pPr>
        <w:overflowPunct w:val="0"/>
        <w:adjustRightInd w:val="0"/>
        <w:spacing w:line="240" w:lineRule="exact"/>
        <w:jc w:val="center"/>
        <w:textAlignment w:val="baseline"/>
        <w:rPr>
          <w:rFonts w:eastAsia="Calibri"/>
        </w:rPr>
      </w:pPr>
      <w:r>
        <w:t>(Minta)</w:t>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r>
        <w:rPr>
          <w:color w:val="000000"/>
        </w:rPr>
        <w:t>1.</w:t>
      </w:r>
      <w:r>
        <w:tab/>
      </w:r>
      <w:r>
        <w:rPr>
          <w:color w:val="000000"/>
        </w:rPr>
        <w:t>Számozási rend</w:t>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ind w:left="426"/>
      </w:pPr>
      <w:r>
        <w:t>A szám négy, egymástól csillaggal elválasztott szakaszból áll.</w:t>
      </w:r>
    </w:p>
    <w:p w:rsidR="005624E3" w:rsidRPr="00C903F8" w:rsidRDefault="005624E3" w:rsidP="005624E3">
      <w:pPr>
        <w:spacing w:line="240" w:lineRule="atLeast"/>
        <w:ind w:left="426"/>
      </w:pPr>
    </w:p>
    <w:p w:rsidR="005624E3" w:rsidRPr="00C903F8" w:rsidRDefault="005624E3" w:rsidP="005624E3">
      <w:pPr>
        <w:spacing w:line="240" w:lineRule="atLeast"/>
        <w:ind w:left="1560" w:hanging="1134"/>
      </w:pPr>
      <w:r>
        <w:t>1. szakasz:</w:t>
      </w:r>
      <w:r>
        <w:tab/>
        <w:t>Kis „e” betű, melyet a típusjóváhagyást kibocsátó állam megkülönböztető száma követ:</w:t>
      </w:r>
    </w:p>
    <w:p w:rsidR="005624E3" w:rsidRPr="00C903F8" w:rsidRDefault="005624E3" w:rsidP="005624E3">
      <w:pPr>
        <w:ind w:left="850" w:hanging="850"/>
        <w:rPr>
          <w:noProof/>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01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Németország</w:t>
            </w:r>
          </w:p>
        </w:tc>
        <w:tc>
          <w:tcPr>
            <w:tcW w:w="724" w:type="dxa"/>
          </w:tcPr>
          <w:p w:rsidR="005624E3" w:rsidRPr="00C903F8" w:rsidRDefault="005624E3" w:rsidP="00101A80">
            <w:pPr>
              <w:spacing w:before="40" w:after="40" w:line="240" w:lineRule="atLeast"/>
              <w:rPr>
                <w:noProof/>
                <w:szCs w:val="20"/>
              </w:rPr>
            </w:pPr>
            <w:r>
              <w:t>19.</w:t>
            </w:r>
          </w:p>
        </w:tc>
        <w:tc>
          <w:tcPr>
            <w:tcW w:w="416" w:type="dxa"/>
          </w:tcPr>
          <w:p w:rsidR="005624E3" w:rsidRPr="00C903F8" w:rsidRDefault="005624E3" w:rsidP="00101A80">
            <w:pPr>
              <w:spacing w:before="40" w:after="40" w:line="240" w:lineRule="atLeast"/>
              <w:rPr>
                <w:noProof/>
                <w:szCs w:val="20"/>
              </w:rPr>
            </w:pPr>
            <w:r>
              <w:t>=</w:t>
            </w:r>
          </w:p>
        </w:tc>
        <w:tc>
          <w:tcPr>
            <w:tcW w:w="2205" w:type="dxa"/>
          </w:tcPr>
          <w:p w:rsidR="005624E3" w:rsidRPr="00C903F8" w:rsidRDefault="005624E3" w:rsidP="00101A80">
            <w:pPr>
              <w:spacing w:before="40" w:after="40" w:line="240" w:lineRule="atLeast"/>
              <w:rPr>
                <w:noProof/>
                <w:szCs w:val="20"/>
              </w:rPr>
            </w:pPr>
            <w:r>
              <w:t>Románia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02.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Franciaország </w:t>
            </w:r>
          </w:p>
        </w:tc>
        <w:tc>
          <w:tcPr>
            <w:tcW w:w="724" w:type="dxa"/>
          </w:tcPr>
          <w:p w:rsidR="005624E3" w:rsidRPr="00C903F8" w:rsidRDefault="005624E3" w:rsidP="00101A80">
            <w:pPr>
              <w:spacing w:before="40" w:after="40" w:line="240" w:lineRule="atLeast"/>
              <w:rPr>
                <w:noProof/>
                <w:szCs w:val="20"/>
              </w:rPr>
            </w:pPr>
            <w:r>
              <w:t xml:space="preserve">20.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 xml:space="preserve">Lengyelország </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03.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Olaszország</w:t>
            </w:r>
          </w:p>
        </w:tc>
        <w:tc>
          <w:tcPr>
            <w:tcW w:w="724" w:type="dxa"/>
          </w:tcPr>
          <w:p w:rsidR="005624E3" w:rsidRPr="00C903F8" w:rsidRDefault="005624E3" w:rsidP="00101A80">
            <w:pPr>
              <w:spacing w:before="40" w:after="40" w:line="240" w:lineRule="atLeast"/>
              <w:rPr>
                <w:noProof/>
                <w:szCs w:val="20"/>
              </w:rPr>
            </w:pPr>
            <w:r>
              <w:t xml:space="preserve">21.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 xml:space="preserve">Portugália </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04.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Hollandia </w:t>
            </w:r>
          </w:p>
        </w:tc>
        <w:tc>
          <w:tcPr>
            <w:tcW w:w="724" w:type="dxa"/>
          </w:tcPr>
          <w:p w:rsidR="005624E3" w:rsidRPr="00C903F8" w:rsidRDefault="005624E3" w:rsidP="00101A80">
            <w:pPr>
              <w:spacing w:before="40" w:after="40" w:line="240" w:lineRule="atLeast"/>
              <w:rPr>
                <w:noProof/>
                <w:szCs w:val="20"/>
              </w:rPr>
            </w:pPr>
            <w:r>
              <w:t xml:space="preserve">23.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Görögország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05.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Svédország</w:t>
            </w:r>
          </w:p>
        </w:tc>
        <w:tc>
          <w:tcPr>
            <w:tcW w:w="724" w:type="dxa"/>
          </w:tcPr>
          <w:p w:rsidR="005624E3" w:rsidRPr="00C903F8" w:rsidRDefault="005624E3" w:rsidP="00101A80">
            <w:pPr>
              <w:spacing w:before="40" w:after="40" w:line="240" w:lineRule="atLeast"/>
              <w:rPr>
                <w:noProof/>
                <w:szCs w:val="20"/>
              </w:rPr>
            </w:pPr>
            <w:r>
              <w:t xml:space="preserve">24.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Írország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06.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Belgium </w:t>
            </w:r>
          </w:p>
        </w:tc>
        <w:tc>
          <w:tcPr>
            <w:tcW w:w="724" w:type="dxa"/>
            <w:vAlign w:val="center"/>
          </w:tcPr>
          <w:p w:rsidR="005624E3" w:rsidRPr="00C903F8" w:rsidRDefault="005624E3" w:rsidP="00101A80">
            <w:pPr>
              <w:spacing w:before="40" w:after="40" w:line="240" w:lineRule="atLeast"/>
              <w:rPr>
                <w:noProof/>
                <w:szCs w:val="20"/>
              </w:rPr>
            </w:pPr>
            <w:r>
              <w:rPr>
                <w:color w:val="000000"/>
              </w:rPr>
              <w:t>25.</w:t>
            </w:r>
          </w:p>
        </w:tc>
        <w:tc>
          <w:tcPr>
            <w:tcW w:w="416" w:type="dxa"/>
            <w:vAlign w:val="center"/>
          </w:tcPr>
          <w:p w:rsidR="005624E3" w:rsidRPr="00C903F8" w:rsidRDefault="005624E3" w:rsidP="00101A80">
            <w:pPr>
              <w:spacing w:before="40" w:after="40" w:line="240" w:lineRule="atLeast"/>
              <w:rPr>
                <w:noProof/>
                <w:szCs w:val="20"/>
              </w:rPr>
            </w:pPr>
            <w:r>
              <w:rPr>
                <w:color w:val="000000"/>
              </w:rPr>
              <w:t>=</w:t>
            </w:r>
          </w:p>
        </w:tc>
        <w:tc>
          <w:tcPr>
            <w:tcW w:w="2205" w:type="dxa"/>
            <w:vAlign w:val="center"/>
          </w:tcPr>
          <w:p w:rsidR="005624E3" w:rsidRPr="00C903F8" w:rsidRDefault="005624E3" w:rsidP="00101A80">
            <w:pPr>
              <w:spacing w:before="40" w:after="40" w:line="240" w:lineRule="atLeast"/>
              <w:rPr>
                <w:noProof/>
                <w:szCs w:val="20"/>
              </w:rPr>
            </w:pPr>
            <w:r>
              <w:t>Horvátország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07.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Magyarország</w:t>
            </w:r>
          </w:p>
        </w:tc>
        <w:tc>
          <w:tcPr>
            <w:tcW w:w="724" w:type="dxa"/>
          </w:tcPr>
          <w:p w:rsidR="005624E3" w:rsidRPr="00C903F8" w:rsidRDefault="005624E3" w:rsidP="00101A80">
            <w:pPr>
              <w:spacing w:before="40" w:after="40" w:line="240" w:lineRule="atLeast"/>
              <w:rPr>
                <w:noProof/>
                <w:szCs w:val="20"/>
              </w:rPr>
            </w:pPr>
            <w:r>
              <w:t xml:space="preserve">26.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Szlovénia</w:t>
            </w:r>
          </w:p>
        </w:tc>
      </w:tr>
      <w:tr w:rsidR="005624E3" w:rsidRPr="00C903F8" w:rsidTr="00101A80">
        <w:trPr>
          <w:jc w:val="center"/>
        </w:trPr>
        <w:tc>
          <w:tcPr>
            <w:tcW w:w="720" w:type="dxa"/>
          </w:tcPr>
          <w:p w:rsidR="005624E3" w:rsidRPr="00C903F8" w:rsidRDefault="005624E3" w:rsidP="00101A80">
            <w:pPr>
              <w:spacing w:before="40" w:after="160" w:line="240" w:lineRule="atLeast"/>
              <w:rPr>
                <w:noProof/>
                <w:szCs w:val="20"/>
              </w:rPr>
            </w:pPr>
            <w:r>
              <w:t xml:space="preserve">08. </w:t>
            </w:r>
          </w:p>
        </w:tc>
        <w:tc>
          <w:tcPr>
            <w:tcW w:w="360" w:type="dxa"/>
          </w:tcPr>
          <w:p w:rsidR="005624E3" w:rsidRPr="00C903F8" w:rsidRDefault="005624E3" w:rsidP="00101A80">
            <w:pPr>
              <w:spacing w:before="40" w:after="160" w:line="240" w:lineRule="atLeast"/>
              <w:rPr>
                <w:noProof/>
                <w:szCs w:val="20"/>
              </w:rPr>
            </w:pPr>
            <w:r>
              <w:t xml:space="preserve">= </w:t>
            </w:r>
          </w:p>
        </w:tc>
        <w:tc>
          <w:tcPr>
            <w:tcW w:w="3162" w:type="dxa"/>
          </w:tcPr>
          <w:p w:rsidR="005624E3" w:rsidRPr="00C903F8" w:rsidRDefault="005624E3" w:rsidP="00101A80">
            <w:pPr>
              <w:spacing w:before="40" w:after="160" w:line="240" w:lineRule="atLeast"/>
              <w:rPr>
                <w:noProof/>
                <w:szCs w:val="20"/>
              </w:rPr>
            </w:pPr>
            <w:r>
              <w:t>Cseh Köztársaság</w:t>
            </w:r>
          </w:p>
        </w:tc>
        <w:tc>
          <w:tcPr>
            <w:tcW w:w="724" w:type="dxa"/>
          </w:tcPr>
          <w:p w:rsidR="005624E3" w:rsidRPr="00C903F8" w:rsidRDefault="005624E3" w:rsidP="00101A80">
            <w:pPr>
              <w:spacing w:before="40" w:after="160" w:line="240" w:lineRule="atLeast"/>
              <w:rPr>
                <w:noProof/>
                <w:szCs w:val="20"/>
              </w:rPr>
            </w:pPr>
            <w:r>
              <w:t xml:space="preserve">27. </w:t>
            </w:r>
          </w:p>
        </w:tc>
        <w:tc>
          <w:tcPr>
            <w:tcW w:w="416" w:type="dxa"/>
          </w:tcPr>
          <w:p w:rsidR="005624E3" w:rsidRPr="00C903F8" w:rsidRDefault="005624E3" w:rsidP="00101A80">
            <w:pPr>
              <w:spacing w:before="40" w:after="160" w:line="240" w:lineRule="atLeast"/>
              <w:rPr>
                <w:noProof/>
                <w:szCs w:val="20"/>
              </w:rPr>
            </w:pPr>
            <w:r>
              <w:t xml:space="preserve">= </w:t>
            </w:r>
          </w:p>
        </w:tc>
        <w:tc>
          <w:tcPr>
            <w:tcW w:w="2205" w:type="dxa"/>
          </w:tcPr>
          <w:p w:rsidR="005624E3" w:rsidRPr="00C903F8" w:rsidRDefault="005624E3" w:rsidP="00101A80">
            <w:pPr>
              <w:spacing w:before="40" w:after="160" w:line="240" w:lineRule="atLeast"/>
              <w:rPr>
                <w:noProof/>
                <w:szCs w:val="20"/>
              </w:rPr>
            </w:pPr>
            <w:r>
              <w:t>Szlovákia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09.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Spanyolország </w:t>
            </w:r>
          </w:p>
        </w:tc>
        <w:tc>
          <w:tcPr>
            <w:tcW w:w="724" w:type="dxa"/>
          </w:tcPr>
          <w:p w:rsidR="005624E3" w:rsidRPr="00C903F8" w:rsidRDefault="005624E3" w:rsidP="00101A80">
            <w:pPr>
              <w:spacing w:before="40" w:after="40" w:line="240" w:lineRule="atLeast"/>
              <w:rPr>
                <w:noProof/>
                <w:szCs w:val="20"/>
              </w:rPr>
            </w:pPr>
            <w:r>
              <w:t xml:space="preserve">29.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Észtország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11.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Egyesült Királyság</w:t>
            </w:r>
          </w:p>
        </w:tc>
        <w:tc>
          <w:tcPr>
            <w:tcW w:w="724" w:type="dxa"/>
          </w:tcPr>
          <w:p w:rsidR="005624E3" w:rsidRPr="00C903F8" w:rsidRDefault="005624E3" w:rsidP="00101A80">
            <w:pPr>
              <w:spacing w:before="40" w:after="40" w:line="240" w:lineRule="atLeast"/>
              <w:rPr>
                <w:noProof/>
                <w:szCs w:val="20"/>
              </w:rPr>
            </w:pPr>
            <w:r>
              <w:t xml:space="preserve">32.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Lettország</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12.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Ausztria</w:t>
            </w:r>
          </w:p>
        </w:tc>
        <w:tc>
          <w:tcPr>
            <w:tcW w:w="724" w:type="dxa"/>
          </w:tcPr>
          <w:p w:rsidR="005624E3" w:rsidRPr="00C903F8" w:rsidRDefault="005624E3" w:rsidP="00101A80">
            <w:pPr>
              <w:spacing w:before="40" w:after="40" w:line="240" w:lineRule="atLeast"/>
              <w:rPr>
                <w:noProof/>
                <w:szCs w:val="20"/>
              </w:rPr>
            </w:pPr>
            <w:r>
              <w:t>34.</w:t>
            </w:r>
          </w:p>
        </w:tc>
        <w:tc>
          <w:tcPr>
            <w:tcW w:w="416" w:type="dxa"/>
          </w:tcPr>
          <w:p w:rsidR="005624E3" w:rsidRPr="00C903F8" w:rsidRDefault="005624E3" w:rsidP="00101A80">
            <w:pPr>
              <w:spacing w:before="40" w:after="40" w:line="240" w:lineRule="atLeast"/>
              <w:rPr>
                <w:noProof/>
                <w:szCs w:val="20"/>
              </w:rPr>
            </w:pPr>
            <w:r>
              <w:t>=</w:t>
            </w:r>
          </w:p>
        </w:tc>
        <w:tc>
          <w:tcPr>
            <w:tcW w:w="2205" w:type="dxa"/>
          </w:tcPr>
          <w:p w:rsidR="005624E3" w:rsidRPr="00C903F8" w:rsidRDefault="005624E3" w:rsidP="00101A80">
            <w:pPr>
              <w:spacing w:before="40" w:after="40" w:line="240" w:lineRule="atLeast"/>
              <w:rPr>
                <w:noProof/>
                <w:szCs w:val="20"/>
              </w:rPr>
            </w:pPr>
            <w:r>
              <w:t>Bulgária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13.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Luxemburg </w:t>
            </w:r>
          </w:p>
        </w:tc>
        <w:tc>
          <w:tcPr>
            <w:tcW w:w="724" w:type="dxa"/>
          </w:tcPr>
          <w:p w:rsidR="005624E3" w:rsidRPr="00C903F8" w:rsidRDefault="005624E3" w:rsidP="00101A80">
            <w:pPr>
              <w:spacing w:before="40" w:after="40" w:line="240" w:lineRule="atLeast"/>
              <w:rPr>
                <w:noProof/>
                <w:szCs w:val="20"/>
              </w:rPr>
            </w:pPr>
            <w:r>
              <w:t xml:space="preserve">36.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Litvánia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14.</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Svájc</w:t>
            </w:r>
          </w:p>
        </w:tc>
        <w:tc>
          <w:tcPr>
            <w:tcW w:w="724" w:type="dxa"/>
          </w:tcPr>
          <w:p w:rsidR="005624E3" w:rsidRPr="00C903F8" w:rsidRDefault="005624E3" w:rsidP="00101A80">
            <w:pPr>
              <w:spacing w:before="40" w:after="40" w:line="240" w:lineRule="atLeast"/>
              <w:rPr>
                <w:noProof/>
                <w:szCs w:val="20"/>
              </w:rPr>
            </w:pPr>
            <w:r>
              <w:t xml:space="preserve">49.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Ciprus</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17.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Finnország</w:t>
            </w:r>
          </w:p>
        </w:tc>
        <w:tc>
          <w:tcPr>
            <w:tcW w:w="724" w:type="dxa"/>
          </w:tcPr>
          <w:p w:rsidR="005624E3" w:rsidRPr="00C903F8" w:rsidRDefault="005624E3" w:rsidP="00101A80">
            <w:pPr>
              <w:spacing w:before="40" w:after="40" w:line="240" w:lineRule="atLeast"/>
              <w:rPr>
                <w:noProof/>
                <w:szCs w:val="20"/>
              </w:rPr>
            </w:pPr>
            <w:r>
              <w:t xml:space="preserve">50. </w:t>
            </w:r>
          </w:p>
        </w:tc>
        <w:tc>
          <w:tcPr>
            <w:tcW w:w="416" w:type="dxa"/>
          </w:tcPr>
          <w:p w:rsidR="005624E3" w:rsidRPr="00C903F8" w:rsidRDefault="005624E3" w:rsidP="00101A80">
            <w:pPr>
              <w:spacing w:before="40" w:after="40" w:line="240" w:lineRule="atLeast"/>
              <w:rPr>
                <w:noProof/>
                <w:szCs w:val="20"/>
              </w:rPr>
            </w:pPr>
            <w:r>
              <w:t xml:space="preserve">= </w:t>
            </w:r>
          </w:p>
        </w:tc>
        <w:tc>
          <w:tcPr>
            <w:tcW w:w="2205" w:type="dxa"/>
          </w:tcPr>
          <w:p w:rsidR="005624E3" w:rsidRPr="00C903F8" w:rsidRDefault="005624E3" w:rsidP="00101A80">
            <w:pPr>
              <w:spacing w:before="40" w:after="40" w:line="240" w:lineRule="atLeast"/>
              <w:rPr>
                <w:noProof/>
                <w:szCs w:val="20"/>
              </w:rPr>
            </w:pPr>
            <w:r>
              <w:t>Málta</w:t>
            </w:r>
          </w:p>
        </w:tc>
      </w:tr>
      <w:tr w:rsidR="005624E3" w:rsidRPr="00C903F8" w:rsidTr="00101A80">
        <w:trPr>
          <w:jc w:val="center"/>
        </w:trPr>
        <w:tc>
          <w:tcPr>
            <w:tcW w:w="720" w:type="dxa"/>
          </w:tcPr>
          <w:p w:rsidR="005624E3" w:rsidRPr="00C903F8" w:rsidRDefault="005624E3" w:rsidP="00101A80">
            <w:pPr>
              <w:spacing w:before="40" w:after="40" w:line="240" w:lineRule="atLeast"/>
              <w:rPr>
                <w:noProof/>
                <w:szCs w:val="20"/>
              </w:rPr>
            </w:pPr>
            <w:r>
              <w:t xml:space="preserve">18. </w:t>
            </w:r>
          </w:p>
        </w:tc>
        <w:tc>
          <w:tcPr>
            <w:tcW w:w="360" w:type="dxa"/>
          </w:tcPr>
          <w:p w:rsidR="005624E3" w:rsidRPr="00C903F8" w:rsidRDefault="005624E3" w:rsidP="00101A80">
            <w:pPr>
              <w:spacing w:before="40" w:after="40" w:line="240" w:lineRule="atLeast"/>
              <w:rPr>
                <w:noProof/>
                <w:szCs w:val="20"/>
              </w:rPr>
            </w:pPr>
            <w:r>
              <w:t xml:space="preserve">= </w:t>
            </w:r>
          </w:p>
        </w:tc>
        <w:tc>
          <w:tcPr>
            <w:tcW w:w="3162" w:type="dxa"/>
          </w:tcPr>
          <w:p w:rsidR="005624E3" w:rsidRPr="00C903F8" w:rsidRDefault="005624E3" w:rsidP="00101A80">
            <w:pPr>
              <w:spacing w:before="40" w:after="40" w:line="240" w:lineRule="atLeast"/>
              <w:rPr>
                <w:noProof/>
                <w:szCs w:val="20"/>
              </w:rPr>
            </w:pPr>
            <w:r>
              <w:t xml:space="preserve">Dánia </w:t>
            </w:r>
          </w:p>
        </w:tc>
        <w:tc>
          <w:tcPr>
            <w:tcW w:w="724" w:type="dxa"/>
          </w:tcPr>
          <w:p w:rsidR="005624E3" w:rsidRPr="00C903F8" w:rsidRDefault="005624E3" w:rsidP="00101A80">
            <w:pPr>
              <w:spacing w:before="40" w:after="40" w:line="240" w:lineRule="atLeast"/>
              <w:rPr>
                <w:noProof/>
                <w:szCs w:val="20"/>
              </w:rPr>
            </w:pPr>
          </w:p>
        </w:tc>
        <w:tc>
          <w:tcPr>
            <w:tcW w:w="416" w:type="dxa"/>
          </w:tcPr>
          <w:p w:rsidR="005624E3" w:rsidRPr="00C903F8" w:rsidRDefault="005624E3" w:rsidP="00101A80">
            <w:pPr>
              <w:spacing w:before="40" w:after="40" w:line="240" w:lineRule="atLeast"/>
              <w:rPr>
                <w:noProof/>
                <w:szCs w:val="20"/>
              </w:rPr>
            </w:pPr>
          </w:p>
        </w:tc>
        <w:tc>
          <w:tcPr>
            <w:tcW w:w="2205" w:type="dxa"/>
          </w:tcPr>
          <w:p w:rsidR="005624E3" w:rsidRPr="00C903F8" w:rsidRDefault="005624E3" w:rsidP="00101A80">
            <w:pPr>
              <w:spacing w:before="40" w:after="40" w:line="240" w:lineRule="atLeast"/>
              <w:rPr>
                <w:noProof/>
                <w:szCs w:val="20"/>
              </w:rPr>
            </w:pPr>
          </w:p>
        </w:tc>
      </w:tr>
    </w:tbl>
    <w:p w:rsidR="005624E3" w:rsidRPr="00C903F8" w:rsidRDefault="005624E3" w:rsidP="005624E3">
      <w:pPr>
        <w:ind w:left="850" w:hanging="850"/>
        <w:rPr>
          <w:noProof/>
        </w:rPr>
      </w:pPr>
    </w:p>
    <w:p w:rsidR="005624E3" w:rsidRPr="00C903F8" w:rsidRDefault="005624E3" w:rsidP="005624E3">
      <w:pPr>
        <w:ind w:left="850" w:hanging="850"/>
        <w:rPr>
          <w:noProof/>
        </w:rPr>
      </w:pPr>
    </w:p>
    <w:p w:rsidR="005624E3" w:rsidRPr="00C903F8" w:rsidRDefault="005624E3" w:rsidP="005624E3">
      <w:pPr>
        <w:spacing w:line="240" w:lineRule="atLeast"/>
        <w:ind w:left="1560" w:hanging="1134"/>
        <w:rPr>
          <w:noProof/>
        </w:rPr>
      </w:pPr>
      <w:r>
        <w:t>2. szakasz:</w:t>
      </w:r>
      <w:r>
        <w:tab/>
        <w:t>A követelményszint jele. A tisztítási hatékonysággal kapcsolatos követelmények a jövőben várhatóan szigorodni fognak. A különböző követelményszinteket római számok jelölik, kezdve az „I” számmal.</w:t>
      </w:r>
    </w:p>
    <w:p w:rsidR="005624E3" w:rsidRPr="00C903F8" w:rsidRDefault="005624E3" w:rsidP="005624E3">
      <w:pPr>
        <w:spacing w:line="240" w:lineRule="atLeast"/>
        <w:ind w:left="1560" w:hanging="1134"/>
        <w:rPr>
          <w:noProof/>
        </w:rPr>
      </w:pPr>
    </w:p>
    <w:p w:rsidR="005624E3" w:rsidRPr="00C903F8" w:rsidRDefault="005624E3" w:rsidP="005624E3">
      <w:pPr>
        <w:spacing w:line="240" w:lineRule="atLeast"/>
        <w:ind w:left="1560" w:hanging="1134"/>
        <w:rPr>
          <w:noProof/>
        </w:rPr>
      </w:pPr>
      <w:r>
        <w:t>3. szakasz:</w:t>
      </w:r>
      <w:r>
        <w:tab/>
        <w:t>Négyjegyű sorszám (megfelelő esetben nullákkal kezdve) az alapul szolgáló típusjóváhagyási szám jelölésére. A számozás 0001-gyel kezdődik.</w:t>
      </w:r>
    </w:p>
    <w:p w:rsidR="005624E3" w:rsidRPr="00C903F8" w:rsidRDefault="005624E3" w:rsidP="005624E3">
      <w:pPr>
        <w:spacing w:line="240" w:lineRule="atLeast"/>
        <w:ind w:left="1560" w:hanging="1134"/>
        <w:rPr>
          <w:noProof/>
        </w:rPr>
      </w:pPr>
    </w:p>
    <w:p w:rsidR="005624E3" w:rsidRPr="00C903F8" w:rsidRDefault="005624E3" w:rsidP="005624E3">
      <w:pPr>
        <w:spacing w:line="240" w:lineRule="atLeast"/>
        <w:ind w:left="1560" w:hanging="1134"/>
        <w:rPr>
          <w:noProof/>
        </w:rPr>
      </w:pPr>
      <w:r>
        <w:t>4. szakasz:</w:t>
      </w:r>
      <w:r>
        <w:tab/>
        <w:t>Kétjegyű sorszám (megfelelő esetben nullával kezdve) a meghosszabbítás jelölésére. A számozás minden szám esetében 01-gyel kezdődik.</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2.</w:t>
      </w:r>
      <w:r>
        <w:tab/>
      </w:r>
      <w:r>
        <w:rPr>
          <w:noProof/>
          <w:color w:val="000000"/>
        </w:rPr>
        <w:t>Példák</w:t>
      </w:r>
    </w:p>
    <w:p w:rsidR="005624E3" w:rsidRPr="00C903F8" w:rsidRDefault="005624E3" w:rsidP="005624E3">
      <w:pPr>
        <w:spacing w:before="60" w:line="240" w:lineRule="atLeast"/>
        <w:ind w:left="851"/>
        <w:rPr>
          <w:rFonts w:cs="Arial"/>
          <w:noProof/>
        </w:rPr>
      </w:pPr>
      <w:r>
        <w:t>a)</w:t>
      </w:r>
      <w:r>
        <w:tab/>
        <w:t>Hollandia által kiadott, I. szinthez tartozó harmadik típusjóváhagyás (meghosszabbítás nélkül):</w:t>
      </w:r>
    </w:p>
    <w:p w:rsidR="005624E3" w:rsidRPr="00C903F8" w:rsidRDefault="005624E3" w:rsidP="005624E3">
      <w:pPr>
        <w:spacing w:before="60" w:line="240" w:lineRule="atLeast"/>
        <w:ind w:left="851"/>
        <w:jc w:val="center"/>
        <w:rPr>
          <w:rFonts w:cs="Arial"/>
          <w:noProof/>
        </w:rPr>
      </w:pPr>
      <w:r>
        <w:t>R 4*I*0003*00 vagy e 4*I*0003*00</w:t>
      </w:r>
    </w:p>
    <w:p w:rsidR="005624E3" w:rsidRPr="00C903F8" w:rsidRDefault="005624E3" w:rsidP="005624E3">
      <w:pPr>
        <w:spacing w:before="60" w:line="240" w:lineRule="atLeast"/>
        <w:ind w:left="851"/>
        <w:rPr>
          <w:rFonts w:cs="Arial"/>
          <w:noProof/>
        </w:rPr>
      </w:pPr>
      <w:r>
        <w:t>b)</w:t>
      </w:r>
      <w:r>
        <w:tab/>
        <w:t>Németország által kiadott, II. szinthez tartozó negyedik típusjóváhagyás, második meghosszabbítás:</w:t>
      </w:r>
    </w:p>
    <w:p w:rsidR="005624E3" w:rsidRPr="00D50F76" w:rsidRDefault="005624E3" w:rsidP="005624E3">
      <w:pPr>
        <w:spacing w:before="60" w:line="240" w:lineRule="atLeast"/>
        <w:ind w:left="851"/>
        <w:jc w:val="center"/>
        <w:rPr>
          <w:rFonts w:cs="Arial"/>
          <w:noProof/>
          <w:szCs w:val="20"/>
          <w:lang w:val="pt-PT"/>
        </w:rPr>
      </w:pPr>
      <w:r w:rsidRPr="00D50F76">
        <w:rPr>
          <w:lang w:val="pt-PT"/>
        </w:rPr>
        <w:t>R 1*II* 0004*02 vagy e 4*I*0003*00</w:t>
      </w:r>
    </w:p>
    <w:p w:rsidR="005624E3" w:rsidRPr="00D50F76" w:rsidRDefault="005624E3" w:rsidP="005624E3">
      <w:pPr>
        <w:spacing w:before="60" w:line="240" w:lineRule="atLeast"/>
        <w:ind w:left="851"/>
        <w:jc w:val="center"/>
        <w:rPr>
          <w:rFonts w:cs="Arial"/>
          <w:noProof/>
          <w:lang w:val="pt-PT"/>
        </w:rPr>
      </w:pPr>
    </w:p>
    <w:p w:rsidR="005624E3" w:rsidRPr="00D50F76" w:rsidRDefault="005624E3" w:rsidP="005624E3">
      <w:pPr>
        <w:spacing w:line="240" w:lineRule="atLeast"/>
        <w:rPr>
          <w:rFonts w:cs="Arial"/>
          <w:color w:val="000000"/>
          <w:lang w:val="pt-PT"/>
        </w:rPr>
      </w:pPr>
      <w:r w:rsidRPr="00D50F76">
        <w:rPr>
          <w:lang w:val="pt-PT"/>
        </w:rPr>
        <w:br w:type="page"/>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noProof/>
          <w:color w:val="000000"/>
          <w:lang w:val="pt-PT"/>
        </w:rPr>
      </w:pPr>
    </w:p>
    <w:p w:rsidR="005624E3" w:rsidRPr="00D50F76" w:rsidRDefault="005624E3" w:rsidP="005624E3">
      <w:pPr>
        <w:suppressAutoHyphens/>
        <w:spacing w:line="240" w:lineRule="atLeast"/>
        <w:ind w:left="426" w:hanging="426"/>
        <w:jc w:val="center"/>
        <w:rPr>
          <w:rFonts w:cs="Arial"/>
          <w:lang w:val="pt-PT"/>
        </w:rPr>
      </w:pPr>
    </w:p>
    <w:p w:rsidR="005624E3" w:rsidRPr="00D50F76" w:rsidRDefault="005624E3" w:rsidP="005624E3">
      <w:pPr>
        <w:suppressAutoHyphens/>
        <w:rPr>
          <w:rFonts w:cs="Arial"/>
          <w:lang w:val="pt-PT"/>
        </w:rPr>
        <w:sectPr w:rsidR="005624E3" w:rsidRPr="00D50F76" w:rsidSect="00FB55E9">
          <w:headerReference w:type="default" r:id="rId74"/>
          <w:footerReference w:type="default" r:id="rId75"/>
          <w:footnotePr>
            <w:numRestart w:val="eachPage"/>
          </w:footnotePr>
          <w:pgSz w:w="11907" w:h="16840" w:code="9"/>
          <w:pgMar w:top="1361" w:right="1418" w:bottom="1361" w:left="1418" w:header="680" w:footer="680" w:gutter="0"/>
          <w:cols w:space="720"/>
          <w:docGrid w:linePitch="326"/>
        </w:sectPr>
      </w:pPr>
    </w:p>
    <w:p w:rsidR="005624E3" w:rsidRPr="00D50F76" w:rsidRDefault="005624E3" w:rsidP="005624E3">
      <w:pPr>
        <w:spacing w:line="240" w:lineRule="atLeast"/>
        <w:ind w:left="567" w:hanging="567"/>
        <w:rPr>
          <w:noProof/>
          <w:lang w:val="pt-PT"/>
        </w:rPr>
      </w:pPr>
    </w:p>
    <w:p w:rsidR="005624E3" w:rsidRPr="00D50F76" w:rsidRDefault="005624E3" w:rsidP="005624E3">
      <w:pPr>
        <w:pStyle w:val="ES-Titre3"/>
        <w:rPr>
          <w:noProof/>
          <w:lang w:val="pt-PT"/>
        </w:rPr>
      </w:pPr>
      <w:bookmarkStart w:id="700" w:name="_Toc491854332"/>
      <w:bookmarkStart w:id="701" w:name="_Toc535854113"/>
      <w:r w:rsidRPr="00D50F76">
        <w:rPr>
          <w:lang w:val="pt-PT"/>
        </w:rPr>
        <w:t>V. szakasz</w:t>
      </w:r>
      <w:bookmarkEnd w:id="700"/>
      <w:bookmarkEnd w:id="701"/>
    </w:p>
    <w:p w:rsidR="005624E3" w:rsidRPr="00D50F76" w:rsidRDefault="005624E3" w:rsidP="005624E3">
      <w:pPr>
        <w:pStyle w:val="ES-Titre3a"/>
        <w:rPr>
          <w:noProof/>
          <w:lang w:val="pt-PT"/>
        </w:rPr>
      </w:pPr>
      <w:bookmarkStart w:id="702" w:name="_Toc491854333"/>
      <w:bookmarkStart w:id="703" w:name="_Toc535854114"/>
      <w:r w:rsidRPr="00D50F76">
        <w:rPr>
          <w:lang w:val="pt-PT"/>
        </w:rPr>
        <w:t>Összefoglaló adatok a fedélzeti szennyvízkezelő művek típusaira vonatkozó típusjóváhagyásokról</w:t>
      </w:r>
      <w:bookmarkEnd w:id="702"/>
      <w:bookmarkEnd w:id="703"/>
      <w:r w:rsidRPr="00D50F76">
        <w:rPr>
          <w:lang w:val="pt-PT"/>
        </w:rPr>
        <w:t xml:space="preserve"> </w:t>
      </w:r>
    </w:p>
    <w:p w:rsidR="005624E3" w:rsidRPr="00D50F76" w:rsidRDefault="005624E3" w:rsidP="005624E3">
      <w:pPr>
        <w:overflowPunct w:val="0"/>
        <w:adjustRightInd w:val="0"/>
        <w:spacing w:line="240" w:lineRule="exact"/>
        <w:jc w:val="center"/>
        <w:textAlignment w:val="baseline"/>
        <w:rPr>
          <w:rFonts w:eastAsia="Calibri"/>
          <w:sz w:val="14"/>
          <w:szCs w:val="16"/>
          <w:lang w:val="pt-PT"/>
        </w:rPr>
      </w:pPr>
      <w:r w:rsidRPr="00D50F76">
        <w:rPr>
          <w:lang w:val="pt-PT"/>
        </w:rPr>
        <w:t>(Minta)</w:t>
      </w:r>
    </w:p>
    <w:p w:rsidR="005624E3" w:rsidRPr="00D50F76" w:rsidRDefault="005624E3" w:rsidP="005624E3">
      <w:pPr>
        <w:suppressAutoHyphens/>
        <w:spacing w:line="240" w:lineRule="atLeast"/>
        <w:ind w:left="426" w:hanging="426"/>
        <w:rPr>
          <w:rFonts w:cs="Arial"/>
          <w:szCs w:val="20"/>
          <w:lang w:val="pt-PT"/>
        </w:rPr>
      </w:pPr>
    </w:p>
    <w:p w:rsidR="005624E3" w:rsidRPr="00D50F76" w:rsidRDefault="005624E3" w:rsidP="005624E3">
      <w:pPr>
        <w:tabs>
          <w:tab w:val="left" w:pos="11057"/>
        </w:tabs>
        <w:suppressAutoHyphens/>
        <w:spacing w:line="240" w:lineRule="atLeast"/>
        <w:ind w:left="11057"/>
        <w:rPr>
          <w:rFonts w:cs="Arial"/>
          <w:sz w:val="16"/>
          <w:lang w:val="pt-PT"/>
        </w:rPr>
      </w:pPr>
      <w:r w:rsidRPr="00D50F76">
        <w:rPr>
          <w:sz w:val="16"/>
          <w:lang w:val="pt-PT"/>
        </w:rPr>
        <w:t>Az illetékes hatóság bélyegzője</w:t>
      </w:r>
    </w:p>
    <w:p w:rsidR="005624E3" w:rsidRPr="00D50F76" w:rsidRDefault="005624E3" w:rsidP="005624E3">
      <w:pPr>
        <w:suppressAutoHyphens/>
        <w:jc w:val="center"/>
        <w:rPr>
          <w:rFonts w:cs="Arial"/>
          <w:b/>
          <w:sz w:val="16"/>
          <w:szCs w:val="16"/>
          <w:lang w:val="pt-PT"/>
        </w:rPr>
      </w:pPr>
    </w:p>
    <w:p w:rsidR="005624E3" w:rsidRPr="00D50F76" w:rsidRDefault="005624E3" w:rsidP="005624E3">
      <w:pPr>
        <w:tabs>
          <w:tab w:val="left" w:leader="dot" w:pos="3402"/>
          <w:tab w:val="left" w:leader="dot" w:pos="4536"/>
          <w:tab w:val="left" w:leader="dot" w:pos="5670"/>
        </w:tabs>
        <w:suppressAutoHyphens/>
        <w:spacing w:line="240" w:lineRule="atLeast"/>
        <w:rPr>
          <w:rFonts w:cs="Arial"/>
          <w:lang w:val="pt-PT"/>
        </w:rPr>
      </w:pPr>
      <w:r w:rsidRPr="00D50F76">
        <w:rPr>
          <w:lang w:val="pt-PT"/>
        </w:rPr>
        <w:t xml:space="preserve">Jegyzék száma: </w:t>
      </w:r>
      <w:r w:rsidRPr="00D50F76">
        <w:rPr>
          <w:lang w:val="pt-PT"/>
        </w:rPr>
        <w:tab/>
      </w:r>
    </w:p>
    <w:p w:rsidR="005624E3" w:rsidRPr="00C903F8" w:rsidRDefault="005624E3" w:rsidP="005624E3">
      <w:pPr>
        <w:tabs>
          <w:tab w:val="left" w:leader="dot" w:pos="3969"/>
          <w:tab w:val="left" w:pos="4111"/>
          <w:tab w:val="left" w:leader="dot" w:pos="7371"/>
        </w:tabs>
        <w:suppressAutoHyphens/>
        <w:spacing w:line="240" w:lineRule="atLeast"/>
        <w:rPr>
          <w:rFonts w:cs="Arial"/>
        </w:rPr>
      </w:pPr>
      <w:r>
        <w:t xml:space="preserve">Időszak kezdete: </w:t>
      </w:r>
      <w:r>
        <w:tab/>
      </w:r>
      <w:r>
        <w:tab/>
        <w:t xml:space="preserve">, vége: </w:t>
      </w:r>
      <w:r>
        <w:tab/>
      </w:r>
    </w:p>
    <w:p w:rsidR="005624E3" w:rsidRPr="00C903F8" w:rsidRDefault="005624E3" w:rsidP="005624E3">
      <w:pPr>
        <w:suppressAutoHyphens/>
        <w:spacing w:line="240" w:lineRule="atLeast"/>
        <w:rPr>
          <w:rFonts w:cs="Arial"/>
          <w:sz w:val="14"/>
          <w:szCs w:val="16"/>
        </w:rPr>
      </w:pPr>
    </w:p>
    <w:tbl>
      <w:tblPr>
        <w:tblW w:w="0" w:type="auto"/>
        <w:tblInd w:w="136" w:type="dxa"/>
        <w:tblLayout w:type="fixed"/>
        <w:tblCellMar>
          <w:left w:w="56" w:type="dxa"/>
          <w:right w:w="56" w:type="dxa"/>
        </w:tblCellMar>
        <w:tblLook w:val="0000" w:firstRow="0" w:lastRow="0" w:firstColumn="0" w:lastColumn="0" w:noHBand="0" w:noVBand="0"/>
      </w:tblPr>
      <w:tblGrid>
        <w:gridCol w:w="2126"/>
        <w:gridCol w:w="2410"/>
        <w:gridCol w:w="3147"/>
        <w:gridCol w:w="1361"/>
        <w:gridCol w:w="1361"/>
        <w:gridCol w:w="2608"/>
        <w:gridCol w:w="1440"/>
      </w:tblGrid>
      <w:tr w:rsidR="005624E3" w:rsidRPr="00C903F8" w:rsidTr="00101A80">
        <w:tc>
          <w:tcPr>
            <w:tcW w:w="2126"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40" w:after="40" w:line="240" w:lineRule="atLeast"/>
              <w:jc w:val="center"/>
              <w:rPr>
                <w:rFonts w:cs="Arial"/>
                <w:sz w:val="18"/>
              </w:rPr>
            </w:pPr>
            <w:r>
              <w:rPr>
                <w:sz w:val="18"/>
              </w:rPr>
              <w:t>1</w:t>
            </w:r>
          </w:p>
        </w:tc>
        <w:tc>
          <w:tcPr>
            <w:tcW w:w="2410"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40" w:after="40" w:line="240" w:lineRule="atLeast"/>
              <w:jc w:val="center"/>
              <w:rPr>
                <w:rFonts w:cs="Arial"/>
                <w:sz w:val="18"/>
              </w:rPr>
            </w:pPr>
            <w:r>
              <w:rPr>
                <w:sz w:val="18"/>
              </w:rPr>
              <w:t>2</w:t>
            </w:r>
          </w:p>
        </w:tc>
        <w:tc>
          <w:tcPr>
            <w:tcW w:w="3147"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40" w:after="40" w:line="240" w:lineRule="atLeast"/>
              <w:jc w:val="center"/>
              <w:rPr>
                <w:rFonts w:cs="Arial"/>
                <w:sz w:val="18"/>
              </w:rPr>
            </w:pPr>
            <w:r>
              <w:rPr>
                <w:sz w:val="18"/>
              </w:rPr>
              <w:t>3</w:t>
            </w:r>
          </w:p>
        </w:tc>
        <w:tc>
          <w:tcPr>
            <w:tcW w:w="1361"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40" w:after="40" w:line="240" w:lineRule="atLeast"/>
              <w:jc w:val="center"/>
              <w:rPr>
                <w:rFonts w:cs="Arial"/>
                <w:sz w:val="18"/>
              </w:rPr>
            </w:pPr>
            <w:r>
              <w:rPr>
                <w:sz w:val="18"/>
              </w:rPr>
              <w:t>4</w:t>
            </w:r>
          </w:p>
        </w:tc>
        <w:tc>
          <w:tcPr>
            <w:tcW w:w="1361"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40" w:after="40" w:line="240" w:lineRule="atLeast"/>
              <w:jc w:val="center"/>
              <w:rPr>
                <w:rFonts w:cs="Arial"/>
                <w:sz w:val="18"/>
              </w:rPr>
            </w:pPr>
            <w:r>
              <w:rPr>
                <w:sz w:val="18"/>
              </w:rPr>
              <w:t>5</w:t>
            </w:r>
          </w:p>
        </w:tc>
        <w:tc>
          <w:tcPr>
            <w:tcW w:w="2608" w:type="dxa"/>
            <w:tcBorders>
              <w:top w:val="single" w:sz="4" w:space="0" w:color="000000"/>
              <w:left w:val="single" w:sz="4" w:space="0" w:color="000000"/>
              <w:bottom w:val="single" w:sz="4" w:space="0" w:color="000000"/>
            </w:tcBorders>
          </w:tcPr>
          <w:p w:rsidR="005624E3" w:rsidRPr="00C903F8" w:rsidRDefault="005624E3" w:rsidP="00101A80">
            <w:pPr>
              <w:suppressAutoHyphens/>
              <w:snapToGrid w:val="0"/>
              <w:spacing w:before="40" w:after="40" w:line="240" w:lineRule="atLeast"/>
              <w:jc w:val="center"/>
              <w:rPr>
                <w:rFonts w:cs="Arial"/>
                <w:sz w:val="18"/>
              </w:rPr>
            </w:pPr>
            <w:r>
              <w:rPr>
                <w:sz w:val="18"/>
              </w:rPr>
              <w:t>6</w:t>
            </w:r>
          </w:p>
        </w:tc>
        <w:tc>
          <w:tcPr>
            <w:tcW w:w="1440" w:type="dxa"/>
            <w:tcBorders>
              <w:top w:val="single" w:sz="4" w:space="0" w:color="000000"/>
              <w:left w:val="single" w:sz="4" w:space="0" w:color="000000"/>
              <w:bottom w:val="single" w:sz="4" w:space="0" w:color="000000"/>
              <w:right w:val="single" w:sz="4" w:space="0" w:color="000000"/>
            </w:tcBorders>
          </w:tcPr>
          <w:p w:rsidR="005624E3" w:rsidRPr="00C903F8" w:rsidRDefault="005624E3" w:rsidP="00101A80">
            <w:pPr>
              <w:suppressAutoHyphens/>
              <w:snapToGrid w:val="0"/>
              <w:spacing w:before="40" w:after="40" w:line="240" w:lineRule="atLeast"/>
              <w:jc w:val="center"/>
              <w:rPr>
                <w:rFonts w:cs="Arial"/>
                <w:sz w:val="18"/>
              </w:rPr>
            </w:pPr>
            <w:r>
              <w:rPr>
                <w:sz w:val="18"/>
              </w:rPr>
              <w:t>7</w:t>
            </w:r>
          </w:p>
        </w:tc>
      </w:tr>
      <w:tr w:rsidR="005624E3" w:rsidRPr="00A0619C" w:rsidTr="00101A80">
        <w:tc>
          <w:tcPr>
            <w:tcW w:w="2126" w:type="dxa"/>
            <w:tcBorders>
              <w:top w:val="single" w:sz="4" w:space="0" w:color="000000"/>
              <w:left w:val="single" w:sz="4" w:space="0" w:color="000000"/>
              <w:bottom w:val="single" w:sz="4" w:space="0" w:color="000000"/>
            </w:tcBorders>
            <w:vAlign w:val="center"/>
          </w:tcPr>
          <w:p w:rsidR="005624E3" w:rsidRPr="00C903F8" w:rsidRDefault="005624E3" w:rsidP="00101A80">
            <w:pPr>
              <w:suppressAutoHyphens/>
              <w:snapToGrid w:val="0"/>
              <w:spacing w:before="40" w:after="40" w:line="240" w:lineRule="atLeast"/>
              <w:jc w:val="center"/>
              <w:rPr>
                <w:rFonts w:cs="Arial"/>
                <w:sz w:val="18"/>
                <w:vertAlign w:val="superscript"/>
              </w:rPr>
            </w:pPr>
            <w:r>
              <w:rPr>
                <w:sz w:val="18"/>
              </w:rPr>
              <w:t>Gyártmány</w:t>
            </w:r>
            <w:r>
              <w:rPr>
                <w:sz w:val="18"/>
                <w:vertAlign w:val="superscript"/>
              </w:rPr>
              <w:t>(</w:t>
            </w:r>
            <w:r>
              <w:rPr>
                <w:rStyle w:val="FootnoteReference"/>
                <w:sz w:val="18"/>
              </w:rPr>
              <w:footnoteReference w:id="70"/>
            </w:r>
            <w:r>
              <w:rPr>
                <w:sz w:val="18"/>
                <w:vertAlign w:val="superscript"/>
              </w:rPr>
              <w:t xml:space="preserve">) </w:t>
            </w:r>
          </w:p>
        </w:tc>
        <w:tc>
          <w:tcPr>
            <w:tcW w:w="2410" w:type="dxa"/>
            <w:tcBorders>
              <w:top w:val="single" w:sz="4" w:space="0" w:color="000000"/>
              <w:left w:val="single" w:sz="4" w:space="0" w:color="000000"/>
              <w:bottom w:val="single" w:sz="4" w:space="0" w:color="000000"/>
            </w:tcBorders>
            <w:vAlign w:val="center"/>
          </w:tcPr>
          <w:p w:rsidR="005624E3" w:rsidRPr="00C903F8" w:rsidRDefault="005624E3" w:rsidP="00101A80">
            <w:pPr>
              <w:suppressAutoHyphens/>
              <w:snapToGrid w:val="0"/>
              <w:spacing w:before="40" w:after="40" w:line="240" w:lineRule="atLeast"/>
              <w:jc w:val="center"/>
              <w:rPr>
                <w:rFonts w:cs="Arial"/>
                <w:sz w:val="18"/>
                <w:vertAlign w:val="superscript"/>
              </w:rPr>
            </w:pPr>
            <w:r>
              <w:rPr>
                <w:sz w:val="18"/>
              </w:rPr>
              <w:t xml:space="preserve">Gyártói megjelölés </w:t>
            </w:r>
            <w:r>
              <w:rPr>
                <w:sz w:val="18"/>
                <w:vertAlign w:val="superscript"/>
              </w:rPr>
              <w:t>(1)</w:t>
            </w:r>
          </w:p>
        </w:tc>
        <w:tc>
          <w:tcPr>
            <w:tcW w:w="3147" w:type="dxa"/>
            <w:tcBorders>
              <w:top w:val="single" w:sz="4" w:space="0" w:color="000000"/>
              <w:left w:val="single" w:sz="4" w:space="0" w:color="000000"/>
              <w:bottom w:val="single" w:sz="4" w:space="0" w:color="000000"/>
            </w:tcBorders>
            <w:vAlign w:val="center"/>
          </w:tcPr>
          <w:p w:rsidR="005624E3" w:rsidRPr="00C903F8" w:rsidRDefault="005624E3" w:rsidP="00101A80">
            <w:pPr>
              <w:suppressAutoHyphens/>
              <w:snapToGrid w:val="0"/>
              <w:spacing w:before="40" w:after="40" w:line="240" w:lineRule="atLeast"/>
              <w:jc w:val="center"/>
              <w:rPr>
                <w:rFonts w:cs="Arial"/>
                <w:sz w:val="18"/>
              </w:rPr>
            </w:pPr>
            <w:r>
              <w:rPr>
                <w:sz w:val="18"/>
              </w:rPr>
              <w:t>Típusjóváhagyás száma</w:t>
            </w:r>
          </w:p>
        </w:tc>
        <w:tc>
          <w:tcPr>
            <w:tcW w:w="1361" w:type="dxa"/>
            <w:tcBorders>
              <w:top w:val="single" w:sz="4" w:space="0" w:color="000000"/>
              <w:left w:val="single" w:sz="4" w:space="0" w:color="000000"/>
              <w:bottom w:val="single" w:sz="4" w:space="0" w:color="000000"/>
            </w:tcBorders>
            <w:vAlign w:val="center"/>
          </w:tcPr>
          <w:p w:rsidR="005624E3" w:rsidRPr="00C903F8" w:rsidRDefault="005624E3" w:rsidP="00101A80">
            <w:pPr>
              <w:suppressAutoHyphens/>
              <w:snapToGrid w:val="0"/>
              <w:spacing w:before="40" w:after="40" w:line="240" w:lineRule="atLeast"/>
              <w:jc w:val="center"/>
              <w:rPr>
                <w:rFonts w:cs="Arial"/>
                <w:sz w:val="18"/>
              </w:rPr>
            </w:pPr>
            <w:r>
              <w:rPr>
                <w:sz w:val="18"/>
              </w:rPr>
              <w:t>A jóváhagyás dátuma</w:t>
            </w:r>
          </w:p>
        </w:tc>
        <w:tc>
          <w:tcPr>
            <w:tcW w:w="1361" w:type="dxa"/>
            <w:tcBorders>
              <w:top w:val="single" w:sz="4" w:space="0" w:color="000000"/>
              <w:left w:val="single" w:sz="4" w:space="0" w:color="000000"/>
              <w:bottom w:val="single" w:sz="4" w:space="0" w:color="000000"/>
            </w:tcBorders>
            <w:vAlign w:val="center"/>
          </w:tcPr>
          <w:p w:rsidR="005624E3" w:rsidRPr="00C903F8" w:rsidRDefault="005624E3" w:rsidP="00101A80">
            <w:pPr>
              <w:suppressAutoHyphens/>
              <w:snapToGrid w:val="0"/>
              <w:spacing w:before="40" w:after="40" w:line="240" w:lineRule="atLeast"/>
              <w:jc w:val="center"/>
              <w:rPr>
                <w:rFonts w:cs="Arial"/>
                <w:sz w:val="18"/>
                <w:vertAlign w:val="superscript"/>
              </w:rPr>
            </w:pPr>
            <w:r>
              <w:rPr>
                <w:sz w:val="18"/>
              </w:rPr>
              <w:t>Meghosszabbítás/megtagadás/visszavonás</w:t>
            </w:r>
            <w:r>
              <w:rPr>
                <w:sz w:val="18"/>
                <w:vertAlign w:val="superscript"/>
              </w:rPr>
              <w:t xml:space="preserve"> </w:t>
            </w:r>
            <w:r>
              <w:rPr>
                <w:rStyle w:val="FootnoteReference"/>
                <w:sz w:val="18"/>
              </w:rPr>
              <w:footnoteReference w:id="71"/>
            </w:r>
            <w:r>
              <w:rPr>
                <w:sz w:val="18"/>
                <w:vertAlign w:val="superscript"/>
              </w:rPr>
              <w:t>)</w:t>
            </w:r>
          </w:p>
        </w:tc>
        <w:tc>
          <w:tcPr>
            <w:tcW w:w="2608" w:type="dxa"/>
            <w:tcBorders>
              <w:top w:val="single" w:sz="4" w:space="0" w:color="000000"/>
              <w:left w:val="single" w:sz="4" w:space="0" w:color="000000"/>
              <w:bottom w:val="single" w:sz="4" w:space="0" w:color="000000"/>
            </w:tcBorders>
            <w:vAlign w:val="center"/>
          </w:tcPr>
          <w:p w:rsidR="005624E3" w:rsidRPr="00C903F8" w:rsidRDefault="005624E3" w:rsidP="00101A80">
            <w:pPr>
              <w:suppressAutoHyphens/>
              <w:snapToGrid w:val="0"/>
              <w:spacing w:before="40" w:after="40" w:line="240" w:lineRule="atLeast"/>
              <w:jc w:val="center"/>
              <w:rPr>
                <w:rFonts w:cs="Arial"/>
                <w:sz w:val="18"/>
              </w:rPr>
            </w:pPr>
            <w:r>
              <w:rPr>
                <w:sz w:val="18"/>
              </w:rPr>
              <w:t>A meghosszabbítás/megtagadás/visszavonás oka</w:t>
            </w:r>
          </w:p>
        </w:tc>
        <w:tc>
          <w:tcPr>
            <w:tcW w:w="1440" w:type="dxa"/>
            <w:tcBorders>
              <w:top w:val="single" w:sz="4" w:space="0" w:color="000000"/>
              <w:left w:val="single" w:sz="4" w:space="0" w:color="000000"/>
              <w:bottom w:val="single" w:sz="4" w:space="0" w:color="000000"/>
              <w:right w:val="single" w:sz="4" w:space="0" w:color="000000"/>
            </w:tcBorders>
            <w:vAlign w:val="center"/>
          </w:tcPr>
          <w:p w:rsidR="005624E3" w:rsidRPr="00C903F8" w:rsidRDefault="005624E3" w:rsidP="00101A80">
            <w:pPr>
              <w:suppressAutoHyphens/>
              <w:snapToGrid w:val="0"/>
              <w:spacing w:before="40" w:after="40" w:line="240" w:lineRule="atLeast"/>
              <w:jc w:val="center"/>
              <w:rPr>
                <w:rFonts w:cs="Arial"/>
                <w:sz w:val="18"/>
                <w:vertAlign w:val="superscript"/>
              </w:rPr>
            </w:pPr>
            <w:r>
              <w:rPr>
                <w:sz w:val="18"/>
              </w:rPr>
              <w:t>A meghosszabbítás/megtagadás/visszavonás dátuma</w:t>
            </w:r>
            <w:r>
              <w:rPr>
                <w:sz w:val="18"/>
                <w:vertAlign w:val="superscript"/>
              </w:rPr>
              <w:t xml:space="preserve"> 2)</w:t>
            </w: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r w:rsidR="005624E3" w:rsidRPr="00A0619C" w:rsidTr="00101A80">
        <w:tc>
          <w:tcPr>
            <w:tcW w:w="2126"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410"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3147"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361"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2608" w:type="dxa"/>
            <w:tcBorders>
              <w:left w:val="single" w:sz="4" w:space="0" w:color="000000"/>
            </w:tcBorders>
          </w:tcPr>
          <w:p w:rsidR="005624E3" w:rsidRPr="00C903F8" w:rsidRDefault="005624E3" w:rsidP="00101A80">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5624E3" w:rsidRPr="00C903F8" w:rsidRDefault="005624E3" w:rsidP="00101A80">
            <w:pPr>
              <w:suppressAutoHyphens/>
              <w:snapToGrid w:val="0"/>
              <w:spacing w:before="40" w:after="40" w:line="240" w:lineRule="atLeast"/>
              <w:rPr>
                <w:rFonts w:cs="Arial"/>
                <w:sz w:val="18"/>
              </w:rPr>
            </w:pPr>
          </w:p>
        </w:tc>
      </w:tr>
    </w:tbl>
    <w:p w:rsidR="005624E3" w:rsidRPr="00C903F8" w:rsidRDefault="005624E3" w:rsidP="005624E3">
      <w:pPr>
        <w:suppressAutoHyphens/>
        <w:spacing w:line="240" w:lineRule="atLeast"/>
        <w:ind w:left="426" w:hanging="426"/>
        <w:rPr>
          <w:rFonts w:cs="Arial"/>
        </w:rPr>
      </w:pPr>
    </w:p>
    <w:p w:rsidR="005624E3" w:rsidRPr="00C903F8" w:rsidRDefault="005624E3" w:rsidP="005624E3">
      <w:pPr>
        <w:suppressAutoHyphens/>
        <w:spacing w:line="240" w:lineRule="atLeast"/>
        <w:ind w:left="426" w:hanging="426"/>
        <w:rPr>
          <w:rFonts w:cs="Arial"/>
        </w:rPr>
      </w:pPr>
      <w:r>
        <w:br w:type="page"/>
      </w:r>
    </w:p>
    <w:p w:rsidR="005624E3" w:rsidRPr="00C903F8" w:rsidRDefault="005624E3" w:rsidP="005624E3">
      <w:pPr>
        <w:suppressAutoHyphens/>
        <w:spacing w:line="240" w:lineRule="atLeast"/>
        <w:ind w:left="426" w:hanging="426"/>
        <w:rPr>
          <w:rFonts w:cs="Arial"/>
        </w:rPr>
      </w:pPr>
    </w:p>
    <w:p w:rsidR="005624E3" w:rsidRPr="00C903F8" w:rsidRDefault="005624E3" w:rsidP="005624E3">
      <w:pPr>
        <w:suppressAutoHyphens/>
        <w:spacing w:line="240" w:lineRule="atLeast"/>
        <w:ind w:left="426" w:hanging="426"/>
        <w:rPr>
          <w:rFonts w:cs="Arial"/>
        </w:rPr>
      </w:pPr>
    </w:p>
    <w:p w:rsidR="005624E3" w:rsidRPr="00C903F8" w:rsidRDefault="005624E3" w:rsidP="005624E3">
      <w:pPr>
        <w:suppressAutoHyphens/>
        <w:spacing w:line="240" w:lineRule="atLeast"/>
        <w:ind w:left="426" w:hanging="426"/>
        <w:rPr>
          <w:rFonts w:cs="Arial"/>
        </w:rPr>
      </w:pPr>
    </w:p>
    <w:p w:rsidR="005624E3" w:rsidRPr="00C903F8" w:rsidRDefault="005624E3" w:rsidP="005624E3">
      <w:pPr>
        <w:suppressAutoHyphens/>
        <w:spacing w:line="240" w:lineRule="atLeast"/>
        <w:ind w:left="426" w:hanging="426"/>
        <w:rPr>
          <w:rFonts w:cs="Arial"/>
        </w:rPr>
      </w:pPr>
    </w:p>
    <w:p w:rsidR="005624E3" w:rsidRPr="00C903F8" w:rsidRDefault="005624E3" w:rsidP="005624E3">
      <w:pPr>
        <w:suppressAutoHyphens/>
        <w:spacing w:line="240" w:lineRule="atLeast"/>
        <w:ind w:left="426" w:hanging="426"/>
        <w:rPr>
          <w:rFonts w:cs="Arial"/>
          <w:szCs w:val="20"/>
        </w:rPr>
      </w:pPr>
    </w:p>
    <w:p w:rsidR="005624E3" w:rsidRPr="00C903F8" w:rsidRDefault="005624E3" w:rsidP="005624E3">
      <w:pPr>
        <w:suppressAutoHyphens/>
        <w:spacing w:line="240" w:lineRule="atLeast"/>
        <w:ind w:left="426" w:hanging="426"/>
        <w:rPr>
          <w:rFonts w:cs="Arial"/>
          <w:szCs w:val="20"/>
        </w:rPr>
      </w:pPr>
    </w:p>
    <w:p w:rsidR="005624E3" w:rsidRPr="00C903F8" w:rsidRDefault="005624E3" w:rsidP="005624E3">
      <w:pPr>
        <w:suppressAutoHyphens/>
        <w:rPr>
          <w:rFonts w:cs="Arial"/>
        </w:rPr>
        <w:sectPr w:rsidR="005624E3" w:rsidRPr="00C903F8" w:rsidSect="009C13A9">
          <w:headerReference w:type="even" r:id="rId76"/>
          <w:headerReference w:type="default" r:id="rId77"/>
          <w:footerReference w:type="even" r:id="rId78"/>
          <w:footerReference w:type="default" r:id="rId79"/>
          <w:headerReference w:type="first" r:id="rId80"/>
          <w:footerReference w:type="first" r:id="rId81"/>
          <w:footnotePr>
            <w:numRestart w:val="eachPage"/>
          </w:footnotePr>
          <w:pgSz w:w="16840" w:h="11907" w:orient="landscape" w:code="9"/>
          <w:pgMar w:top="1418" w:right="1418" w:bottom="1418" w:left="1418" w:header="680" w:footer="680" w:gutter="0"/>
          <w:cols w:space="720"/>
          <w:docGrid w:linePitch="360"/>
        </w:sectPr>
      </w:pPr>
    </w:p>
    <w:p w:rsidR="005624E3" w:rsidRPr="00C903F8" w:rsidRDefault="005624E3" w:rsidP="005624E3">
      <w:pPr>
        <w:suppressAutoHyphens/>
        <w:spacing w:line="240" w:lineRule="atLeast"/>
        <w:jc w:val="center"/>
        <w:rPr>
          <w:rFonts w:cs="Arial"/>
        </w:rPr>
      </w:pPr>
    </w:p>
    <w:p w:rsidR="005624E3" w:rsidRPr="00C903F8" w:rsidRDefault="005624E3" w:rsidP="005624E3">
      <w:pPr>
        <w:pStyle w:val="ES-Titre3"/>
        <w:rPr>
          <w:noProof/>
        </w:rPr>
      </w:pPr>
      <w:bookmarkStart w:id="704" w:name="_Toc491854334"/>
      <w:bookmarkStart w:id="705" w:name="_Toc535854115"/>
      <w:r>
        <w:t>VI. szakasz</w:t>
      </w:r>
      <w:bookmarkEnd w:id="704"/>
      <w:bookmarkEnd w:id="705"/>
    </w:p>
    <w:p w:rsidR="005624E3" w:rsidRPr="00C903F8" w:rsidRDefault="005624E3" w:rsidP="005624E3">
      <w:pPr>
        <w:pStyle w:val="ES-Titre3a"/>
        <w:rPr>
          <w:noProof/>
        </w:rPr>
      </w:pPr>
      <w:bookmarkStart w:id="706" w:name="_Toc491854335"/>
      <w:bookmarkStart w:id="707" w:name="_Toc535854116"/>
      <w:r>
        <w:t>Összefoglaló adatok a legyártott fedélzeti szennyvízkezelő művekről</w:t>
      </w:r>
      <w:bookmarkEnd w:id="706"/>
      <w:bookmarkEnd w:id="707"/>
    </w:p>
    <w:p w:rsidR="005624E3" w:rsidRPr="00C903F8" w:rsidRDefault="005624E3" w:rsidP="005624E3">
      <w:pPr>
        <w:overflowPunct w:val="0"/>
        <w:adjustRightInd w:val="0"/>
        <w:spacing w:line="240" w:lineRule="exact"/>
        <w:jc w:val="center"/>
        <w:textAlignment w:val="baseline"/>
        <w:rPr>
          <w:rFonts w:eastAsia="Calibri" w:cs="Arial"/>
          <w:szCs w:val="20"/>
        </w:rPr>
      </w:pPr>
      <w:r>
        <w:t>(Minta)</w:t>
      </w:r>
    </w:p>
    <w:p w:rsidR="005624E3" w:rsidRPr="00C903F8" w:rsidRDefault="005624E3" w:rsidP="005624E3">
      <w:pPr>
        <w:suppressAutoHyphens/>
        <w:spacing w:line="240" w:lineRule="atLeast"/>
        <w:rPr>
          <w:rFonts w:cs="Arial"/>
        </w:rPr>
      </w:pPr>
    </w:p>
    <w:p w:rsidR="005624E3" w:rsidRPr="00C903F8" w:rsidRDefault="005624E3" w:rsidP="005624E3">
      <w:pPr>
        <w:suppressAutoHyphens/>
        <w:spacing w:line="240" w:lineRule="atLeast"/>
        <w:jc w:val="right"/>
        <w:rPr>
          <w:rFonts w:cs="Arial"/>
          <w:szCs w:val="20"/>
        </w:rPr>
      </w:pPr>
      <w:r>
        <w:rPr>
          <w:sz w:val="16"/>
        </w:rPr>
        <w:t>Az illetékes hatóság bélyegzője</w:t>
      </w:r>
    </w:p>
    <w:p w:rsidR="005624E3" w:rsidRPr="00C903F8" w:rsidRDefault="005624E3" w:rsidP="005624E3">
      <w:pPr>
        <w:tabs>
          <w:tab w:val="left" w:leader="dot" w:pos="9072"/>
        </w:tabs>
        <w:suppressAutoHyphens/>
        <w:spacing w:line="240" w:lineRule="atLeast"/>
        <w:rPr>
          <w:rFonts w:cs="Arial"/>
          <w:szCs w:val="20"/>
        </w:rPr>
      </w:pPr>
    </w:p>
    <w:p w:rsidR="005624E3" w:rsidRPr="00C903F8" w:rsidRDefault="005624E3" w:rsidP="005624E3">
      <w:pPr>
        <w:tabs>
          <w:tab w:val="left" w:leader="dot" w:pos="9072"/>
        </w:tabs>
        <w:suppressAutoHyphens/>
        <w:spacing w:line="240" w:lineRule="atLeast"/>
        <w:rPr>
          <w:rFonts w:cs="Arial"/>
          <w:szCs w:val="20"/>
        </w:rPr>
      </w:pPr>
      <w:r>
        <w:t xml:space="preserve">Jegyzék száma: </w:t>
      </w:r>
      <w:r>
        <w:tab/>
      </w:r>
    </w:p>
    <w:p w:rsidR="005624E3" w:rsidRPr="00C903F8" w:rsidRDefault="005624E3" w:rsidP="005624E3">
      <w:pPr>
        <w:tabs>
          <w:tab w:val="left" w:leader="dot" w:pos="4536"/>
          <w:tab w:val="left" w:leader="dot" w:pos="8505"/>
          <w:tab w:val="left" w:leader="dot" w:pos="9072"/>
        </w:tabs>
        <w:suppressAutoHyphens/>
        <w:spacing w:line="240" w:lineRule="atLeast"/>
        <w:rPr>
          <w:rFonts w:cs="Arial"/>
          <w:szCs w:val="20"/>
        </w:rPr>
      </w:pPr>
    </w:p>
    <w:p w:rsidR="005624E3" w:rsidRPr="00C903F8" w:rsidRDefault="005624E3" w:rsidP="005624E3">
      <w:pPr>
        <w:tabs>
          <w:tab w:val="left" w:leader="dot" w:pos="4536"/>
          <w:tab w:val="left" w:pos="4678"/>
          <w:tab w:val="left" w:leader="dot" w:pos="9072"/>
        </w:tabs>
        <w:suppressAutoHyphens/>
        <w:spacing w:line="240" w:lineRule="atLeast"/>
        <w:rPr>
          <w:rFonts w:cs="Arial"/>
          <w:szCs w:val="20"/>
        </w:rPr>
      </w:pPr>
      <w:r>
        <w:t xml:space="preserve">Időszak kezdete: </w:t>
      </w:r>
      <w:r>
        <w:tab/>
        <w:t xml:space="preserve"> </w:t>
      </w:r>
      <w:r>
        <w:tab/>
        <w:t xml:space="preserve">, vége: </w:t>
      </w:r>
      <w:r>
        <w:tab/>
      </w:r>
    </w:p>
    <w:p w:rsidR="005624E3" w:rsidRPr="00C903F8" w:rsidRDefault="005624E3" w:rsidP="005624E3">
      <w:pPr>
        <w:tabs>
          <w:tab w:val="left" w:leader="dot" w:pos="9072"/>
        </w:tabs>
        <w:suppressAutoHyphens/>
        <w:spacing w:line="240" w:lineRule="atLeast"/>
        <w:rPr>
          <w:rFonts w:cs="Arial"/>
          <w:szCs w:val="20"/>
        </w:rPr>
      </w:pPr>
    </w:p>
    <w:p w:rsidR="005624E3" w:rsidRPr="00C903F8" w:rsidRDefault="005624E3" w:rsidP="005624E3">
      <w:pPr>
        <w:tabs>
          <w:tab w:val="left" w:leader="dot" w:pos="9072"/>
        </w:tabs>
        <w:suppressAutoHyphens/>
        <w:spacing w:line="240" w:lineRule="atLeast"/>
        <w:rPr>
          <w:rFonts w:cs="Arial"/>
          <w:szCs w:val="20"/>
        </w:rPr>
      </w:pPr>
      <w:r>
        <w:t xml:space="preserve">Az alábbi adatokat a </w:t>
      </w:r>
      <w:r w:rsidR="00E608AB" w:rsidRPr="00E608AB">
        <w:t>belvízi hajók műszaki követelményeit meghatározó európai szabvány</w:t>
      </w:r>
      <w:r>
        <w:t xml:space="preserve"> (ES-TRIN) rendelkezéseivel összhangban, a fent megjelölt időszakban legyártott fedélzeti szennyvízkezelő művek típusáról és típusjóváhagyási számáról szolgáltatjuk.</w:t>
      </w:r>
    </w:p>
    <w:p w:rsidR="005624E3" w:rsidRPr="00C903F8" w:rsidRDefault="005624E3" w:rsidP="005624E3">
      <w:pPr>
        <w:spacing w:line="240" w:lineRule="atLeast"/>
        <w:rPr>
          <w:rFonts w:cs="Arial"/>
          <w:color w:val="000000"/>
        </w:rPr>
      </w:pPr>
    </w:p>
    <w:p w:rsidR="005624E3" w:rsidRPr="00C903F8" w:rsidRDefault="005624E3" w:rsidP="005624E3">
      <w:pPr>
        <w:tabs>
          <w:tab w:val="left" w:leader="dot" w:pos="9072"/>
        </w:tabs>
        <w:suppressAutoHyphens/>
        <w:spacing w:line="240" w:lineRule="atLeast"/>
        <w:rPr>
          <w:rFonts w:cs="Arial"/>
          <w:szCs w:val="20"/>
        </w:rPr>
      </w:pPr>
      <w:r>
        <w:t xml:space="preserve">Gyártmány (a gyártó vállalat neve): </w:t>
      </w:r>
      <w:r>
        <w:tab/>
      </w:r>
    </w:p>
    <w:p w:rsidR="005624E3" w:rsidRPr="00C903F8" w:rsidRDefault="005624E3" w:rsidP="005624E3">
      <w:pPr>
        <w:tabs>
          <w:tab w:val="left" w:leader="dot" w:pos="9072"/>
        </w:tabs>
        <w:suppressAutoHyphens/>
        <w:spacing w:line="240" w:lineRule="atLeast"/>
        <w:rPr>
          <w:rFonts w:cs="Arial"/>
          <w:szCs w:val="20"/>
        </w:rPr>
      </w:pPr>
    </w:p>
    <w:p w:rsidR="005624E3" w:rsidRPr="00C903F8" w:rsidRDefault="005624E3" w:rsidP="005624E3">
      <w:pPr>
        <w:tabs>
          <w:tab w:val="left" w:leader="dot" w:pos="9072"/>
        </w:tabs>
        <w:suppressAutoHyphens/>
        <w:spacing w:line="240" w:lineRule="atLeast"/>
        <w:rPr>
          <w:rFonts w:cs="Arial"/>
          <w:szCs w:val="20"/>
        </w:rPr>
      </w:pPr>
      <w:r>
        <w:t xml:space="preserve">Gyártói megjelölés a fedélzeti szennyvízkezelő mű típusának azonosítására: </w:t>
      </w:r>
      <w:r>
        <w:tab/>
      </w:r>
    </w:p>
    <w:p w:rsidR="005624E3" w:rsidRPr="00C903F8" w:rsidRDefault="005624E3" w:rsidP="005624E3">
      <w:pPr>
        <w:tabs>
          <w:tab w:val="left" w:leader="dot" w:pos="9072"/>
        </w:tabs>
        <w:suppressAutoHyphens/>
        <w:spacing w:line="240" w:lineRule="atLeast"/>
        <w:rPr>
          <w:rFonts w:cs="Arial"/>
          <w:szCs w:val="20"/>
        </w:rPr>
      </w:pPr>
      <w:r>
        <w:tab/>
      </w:r>
    </w:p>
    <w:p w:rsidR="005624E3" w:rsidRPr="00C903F8" w:rsidRDefault="005624E3" w:rsidP="005624E3">
      <w:pPr>
        <w:tabs>
          <w:tab w:val="left" w:leader="dot" w:pos="9072"/>
        </w:tabs>
        <w:suppressAutoHyphens/>
        <w:spacing w:line="240" w:lineRule="atLeast"/>
        <w:rPr>
          <w:rFonts w:cs="Arial"/>
          <w:szCs w:val="20"/>
        </w:rPr>
      </w:pPr>
    </w:p>
    <w:p w:rsidR="005624E3" w:rsidRPr="00C903F8" w:rsidRDefault="005624E3" w:rsidP="005624E3">
      <w:pPr>
        <w:tabs>
          <w:tab w:val="left" w:leader="dot" w:pos="9072"/>
        </w:tabs>
        <w:suppressAutoHyphens/>
        <w:spacing w:line="240" w:lineRule="atLeast"/>
        <w:rPr>
          <w:rFonts w:cs="Arial"/>
          <w:szCs w:val="20"/>
        </w:rPr>
      </w:pPr>
      <w:r>
        <w:t xml:space="preserve">Típusjóváhagyás száma: </w:t>
      </w:r>
      <w:r>
        <w:tab/>
      </w:r>
    </w:p>
    <w:p w:rsidR="005624E3" w:rsidRPr="00C903F8" w:rsidRDefault="005624E3" w:rsidP="005624E3">
      <w:pPr>
        <w:tabs>
          <w:tab w:val="left" w:leader="dot" w:pos="9072"/>
        </w:tabs>
        <w:suppressAutoHyphens/>
        <w:spacing w:line="240" w:lineRule="atLeast"/>
        <w:rPr>
          <w:rFonts w:cs="Arial"/>
          <w:szCs w:val="20"/>
        </w:rPr>
      </w:pPr>
    </w:p>
    <w:p w:rsidR="005624E3" w:rsidRPr="00C903F8" w:rsidRDefault="005624E3" w:rsidP="005624E3">
      <w:pPr>
        <w:tabs>
          <w:tab w:val="left" w:leader="dot" w:pos="9072"/>
        </w:tabs>
        <w:suppressAutoHyphens/>
        <w:spacing w:line="240" w:lineRule="atLeast"/>
        <w:rPr>
          <w:rFonts w:cs="Arial"/>
          <w:szCs w:val="20"/>
        </w:rPr>
      </w:pPr>
      <w:r>
        <w:t xml:space="preserve">Az első kibocsátás időpontja: </w:t>
      </w:r>
      <w:r>
        <w:tab/>
      </w:r>
    </w:p>
    <w:p w:rsidR="005624E3" w:rsidRPr="00C903F8" w:rsidRDefault="005624E3" w:rsidP="005624E3">
      <w:pPr>
        <w:tabs>
          <w:tab w:val="left" w:leader="dot" w:pos="9072"/>
        </w:tabs>
        <w:suppressAutoHyphens/>
        <w:spacing w:line="240" w:lineRule="atLeast"/>
        <w:rPr>
          <w:rFonts w:cs="Arial"/>
          <w:szCs w:val="20"/>
        </w:rPr>
      </w:pPr>
    </w:p>
    <w:p w:rsidR="005624E3" w:rsidRPr="00C903F8" w:rsidRDefault="005624E3" w:rsidP="005624E3">
      <w:pPr>
        <w:tabs>
          <w:tab w:val="left" w:leader="dot" w:pos="9072"/>
        </w:tabs>
        <w:suppressAutoHyphens/>
        <w:spacing w:line="240" w:lineRule="atLeast"/>
        <w:rPr>
          <w:rFonts w:cs="Arial"/>
          <w:szCs w:val="20"/>
        </w:rPr>
      </w:pPr>
      <w:r>
        <w:t>Az eredeti kibocsátás időpontja (meghosszabbítás esetén):</w:t>
      </w:r>
      <w:r>
        <w:tab/>
      </w:r>
    </w:p>
    <w:p w:rsidR="005624E3" w:rsidRPr="00C903F8" w:rsidRDefault="005624E3" w:rsidP="005624E3">
      <w:pPr>
        <w:tabs>
          <w:tab w:val="left" w:leader="dot" w:pos="9072"/>
        </w:tabs>
        <w:suppressAutoHyphens/>
        <w:spacing w:line="240" w:lineRule="atLeast"/>
        <w:ind w:left="567"/>
        <w:rPr>
          <w:rFonts w:cs="Arial"/>
          <w:szCs w:val="20"/>
        </w:rPr>
      </w:pPr>
    </w:p>
    <w:p w:rsidR="005624E3" w:rsidRPr="00C903F8" w:rsidRDefault="00EA3F15" w:rsidP="005624E3">
      <w:pPr>
        <w:tabs>
          <w:tab w:val="left" w:pos="4111"/>
          <w:tab w:val="left" w:pos="5812"/>
          <w:tab w:val="left" w:pos="7938"/>
        </w:tabs>
        <w:suppressAutoHyphens/>
        <w:spacing w:line="240" w:lineRule="atLeast"/>
        <w:rPr>
          <w:rFonts w:cs="Arial"/>
          <w:szCs w:val="20"/>
        </w:rPr>
      </w:pPr>
      <w:r>
        <w:t xml:space="preserve">Gyártási </w:t>
      </w:r>
      <w:r w:rsidR="005624E3">
        <w:t>szám:</w:t>
      </w:r>
      <w:r w:rsidR="005624E3">
        <w:tab/>
        <w:t>... 001</w:t>
      </w:r>
      <w:r w:rsidR="005624E3">
        <w:tab/>
        <w:t>... 001</w:t>
      </w:r>
      <w:r w:rsidR="005624E3">
        <w:tab/>
        <w:t>... 001</w:t>
      </w:r>
    </w:p>
    <w:p w:rsidR="005624E3" w:rsidRPr="00C903F8" w:rsidRDefault="005624E3" w:rsidP="005624E3">
      <w:pPr>
        <w:tabs>
          <w:tab w:val="left" w:pos="4111"/>
          <w:tab w:val="left" w:pos="5812"/>
          <w:tab w:val="left" w:pos="7938"/>
        </w:tabs>
        <w:suppressAutoHyphens/>
        <w:spacing w:line="240" w:lineRule="atLeast"/>
        <w:rPr>
          <w:rFonts w:cs="Arial"/>
          <w:szCs w:val="20"/>
        </w:rPr>
      </w:pPr>
      <w:r>
        <w:tab/>
      </w:r>
    </w:p>
    <w:p w:rsidR="005624E3" w:rsidRPr="00C903F8" w:rsidRDefault="005624E3" w:rsidP="005624E3">
      <w:pPr>
        <w:tabs>
          <w:tab w:val="left" w:pos="4111"/>
          <w:tab w:val="left" w:pos="5812"/>
          <w:tab w:val="left" w:pos="7938"/>
        </w:tabs>
        <w:suppressAutoHyphens/>
        <w:spacing w:line="240" w:lineRule="atLeast"/>
        <w:ind w:left="4111"/>
        <w:rPr>
          <w:rFonts w:cs="Arial"/>
          <w:szCs w:val="20"/>
        </w:rPr>
      </w:pPr>
      <w:r>
        <w:t>... 002</w:t>
      </w:r>
      <w:r>
        <w:tab/>
        <w:t>... 002</w:t>
      </w:r>
      <w:r>
        <w:tab/>
        <w:t>... 002</w:t>
      </w:r>
    </w:p>
    <w:p w:rsidR="005624E3" w:rsidRPr="00C903F8" w:rsidRDefault="005624E3" w:rsidP="005624E3">
      <w:pPr>
        <w:tabs>
          <w:tab w:val="left" w:pos="4111"/>
          <w:tab w:val="left" w:pos="5812"/>
          <w:tab w:val="left" w:pos="7938"/>
        </w:tabs>
        <w:suppressAutoHyphens/>
        <w:spacing w:line="240" w:lineRule="atLeast"/>
        <w:ind w:left="4111"/>
        <w:rPr>
          <w:rFonts w:cs="Arial"/>
          <w:szCs w:val="20"/>
        </w:rPr>
      </w:pPr>
    </w:p>
    <w:p w:rsidR="005624E3" w:rsidRPr="00C903F8" w:rsidRDefault="005624E3" w:rsidP="005624E3">
      <w:pPr>
        <w:tabs>
          <w:tab w:val="left" w:pos="4111"/>
          <w:tab w:val="left" w:pos="5812"/>
          <w:tab w:val="left" w:pos="7938"/>
        </w:tabs>
        <w:suppressAutoHyphens/>
        <w:spacing w:line="240" w:lineRule="atLeast"/>
        <w:ind w:left="4111"/>
        <w:rPr>
          <w:rFonts w:cs="Arial"/>
          <w:szCs w:val="20"/>
        </w:rPr>
      </w:pPr>
      <w:r>
        <w:t>.</w:t>
      </w:r>
      <w:r>
        <w:tab/>
        <w:t>.</w:t>
      </w:r>
      <w:r>
        <w:tab/>
        <w:t>.</w:t>
      </w:r>
    </w:p>
    <w:p w:rsidR="005624E3" w:rsidRPr="00C903F8" w:rsidRDefault="005624E3" w:rsidP="005624E3">
      <w:pPr>
        <w:tabs>
          <w:tab w:val="left" w:pos="4111"/>
          <w:tab w:val="left" w:pos="5812"/>
          <w:tab w:val="left" w:pos="7938"/>
        </w:tabs>
        <w:suppressAutoHyphens/>
        <w:spacing w:line="240" w:lineRule="atLeast"/>
        <w:ind w:left="4111"/>
        <w:rPr>
          <w:rFonts w:cs="Arial"/>
          <w:szCs w:val="20"/>
        </w:rPr>
      </w:pPr>
      <w:r>
        <w:t>.</w:t>
      </w:r>
      <w:r>
        <w:tab/>
        <w:t>.</w:t>
      </w:r>
      <w:r>
        <w:tab/>
        <w:t>.</w:t>
      </w:r>
    </w:p>
    <w:p w:rsidR="005624E3" w:rsidRPr="00C903F8" w:rsidRDefault="005624E3" w:rsidP="005624E3">
      <w:pPr>
        <w:tabs>
          <w:tab w:val="left" w:pos="4111"/>
          <w:tab w:val="left" w:pos="5812"/>
          <w:tab w:val="left" w:pos="7938"/>
        </w:tabs>
        <w:suppressAutoHyphens/>
        <w:spacing w:line="240" w:lineRule="atLeast"/>
        <w:ind w:left="4111"/>
        <w:rPr>
          <w:rFonts w:cs="Arial"/>
          <w:szCs w:val="20"/>
        </w:rPr>
      </w:pPr>
      <w:r>
        <w:t>.</w:t>
      </w:r>
      <w:r>
        <w:tab/>
        <w:t>.</w:t>
      </w:r>
      <w:r>
        <w:tab/>
        <w:t>.</w:t>
      </w:r>
    </w:p>
    <w:p w:rsidR="005624E3" w:rsidRPr="00C903F8" w:rsidRDefault="005624E3" w:rsidP="005624E3">
      <w:pPr>
        <w:tabs>
          <w:tab w:val="left" w:pos="4111"/>
          <w:tab w:val="left" w:pos="5812"/>
          <w:tab w:val="left" w:pos="7938"/>
        </w:tabs>
        <w:suppressAutoHyphens/>
        <w:spacing w:line="240" w:lineRule="atLeast"/>
        <w:ind w:left="4111"/>
        <w:rPr>
          <w:rFonts w:cs="Arial"/>
          <w:szCs w:val="20"/>
        </w:rPr>
      </w:pPr>
    </w:p>
    <w:p w:rsidR="005624E3" w:rsidRPr="00C903F8" w:rsidRDefault="005624E3" w:rsidP="005624E3">
      <w:pPr>
        <w:tabs>
          <w:tab w:val="left" w:pos="4111"/>
          <w:tab w:val="left" w:pos="5812"/>
          <w:tab w:val="left" w:pos="7938"/>
        </w:tabs>
        <w:suppressAutoHyphens/>
        <w:spacing w:line="240" w:lineRule="atLeast"/>
        <w:ind w:left="4111"/>
        <w:rPr>
          <w:rFonts w:cs="Arial"/>
          <w:szCs w:val="20"/>
        </w:rPr>
      </w:pPr>
      <w:r>
        <w:t>..... m</w:t>
      </w:r>
      <w:r>
        <w:tab/>
        <w:t>..... p</w:t>
      </w:r>
      <w:r>
        <w:tab/>
        <w:t>..... q</w:t>
      </w:r>
    </w:p>
    <w:p w:rsidR="005624E3" w:rsidRPr="00C903F8" w:rsidRDefault="005624E3" w:rsidP="005624E3">
      <w:pPr>
        <w:tabs>
          <w:tab w:val="left" w:pos="4111"/>
          <w:tab w:val="left" w:pos="5812"/>
          <w:tab w:val="left" w:pos="7938"/>
        </w:tabs>
        <w:suppressAutoHyphens/>
        <w:spacing w:line="240" w:lineRule="atLeast"/>
        <w:ind w:left="4111"/>
        <w:rPr>
          <w:rFonts w:cs="Arial"/>
          <w:szCs w:val="20"/>
        </w:rPr>
      </w:pPr>
    </w:p>
    <w:p w:rsidR="005624E3" w:rsidRPr="00C903F8" w:rsidRDefault="005624E3" w:rsidP="005624E3">
      <w:pPr>
        <w:tabs>
          <w:tab w:val="left" w:pos="4111"/>
          <w:tab w:val="left" w:pos="5812"/>
          <w:tab w:val="left" w:pos="7938"/>
        </w:tabs>
        <w:suppressAutoHyphens/>
        <w:spacing w:line="240" w:lineRule="atLeast"/>
        <w:ind w:left="4111"/>
        <w:rPr>
          <w:rFonts w:cs="Arial"/>
          <w:szCs w:val="20"/>
        </w:rPr>
      </w:pPr>
    </w:p>
    <w:p w:rsidR="005624E3" w:rsidRPr="00C903F8" w:rsidRDefault="005624E3" w:rsidP="005624E3">
      <w:pPr>
        <w:suppressAutoHyphens/>
        <w:spacing w:line="240" w:lineRule="atLeast"/>
        <w:rPr>
          <w:rFonts w:cs="Arial"/>
        </w:rPr>
      </w:pPr>
    </w:p>
    <w:p w:rsidR="005624E3" w:rsidRPr="00C903F8" w:rsidRDefault="005624E3" w:rsidP="005624E3">
      <w:pPr>
        <w:suppressAutoHyphens/>
        <w:spacing w:line="240" w:lineRule="atLeast"/>
        <w:rPr>
          <w:rFonts w:cs="Arial"/>
        </w:rPr>
      </w:pPr>
    </w:p>
    <w:p w:rsidR="005624E3" w:rsidRPr="00C903F8" w:rsidRDefault="005624E3" w:rsidP="005624E3">
      <w:pPr>
        <w:suppressAutoHyphens/>
        <w:spacing w:line="240" w:lineRule="atLeast"/>
        <w:rPr>
          <w:rFonts w:cs="Arial"/>
        </w:rPr>
      </w:pPr>
    </w:p>
    <w:p w:rsidR="005624E3" w:rsidRPr="00C903F8" w:rsidRDefault="005624E3" w:rsidP="005624E3">
      <w:pPr>
        <w:suppressAutoHyphens/>
        <w:spacing w:line="240" w:lineRule="atLeast"/>
        <w:rPr>
          <w:rFonts w:cs="Arial"/>
        </w:rPr>
      </w:pPr>
      <w:r>
        <w:br w:type="page"/>
      </w:r>
    </w:p>
    <w:p w:rsidR="005624E3" w:rsidRPr="00C903F8" w:rsidRDefault="005624E3" w:rsidP="005624E3">
      <w:pPr>
        <w:suppressAutoHyphens/>
        <w:spacing w:line="240" w:lineRule="atLeast"/>
        <w:rPr>
          <w:rFonts w:cs="Arial"/>
        </w:rPr>
      </w:pPr>
    </w:p>
    <w:p w:rsidR="005624E3" w:rsidRPr="00C903F8" w:rsidRDefault="005624E3" w:rsidP="005624E3">
      <w:pPr>
        <w:suppressAutoHyphens/>
        <w:spacing w:line="240" w:lineRule="atLeast"/>
        <w:rPr>
          <w:rFonts w:cs="Arial"/>
        </w:rPr>
      </w:pPr>
    </w:p>
    <w:p w:rsidR="005624E3" w:rsidRPr="00C903F8" w:rsidRDefault="005624E3" w:rsidP="005624E3">
      <w:pPr>
        <w:tabs>
          <w:tab w:val="left" w:pos="4111"/>
          <w:tab w:val="left" w:pos="5812"/>
          <w:tab w:val="left" w:pos="7938"/>
        </w:tabs>
        <w:suppressAutoHyphens/>
        <w:spacing w:line="240" w:lineRule="atLeast"/>
        <w:rPr>
          <w:rFonts w:cs="Arial"/>
        </w:rPr>
      </w:pPr>
    </w:p>
    <w:p w:rsidR="005624E3" w:rsidRPr="00C903F8" w:rsidRDefault="005624E3" w:rsidP="005624E3">
      <w:pPr>
        <w:suppressAutoHyphens/>
        <w:rPr>
          <w:rFonts w:cs="Arial"/>
        </w:rPr>
        <w:sectPr w:rsidR="005624E3" w:rsidRPr="00C903F8" w:rsidSect="009C13A9">
          <w:headerReference w:type="even" r:id="rId82"/>
          <w:headerReference w:type="default" r:id="rId83"/>
          <w:footerReference w:type="even" r:id="rId84"/>
          <w:footerReference w:type="default" r:id="rId85"/>
          <w:headerReference w:type="first" r:id="rId86"/>
          <w:footerReference w:type="first" r:id="rId87"/>
          <w:footnotePr>
            <w:numRestart w:val="eachPage"/>
          </w:footnotePr>
          <w:pgSz w:w="11907" w:h="16840" w:code="9"/>
          <w:pgMar w:top="1418" w:right="1418" w:bottom="1418" w:left="1418" w:header="680" w:footer="680" w:gutter="0"/>
          <w:cols w:space="720"/>
          <w:docGrid w:linePitch="360"/>
        </w:sectPr>
      </w:pPr>
    </w:p>
    <w:p w:rsidR="005624E3" w:rsidRPr="00C903F8" w:rsidRDefault="005624E3" w:rsidP="005624E3">
      <w:pPr>
        <w:suppressAutoHyphens/>
        <w:spacing w:line="240" w:lineRule="atLeast"/>
        <w:jc w:val="center"/>
        <w:rPr>
          <w:rFonts w:cs="Arial"/>
          <w:sz w:val="18"/>
        </w:rPr>
      </w:pPr>
    </w:p>
    <w:p w:rsidR="005624E3" w:rsidRPr="00C903F8" w:rsidRDefault="005624E3" w:rsidP="005624E3">
      <w:pPr>
        <w:pStyle w:val="ES-Titre3"/>
        <w:rPr>
          <w:noProof/>
        </w:rPr>
      </w:pPr>
      <w:bookmarkStart w:id="708" w:name="_Toc491854336"/>
      <w:bookmarkStart w:id="709" w:name="_Toc535854117"/>
      <w:r>
        <w:t>VII. szakasz</w:t>
      </w:r>
      <w:bookmarkEnd w:id="708"/>
      <w:bookmarkEnd w:id="709"/>
    </w:p>
    <w:p w:rsidR="005624E3" w:rsidRPr="00C903F8" w:rsidRDefault="005624E3" w:rsidP="005624E3">
      <w:pPr>
        <w:pStyle w:val="ES-Titre3a"/>
        <w:rPr>
          <w:noProof/>
        </w:rPr>
      </w:pPr>
      <w:bookmarkStart w:id="710" w:name="_Toc491854337"/>
      <w:bookmarkStart w:id="711" w:name="_Toc535854118"/>
      <w:r>
        <w:t>Adatlap a típusjóváhagyással rendelkező fedélzeti szennyvízkezelő művekről</w:t>
      </w:r>
      <w:bookmarkEnd w:id="710"/>
      <w:bookmarkEnd w:id="711"/>
      <w:r>
        <w:t xml:space="preserve"> </w:t>
      </w:r>
    </w:p>
    <w:p w:rsidR="005624E3" w:rsidRPr="00C903F8" w:rsidRDefault="005624E3" w:rsidP="005624E3">
      <w:pPr>
        <w:overflowPunct w:val="0"/>
        <w:adjustRightInd w:val="0"/>
        <w:spacing w:line="240" w:lineRule="exact"/>
        <w:jc w:val="center"/>
        <w:textAlignment w:val="baseline"/>
        <w:rPr>
          <w:rFonts w:eastAsia="Calibri" w:cs="Arial"/>
          <w:szCs w:val="20"/>
        </w:rPr>
      </w:pPr>
      <w:r>
        <w:t>(Minta)</w:t>
      </w:r>
    </w:p>
    <w:p w:rsidR="005624E3" w:rsidRPr="00C903F8" w:rsidRDefault="005624E3" w:rsidP="005624E3">
      <w:pPr>
        <w:suppressAutoHyphens/>
        <w:spacing w:line="240" w:lineRule="atLeast"/>
        <w:rPr>
          <w:rFonts w:cs="Arial"/>
          <w:szCs w:val="20"/>
        </w:rPr>
      </w:pPr>
    </w:p>
    <w:p w:rsidR="005624E3" w:rsidRPr="00C903F8" w:rsidRDefault="005624E3" w:rsidP="005624E3">
      <w:pPr>
        <w:jc w:val="right"/>
        <w:outlineLvl w:val="0"/>
        <w:rPr>
          <w:b/>
          <w:noProof/>
          <w:sz w:val="16"/>
        </w:rPr>
      </w:pPr>
      <w:r>
        <w:rPr>
          <w:noProof/>
          <w:sz w:val="16"/>
        </w:rPr>
        <w:t>Az illetékes hatóság bélyegzője</w:t>
      </w:r>
    </w:p>
    <w:p w:rsidR="005624E3" w:rsidRPr="00C903F8" w:rsidRDefault="005624E3" w:rsidP="005624E3">
      <w:pPr>
        <w:suppressAutoHyphens/>
        <w:spacing w:line="240" w:lineRule="atLeast"/>
        <w:rPr>
          <w:rFonts w:cs="Arial"/>
        </w:rPr>
      </w:pPr>
    </w:p>
    <w:tbl>
      <w:tblPr>
        <w:tblW w:w="14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8"/>
        <w:gridCol w:w="960"/>
        <w:gridCol w:w="828"/>
        <w:gridCol w:w="972"/>
        <w:gridCol w:w="1986"/>
        <w:gridCol w:w="1302"/>
        <w:gridCol w:w="1006"/>
        <w:gridCol w:w="546"/>
        <w:gridCol w:w="567"/>
        <w:gridCol w:w="992"/>
        <w:gridCol w:w="873"/>
        <w:gridCol w:w="1008"/>
        <w:gridCol w:w="1080"/>
        <w:gridCol w:w="1240"/>
        <w:gridCol w:w="812"/>
        <w:gridCol w:w="12"/>
      </w:tblGrid>
      <w:tr w:rsidR="005624E3" w:rsidRPr="00C903F8" w:rsidTr="00101A80">
        <w:tc>
          <w:tcPr>
            <w:tcW w:w="5334" w:type="dxa"/>
            <w:gridSpan w:val="5"/>
            <w:shd w:val="clear" w:color="auto" w:fill="auto"/>
          </w:tcPr>
          <w:p w:rsidR="005624E3" w:rsidRPr="00C903F8" w:rsidRDefault="005624E3" w:rsidP="00101A80">
            <w:pPr>
              <w:spacing w:before="120" w:after="120" w:line="240" w:lineRule="atLeast"/>
              <w:jc w:val="center"/>
              <w:rPr>
                <w:b/>
                <w:bCs/>
                <w:noProof/>
                <w:szCs w:val="20"/>
              </w:rPr>
            </w:pPr>
          </w:p>
        </w:tc>
        <w:tc>
          <w:tcPr>
            <w:tcW w:w="3421" w:type="dxa"/>
            <w:gridSpan w:val="4"/>
            <w:shd w:val="clear" w:color="auto" w:fill="auto"/>
          </w:tcPr>
          <w:p w:rsidR="005624E3" w:rsidRPr="00C903F8" w:rsidRDefault="005624E3" w:rsidP="00101A80">
            <w:pPr>
              <w:spacing w:before="120" w:after="120" w:line="240" w:lineRule="atLeast"/>
              <w:jc w:val="center"/>
              <w:rPr>
                <w:b/>
                <w:bCs/>
                <w:noProof/>
                <w:szCs w:val="20"/>
              </w:rPr>
            </w:pPr>
            <w:r>
              <w:rPr>
                <w:b/>
                <w:noProof/>
                <w:sz w:val="16"/>
              </w:rPr>
              <w:t>A fedélzeti szennyvízkezelő mű jellemzői</w:t>
            </w:r>
          </w:p>
        </w:tc>
        <w:tc>
          <w:tcPr>
            <w:tcW w:w="6017" w:type="dxa"/>
            <w:gridSpan w:val="7"/>
            <w:shd w:val="clear" w:color="auto" w:fill="auto"/>
          </w:tcPr>
          <w:p w:rsidR="005624E3" w:rsidRPr="00C903F8" w:rsidRDefault="005624E3" w:rsidP="00101A80">
            <w:pPr>
              <w:spacing w:before="120" w:after="120" w:line="240" w:lineRule="atLeast"/>
              <w:jc w:val="center"/>
              <w:rPr>
                <w:b/>
                <w:bCs/>
                <w:noProof/>
                <w:szCs w:val="20"/>
              </w:rPr>
            </w:pPr>
            <w:r>
              <w:rPr>
                <w:b/>
                <w:noProof/>
                <w:sz w:val="16"/>
              </w:rPr>
              <w:t>Tisztítási hatékonyság</w:t>
            </w:r>
          </w:p>
        </w:tc>
      </w:tr>
      <w:tr w:rsidR="005624E3" w:rsidRPr="00C903F8" w:rsidTr="00101A80">
        <w:trPr>
          <w:gridAfter w:val="1"/>
          <w:wAfter w:w="12" w:type="dxa"/>
        </w:trPr>
        <w:tc>
          <w:tcPr>
            <w:tcW w:w="588" w:type="dxa"/>
            <w:vMerge w:val="restart"/>
            <w:shd w:val="clear" w:color="auto" w:fill="auto"/>
          </w:tcPr>
          <w:p w:rsidR="005624E3" w:rsidRPr="00C903F8" w:rsidRDefault="005624E3" w:rsidP="00101A80">
            <w:pPr>
              <w:spacing w:before="120" w:after="120" w:line="240" w:lineRule="atLeast"/>
              <w:ind w:right="-108"/>
              <w:rPr>
                <w:noProof/>
                <w:szCs w:val="20"/>
              </w:rPr>
            </w:pPr>
            <w:r>
              <w:rPr>
                <w:noProof/>
                <w:sz w:val="16"/>
              </w:rPr>
              <w:t>Szám:</w:t>
            </w:r>
          </w:p>
        </w:tc>
        <w:tc>
          <w:tcPr>
            <w:tcW w:w="960" w:type="dxa"/>
            <w:vMerge w:val="restart"/>
            <w:shd w:val="clear" w:color="auto" w:fill="auto"/>
          </w:tcPr>
          <w:p w:rsidR="005624E3" w:rsidRPr="00C903F8" w:rsidRDefault="005624E3" w:rsidP="00101A80">
            <w:pPr>
              <w:spacing w:before="120" w:after="120" w:line="240" w:lineRule="atLeast"/>
              <w:jc w:val="center"/>
              <w:rPr>
                <w:noProof/>
                <w:szCs w:val="20"/>
              </w:rPr>
            </w:pPr>
            <w:r>
              <w:rPr>
                <w:noProof/>
                <w:sz w:val="16"/>
              </w:rPr>
              <w:t>A jóváhagyás dátuma</w:t>
            </w:r>
          </w:p>
        </w:tc>
        <w:tc>
          <w:tcPr>
            <w:tcW w:w="828" w:type="dxa"/>
            <w:vMerge w:val="restart"/>
            <w:shd w:val="clear" w:color="auto" w:fill="auto"/>
          </w:tcPr>
          <w:p w:rsidR="005624E3" w:rsidRPr="00C903F8" w:rsidRDefault="005624E3" w:rsidP="00101A80">
            <w:pPr>
              <w:spacing w:before="120" w:after="120" w:line="240" w:lineRule="atLeast"/>
              <w:jc w:val="center"/>
              <w:rPr>
                <w:noProof/>
                <w:szCs w:val="20"/>
              </w:rPr>
            </w:pPr>
            <w:r>
              <w:rPr>
                <w:noProof/>
                <w:sz w:val="16"/>
              </w:rPr>
              <w:t>Típusjóváhagyás száma</w:t>
            </w:r>
          </w:p>
        </w:tc>
        <w:tc>
          <w:tcPr>
            <w:tcW w:w="972" w:type="dxa"/>
            <w:vMerge w:val="restart"/>
            <w:shd w:val="clear" w:color="auto" w:fill="auto"/>
          </w:tcPr>
          <w:p w:rsidR="005624E3" w:rsidRPr="00C903F8" w:rsidRDefault="005624E3" w:rsidP="00101A80">
            <w:pPr>
              <w:spacing w:before="120" w:after="120" w:line="240" w:lineRule="atLeast"/>
              <w:rPr>
                <w:noProof/>
                <w:szCs w:val="20"/>
              </w:rPr>
            </w:pPr>
            <w:r>
              <w:rPr>
                <w:noProof/>
                <w:sz w:val="16"/>
              </w:rPr>
              <w:t>Gyártmány</w:t>
            </w:r>
          </w:p>
        </w:tc>
        <w:tc>
          <w:tcPr>
            <w:tcW w:w="1986" w:type="dxa"/>
            <w:vMerge w:val="restart"/>
            <w:shd w:val="clear" w:color="auto" w:fill="auto"/>
          </w:tcPr>
          <w:p w:rsidR="005624E3" w:rsidRPr="00C903F8" w:rsidRDefault="005624E3" w:rsidP="00101A80">
            <w:pPr>
              <w:spacing w:before="120" w:after="120" w:line="240" w:lineRule="atLeast"/>
              <w:jc w:val="center"/>
              <w:rPr>
                <w:noProof/>
                <w:szCs w:val="20"/>
              </w:rPr>
            </w:pPr>
            <w:r>
              <w:rPr>
                <w:noProof/>
                <w:sz w:val="16"/>
              </w:rPr>
              <w:t>A fedélzeti szennyvízkezelő mű típusa</w:t>
            </w:r>
          </w:p>
        </w:tc>
        <w:tc>
          <w:tcPr>
            <w:tcW w:w="1302" w:type="dxa"/>
            <w:vMerge w:val="restart"/>
            <w:shd w:val="clear" w:color="auto" w:fill="auto"/>
          </w:tcPr>
          <w:p w:rsidR="005624E3" w:rsidRPr="00C903F8" w:rsidRDefault="005624E3" w:rsidP="00101A80">
            <w:pPr>
              <w:spacing w:before="120" w:after="120" w:line="240" w:lineRule="atLeast"/>
              <w:jc w:val="center"/>
              <w:rPr>
                <w:noProof/>
                <w:szCs w:val="20"/>
              </w:rPr>
            </w:pPr>
            <w:r>
              <w:rPr>
                <w:noProof/>
                <w:sz w:val="16"/>
              </w:rPr>
              <w:t>Napi belépő szennyvízmennyiség (</w:t>
            </w:r>
            <m:oMath>
              <m:sSub>
                <m:sSubPr>
                  <m:ctrlPr>
                    <w:rPr>
                      <w:rFonts w:ascii="Cambria Math" w:hAnsi="Cambria Math" w:cs="Arial"/>
                      <w:i/>
                      <w:sz w:val="16"/>
                      <w:szCs w:val="16"/>
                    </w:rPr>
                  </m:ctrlPr>
                </m:sSubPr>
                <m:e>
                  <m:r>
                    <w:rPr>
                      <w:rFonts w:ascii="Cambria Math" w:hAnsi="Cambria Math" w:cs="Arial"/>
                      <w:sz w:val="16"/>
                      <w:szCs w:val="16"/>
                    </w:rPr>
                    <m:t>Q</m:t>
                  </m:r>
                </m:e>
                <m:sub>
                  <m:r>
                    <w:rPr>
                      <w:rFonts w:ascii="Cambria Math" w:hAnsi="Cambria Math" w:cs="Arial"/>
                      <w:sz w:val="16"/>
                      <w:szCs w:val="16"/>
                    </w:rPr>
                    <m:t>d</m:t>
                  </m:r>
                </m:sub>
              </m:sSub>
            </m:oMath>
            <w:r>
              <w:rPr>
                <w:noProof/>
                <w:sz w:val="16"/>
              </w:rPr>
              <w:t>, m³/nap)</w:t>
            </w:r>
          </w:p>
        </w:tc>
        <w:tc>
          <w:tcPr>
            <w:tcW w:w="1006" w:type="dxa"/>
            <w:vMerge w:val="restart"/>
            <w:shd w:val="clear" w:color="auto" w:fill="auto"/>
          </w:tcPr>
          <w:p w:rsidR="005624E3" w:rsidRPr="00C903F8" w:rsidRDefault="005624E3" w:rsidP="00101A80">
            <w:pPr>
              <w:spacing w:before="120" w:after="120" w:line="240" w:lineRule="atLeast"/>
              <w:jc w:val="center"/>
              <w:rPr>
                <w:noProof/>
                <w:szCs w:val="20"/>
              </w:rPr>
            </w:pPr>
            <w:r>
              <w:rPr>
                <w:noProof/>
                <w:sz w:val="16"/>
              </w:rPr>
              <w:t xml:space="preserve">Napi </w:t>
            </w:r>
            <m:oMath>
              <m:sSub>
                <m:sSubPr>
                  <m:ctrlPr>
                    <w:rPr>
                      <w:rFonts w:ascii="Cambria Math" w:hAnsi="Cambria Math"/>
                      <w:i/>
                      <w:noProof/>
                      <w:sz w:val="16"/>
                      <w:szCs w:val="16"/>
                    </w:rPr>
                  </m:ctrlPr>
                </m:sSubPr>
                <m:e>
                  <m:r>
                    <w:rPr>
                      <w:rFonts w:ascii="Cambria Math" w:hAnsi="Cambria Math"/>
                      <w:noProof/>
                      <w:sz w:val="16"/>
                      <w:szCs w:val="16"/>
                    </w:rPr>
                    <m:t>BOD</m:t>
                  </m:r>
                </m:e>
                <m:sub>
                  <m:r>
                    <w:rPr>
                      <w:rFonts w:ascii="Cambria Math" w:hAnsi="Cambria Math"/>
                      <w:noProof/>
                      <w:sz w:val="16"/>
                      <w:szCs w:val="16"/>
                    </w:rPr>
                    <m:t>5</m:t>
                  </m:r>
                </m:sub>
              </m:sSub>
            </m:oMath>
            <w:r>
              <w:rPr>
                <w:noProof/>
                <w:sz w:val="16"/>
              </w:rPr>
              <w:t>-terhelés (kg/nap):</w:t>
            </w:r>
          </w:p>
        </w:tc>
        <w:tc>
          <w:tcPr>
            <w:tcW w:w="546" w:type="dxa"/>
            <w:vMerge w:val="restart"/>
            <w:shd w:val="clear" w:color="auto" w:fill="auto"/>
          </w:tcPr>
          <w:p w:rsidR="005624E3" w:rsidRPr="00C903F8" w:rsidRDefault="005624E3" w:rsidP="00101A80">
            <w:pPr>
              <w:spacing w:before="120" w:after="120" w:line="240" w:lineRule="atLeast"/>
              <w:jc w:val="center"/>
              <w:rPr>
                <w:noProof/>
                <w:szCs w:val="20"/>
              </w:rPr>
            </w:pPr>
          </w:p>
        </w:tc>
        <w:tc>
          <w:tcPr>
            <w:tcW w:w="567" w:type="dxa"/>
            <w:vMerge w:val="restart"/>
            <w:shd w:val="clear" w:color="auto" w:fill="auto"/>
          </w:tcPr>
          <w:p w:rsidR="005624E3" w:rsidRPr="00C903F8" w:rsidRDefault="005624E3" w:rsidP="00101A80">
            <w:pPr>
              <w:spacing w:before="120" w:after="120" w:line="240" w:lineRule="atLeast"/>
              <w:jc w:val="center"/>
              <w:rPr>
                <w:noProof/>
                <w:szCs w:val="20"/>
              </w:rPr>
            </w:pPr>
          </w:p>
        </w:tc>
        <w:tc>
          <w:tcPr>
            <w:tcW w:w="1865" w:type="dxa"/>
            <w:gridSpan w:val="2"/>
            <w:shd w:val="clear" w:color="auto" w:fill="auto"/>
          </w:tcPr>
          <w:p w:rsidR="005624E3" w:rsidRPr="00C903F8" w:rsidRDefault="003142CA" w:rsidP="00101A80">
            <w:pPr>
              <w:spacing w:before="120" w:after="120" w:line="240" w:lineRule="atLeast"/>
              <w:jc w:val="center"/>
              <w:rPr>
                <w:noProof/>
                <w:sz w:val="16"/>
                <w:szCs w:val="16"/>
              </w:rPr>
            </w:pPr>
            <m:oMathPara>
              <m:oMath>
                <m:sSub>
                  <m:sSubPr>
                    <m:ctrlPr>
                      <w:rPr>
                        <w:rFonts w:ascii="Cambria Math" w:hAnsi="Cambria Math"/>
                        <w:i/>
                        <w:noProof/>
                        <w:sz w:val="16"/>
                        <w:szCs w:val="16"/>
                      </w:rPr>
                    </m:ctrlPr>
                  </m:sSubPr>
                  <m:e>
                    <m:r>
                      <w:rPr>
                        <w:rFonts w:ascii="Cambria Math" w:hAnsi="Cambria Math"/>
                        <w:noProof/>
                        <w:sz w:val="16"/>
                        <w:szCs w:val="16"/>
                      </w:rPr>
                      <m:t>BOD</m:t>
                    </m:r>
                  </m:e>
                  <m:sub>
                    <m:r>
                      <w:rPr>
                        <w:rFonts w:ascii="Cambria Math" w:hAnsi="Cambria Math"/>
                        <w:noProof/>
                        <w:sz w:val="16"/>
                        <w:szCs w:val="16"/>
                      </w:rPr>
                      <m:t>5</m:t>
                    </m:r>
                  </m:sub>
                </m:sSub>
              </m:oMath>
            </m:oMathPara>
          </w:p>
        </w:tc>
        <w:tc>
          <w:tcPr>
            <w:tcW w:w="2088" w:type="dxa"/>
            <w:gridSpan w:val="2"/>
            <w:shd w:val="clear" w:color="auto" w:fill="auto"/>
          </w:tcPr>
          <w:p w:rsidR="005624E3" w:rsidRPr="00C903F8" w:rsidRDefault="005624E3" w:rsidP="00101A80">
            <w:pPr>
              <w:spacing w:before="120" w:after="120" w:line="240" w:lineRule="atLeast"/>
              <w:jc w:val="center"/>
              <w:rPr>
                <w:noProof/>
                <w:szCs w:val="20"/>
              </w:rPr>
            </w:pPr>
            <w:r>
              <w:rPr>
                <w:noProof/>
                <w:sz w:val="16"/>
              </w:rPr>
              <w:t>COD</w:t>
            </w:r>
          </w:p>
        </w:tc>
        <w:tc>
          <w:tcPr>
            <w:tcW w:w="2052" w:type="dxa"/>
            <w:gridSpan w:val="2"/>
            <w:shd w:val="clear" w:color="auto" w:fill="auto"/>
          </w:tcPr>
          <w:p w:rsidR="005624E3" w:rsidRPr="00C903F8" w:rsidRDefault="005624E3" w:rsidP="00101A80">
            <w:pPr>
              <w:spacing w:before="120" w:after="120" w:line="240" w:lineRule="atLeast"/>
              <w:jc w:val="center"/>
              <w:rPr>
                <w:noProof/>
                <w:szCs w:val="20"/>
              </w:rPr>
            </w:pPr>
            <w:r>
              <w:rPr>
                <w:noProof/>
                <w:sz w:val="16"/>
              </w:rPr>
              <w:t>TOC</w:t>
            </w:r>
          </w:p>
        </w:tc>
      </w:tr>
      <w:tr w:rsidR="005624E3" w:rsidRPr="00C903F8" w:rsidTr="00101A80">
        <w:trPr>
          <w:gridAfter w:val="1"/>
          <w:wAfter w:w="12" w:type="dxa"/>
        </w:trPr>
        <w:tc>
          <w:tcPr>
            <w:tcW w:w="588" w:type="dxa"/>
            <w:vMerge/>
            <w:shd w:val="clear" w:color="auto" w:fill="auto"/>
          </w:tcPr>
          <w:p w:rsidR="005624E3" w:rsidRPr="00C903F8" w:rsidRDefault="005624E3" w:rsidP="00101A80">
            <w:pPr>
              <w:spacing w:before="120" w:after="120" w:line="240" w:lineRule="atLeast"/>
              <w:rPr>
                <w:noProof/>
                <w:szCs w:val="20"/>
              </w:rPr>
            </w:pPr>
          </w:p>
        </w:tc>
        <w:tc>
          <w:tcPr>
            <w:tcW w:w="960" w:type="dxa"/>
            <w:vMerge/>
            <w:shd w:val="clear" w:color="auto" w:fill="auto"/>
          </w:tcPr>
          <w:p w:rsidR="005624E3" w:rsidRPr="00C903F8" w:rsidRDefault="005624E3" w:rsidP="00101A80">
            <w:pPr>
              <w:spacing w:before="120" w:after="120" w:line="240" w:lineRule="atLeast"/>
              <w:rPr>
                <w:noProof/>
                <w:szCs w:val="20"/>
              </w:rPr>
            </w:pPr>
          </w:p>
        </w:tc>
        <w:tc>
          <w:tcPr>
            <w:tcW w:w="828" w:type="dxa"/>
            <w:vMerge/>
            <w:shd w:val="clear" w:color="auto" w:fill="auto"/>
          </w:tcPr>
          <w:p w:rsidR="005624E3" w:rsidRPr="00C903F8" w:rsidRDefault="005624E3" w:rsidP="00101A80">
            <w:pPr>
              <w:spacing w:before="120" w:after="120" w:line="240" w:lineRule="atLeast"/>
              <w:rPr>
                <w:noProof/>
                <w:szCs w:val="20"/>
              </w:rPr>
            </w:pPr>
          </w:p>
        </w:tc>
        <w:tc>
          <w:tcPr>
            <w:tcW w:w="972" w:type="dxa"/>
            <w:vMerge/>
            <w:shd w:val="clear" w:color="auto" w:fill="auto"/>
          </w:tcPr>
          <w:p w:rsidR="005624E3" w:rsidRPr="00C903F8" w:rsidRDefault="005624E3" w:rsidP="00101A80">
            <w:pPr>
              <w:spacing w:before="120" w:after="120" w:line="240" w:lineRule="atLeast"/>
              <w:rPr>
                <w:noProof/>
                <w:szCs w:val="20"/>
              </w:rPr>
            </w:pPr>
          </w:p>
        </w:tc>
        <w:tc>
          <w:tcPr>
            <w:tcW w:w="1986" w:type="dxa"/>
            <w:vMerge/>
            <w:shd w:val="clear" w:color="auto" w:fill="auto"/>
          </w:tcPr>
          <w:p w:rsidR="005624E3" w:rsidRPr="00C903F8" w:rsidRDefault="005624E3" w:rsidP="00101A80">
            <w:pPr>
              <w:spacing w:before="120" w:after="120" w:line="240" w:lineRule="atLeast"/>
              <w:rPr>
                <w:noProof/>
                <w:szCs w:val="20"/>
              </w:rPr>
            </w:pPr>
          </w:p>
        </w:tc>
        <w:tc>
          <w:tcPr>
            <w:tcW w:w="1302" w:type="dxa"/>
            <w:vMerge/>
            <w:shd w:val="clear" w:color="auto" w:fill="auto"/>
          </w:tcPr>
          <w:p w:rsidR="005624E3" w:rsidRPr="00C903F8" w:rsidRDefault="005624E3" w:rsidP="00101A80">
            <w:pPr>
              <w:spacing w:before="120" w:after="120" w:line="240" w:lineRule="atLeast"/>
              <w:rPr>
                <w:noProof/>
                <w:szCs w:val="20"/>
              </w:rPr>
            </w:pPr>
          </w:p>
        </w:tc>
        <w:tc>
          <w:tcPr>
            <w:tcW w:w="1006" w:type="dxa"/>
            <w:vMerge/>
            <w:shd w:val="clear" w:color="auto" w:fill="auto"/>
          </w:tcPr>
          <w:p w:rsidR="005624E3" w:rsidRPr="00C903F8" w:rsidRDefault="005624E3" w:rsidP="00101A80">
            <w:pPr>
              <w:spacing w:before="120" w:after="120" w:line="240" w:lineRule="atLeast"/>
              <w:rPr>
                <w:noProof/>
                <w:szCs w:val="20"/>
              </w:rPr>
            </w:pPr>
          </w:p>
        </w:tc>
        <w:tc>
          <w:tcPr>
            <w:tcW w:w="546" w:type="dxa"/>
            <w:vMerge/>
            <w:shd w:val="clear" w:color="auto" w:fill="auto"/>
          </w:tcPr>
          <w:p w:rsidR="005624E3" w:rsidRPr="00C903F8" w:rsidRDefault="005624E3" w:rsidP="00101A80">
            <w:pPr>
              <w:spacing w:before="120" w:after="120" w:line="240" w:lineRule="atLeast"/>
              <w:rPr>
                <w:noProof/>
                <w:szCs w:val="20"/>
              </w:rPr>
            </w:pPr>
          </w:p>
        </w:tc>
        <w:tc>
          <w:tcPr>
            <w:tcW w:w="567" w:type="dxa"/>
            <w:vMerge/>
            <w:shd w:val="clear" w:color="auto" w:fill="auto"/>
          </w:tcPr>
          <w:p w:rsidR="005624E3" w:rsidRPr="00C903F8" w:rsidRDefault="005624E3" w:rsidP="00101A80">
            <w:pPr>
              <w:spacing w:before="120" w:after="120" w:line="240" w:lineRule="atLeast"/>
              <w:rPr>
                <w:noProof/>
                <w:szCs w:val="20"/>
              </w:rPr>
            </w:pPr>
          </w:p>
        </w:tc>
        <w:tc>
          <w:tcPr>
            <w:tcW w:w="992" w:type="dxa"/>
            <w:shd w:val="clear" w:color="auto" w:fill="auto"/>
          </w:tcPr>
          <w:p w:rsidR="005624E3" w:rsidRPr="00C903F8" w:rsidRDefault="005624E3" w:rsidP="00101A80">
            <w:pPr>
              <w:spacing w:before="120" w:after="120" w:line="240" w:lineRule="atLeast"/>
              <w:jc w:val="center"/>
              <w:rPr>
                <w:noProof/>
                <w:szCs w:val="20"/>
              </w:rPr>
            </w:pPr>
            <w:r>
              <w:rPr>
                <w:noProof/>
                <w:sz w:val="16"/>
              </w:rPr>
              <w:t>24 órás egyesített minta</w:t>
            </w:r>
          </w:p>
        </w:tc>
        <w:tc>
          <w:tcPr>
            <w:tcW w:w="873" w:type="dxa"/>
            <w:shd w:val="clear" w:color="auto" w:fill="auto"/>
          </w:tcPr>
          <w:p w:rsidR="005624E3" w:rsidRPr="00C903F8" w:rsidRDefault="005624E3" w:rsidP="00101A80">
            <w:pPr>
              <w:spacing w:before="120" w:after="120" w:line="240" w:lineRule="atLeast"/>
              <w:jc w:val="center"/>
              <w:rPr>
                <w:noProof/>
                <w:sz w:val="16"/>
                <w:szCs w:val="16"/>
              </w:rPr>
            </w:pPr>
            <w:r>
              <w:rPr>
                <w:noProof/>
                <w:sz w:val="16"/>
              </w:rPr>
              <w:t>Szúrópróbaszerű minta</w:t>
            </w:r>
          </w:p>
        </w:tc>
        <w:tc>
          <w:tcPr>
            <w:tcW w:w="1008" w:type="dxa"/>
            <w:shd w:val="clear" w:color="auto" w:fill="auto"/>
          </w:tcPr>
          <w:p w:rsidR="005624E3" w:rsidRPr="00C903F8" w:rsidRDefault="005624E3" w:rsidP="00101A80">
            <w:pPr>
              <w:spacing w:before="120" w:after="120" w:line="240" w:lineRule="atLeast"/>
              <w:jc w:val="center"/>
              <w:rPr>
                <w:noProof/>
                <w:szCs w:val="20"/>
              </w:rPr>
            </w:pPr>
            <w:r>
              <w:rPr>
                <w:noProof/>
                <w:sz w:val="16"/>
              </w:rPr>
              <w:t>24 órás egyesített minta</w:t>
            </w:r>
          </w:p>
        </w:tc>
        <w:tc>
          <w:tcPr>
            <w:tcW w:w="1080" w:type="dxa"/>
            <w:shd w:val="clear" w:color="auto" w:fill="auto"/>
          </w:tcPr>
          <w:p w:rsidR="005624E3" w:rsidRPr="00C903F8" w:rsidRDefault="005624E3" w:rsidP="00101A80">
            <w:pPr>
              <w:spacing w:before="120" w:after="120" w:line="240" w:lineRule="atLeast"/>
              <w:rPr>
                <w:noProof/>
                <w:sz w:val="16"/>
                <w:szCs w:val="16"/>
              </w:rPr>
            </w:pPr>
            <w:r>
              <w:rPr>
                <w:noProof/>
                <w:sz w:val="16"/>
              </w:rPr>
              <w:t>Szúrópróbaszerű minta</w:t>
            </w:r>
          </w:p>
        </w:tc>
        <w:tc>
          <w:tcPr>
            <w:tcW w:w="1240" w:type="dxa"/>
            <w:shd w:val="clear" w:color="auto" w:fill="auto"/>
          </w:tcPr>
          <w:p w:rsidR="005624E3" w:rsidRPr="00C903F8" w:rsidRDefault="005624E3" w:rsidP="00101A80">
            <w:pPr>
              <w:spacing w:before="120" w:after="120" w:line="240" w:lineRule="atLeast"/>
              <w:jc w:val="center"/>
              <w:rPr>
                <w:noProof/>
                <w:szCs w:val="20"/>
              </w:rPr>
            </w:pPr>
            <w:r>
              <w:rPr>
                <w:noProof/>
                <w:sz w:val="16"/>
              </w:rPr>
              <w:t>24 órás egyesített minta</w:t>
            </w:r>
          </w:p>
        </w:tc>
        <w:tc>
          <w:tcPr>
            <w:tcW w:w="812" w:type="dxa"/>
            <w:shd w:val="clear" w:color="auto" w:fill="auto"/>
          </w:tcPr>
          <w:p w:rsidR="005624E3" w:rsidRPr="00C903F8" w:rsidRDefault="005624E3" w:rsidP="00101A80">
            <w:pPr>
              <w:spacing w:before="120" w:after="120" w:line="240" w:lineRule="atLeast"/>
              <w:jc w:val="center"/>
              <w:rPr>
                <w:noProof/>
                <w:sz w:val="16"/>
                <w:szCs w:val="16"/>
              </w:rPr>
            </w:pPr>
            <w:r>
              <w:rPr>
                <w:noProof/>
                <w:sz w:val="16"/>
              </w:rPr>
              <w:t>Szúrópróbaszerű minta</w:t>
            </w:r>
          </w:p>
        </w:tc>
      </w:tr>
      <w:tr w:rsidR="005624E3" w:rsidRPr="00C903F8" w:rsidTr="00101A80">
        <w:trPr>
          <w:gridAfter w:val="1"/>
          <w:wAfter w:w="12" w:type="dxa"/>
        </w:trPr>
        <w:tc>
          <w:tcPr>
            <w:tcW w:w="588" w:type="dxa"/>
            <w:shd w:val="clear" w:color="auto" w:fill="auto"/>
          </w:tcPr>
          <w:p w:rsidR="005624E3" w:rsidRPr="00C903F8" w:rsidRDefault="005624E3" w:rsidP="00101A80">
            <w:pPr>
              <w:spacing w:before="120" w:after="120" w:line="240" w:lineRule="atLeast"/>
              <w:rPr>
                <w:noProof/>
                <w:szCs w:val="20"/>
              </w:rPr>
            </w:pPr>
          </w:p>
        </w:tc>
        <w:tc>
          <w:tcPr>
            <w:tcW w:w="960" w:type="dxa"/>
            <w:shd w:val="clear" w:color="auto" w:fill="auto"/>
          </w:tcPr>
          <w:p w:rsidR="005624E3" w:rsidRPr="00C903F8" w:rsidRDefault="005624E3" w:rsidP="00101A80">
            <w:pPr>
              <w:spacing w:before="120" w:after="120" w:line="240" w:lineRule="atLeast"/>
              <w:rPr>
                <w:noProof/>
                <w:szCs w:val="20"/>
              </w:rPr>
            </w:pPr>
          </w:p>
        </w:tc>
        <w:tc>
          <w:tcPr>
            <w:tcW w:w="828" w:type="dxa"/>
            <w:shd w:val="clear" w:color="auto" w:fill="auto"/>
          </w:tcPr>
          <w:p w:rsidR="005624E3" w:rsidRPr="00C903F8" w:rsidRDefault="005624E3" w:rsidP="00101A80">
            <w:pPr>
              <w:spacing w:before="120" w:after="120" w:line="240" w:lineRule="atLeast"/>
              <w:rPr>
                <w:noProof/>
                <w:szCs w:val="20"/>
              </w:rPr>
            </w:pPr>
          </w:p>
        </w:tc>
        <w:tc>
          <w:tcPr>
            <w:tcW w:w="972" w:type="dxa"/>
            <w:shd w:val="clear" w:color="auto" w:fill="auto"/>
          </w:tcPr>
          <w:p w:rsidR="005624E3" w:rsidRPr="00C903F8" w:rsidRDefault="005624E3" w:rsidP="00101A80">
            <w:pPr>
              <w:spacing w:before="120" w:after="120" w:line="240" w:lineRule="atLeast"/>
              <w:rPr>
                <w:noProof/>
                <w:szCs w:val="20"/>
              </w:rPr>
            </w:pPr>
          </w:p>
        </w:tc>
        <w:tc>
          <w:tcPr>
            <w:tcW w:w="1986" w:type="dxa"/>
            <w:shd w:val="clear" w:color="auto" w:fill="auto"/>
          </w:tcPr>
          <w:p w:rsidR="005624E3" w:rsidRPr="00C903F8" w:rsidRDefault="005624E3" w:rsidP="00101A80">
            <w:pPr>
              <w:spacing w:before="120" w:after="120" w:line="240" w:lineRule="atLeast"/>
              <w:rPr>
                <w:noProof/>
                <w:szCs w:val="20"/>
              </w:rPr>
            </w:pPr>
          </w:p>
        </w:tc>
        <w:tc>
          <w:tcPr>
            <w:tcW w:w="1302" w:type="dxa"/>
            <w:shd w:val="clear" w:color="auto" w:fill="auto"/>
          </w:tcPr>
          <w:p w:rsidR="005624E3" w:rsidRPr="00C903F8" w:rsidRDefault="005624E3" w:rsidP="00101A80">
            <w:pPr>
              <w:spacing w:before="120" w:after="120" w:line="240" w:lineRule="atLeast"/>
              <w:rPr>
                <w:noProof/>
                <w:szCs w:val="20"/>
              </w:rPr>
            </w:pPr>
          </w:p>
        </w:tc>
        <w:tc>
          <w:tcPr>
            <w:tcW w:w="1006" w:type="dxa"/>
            <w:shd w:val="clear" w:color="auto" w:fill="auto"/>
          </w:tcPr>
          <w:p w:rsidR="005624E3" w:rsidRPr="00C903F8" w:rsidRDefault="005624E3" w:rsidP="00101A80">
            <w:pPr>
              <w:spacing w:before="120" w:after="120" w:line="240" w:lineRule="atLeast"/>
              <w:rPr>
                <w:noProof/>
                <w:szCs w:val="20"/>
              </w:rPr>
            </w:pPr>
          </w:p>
        </w:tc>
        <w:tc>
          <w:tcPr>
            <w:tcW w:w="546" w:type="dxa"/>
            <w:shd w:val="clear" w:color="auto" w:fill="auto"/>
          </w:tcPr>
          <w:p w:rsidR="005624E3" w:rsidRPr="00C903F8" w:rsidRDefault="005624E3" w:rsidP="00101A80">
            <w:pPr>
              <w:spacing w:before="120" w:after="120" w:line="240" w:lineRule="atLeast"/>
              <w:rPr>
                <w:noProof/>
                <w:szCs w:val="20"/>
              </w:rPr>
            </w:pPr>
          </w:p>
        </w:tc>
        <w:tc>
          <w:tcPr>
            <w:tcW w:w="567" w:type="dxa"/>
            <w:shd w:val="clear" w:color="auto" w:fill="auto"/>
          </w:tcPr>
          <w:p w:rsidR="005624E3" w:rsidRPr="00C903F8" w:rsidRDefault="005624E3" w:rsidP="00101A80">
            <w:pPr>
              <w:spacing w:before="120" w:after="120" w:line="240" w:lineRule="atLeast"/>
              <w:rPr>
                <w:noProof/>
                <w:szCs w:val="20"/>
              </w:rPr>
            </w:pPr>
          </w:p>
        </w:tc>
        <w:tc>
          <w:tcPr>
            <w:tcW w:w="992" w:type="dxa"/>
            <w:shd w:val="clear" w:color="auto" w:fill="auto"/>
          </w:tcPr>
          <w:p w:rsidR="005624E3" w:rsidRPr="00C903F8" w:rsidRDefault="005624E3" w:rsidP="00101A80">
            <w:pPr>
              <w:spacing w:before="120" w:after="120" w:line="240" w:lineRule="atLeast"/>
              <w:rPr>
                <w:noProof/>
                <w:szCs w:val="20"/>
              </w:rPr>
            </w:pPr>
          </w:p>
        </w:tc>
        <w:tc>
          <w:tcPr>
            <w:tcW w:w="873" w:type="dxa"/>
            <w:shd w:val="clear" w:color="auto" w:fill="auto"/>
          </w:tcPr>
          <w:p w:rsidR="005624E3" w:rsidRPr="00C903F8" w:rsidRDefault="005624E3" w:rsidP="00101A80">
            <w:pPr>
              <w:spacing w:before="120" w:after="120" w:line="240" w:lineRule="atLeast"/>
              <w:rPr>
                <w:noProof/>
                <w:szCs w:val="20"/>
              </w:rPr>
            </w:pPr>
          </w:p>
        </w:tc>
        <w:tc>
          <w:tcPr>
            <w:tcW w:w="1008" w:type="dxa"/>
            <w:shd w:val="clear" w:color="auto" w:fill="auto"/>
          </w:tcPr>
          <w:p w:rsidR="005624E3" w:rsidRPr="00C903F8" w:rsidRDefault="005624E3" w:rsidP="00101A80">
            <w:pPr>
              <w:spacing w:before="120" w:after="120" w:line="240" w:lineRule="atLeast"/>
              <w:rPr>
                <w:noProof/>
                <w:szCs w:val="20"/>
              </w:rPr>
            </w:pPr>
          </w:p>
        </w:tc>
        <w:tc>
          <w:tcPr>
            <w:tcW w:w="1080" w:type="dxa"/>
            <w:shd w:val="clear" w:color="auto" w:fill="auto"/>
          </w:tcPr>
          <w:p w:rsidR="005624E3" w:rsidRPr="00C903F8" w:rsidRDefault="005624E3" w:rsidP="00101A80">
            <w:pPr>
              <w:spacing w:before="120" w:after="120" w:line="240" w:lineRule="atLeast"/>
              <w:rPr>
                <w:noProof/>
                <w:szCs w:val="20"/>
              </w:rPr>
            </w:pPr>
          </w:p>
        </w:tc>
        <w:tc>
          <w:tcPr>
            <w:tcW w:w="1240" w:type="dxa"/>
            <w:shd w:val="clear" w:color="auto" w:fill="auto"/>
          </w:tcPr>
          <w:p w:rsidR="005624E3" w:rsidRPr="00C903F8" w:rsidRDefault="005624E3" w:rsidP="00101A80">
            <w:pPr>
              <w:spacing w:before="120" w:after="120" w:line="240" w:lineRule="atLeast"/>
              <w:rPr>
                <w:noProof/>
                <w:szCs w:val="20"/>
              </w:rPr>
            </w:pPr>
          </w:p>
        </w:tc>
        <w:tc>
          <w:tcPr>
            <w:tcW w:w="812" w:type="dxa"/>
            <w:shd w:val="clear" w:color="auto" w:fill="auto"/>
          </w:tcPr>
          <w:p w:rsidR="005624E3" w:rsidRPr="00C903F8" w:rsidRDefault="005624E3" w:rsidP="00101A80">
            <w:pPr>
              <w:spacing w:before="120" w:after="120" w:line="240" w:lineRule="atLeast"/>
              <w:rPr>
                <w:noProof/>
                <w:szCs w:val="20"/>
              </w:rPr>
            </w:pPr>
          </w:p>
        </w:tc>
      </w:tr>
      <w:tr w:rsidR="005624E3" w:rsidRPr="00C903F8" w:rsidTr="00101A80">
        <w:trPr>
          <w:gridAfter w:val="1"/>
          <w:wAfter w:w="12" w:type="dxa"/>
        </w:trPr>
        <w:tc>
          <w:tcPr>
            <w:tcW w:w="588" w:type="dxa"/>
            <w:shd w:val="clear" w:color="auto" w:fill="auto"/>
          </w:tcPr>
          <w:p w:rsidR="005624E3" w:rsidRPr="00C903F8" w:rsidRDefault="005624E3" w:rsidP="00101A80">
            <w:pPr>
              <w:spacing w:before="120" w:after="120" w:line="240" w:lineRule="atLeast"/>
              <w:rPr>
                <w:noProof/>
                <w:szCs w:val="20"/>
              </w:rPr>
            </w:pPr>
          </w:p>
        </w:tc>
        <w:tc>
          <w:tcPr>
            <w:tcW w:w="960" w:type="dxa"/>
            <w:shd w:val="clear" w:color="auto" w:fill="auto"/>
          </w:tcPr>
          <w:p w:rsidR="005624E3" w:rsidRPr="00C903F8" w:rsidRDefault="005624E3" w:rsidP="00101A80">
            <w:pPr>
              <w:spacing w:before="120" w:after="120" w:line="240" w:lineRule="atLeast"/>
              <w:rPr>
                <w:noProof/>
                <w:szCs w:val="20"/>
              </w:rPr>
            </w:pPr>
          </w:p>
        </w:tc>
        <w:tc>
          <w:tcPr>
            <w:tcW w:w="828" w:type="dxa"/>
            <w:shd w:val="clear" w:color="auto" w:fill="auto"/>
          </w:tcPr>
          <w:p w:rsidR="005624E3" w:rsidRPr="00C903F8" w:rsidRDefault="005624E3" w:rsidP="00101A80">
            <w:pPr>
              <w:spacing w:before="120" w:after="120" w:line="240" w:lineRule="atLeast"/>
              <w:rPr>
                <w:noProof/>
                <w:szCs w:val="20"/>
              </w:rPr>
            </w:pPr>
          </w:p>
        </w:tc>
        <w:tc>
          <w:tcPr>
            <w:tcW w:w="972" w:type="dxa"/>
            <w:shd w:val="clear" w:color="auto" w:fill="auto"/>
          </w:tcPr>
          <w:p w:rsidR="005624E3" w:rsidRPr="00C903F8" w:rsidRDefault="005624E3" w:rsidP="00101A80">
            <w:pPr>
              <w:spacing w:before="120" w:after="120" w:line="240" w:lineRule="atLeast"/>
              <w:rPr>
                <w:noProof/>
                <w:szCs w:val="20"/>
              </w:rPr>
            </w:pPr>
          </w:p>
        </w:tc>
        <w:tc>
          <w:tcPr>
            <w:tcW w:w="1986" w:type="dxa"/>
            <w:shd w:val="clear" w:color="auto" w:fill="auto"/>
          </w:tcPr>
          <w:p w:rsidR="005624E3" w:rsidRPr="00C903F8" w:rsidRDefault="005624E3" w:rsidP="00101A80">
            <w:pPr>
              <w:spacing w:before="120" w:after="120" w:line="240" w:lineRule="atLeast"/>
              <w:rPr>
                <w:noProof/>
                <w:szCs w:val="20"/>
              </w:rPr>
            </w:pPr>
          </w:p>
        </w:tc>
        <w:tc>
          <w:tcPr>
            <w:tcW w:w="1302" w:type="dxa"/>
            <w:shd w:val="clear" w:color="auto" w:fill="auto"/>
          </w:tcPr>
          <w:p w:rsidR="005624E3" w:rsidRPr="00C903F8" w:rsidRDefault="005624E3" w:rsidP="00101A80">
            <w:pPr>
              <w:spacing w:before="120" w:after="120" w:line="240" w:lineRule="atLeast"/>
              <w:rPr>
                <w:noProof/>
                <w:szCs w:val="20"/>
              </w:rPr>
            </w:pPr>
          </w:p>
        </w:tc>
        <w:tc>
          <w:tcPr>
            <w:tcW w:w="1006" w:type="dxa"/>
            <w:shd w:val="clear" w:color="auto" w:fill="auto"/>
          </w:tcPr>
          <w:p w:rsidR="005624E3" w:rsidRPr="00C903F8" w:rsidRDefault="005624E3" w:rsidP="00101A80">
            <w:pPr>
              <w:spacing w:before="120" w:after="120" w:line="240" w:lineRule="atLeast"/>
              <w:rPr>
                <w:noProof/>
                <w:szCs w:val="20"/>
              </w:rPr>
            </w:pPr>
          </w:p>
        </w:tc>
        <w:tc>
          <w:tcPr>
            <w:tcW w:w="546" w:type="dxa"/>
            <w:shd w:val="clear" w:color="auto" w:fill="auto"/>
          </w:tcPr>
          <w:p w:rsidR="005624E3" w:rsidRPr="00C903F8" w:rsidRDefault="005624E3" w:rsidP="00101A80">
            <w:pPr>
              <w:spacing w:before="120" w:after="120" w:line="240" w:lineRule="atLeast"/>
              <w:rPr>
                <w:noProof/>
                <w:szCs w:val="20"/>
              </w:rPr>
            </w:pPr>
          </w:p>
        </w:tc>
        <w:tc>
          <w:tcPr>
            <w:tcW w:w="567" w:type="dxa"/>
            <w:shd w:val="clear" w:color="auto" w:fill="auto"/>
          </w:tcPr>
          <w:p w:rsidR="005624E3" w:rsidRPr="00C903F8" w:rsidRDefault="005624E3" w:rsidP="00101A80">
            <w:pPr>
              <w:spacing w:before="120" w:after="120" w:line="240" w:lineRule="atLeast"/>
              <w:rPr>
                <w:noProof/>
                <w:szCs w:val="20"/>
              </w:rPr>
            </w:pPr>
          </w:p>
        </w:tc>
        <w:tc>
          <w:tcPr>
            <w:tcW w:w="992" w:type="dxa"/>
            <w:shd w:val="clear" w:color="auto" w:fill="auto"/>
          </w:tcPr>
          <w:p w:rsidR="005624E3" w:rsidRPr="00C903F8" w:rsidRDefault="005624E3" w:rsidP="00101A80">
            <w:pPr>
              <w:spacing w:before="120" w:after="120" w:line="240" w:lineRule="atLeast"/>
              <w:rPr>
                <w:noProof/>
                <w:szCs w:val="20"/>
              </w:rPr>
            </w:pPr>
          </w:p>
        </w:tc>
        <w:tc>
          <w:tcPr>
            <w:tcW w:w="873" w:type="dxa"/>
            <w:shd w:val="clear" w:color="auto" w:fill="auto"/>
          </w:tcPr>
          <w:p w:rsidR="005624E3" w:rsidRPr="00C903F8" w:rsidRDefault="005624E3" w:rsidP="00101A80">
            <w:pPr>
              <w:spacing w:before="120" w:after="120" w:line="240" w:lineRule="atLeast"/>
              <w:rPr>
                <w:noProof/>
                <w:szCs w:val="20"/>
              </w:rPr>
            </w:pPr>
          </w:p>
        </w:tc>
        <w:tc>
          <w:tcPr>
            <w:tcW w:w="1008" w:type="dxa"/>
            <w:shd w:val="clear" w:color="auto" w:fill="auto"/>
          </w:tcPr>
          <w:p w:rsidR="005624E3" w:rsidRPr="00C903F8" w:rsidRDefault="005624E3" w:rsidP="00101A80">
            <w:pPr>
              <w:spacing w:before="120" w:after="120" w:line="240" w:lineRule="atLeast"/>
              <w:rPr>
                <w:noProof/>
                <w:szCs w:val="20"/>
              </w:rPr>
            </w:pPr>
          </w:p>
        </w:tc>
        <w:tc>
          <w:tcPr>
            <w:tcW w:w="1080" w:type="dxa"/>
            <w:shd w:val="clear" w:color="auto" w:fill="auto"/>
          </w:tcPr>
          <w:p w:rsidR="005624E3" w:rsidRPr="00C903F8" w:rsidRDefault="005624E3" w:rsidP="00101A80">
            <w:pPr>
              <w:spacing w:before="120" w:after="120" w:line="240" w:lineRule="atLeast"/>
              <w:rPr>
                <w:noProof/>
                <w:szCs w:val="20"/>
              </w:rPr>
            </w:pPr>
          </w:p>
        </w:tc>
        <w:tc>
          <w:tcPr>
            <w:tcW w:w="1240" w:type="dxa"/>
            <w:shd w:val="clear" w:color="auto" w:fill="auto"/>
          </w:tcPr>
          <w:p w:rsidR="005624E3" w:rsidRPr="00C903F8" w:rsidRDefault="005624E3" w:rsidP="00101A80">
            <w:pPr>
              <w:spacing w:before="120" w:after="120" w:line="240" w:lineRule="atLeast"/>
              <w:rPr>
                <w:noProof/>
                <w:szCs w:val="20"/>
              </w:rPr>
            </w:pPr>
          </w:p>
        </w:tc>
        <w:tc>
          <w:tcPr>
            <w:tcW w:w="812" w:type="dxa"/>
            <w:shd w:val="clear" w:color="auto" w:fill="auto"/>
          </w:tcPr>
          <w:p w:rsidR="005624E3" w:rsidRPr="00C903F8" w:rsidRDefault="005624E3" w:rsidP="00101A80">
            <w:pPr>
              <w:spacing w:before="120" w:after="120" w:line="240" w:lineRule="atLeast"/>
              <w:rPr>
                <w:noProof/>
                <w:szCs w:val="20"/>
              </w:rPr>
            </w:pPr>
          </w:p>
        </w:tc>
      </w:tr>
      <w:tr w:rsidR="005624E3" w:rsidRPr="00C903F8" w:rsidTr="00101A80">
        <w:trPr>
          <w:gridAfter w:val="1"/>
          <w:wAfter w:w="12" w:type="dxa"/>
        </w:trPr>
        <w:tc>
          <w:tcPr>
            <w:tcW w:w="588" w:type="dxa"/>
            <w:shd w:val="clear" w:color="auto" w:fill="auto"/>
          </w:tcPr>
          <w:p w:rsidR="005624E3" w:rsidRPr="00C903F8" w:rsidRDefault="005624E3" w:rsidP="00101A80">
            <w:pPr>
              <w:spacing w:before="120" w:after="120" w:line="240" w:lineRule="atLeast"/>
              <w:rPr>
                <w:noProof/>
                <w:szCs w:val="20"/>
              </w:rPr>
            </w:pPr>
          </w:p>
        </w:tc>
        <w:tc>
          <w:tcPr>
            <w:tcW w:w="960" w:type="dxa"/>
            <w:shd w:val="clear" w:color="auto" w:fill="auto"/>
          </w:tcPr>
          <w:p w:rsidR="005624E3" w:rsidRPr="00C903F8" w:rsidRDefault="005624E3" w:rsidP="00101A80">
            <w:pPr>
              <w:spacing w:before="120" w:after="120" w:line="240" w:lineRule="atLeast"/>
              <w:rPr>
                <w:noProof/>
                <w:szCs w:val="20"/>
              </w:rPr>
            </w:pPr>
          </w:p>
        </w:tc>
        <w:tc>
          <w:tcPr>
            <w:tcW w:w="828" w:type="dxa"/>
            <w:shd w:val="clear" w:color="auto" w:fill="auto"/>
          </w:tcPr>
          <w:p w:rsidR="005624E3" w:rsidRPr="00C903F8" w:rsidRDefault="005624E3" w:rsidP="00101A80">
            <w:pPr>
              <w:spacing w:before="120" w:after="120" w:line="240" w:lineRule="atLeast"/>
              <w:rPr>
                <w:noProof/>
                <w:szCs w:val="20"/>
              </w:rPr>
            </w:pPr>
          </w:p>
        </w:tc>
        <w:tc>
          <w:tcPr>
            <w:tcW w:w="972" w:type="dxa"/>
            <w:shd w:val="clear" w:color="auto" w:fill="auto"/>
          </w:tcPr>
          <w:p w:rsidR="005624E3" w:rsidRPr="00C903F8" w:rsidRDefault="005624E3" w:rsidP="00101A80">
            <w:pPr>
              <w:spacing w:before="120" w:after="120" w:line="240" w:lineRule="atLeast"/>
              <w:rPr>
                <w:noProof/>
                <w:szCs w:val="20"/>
              </w:rPr>
            </w:pPr>
          </w:p>
        </w:tc>
        <w:tc>
          <w:tcPr>
            <w:tcW w:w="1986" w:type="dxa"/>
            <w:shd w:val="clear" w:color="auto" w:fill="auto"/>
          </w:tcPr>
          <w:p w:rsidR="005624E3" w:rsidRPr="00C903F8" w:rsidRDefault="005624E3" w:rsidP="00101A80">
            <w:pPr>
              <w:spacing w:before="120" w:after="120" w:line="240" w:lineRule="atLeast"/>
              <w:rPr>
                <w:noProof/>
                <w:szCs w:val="20"/>
              </w:rPr>
            </w:pPr>
          </w:p>
        </w:tc>
        <w:tc>
          <w:tcPr>
            <w:tcW w:w="1302" w:type="dxa"/>
            <w:shd w:val="clear" w:color="auto" w:fill="auto"/>
          </w:tcPr>
          <w:p w:rsidR="005624E3" w:rsidRPr="00C903F8" w:rsidRDefault="005624E3" w:rsidP="00101A80">
            <w:pPr>
              <w:spacing w:before="120" w:after="120" w:line="240" w:lineRule="atLeast"/>
              <w:rPr>
                <w:noProof/>
                <w:szCs w:val="20"/>
              </w:rPr>
            </w:pPr>
          </w:p>
        </w:tc>
        <w:tc>
          <w:tcPr>
            <w:tcW w:w="1006" w:type="dxa"/>
            <w:shd w:val="clear" w:color="auto" w:fill="auto"/>
          </w:tcPr>
          <w:p w:rsidR="005624E3" w:rsidRPr="00C903F8" w:rsidRDefault="005624E3" w:rsidP="00101A80">
            <w:pPr>
              <w:spacing w:before="120" w:after="120" w:line="240" w:lineRule="atLeast"/>
              <w:rPr>
                <w:noProof/>
                <w:szCs w:val="20"/>
              </w:rPr>
            </w:pPr>
          </w:p>
        </w:tc>
        <w:tc>
          <w:tcPr>
            <w:tcW w:w="546" w:type="dxa"/>
            <w:shd w:val="clear" w:color="auto" w:fill="auto"/>
          </w:tcPr>
          <w:p w:rsidR="005624E3" w:rsidRPr="00C903F8" w:rsidRDefault="005624E3" w:rsidP="00101A80">
            <w:pPr>
              <w:spacing w:before="120" w:after="120" w:line="240" w:lineRule="atLeast"/>
              <w:rPr>
                <w:noProof/>
                <w:szCs w:val="20"/>
              </w:rPr>
            </w:pPr>
          </w:p>
        </w:tc>
        <w:tc>
          <w:tcPr>
            <w:tcW w:w="567" w:type="dxa"/>
            <w:shd w:val="clear" w:color="auto" w:fill="auto"/>
          </w:tcPr>
          <w:p w:rsidR="005624E3" w:rsidRPr="00C903F8" w:rsidRDefault="005624E3" w:rsidP="00101A80">
            <w:pPr>
              <w:spacing w:before="120" w:after="120" w:line="240" w:lineRule="atLeast"/>
              <w:rPr>
                <w:noProof/>
                <w:szCs w:val="20"/>
              </w:rPr>
            </w:pPr>
          </w:p>
        </w:tc>
        <w:tc>
          <w:tcPr>
            <w:tcW w:w="992" w:type="dxa"/>
            <w:shd w:val="clear" w:color="auto" w:fill="auto"/>
          </w:tcPr>
          <w:p w:rsidR="005624E3" w:rsidRPr="00C903F8" w:rsidRDefault="005624E3" w:rsidP="00101A80">
            <w:pPr>
              <w:spacing w:before="120" w:after="120" w:line="240" w:lineRule="atLeast"/>
              <w:rPr>
                <w:noProof/>
                <w:szCs w:val="20"/>
              </w:rPr>
            </w:pPr>
          </w:p>
        </w:tc>
        <w:tc>
          <w:tcPr>
            <w:tcW w:w="873" w:type="dxa"/>
            <w:shd w:val="clear" w:color="auto" w:fill="auto"/>
          </w:tcPr>
          <w:p w:rsidR="005624E3" w:rsidRPr="00C903F8" w:rsidRDefault="005624E3" w:rsidP="00101A80">
            <w:pPr>
              <w:spacing w:before="120" w:after="120" w:line="240" w:lineRule="atLeast"/>
              <w:rPr>
                <w:noProof/>
                <w:szCs w:val="20"/>
              </w:rPr>
            </w:pPr>
          </w:p>
        </w:tc>
        <w:tc>
          <w:tcPr>
            <w:tcW w:w="1008" w:type="dxa"/>
            <w:shd w:val="clear" w:color="auto" w:fill="auto"/>
          </w:tcPr>
          <w:p w:rsidR="005624E3" w:rsidRPr="00C903F8" w:rsidRDefault="005624E3" w:rsidP="00101A80">
            <w:pPr>
              <w:spacing w:before="120" w:after="120" w:line="240" w:lineRule="atLeast"/>
              <w:rPr>
                <w:noProof/>
                <w:szCs w:val="20"/>
              </w:rPr>
            </w:pPr>
          </w:p>
        </w:tc>
        <w:tc>
          <w:tcPr>
            <w:tcW w:w="1080" w:type="dxa"/>
            <w:shd w:val="clear" w:color="auto" w:fill="auto"/>
          </w:tcPr>
          <w:p w:rsidR="005624E3" w:rsidRPr="00C903F8" w:rsidRDefault="005624E3" w:rsidP="00101A80">
            <w:pPr>
              <w:spacing w:before="120" w:after="120" w:line="240" w:lineRule="atLeast"/>
              <w:rPr>
                <w:noProof/>
                <w:szCs w:val="20"/>
              </w:rPr>
            </w:pPr>
          </w:p>
        </w:tc>
        <w:tc>
          <w:tcPr>
            <w:tcW w:w="1240" w:type="dxa"/>
            <w:shd w:val="clear" w:color="auto" w:fill="auto"/>
          </w:tcPr>
          <w:p w:rsidR="005624E3" w:rsidRPr="00C903F8" w:rsidRDefault="005624E3" w:rsidP="00101A80">
            <w:pPr>
              <w:spacing w:before="120" w:after="120" w:line="240" w:lineRule="atLeast"/>
              <w:rPr>
                <w:noProof/>
                <w:szCs w:val="20"/>
              </w:rPr>
            </w:pPr>
          </w:p>
        </w:tc>
        <w:tc>
          <w:tcPr>
            <w:tcW w:w="812" w:type="dxa"/>
            <w:shd w:val="clear" w:color="auto" w:fill="auto"/>
          </w:tcPr>
          <w:p w:rsidR="005624E3" w:rsidRPr="00C903F8" w:rsidRDefault="005624E3" w:rsidP="00101A80">
            <w:pPr>
              <w:spacing w:before="120" w:after="120" w:line="240" w:lineRule="atLeast"/>
              <w:rPr>
                <w:noProof/>
                <w:szCs w:val="20"/>
              </w:rPr>
            </w:pPr>
          </w:p>
        </w:tc>
      </w:tr>
      <w:tr w:rsidR="005624E3" w:rsidRPr="00C903F8" w:rsidTr="00101A80">
        <w:trPr>
          <w:gridAfter w:val="1"/>
          <w:wAfter w:w="12" w:type="dxa"/>
        </w:trPr>
        <w:tc>
          <w:tcPr>
            <w:tcW w:w="588" w:type="dxa"/>
            <w:shd w:val="clear" w:color="auto" w:fill="auto"/>
          </w:tcPr>
          <w:p w:rsidR="005624E3" w:rsidRPr="00C903F8" w:rsidRDefault="005624E3" w:rsidP="00101A80">
            <w:pPr>
              <w:spacing w:before="120" w:after="120" w:line="240" w:lineRule="atLeast"/>
              <w:rPr>
                <w:noProof/>
                <w:szCs w:val="20"/>
              </w:rPr>
            </w:pPr>
          </w:p>
        </w:tc>
        <w:tc>
          <w:tcPr>
            <w:tcW w:w="960" w:type="dxa"/>
            <w:shd w:val="clear" w:color="auto" w:fill="auto"/>
          </w:tcPr>
          <w:p w:rsidR="005624E3" w:rsidRPr="00C903F8" w:rsidRDefault="005624E3" w:rsidP="00101A80">
            <w:pPr>
              <w:spacing w:before="120" w:after="120" w:line="240" w:lineRule="atLeast"/>
              <w:rPr>
                <w:noProof/>
                <w:szCs w:val="20"/>
              </w:rPr>
            </w:pPr>
          </w:p>
        </w:tc>
        <w:tc>
          <w:tcPr>
            <w:tcW w:w="828" w:type="dxa"/>
            <w:shd w:val="clear" w:color="auto" w:fill="auto"/>
          </w:tcPr>
          <w:p w:rsidR="005624E3" w:rsidRPr="00C903F8" w:rsidRDefault="005624E3" w:rsidP="00101A80">
            <w:pPr>
              <w:spacing w:before="120" w:after="120" w:line="240" w:lineRule="atLeast"/>
              <w:rPr>
                <w:noProof/>
                <w:szCs w:val="20"/>
              </w:rPr>
            </w:pPr>
          </w:p>
        </w:tc>
        <w:tc>
          <w:tcPr>
            <w:tcW w:w="972" w:type="dxa"/>
            <w:shd w:val="clear" w:color="auto" w:fill="auto"/>
          </w:tcPr>
          <w:p w:rsidR="005624E3" w:rsidRPr="00C903F8" w:rsidRDefault="005624E3" w:rsidP="00101A80">
            <w:pPr>
              <w:spacing w:before="120" w:after="120" w:line="240" w:lineRule="atLeast"/>
              <w:rPr>
                <w:noProof/>
                <w:szCs w:val="20"/>
              </w:rPr>
            </w:pPr>
          </w:p>
        </w:tc>
        <w:tc>
          <w:tcPr>
            <w:tcW w:w="1986" w:type="dxa"/>
            <w:shd w:val="clear" w:color="auto" w:fill="auto"/>
          </w:tcPr>
          <w:p w:rsidR="005624E3" w:rsidRPr="00C903F8" w:rsidRDefault="005624E3" w:rsidP="00101A80">
            <w:pPr>
              <w:spacing w:before="120" w:after="120" w:line="240" w:lineRule="atLeast"/>
              <w:rPr>
                <w:noProof/>
                <w:szCs w:val="20"/>
              </w:rPr>
            </w:pPr>
          </w:p>
        </w:tc>
        <w:tc>
          <w:tcPr>
            <w:tcW w:w="1302" w:type="dxa"/>
            <w:shd w:val="clear" w:color="auto" w:fill="auto"/>
          </w:tcPr>
          <w:p w:rsidR="005624E3" w:rsidRPr="00C903F8" w:rsidRDefault="005624E3" w:rsidP="00101A80">
            <w:pPr>
              <w:spacing w:before="120" w:after="120" w:line="240" w:lineRule="atLeast"/>
              <w:rPr>
                <w:noProof/>
                <w:szCs w:val="20"/>
              </w:rPr>
            </w:pPr>
          </w:p>
        </w:tc>
        <w:tc>
          <w:tcPr>
            <w:tcW w:w="1006" w:type="dxa"/>
            <w:shd w:val="clear" w:color="auto" w:fill="auto"/>
          </w:tcPr>
          <w:p w:rsidR="005624E3" w:rsidRPr="00C903F8" w:rsidRDefault="005624E3" w:rsidP="00101A80">
            <w:pPr>
              <w:spacing w:before="120" w:after="120" w:line="240" w:lineRule="atLeast"/>
              <w:rPr>
                <w:noProof/>
                <w:szCs w:val="20"/>
              </w:rPr>
            </w:pPr>
          </w:p>
        </w:tc>
        <w:tc>
          <w:tcPr>
            <w:tcW w:w="546" w:type="dxa"/>
            <w:shd w:val="clear" w:color="auto" w:fill="auto"/>
          </w:tcPr>
          <w:p w:rsidR="005624E3" w:rsidRPr="00C903F8" w:rsidRDefault="005624E3" w:rsidP="00101A80">
            <w:pPr>
              <w:spacing w:before="120" w:after="120" w:line="240" w:lineRule="atLeast"/>
              <w:rPr>
                <w:noProof/>
                <w:szCs w:val="20"/>
              </w:rPr>
            </w:pPr>
          </w:p>
        </w:tc>
        <w:tc>
          <w:tcPr>
            <w:tcW w:w="567" w:type="dxa"/>
            <w:shd w:val="clear" w:color="auto" w:fill="auto"/>
          </w:tcPr>
          <w:p w:rsidR="005624E3" w:rsidRPr="00C903F8" w:rsidRDefault="005624E3" w:rsidP="00101A80">
            <w:pPr>
              <w:spacing w:before="120" w:after="120" w:line="240" w:lineRule="atLeast"/>
              <w:rPr>
                <w:noProof/>
                <w:szCs w:val="20"/>
              </w:rPr>
            </w:pPr>
          </w:p>
        </w:tc>
        <w:tc>
          <w:tcPr>
            <w:tcW w:w="992" w:type="dxa"/>
            <w:shd w:val="clear" w:color="auto" w:fill="auto"/>
          </w:tcPr>
          <w:p w:rsidR="005624E3" w:rsidRPr="00C903F8" w:rsidRDefault="005624E3" w:rsidP="00101A80">
            <w:pPr>
              <w:spacing w:before="120" w:after="120" w:line="240" w:lineRule="atLeast"/>
              <w:rPr>
                <w:noProof/>
                <w:szCs w:val="20"/>
              </w:rPr>
            </w:pPr>
          </w:p>
        </w:tc>
        <w:tc>
          <w:tcPr>
            <w:tcW w:w="873" w:type="dxa"/>
            <w:shd w:val="clear" w:color="auto" w:fill="auto"/>
          </w:tcPr>
          <w:p w:rsidR="005624E3" w:rsidRPr="00C903F8" w:rsidRDefault="005624E3" w:rsidP="00101A80">
            <w:pPr>
              <w:spacing w:before="120" w:after="120" w:line="240" w:lineRule="atLeast"/>
              <w:rPr>
                <w:noProof/>
                <w:szCs w:val="20"/>
              </w:rPr>
            </w:pPr>
          </w:p>
        </w:tc>
        <w:tc>
          <w:tcPr>
            <w:tcW w:w="1008" w:type="dxa"/>
            <w:shd w:val="clear" w:color="auto" w:fill="auto"/>
          </w:tcPr>
          <w:p w:rsidR="005624E3" w:rsidRPr="00C903F8" w:rsidRDefault="005624E3" w:rsidP="00101A80">
            <w:pPr>
              <w:spacing w:before="120" w:after="120" w:line="240" w:lineRule="atLeast"/>
              <w:rPr>
                <w:noProof/>
                <w:szCs w:val="20"/>
              </w:rPr>
            </w:pPr>
          </w:p>
        </w:tc>
        <w:tc>
          <w:tcPr>
            <w:tcW w:w="1080" w:type="dxa"/>
            <w:shd w:val="clear" w:color="auto" w:fill="auto"/>
          </w:tcPr>
          <w:p w:rsidR="005624E3" w:rsidRPr="00C903F8" w:rsidRDefault="005624E3" w:rsidP="00101A80">
            <w:pPr>
              <w:spacing w:before="120" w:after="120" w:line="240" w:lineRule="atLeast"/>
              <w:rPr>
                <w:noProof/>
                <w:szCs w:val="20"/>
              </w:rPr>
            </w:pPr>
          </w:p>
        </w:tc>
        <w:tc>
          <w:tcPr>
            <w:tcW w:w="1240" w:type="dxa"/>
            <w:shd w:val="clear" w:color="auto" w:fill="auto"/>
          </w:tcPr>
          <w:p w:rsidR="005624E3" w:rsidRPr="00C903F8" w:rsidRDefault="005624E3" w:rsidP="00101A80">
            <w:pPr>
              <w:spacing w:before="120" w:after="120" w:line="240" w:lineRule="atLeast"/>
              <w:rPr>
                <w:noProof/>
                <w:szCs w:val="20"/>
              </w:rPr>
            </w:pPr>
          </w:p>
        </w:tc>
        <w:tc>
          <w:tcPr>
            <w:tcW w:w="812" w:type="dxa"/>
            <w:shd w:val="clear" w:color="auto" w:fill="auto"/>
          </w:tcPr>
          <w:p w:rsidR="005624E3" w:rsidRPr="00C903F8" w:rsidRDefault="005624E3" w:rsidP="00101A80">
            <w:pPr>
              <w:spacing w:before="120" w:after="120" w:line="240" w:lineRule="atLeast"/>
              <w:rPr>
                <w:noProof/>
                <w:szCs w:val="20"/>
              </w:rPr>
            </w:pPr>
          </w:p>
        </w:tc>
      </w:tr>
    </w:tbl>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r>
        <w:br w:type="page"/>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p>
    <w:p w:rsidR="005624E3" w:rsidRPr="00C903F8" w:rsidRDefault="005624E3" w:rsidP="005624E3">
      <w:pPr>
        <w:suppressAutoHyphens/>
        <w:rPr>
          <w:rFonts w:cs="Arial"/>
        </w:rPr>
        <w:sectPr w:rsidR="005624E3" w:rsidRPr="00C903F8" w:rsidSect="009C13A9">
          <w:headerReference w:type="even" r:id="rId88"/>
          <w:headerReference w:type="default" r:id="rId89"/>
          <w:footerReference w:type="even" r:id="rId90"/>
          <w:footerReference w:type="default" r:id="rId91"/>
          <w:headerReference w:type="first" r:id="rId92"/>
          <w:footerReference w:type="first" r:id="rId93"/>
          <w:footnotePr>
            <w:numRestart w:val="eachPage"/>
          </w:footnotePr>
          <w:pgSz w:w="16840" w:h="11907" w:orient="landscape" w:code="9"/>
          <w:pgMar w:top="1418" w:right="1418" w:bottom="1418" w:left="1418" w:header="680" w:footer="680" w:gutter="0"/>
          <w:cols w:space="720"/>
          <w:docGrid w:linePitch="360"/>
        </w:sectPr>
      </w:pPr>
    </w:p>
    <w:p w:rsidR="005624E3" w:rsidRPr="00C903F8" w:rsidRDefault="005624E3" w:rsidP="005624E3">
      <w:pPr>
        <w:suppressAutoHyphens/>
        <w:spacing w:line="240" w:lineRule="atLeast"/>
        <w:jc w:val="center"/>
        <w:rPr>
          <w:rFonts w:cs="Arial"/>
          <w:b/>
        </w:rPr>
      </w:pPr>
    </w:p>
    <w:p w:rsidR="005624E3" w:rsidRPr="008F19E2" w:rsidRDefault="005624E3" w:rsidP="005624E3">
      <w:pPr>
        <w:pStyle w:val="ES-Titre3"/>
        <w:rPr>
          <w:noProof/>
        </w:rPr>
      </w:pPr>
      <w:bookmarkStart w:id="712" w:name="_Toc491854338"/>
      <w:bookmarkStart w:id="713" w:name="_Toc535854119"/>
      <w:r>
        <w:t>VIII. szakasz</w:t>
      </w:r>
      <w:bookmarkEnd w:id="712"/>
      <w:bookmarkEnd w:id="713"/>
    </w:p>
    <w:p w:rsidR="005624E3" w:rsidRPr="00C903F8" w:rsidRDefault="005624E3" w:rsidP="005624E3">
      <w:pPr>
        <w:pStyle w:val="ES-Titre3a"/>
        <w:rPr>
          <w:noProof/>
        </w:rPr>
      </w:pPr>
      <w:bookmarkStart w:id="714" w:name="_Toc491854339"/>
      <w:bookmarkStart w:id="715" w:name="_Toc535854120"/>
      <w:r>
        <w:t>A fedélzeti szennyvízkezelő mű paraméterjegyzéke a rendkívüli vizsgálathoz</w:t>
      </w:r>
      <w:bookmarkEnd w:id="714"/>
      <w:bookmarkEnd w:id="715"/>
    </w:p>
    <w:p w:rsidR="005624E3" w:rsidRPr="00C903F8" w:rsidRDefault="005624E3" w:rsidP="005624E3">
      <w:pPr>
        <w:overflowPunct w:val="0"/>
        <w:adjustRightInd w:val="0"/>
        <w:spacing w:line="240" w:lineRule="exact"/>
        <w:jc w:val="center"/>
        <w:textAlignment w:val="baseline"/>
        <w:rPr>
          <w:rFonts w:eastAsia="Calibri" w:cs="Arial"/>
          <w:sz w:val="16"/>
        </w:rPr>
      </w:pPr>
      <w:r>
        <w:t>(Minta)</w:t>
      </w:r>
    </w:p>
    <w:p w:rsidR="005624E3" w:rsidRPr="00C903F8" w:rsidRDefault="005624E3" w:rsidP="005624E3">
      <w:pPr>
        <w:suppressAutoHyphens/>
        <w:spacing w:line="240" w:lineRule="atLeast"/>
        <w:rPr>
          <w:rFonts w:cs="Arial"/>
          <w:szCs w:val="20"/>
        </w:rPr>
      </w:pPr>
    </w:p>
    <w:p w:rsidR="005624E3" w:rsidRPr="00C903F8" w:rsidRDefault="005624E3" w:rsidP="005624E3">
      <w:pPr>
        <w:ind w:left="709" w:hanging="709"/>
        <w:outlineLvl w:val="0"/>
        <w:rPr>
          <w:rFonts w:cs="Arial"/>
          <w:b/>
          <w:bCs/>
          <w:noProof/>
          <w:szCs w:val="20"/>
        </w:rPr>
      </w:pPr>
      <w:r>
        <w:rPr>
          <w:b/>
          <w:noProof/>
        </w:rPr>
        <w:t>1.</w:t>
      </w:r>
      <w:r>
        <w:tab/>
      </w:r>
      <w:r>
        <w:rPr>
          <w:b/>
          <w:noProof/>
        </w:rPr>
        <w:t>Általános rendelkezések</w:t>
      </w:r>
    </w:p>
    <w:p w:rsidR="005624E3" w:rsidRPr="00C903F8" w:rsidRDefault="005624E3" w:rsidP="005624E3">
      <w:pPr>
        <w:spacing w:before="60" w:line="240" w:lineRule="atLeast"/>
        <w:ind w:left="709" w:hanging="709"/>
        <w:rPr>
          <w:rFonts w:cs="Arial"/>
          <w:noProof/>
          <w:szCs w:val="20"/>
        </w:rPr>
      </w:pPr>
      <w:r>
        <w:t>1.1.</w:t>
      </w:r>
      <w:r>
        <w:tab/>
        <w:t xml:space="preserve">A fedélzeti szennyvízkezelő mű adatai </w:t>
      </w:r>
    </w:p>
    <w:p w:rsidR="005624E3" w:rsidRPr="00C903F8" w:rsidRDefault="005624E3" w:rsidP="005624E3">
      <w:pPr>
        <w:tabs>
          <w:tab w:val="left" w:leader="dot" w:pos="9072"/>
        </w:tabs>
        <w:spacing w:before="60" w:line="240" w:lineRule="atLeast"/>
        <w:ind w:left="709" w:hanging="709"/>
        <w:rPr>
          <w:rFonts w:cs="Arial"/>
          <w:noProof/>
          <w:szCs w:val="20"/>
        </w:rPr>
      </w:pPr>
      <w:r>
        <w:t>1.1.1.</w:t>
      </w:r>
      <w:r>
        <w:tab/>
        <w:t xml:space="preserve">Gyártmány: </w:t>
      </w:r>
      <w:r>
        <w:tab/>
      </w:r>
    </w:p>
    <w:p w:rsidR="005624E3" w:rsidRPr="00C903F8" w:rsidRDefault="005624E3" w:rsidP="005624E3">
      <w:pPr>
        <w:tabs>
          <w:tab w:val="left" w:leader="dot" w:pos="9072"/>
        </w:tabs>
        <w:spacing w:before="60" w:line="240" w:lineRule="atLeast"/>
        <w:ind w:left="709" w:hanging="709"/>
        <w:rPr>
          <w:rFonts w:cs="Arial"/>
          <w:noProof/>
          <w:szCs w:val="20"/>
        </w:rPr>
      </w:pPr>
      <w:r>
        <w:t>1.1.2.</w:t>
      </w:r>
      <w:r>
        <w:tab/>
        <w:t xml:space="preserve">Gyártói megjelölés: </w:t>
      </w:r>
      <w:r>
        <w:tab/>
      </w:r>
    </w:p>
    <w:p w:rsidR="005624E3" w:rsidRPr="00C903F8" w:rsidRDefault="005624E3" w:rsidP="005624E3">
      <w:pPr>
        <w:tabs>
          <w:tab w:val="left" w:leader="dot" w:pos="9072"/>
        </w:tabs>
        <w:spacing w:before="60" w:line="240" w:lineRule="atLeast"/>
        <w:ind w:left="709"/>
        <w:rPr>
          <w:rFonts w:cs="Arial"/>
          <w:noProof/>
          <w:szCs w:val="20"/>
        </w:rPr>
      </w:pPr>
      <w:r>
        <w:tab/>
      </w:r>
    </w:p>
    <w:p w:rsidR="005624E3" w:rsidRPr="00C903F8" w:rsidRDefault="005624E3" w:rsidP="005624E3">
      <w:pPr>
        <w:tabs>
          <w:tab w:val="left" w:leader="dot" w:pos="9072"/>
        </w:tabs>
        <w:spacing w:before="60" w:line="240" w:lineRule="atLeast"/>
        <w:ind w:left="709" w:hanging="709"/>
        <w:rPr>
          <w:rFonts w:cs="Arial"/>
          <w:noProof/>
          <w:szCs w:val="20"/>
        </w:rPr>
      </w:pPr>
      <w:r>
        <w:t>1.1.3.</w:t>
      </w:r>
      <w:r>
        <w:tab/>
        <w:t xml:space="preserve">Típusjóváhagyás száma: </w:t>
      </w:r>
      <w:r>
        <w:tab/>
      </w:r>
    </w:p>
    <w:p w:rsidR="005624E3" w:rsidRPr="00C903F8" w:rsidRDefault="005624E3" w:rsidP="005624E3">
      <w:pPr>
        <w:tabs>
          <w:tab w:val="left" w:leader="dot" w:pos="9072"/>
        </w:tabs>
        <w:spacing w:before="60" w:line="240" w:lineRule="atLeast"/>
        <w:ind w:left="709" w:hanging="709"/>
        <w:rPr>
          <w:rFonts w:cs="Arial"/>
          <w:noProof/>
          <w:szCs w:val="20"/>
        </w:rPr>
      </w:pPr>
      <w:r>
        <w:t>1.1.4.</w:t>
      </w:r>
      <w:r>
        <w:tab/>
        <w:t xml:space="preserve">A fedélzeti szennyvízkezelő mű sorozatszáma: </w:t>
      </w:r>
      <w:r>
        <w:tab/>
      </w:r>
    </w:p>
    <w:p w:rsidR="005624E3" w:rsidRPr="00C903F8" w:rsidRDefault="005624E3" w:rsidP="005624E3">
      <w:pPr>
        <w:tabs>
          <w:tab w:val="left" w:leader="dot" w:pos="9072"/>
        </w:tabs>
        <w:spacing w:before="60" w:line="240" w:lineRule="atLeast"/>
        <w:ind w:left="709"/>
        <w:rPr>
          <w:rFonts w:cs="Arial"/>
          <w:noProof/>
          <w:szCs w:val="20"/>
        </w:rPr>
      </w:pPr>
      <w:r>
        <w:tab/>
      </w:r>
    </w:p>
    <w:p w:rsidR="005624E3" w:rsidRPr="00C903F8" w:rsidRDefault="005624E3" w:rsidP="005624E3">
      <w:pPr>
        <w:ind w:left="709" w:hanging="709"/>
        <w:rPr>
          <w:rFonts w:cs="Arial"/>
          <w:noProof/>
          <w:szCs w:val="20"/>
        </w:rPr>
      </w:pPr>
    </w:p>
    <w:p w:rsidR="005624E3" w:rsidRPr="00C903F8" w:rsidRDefault="005624E3" w:rsidP="005624E3">
      <w:pPr>
        <w:ind w:left="709" w:hanging="709"/>
        <w:rPr>
          <w:rFonts w:cs="Arial"/>
          <w:noProof/>
          <w:szCs w:val="20"/>
        </w:rPr>
      </w:pPr>
      <w:r>
        <w:t>1.2.</w:t>
      </w:r>
      <w:r>
        <w:tab/>
        <w:t>Dokumentáció:</w:t>
      </w:r>
    </w:p>
    <w:p w:rsidR="005624E3" w:rsidRPr="00C903F8" w:rsidRDefault="005624E3" w:rsidP="005624E3">
      <w:pPr>
        <w:ind w:left="709" w:hanging="709"/>
        <w:rPr>
          <w:rFonts w:cs="Arial"/>
          <w:noProof/>
          <w:szCs w:val="20"/>
        </w:rPr>
      </w:pPr>
    </w:p>
    <w:p w:rsidR="005624E3" w:rsidRPr="00C903F8" w:rsidRDefault="005624E3" w:rsidP="005624E3">
      <w:pPr>
        <w:ind w:left="709"/>
        <w:rPr>
          <w:rFonts w:cs="Arial"/>
          <w:noProof/>
          <w:szCs w:val="20"/>
        </w:rPr>
      </w:pPr>
      <w:r>
        <w:t>A fedélzeti szennyvízkezelő művet vizsgálat alá kell vonni, és a vizsgálati eredményeket egyenként számozott, a vizsgálóbiztos által aláírt és e jegyzékhez csatolt külön lapokon kell rögzíteni.</w:t>
      </w:r>
    </w:p>
    <w:p w:rsidR="005624E3" w:rsidRPr="00C903F8" w:rsidRDefault="005624E3" w:rsidP="005624E3">
      <w:pPr>
        <w:ind w:left="709" w:hanging="709"/>
        <w:rPr>
          <w:rFonts w:cs="Arial"/>
          <w:noProof/>
          <w:szCs w:val="20"/>
        </w:rPr>
      </w:pPr>
    </w:p>
    <w:p w:rsidR="005624E3" w:rsidRPr="00C903F8" w:rsidRDefault="005624E3" w:rsidP="005624E3">
      <w:pPr>
        <w:ind w:left="709" w:hanging="709"/>
        <w:rPr>
          <w:rFonts w:cs="Arial"/>
          <w:noProof/>
          <w:szCs w:val="20"/>
        </w:rPr>
      </w:pPr>
      <w:r>
        <w:t>1.3.</w:t>
      </w:r>
      <w:r>
        <w:tab/>
        <w:t>Vizsgálatok</w:t>
      </w:r>
    </w:p>
    <w:p w:rsidR="005624E3" w:rsidRPr="00C903F8" w:rsidRDefault="005624E3" w:rsidP="005624E3">
      <w:pPr>
        <w:ind w:left="709" w:hanging="709"/>
        <w:rPr>
          <w:rFonts w:cs="Arial"/>
          <w:noProof/>
          <w:szCs w:val="20"/>
        </w:rPr>
      </w:pPr>
    </w:p>
    <w:p w:rsidR="005624E3" w:rsidRPr="00C903F8" w:rsidRDefault="005624E3" w:rsidP="005624E3">
      <w:pPr>
        <w:ind w:left="709"/>
        <w:rPr>
          <w:rFonts w:cs="Arial"/>
          <w:noProof/>
          <w:szCs w:val="20"/>
        </w:rPr>
      </w:pPr>
      <w:r>
        <w:t>A vizsgálatokat a fedélzeti szennyvízkezelő mű szennyvízkezelés szempontjából lényeges alkatrészeinek és paramétereinek ellenőrzéséhez készült gyártói útmutató alapján kell végrehajtani, az 1.01. cikk 9.10. pontjának megfelelően. A vizsgálóbiztos – indokolt egyedi esetekben – saját belátása alapján dönthet arról, hogy eltekint bizonyos alkatrészek vagy paraméterek ellenőrzésétől.</w:t>
      </w:r>
    </w:p>
    <w:p w:rsidR="005624E3" w:rsidRPr="00C903F8" w:rsidRDefault="005624E3" w:rsidP="005624E3">
      <w:pPr>
        <w:ind w:left="709" w:hanging="709"/>
        <w:rPr>
          <w:rFonts w:cs="Arial"/>
          <w:noProof/>
          <w:szCs w:val="20"/>
        </w:rPr>
      </w:pPr>
    </w:p>
    <w:p w:rsidR="005624E3" w:rsidRPr="00C903F8" w:rsidRDefault="005624E3" w:rsidP="005624E3">
      <w:pPr>
        <w:ind w:left="709"/>
        <w:rPr>
          <w:rFonts w:cs="Arial"/>
          <w:noProof/>
          <w:szCs w:val="20"/>
        </w:rPr>
      </w:pPr>
      <w:r>
        <w:t>A vizsgálat keretében legalább egy szúrópróbaszerű mintát kell venni. A szúrópróbaszerű mintákon végrehajtott mérések eredményeit össze kell hasonlítani a 18.01. cikk 2. bekezdésének 2. táblázatában foglalt ellenőrzési értékekkel.</w:t>
      </w:r>
    </w:p>
    <w:p w:rsidR="005624E3" w:rsidRPr="00C903F8" w:rsidRDefault="005624E3" w:rsidP="005624E3">
      <w:pPr>
        <w:ind w:left="709" w:hanging="709"/>
        <w:rPr>
          <w:rFonts w:cs="Arial"/>
          <w:noProof/>
          <w:szCs w:val="20"/>
        </w:rPr>
      </w:pPr>
    </w:p>
    <w:p w:rsidR="005624E3" w:rsidRPr="00C903F8" w:rsidRDefault="005624E3" w:rsidP="005624E3">
      <w:pPr>
        <w:ind w:left="709" w:hanging="709"/>
        <w:rPr>
          <w:rFonts w:cs="Arial"/>
          <w:noProof/>
          <w:szCs w:val="20"/>
        </w:rPr>
      </w:pPr>
      <w:r>
        <w:t>1.4.</w:t>
      </w:r>
      <w:r>
        <w:tab/>
        <w:t>Ez a vizsgálati jegyzőkönyv a csatolt jegyzőkönyvekkel együtt összesen ...................</w:t>
      </w:r>
      <w:r>
        <w:rPr>
          <w:noProof/>
          <w:vertAlign w:val="superscript"/>
        </w:rPr>
        <w:footnoteReference w:id="72"/>
      </w:r>
      <w:r>
        <w:t xml:space="preserve"> oldalból áll.</w:t>
      </w:r>
    </w:p>
    <w:p w:rsidR="005624E3" w:rsidRPr="00C903F8" w:rsidRDefault="005624E3" w:rsidP="005624E3">
      <w:pPr>
        <w:ind w:left="709" w:hanging="709"/>
        <w:rPr>
          <w:rFonts w:cs="Arial"/>
          <w:b/>
          <w:bCs/>
          <w:noProof/>
          <w:szCs w:val="20"/>
        </w:rPr>
      </w:pPr>
    </w:p>
    <w:p w:rsidR="005624E3" w:rsidRPr="00C903F8" w:rsidRDefault="005624E3" w:rsidP="005624E3">
      <w:pPr>
        <w:ind w:left="709" w:hanging="709"/>
        <w:rPr>
          <w:rFonts w:cs="Arial"/>
          <w:b/>
          <w:bCs/>
          <w:noProof/>
          <w:szCs w:val="20"/>
        </w:rPr>
      </w:pPr>
      <w:r>
        <w:rPr>
          <w:b/>
          <w:noProof/>
        </w:rPr>
        <w:t>2.</w:t>
      </w:r>
      <w:r>
        <w:tab/>
      </w:r>
      <w:r>
        <w:rPr>
          <w:b/>
          <w:noProof/>
        </w:rPr>
        <w:t>Paraméterek</w:t>
      </w:r>
    </w:p>
    <w:p w:rsidR="005624E3" w:rsidRPr="00C903F8" w:rsidRDefault="005624E3" w:rsidP="005624E3">
      <w:pPr>
        <w:ind w:left="709" w:hanging="709"/>
        <w:rPr>
          <w:rFonts w:cs="Arial"/>
          <w:noProof/>
          <w:szCs w:val="20"/>
        </w:rPr>
      </w:pPr>
    </w:p>
    <w:p w:rsidR="005624E3" w:rsidRPr="00C903F8" w:rsidRDefault="005624E3" w:rsidP="005624E3">
      <w:pPr>
        <w:ind w:left="709"/>
        <w:rPr>
          <w:rFonts w:cs="Arial"/>
          <w:noProof/>
          <w:szCs w:val="20"/>
        </w:rPr>
      </w:pPr>
      <w:r>
        <w:t>Igazoljuk, hogy a megvizsgált fedélzeti szennyvízkezelő mű nem tér el a megengedhetőnél nagyobb mértékben a paraméterektől, és megfelel a 18.01. cikk 2. bekezdésének 2. táblázatban meghatározott ellenőrzési értékeknek.</w:t>
      </w:r>
    </w:p>
    <w:p w:rsidR="005624E3" w:rsidRPr="00C903F8" w:rsidRDefault="005624E3" w:rsidP="005624E3">
      <w:pPr>
        <w:ind w:left="709"/>
        <w:rPr>
          <w:rFonts w:cs="Arial"/>
          <w:noProof/>
          <w:szCs w:val="20"/>
        </w:rPr>
      </w:pPr>
    </w:p>
    <w:p w:rsidR="005624E3" w:rsidRPr="00C903F8" w:rsidRDefault="005624E3" w:rsidP="005624E3">
      <w:pPr>
        <w:tabs>
          <w:tab w:val="left" w:leader="dot" w:pos="9072"/>
        </w:tabs>
        <w:ind w:left="709"/>
        <w:rPr>
          <w:rFonts w:cs="Arial"/>
          <w:noProof/>
          <w:szCs w:val="20"/>
        </w:rPr>
      </w:pPr>
      <w:r>
        <w:t xml:space="preserve">A műszaki szolgálat neve és címe: </w:t>
      </w:r>
      <w:r>
        <w:tab/>
      </w:r>
    </w:p>
    <w:p w:rsidR="005624E3" w:rsidRPr="00C903F8" w:rsidRDefault="005624E3" w:rsidP="005624E3">
      <w:pPr>
        <w:tabs>
          <w:tab w:val="left" w:leader="dot" w:pos="9072"/>
        </w:tabs>
        <w:ind w:left="709"/>
        <w:rPr>
          <w:rFonts w:cs="Arial"/>
          <w:noProof/>
          <w:szCs w:val="20"/>
        </w:rPr>
      </w:pPr>
      <w:r>
        <w:tab/>
      </w:r>
    </w:p>
    <w:p w:rsidR="005624E3" w:rsidRPr="00C903F8" w:rsidRDefault="005624E3" w:rsidP="005624E3">
      <w:pPr>
        <w:tabs>
          <w:tab w:val="left" w:leader="dot" w:pos="9072"/>
        </w:tabs>
        <w:ind w:left="709"/>
        <w:rPr>
          <w:rFonts w:cs="Arial"/>
          <w:noProof/>
          <w:szCs w:val="20"/>
        </w:rPr>
      </w:pPr>
      <w: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A vizsgálóbiztos neve: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Hely és dátum: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Aláírás: </w:t>
      </w:r>
      <w:r w:rsidRPr="00D50F76">
        <w:rPr>
          <w:lang w:val="pt-PT"/>
        </w:rPr>
        <w:tab/>
      </w:r>
    </w:p>
    <w:p w:rsidR="005624E3" w:rsidRPr="00D50F76" w:rsidRDefault="005624E3" w:rsidP="005624E3">
      <w:pPr>
        <w:tabs>
          <w:tab w:val="left" w:leader="dot" w:pos="9072"/>
        </w:tabs>
        <w:ind w:left="709"/>
        <w:rPr>
          <w:rFonts w:cs="Arial"/>
          <w:noProof/>
          <w:szCs w:val="20"/>
          <w:lang w:val="pt-PT"/>
        </w:rPr>
      </w:pPr>
    </w:p>
    <w:p w:rsidR="005624E3" w:rsidRPr="00D50F76" w:rsidRDefault="005624E3" w:rsidP="005624E3">
      <w:pPr>
        <w:tabs>
          <w:tab w:val="left" w:leader="dot" w:pos="9072"/>
        </w:tabs>
        <w:ind w:left="709"/>
        <w:rPr>
          <w:rFonts w:cs="Arial"/>
          <w:noProof/>
          <w:szCs w:val="20"/>
          <w:lang w:val="pt-PT"/>
        </w:rPr>
      </w:pPr>
      <w:r w:rsidRPr="00D50F76">
        <w:rPr>
          <w:lang w:val="pt-PT"/>
        </w:rPr>
        <w:t xml:space="preserve">A vizsgálatot elismerő illetékes hatóság: </w:t>
      </w:r>
      <w:r w:rsidRPr="00D50F76">
        <w:rPr>
          <w:lang w:val="pt-PT"/>
        </w:rPr>
        <w:tab/>
      </w:r>
    </w:p>
    <w:p w:rsidR="005624E3" w:rsidRPr="00D50F76" w:rsidRDefault="005624E3" w:rsidP="005624E3">
      <w:pPr>
        <w:tabs>
          <w:tab w:val="left" w:leader="dot" w:pos="9072"/>
        </w:tabs>
        <w:ind w:left="709" w:firstLine="11"/>
        <w:rPr>
          <w:rFonts w:cs="Arial"/>
          <w:noProof/>
          <w:szCs w:val="20"/>
          <w:lang w:val="pt-PT"/>
        </w:rPr>
      </w:pP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Hely és dátum: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Aláírás: </w:t>
      </w:r>
      <w:r w:rsidRPr="00D50F76">
        <w:rPr>
          <w:lang w:val="pt-PT"/>
        </w:rPr>
        <w:tab/>
      </w:r>
    </w:p>
    <w:p w:rsidR="005624E3" w:rsidRPr="00D50F76" w:rsidRDefault="005624E3" w:rsidP="005624E3">
      <w:pPr>
        <w:ind w:left="709"/>
        <w:rPr>
          <w:rFonts w:cs="Arial"/>
          <w:noProof/>
          <w:szCs w:val="20"/>
          <w:lang w:val="pt-PT"/>
        </w:rPr>
      </w:pPr>
    </w:p>
    <w:p w:rsidR="005624E3" w:rsidRPr="00D50F76" w:rsidRDefault="005624E3" w:rsidP="005624E3">
      <w:pPr>
        <w:jc w:val="right"/>
        <w:outlineLvl w:val="0"/>
        <w:rPr>
          <w:rFonts w:cs="Arial"/>
          <w:noProof/>
          <w:szCs w:val="20"/>
          <w:lang w:val="pt-PT"/>
        </w:rPr>
      </w:pPr>
      <w:r w:rsidRPr="00D50F76">
        <w:rPr>
          <w:lang w:val="pt-PT"/>
        </w:rPr>
        <w:t>Az illetékes hatóság bélyegzője</w:t>
      </w:r>
    </w:p>
    <w:p w:rsidR="005624E3" w:rsidRPr="00D50F76" w:rsidRDefault="005624E3" w:rsidP="005624E3">
      <w:pPr>
        <w:spacing w:line="240" w:lineRule="atLeast"/>
        <w:rPr>
          <w:rFonts w:cs="Arial"/>
          <w:color w:val="000000"/>
          <w:lang w:val="pt-PT"/>
        </w:rPr>
      </w:pPr>
      <w:r w:rsidRPr="00D50F76">
        <w:rPr>
          <w:lang w:val="pt-PT"/>
        </w:rPr>
        <w:br w:type="page"/>
      </w:r>
    </w:p>
    <w:p w:rsidR="005624E3" w:rsidRPr="00D50F76" w:rsidRDefault="005624E3" w:rsidP="005624E3">
      <w:pPr>
        <w:tabs>
          <w:tab w:val="left" w:leader="dot" w:pos="9072"/>
        </w:tabs>
        <w:ind w:left="709"/>
        <w:rPr>
          <w:rFonts w:cs="Arial"/>
          <w:noProof/>
          <w:szCs w:val="20"/>
          <w:lang w:val="pt-PT"/>
        </w:rPr>
      </w:pPr>
      <w:r w:rsidRPr="00D50F76">
        <w:rPr>
          <w:lang w:val="pt-PT"/>
        </w:rPr>
        <w:t xml:space="preserve">A műszaki szolgálat neve és címe: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A vizsgálóbiztos neve: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Hely és dátum: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Aláírás: </w:t>
      </w:r>
      <w:r w:rsidRPr="00D50F76">
        <w:rPr>
          <w:lang w:val="pt-PT"/>
        </w:rPr>
        <w:tab/>
      </w:r>
    </w:p>
    <w:p w:rsidR="005624E3" w:rsidRPr="00D50F76" w:rsidRDefault="005624E3" w:rsidP="005624E3">
      <w:pPr>
        <w:tabs>
          <w:tab w:val="left" w:leader="dot" w:pos="9072"/>
        </w:tabs>
        <w:ind w:left="709"/>
        <w:rPr>
          <w:rFonts w:cs="Arial"/>
          <w:noProof/>
          <w:szCs w:val="20"/>
          <w:lang w:val="pt-PT"/>
        </w:rPr>
      </w:pPr>
    </w:p>
    <w:p w:rsidR="005624E3" w:rsidRPr="00D50F76" w:rsidRDefault="005624E3" w:rsidP="005624E3">
      <w:pPr>
        <w:tabs>
          <w:tab w:val="left" w:leader="dot" w:pos="9072"/>
        </w:tabs>
        <w:ind w:left="709"/>
        <w:rPr>
          <w:rFonts w:cs="Arial"/>
          <w:noProof/>
          <w:szCs w:val="20"/>
          <w:lang w:val="pt-PT"/>
        </w:rPr>
      </w:pPr>
      <w:r w:rsidRPr="00D50F76">
        <w:rPr>
          <w:lang w:val="pt-PT"/>
        </w:rPr>
        <w:t xml:space="preserve">A vizsgálatot elismerő illetékes hatóság: </w:t>
      </w:r>
      <w:r w:rsidRPr="00D50F76">
        <w:rPr>
          <w:lang w:val="pt-PT"/>
        </w:rPr>
        <w:tab/>
      </w:r>
    </w:p>
    <w:p w:rsidR="005624E3" w:rsidRPr="00D50F76" w:rsidRDefault="005624E3" w:rsidP="005624E3">
      <w:pPr>
        <w:tabs>
          <w:tab w:val="left" w:leader="dot" w:pos="9072"/>
        </w:tabs>
        <w:ind w:left="709" w:firstLine="11"/>
        <w:rPr>
          <w:rFonts w:cs="Arial"/>
          <w:noProof/>
          <w:szCs w:val="20"/>
          <w:lang w:val="pt-PT"/>
        </w:rPr>
      </w:pP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Hely és dátum: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Aláírás: </w:t>
      </w:r>
      <w:r w:rsidRPr="00D50F76">
        <w:rPr>
          <w:lang w:val="pt-PT"/>
        </w:rPr>
        <w:tab/>
      </w:r>
    </w:p>
    <w:p w:rsidR="005624E3" w:rsidRPr="00D50F76" w:rsidRDefault="005624E3" w:rsidP="005624E3">
      <w:pPr>
        <w:ind w:left="709"/>
        <w:rPr>
          <w:rFonts w:cs="Arial"/>
          <w:noProof/>
          <w:szCs w:val="20"/>
          <w:lang w:val="pt-PT"/>
        </w:rPr>
      </w:pPr>
    </w:p>
    <w:p w:rsidR="005624E3" w:rsidRPr="00D50F76" w:rsidRDefault="005624E3" w:rsidP="005624E3">
      <w:pPr>
        <w:jc w:val="right"/>
        <w:outlineLvl w:val="0"/>
        <w:rPr>
          <w:rFonts w:cs="Arial"/>
          <w:noProof/>
          <w:szCs w:val="20"/>
          <w:lang w:val="pt-PT"/>
        </w:rPr>
      </w:pPr>
      <w:r w:rsidRPr="00D50F76">
        <w:rPr>
          <w:lang w:val="pt-PT"/>
        </w:rPr>
        <w:t>Az illetékes hatóság bélyegzője</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p>
    <w:p w:rsidR="005624E3" w:rsidRPr="00D50F76" w:rsidRDefault="005624E3" w:rsidP="005624E3">
      <w:pPr>
        <w:tabs>
          <w:tab w:val="left" w:leader="dot" w:pos="9072"/>
        </w:tabs>
        <w:ind w:left="709"/>
        <w:rPr>
          <w:rFonts w:cs="Arial"/>
          <w:noProof/>
          <w:szCs w:val="20"/>
          <w:lang w:val="pt-PT"/>
        </w:rPr>
      </w:pPr>
      <w:r w:rsidRPr="00D50F76">
        <w:rPr>
          <w:lang w:val="pt-PT"/>
        </w:rPr>
        <w:t xml:space="preserve">A műszaki szolgálat neve és címe: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A vizsgálóbiztos neve: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Hely és dátum: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Aláírás: </w:t>
      </w:r>
      <w:r w:rsidRPr="00D50F76">
        <w:rPr>
          <w:lang w:val="pt-PT"/>
        </w:rPr>
        <w:tab/>
      </w:r>
    </w:p>
    <w:p w:rsidR="005624E3" w:rsidRPr="00D50F76" w:rsidRDefault="005624E3" w:rsidP="005624E3">
      <w:pPr>
        <w:tabs>
          <w:tab w:val="left" w:leader="dot" w:pos="9072"/>
        </w:tabs>
        <w:ind w:left="709"/>
        <w:rPr>
          <w:rFonts w:cs="Arial"/>
          <w:noProof/>
          <w:szCs w:val="20"/>
          <w:lang w:val="pt-PT"/>
        </w:rPr>
      </w:pPr>
    </w:p>
    <w:p w:rsidR="005624E3" w:rsidRPr="00D50F76" w:rsidRDefault="005624E3" w:rsidP="005624E3">
      <w:pPr>
        <w:tabs>
          <w:tab w:val="left" w:leader="dot" w:pos="9072"/>
        </w:tabs>
        <w:ind w:left="709"/>
        <w:rPr>
          <w:rFonts w:cs="Arial"/>
          <w:noProof/>
          <w:szCs w:val="20"/>
          <w:lang w:val="pt-PT"/>
        </w:rPr>
      </w:pPr>
      <w:r w:rsidRPr="00D50F76">
        <w:rPr>
          <w:lang w:val="pt-PT"/>
        </w:rPr>
        <w:t xml:space="preserve">A vizsgálatot elismerő illetékes hatóság: </w:t>
      </w:r>
      <w:r w:rsidRPr="00D50F76">
        <w:rPr>
          <w:lang w:val="pt-PT"/>
        </w:rPr>
        <w:tab/>
      </w:r>
    </w:p>
    <w:p w:rsidR="005624E3" w:rsidRPr="00D50F76" w:rsidRDefault="005624E3" w:rsidP="005624E3">
      <w:pPr>
        <w:tabs>
          <w:tab w:val="left" w:leader="dot" w:pos="9072"/>
        </w:tabs>
        <w:ind w:left="709" w:firstLine="11"/>
        <w:rPr>
          <w:rFonts w:cs="Arial"/>
          <w:noProof/>
          <w:szCs w:val="20"/>
          <w:lang w:val="pt-PT"/>
        </w:rPr>
      </w:pP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Hely és dátum: </w:t>
      </w:r>
      <w:r w:rsidRPr="00D50F76">
        <w:rPr>
          <w:lang w:val="pt-PT"/>
        </w:rPr>
        <w:tab/>
      </w:r>
    </w:p>
    <w:p w:rsidR="005624E3" w:rsidRPr="00D50F76" w:rsidRDefault="005624E3" w:rsidP="005624E3">
      <w:pPr>
        <w:tabs>
          <w:tab w:val="left" w:leader="dot" w:pos="9072"/>
        </w:tabs>
        <w:ind w:left="709"/>
        <w:rPr>
          <w:rFonts w:cs="Arial"/>
          <w:noProof/>
          <w:szCs w:val="20"/>
          <w:lang w:val="pt-PT"/>
        </w:rPr>
      </w:pPr>
      <w:r w:rsidRPr="00D50F76">
        <w:rPr>
          <w:lang w:val="pt-PT"/>
        </w:rPr>
        <w:t xml:space="preserve">Aláírás: </w:t>
      </w:r>
      <w:r w:rsidRPr="00D50F76">
        <w:rPr>
          <w:lang w:val="pt-PT"/>
        </w:rPr>
        <w:tab/>
      </w:r>
    </w:p>
    <w:p w:rsidR="005624E3" w:rsidRPr="00D50F76" w:rsidRDefault="005624E3" w:rsidP="005624E3">
      <w:pPr>
        <w:ind w:left="709"/>
        <w:rPr>
          <w:rFonts w:cs="Arial"/>
          <w:noProof/>
          <w:szCs w:val="20"/>
          <w:lang w:val="pt-PT"/>
        </w:rPr>
      </w:pPr>
    </w:p>
    <w:p w:rsidR="005624E3" w:rsidRPr="00D50F76" w:rsidRDefault="005624E3" w:rsidP="005624E3">
      <w:pPr>
        <w:jc w:val="right"/>
        <w:outlineLvl w:val="0"/>
        <w:rPr>
          <w:rFonts w:cs="Arial"/>
          <w:noProof/>
          <w:szCs w:val="20"/>
          <w:lang w:val="pt-PT"/>
        </w:rPr>
      </w:pPr>
      <w:r w:rsidRPr="00D50F76">
        <w:rPr>
          <w:lang w:val="pt-PT"/>
        </w:rPr>
        <w:t>Az illetékes hatóság bélyegzője</w:t>
      </w: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p>
    <w:p w:rsidR="005624E3" w:rsidRPr="00D50F76" w:rsidRDefault="005624E3" w:rsidP="005624E3">
      <w:pPr>
        <w:spacing w:line="240" w:lineRule="atLeast"/>
        <w:rPr>
          <w:rFonts w:cs="Arial"/>
          <w:color w:val="000000"/>
          <w:lang w:val="pt-PT"/>
        </w:rPr>
      </w:pPr>
      <w:r w:rsidRPr="00D50F76">
        <w:rPr>
          <w:lang w:val="pt-PT"/>
        </w:rPr>
        <w:br w:type="page"/>
      </w:r>
    </w:p>
    <w:p w:rsidR="005624E3" w:rsidRPr="00D50F76" w:rsidRDefault="005624E3" w:rsidP="005624E3">
      <w:pPr>
        <w:suppressAutoHyphens/>
        <w:spacing w:line="240" w:lineRule="atLeast"/>
        <w:jc w:val="center"/>
        <w:rPr>
          <w:rFonts w:cs="Arial"/>
          <w:lang w:val="pt-PT"/>
        </w:rPr>
      </w:pPr>
      <w:r w:rsidRPr="00D50F76">
        <w:rPr>
          <w:b/>
          <w:lang w:val="pt-PT"/>
        </w:rPr>
        <w:t>1. függelék</w:t>
      </w:r>
    </w:p>
    <w:p w:rsidR="005624E3" w:rsidRPr="00D50F76" w:rsidRDefault="005624E3" w:rsidP="005624E3">
      <w:pPr>
        <w:suppressAutoHyphens/>
        <w:jc w:val="center"/>
        <w:rPr>
          <w:rFonts w:cs="Arial"/>
          <w:b/>
          <w:lang w:val="pt-PT"/>
        </w:rPr>
      </w:pPr>
      <w:r w:rsidRPr="00D50F76">
        <w:rPr>
          <w:b/>
          <w:lang w:val="pt-PT"/>
        </w:rPr>
        <w:t>Melléklet a fedélzeti szennyvízkezelő mű paraméterjegyzékéhez</w:t>
      </w:r>
    </w:p>
    <w:p w:rsidR="005624E3" w:rsidRPr="00C903F8" w:rsidRDefault="005624E3" w:rsidP="005624E3">
      <w:pPr>
        <w:spacing w:line="240" w:lineRule="atLeast"/>
        <w:jc w:val="center"/>
        <w:rPr>
          <w:rFonts w:cs="Arial"/>
          <w:b/>
          <w:color w:val="000000"/>
        </w:rPr>
      </w:pPr>
      <w:r>
        <w:rPr>
          <w:color w:val="000000"/>
        </w:rPr>
        <w:t>(Minta)</w:t>
      </w:r>
    </w:p>
    <w:p w:rsidR="005624E3" w:rsidRPr="00C903F8" w:rsidRDefault="005624E3" w:rsidP="005624E3">
      <w:pPr>
        <w:spacing w:line="240" w:lineRule="atLeast"/>
        <w:rPr>
          <w:rFonts w:cs="Arial"/>
          <w:color w:val="000000"/>
        </w:rPr>
      </w:pPr>
    </w:p>
    <w:tbl>
      <w:tblPr>
        <w:tblW w:w="9215" w:type="dxa"/>
        <w:jc w:val="center"/>
        <w:tblLayout w:type="fixed"/>
        <w:tblCellMar>
          <w:left w:w="70" w:type="dxa"/>
          <w:right w:w="70" w:type="dxa"/>
        </w:tblCellMar>
        <w:tblLook w:val="0000" w:firstRow="0" w:lastRow="0" w:firstColumn="0" w:lastColumn="0" w:noHBand="0" w:noVBand="0"/>
      </w:tblPr>
      <w:tblGrid>
        <w:gridCol w:w="426"/>
        <w:gridCol w:w="850"/>
        <w:gridCol w:w="284"/>
        <w:gridCol w:w="476"/>
        <w:gridCol w:w="1083"/>
        <w:gridCol w:w="43"/>
        <w:gridCol w:w="200"/>
        <w:gridCol w:w="607"/>
        <w:gridCol w:w="709"/>
        <w:gridCol w:w="634"/>
        <w:gridCol w:w="784"/>
        <w:gridCol w:w="298"/>
        <w:gridCol w:w="213"/>
        <w:gridCol w:w="265"/>
        <w:gridCol w:w="216"/>
        <w:gridCol w:w="47"/>
        <w:gridCol w:w="39"/>
        <w:gridCol w:w="1000"/>
        <w:gridCol w:w="1041"/>
      </w:tblGrid>
      <w:tr w:rsidR="005624E3" w:rsidRPr="002F672B" w:rsidTr="00101A80">
        <w:trPr>
          <w:cantSplit/>
          <w:jc w:val="center"/>
        </w:trPr>
        <w:tc>
          <w:tcPr>
            <w:tcW w:w="1560" w:type="dxa"/>
            <w:gridSpan w:val="3"/>
            <w:vAlign w:val="center"/>
          </w:tcPr>
          <w:p w:rsidR="005624E3" w:rsidRPr="00C903F8" w:rsidRDefault="005624E3" w:rsidP="00101A80">
            <w:pPr>
              <w:rPr>
                <w:noProof/>
                <w:szCs w:val="18"/>
              </w:rPr>
            </w:pPr>
            <w:r>
              <w:t>Hajó neve:</w:t>
            </w:r>
          </w:p>
        </w:tc>
        <w:tc>
          <w:tcPr>
            <w:tcW w:w="1802" w:type="dxa"/>
            <w:gridSpan w:val="4"/>
            <w:vAlign w:val="center"/>
          </w:tcPr>
          <w:p w:rsidR="005624E3" w:rsidRPr="00C903F8" w:rsidRDefault="005624E3" w:rsidP="00101A80">
            <w:pPr>
              <w:rPr>
                <w:noProof/>
                <w:szCs w:val="18"/>
              </w:rPr>
            </w:pPr>
            <w:r>
              <w:t>……………………</w:t>
            </w:r>
          </w:p>
        </w:tc>
        <w:tc>
          <w:tcPr>
            <w:tcW w:w="3726" w:type="dxa"/>
            <w:gridSpan w:val="8"/>
            <w:vAlign w:val="center"/>
          </w:tcPr>
          <w:p w:rsidR="005624E3" w:rsidRPr="002F672B" w:rsidRDefault="005624E3" w:rsidP="00101A80">
            <w:pPr>
              <w:rPr>
                <w:noProof/>
                <w:szCs w:val="18"/>
              </w:rPr>
            </w:pPr>
            <w:r>
              <w:t>Egyedi európai hajóazonosító szám:</w:t>
            </w:r>
          </w:p>
        </w:tc>
        <w:tc>
          <w:tcPr>
            <w:tcW w:w="2127" w:type="dxa"/>
            <w:gridSpan w:val="4"/>
            <w:vAlign w:val="center"/>
          </w:tcPr>
          <w:p w:rsidR="005624E3" w:rsidRPr="002F672B" w:rsidRDefault="005624E3" w:rsidP="00101A80">
            <w:pPr>
              <w:tabs>
                <w:tab w:val="left" w:leader="dot" w:pos="1987"/>
              </w:tabs>
              <w:rPr>
                <w:noProof/>
                <w:szCs w:val="18"/>
              </w:rPr>
            </w:pPr>
            <w:r>
              <w:tab/>
            </w:r>
          </w:p>
        </w:tc>
      </w:tr>
      <w:tr w:rsidR="005624E3" w:rsidRPr="002F672B" w:rsidTr="00101A80">
        <w:trPr>
          <w:cantSplit/>
          <w:trHeight w:hRule="exact" w:val="160"/>
          <w:jc w:val="center"/>
        </w:trPr>
        <w:tc>
          <w:tcPr>
            <w:tcW w:w="9215" w:type="dxa"/>
            <w:gridSpan w:val="19"/>
            <w:vAlign w:val="center"/>
          </w:tcPr>
          <w:p w:rsidR="005624E3" w:rsidRPr="002F672B" w:rsidRDefault="005624E3" w:rsidP="00101A80">
            <w:pPr>
              <w:rPr>
                <w:noProof/>
              </w:rPr>
            </w:pPr>
          </w:p>
        </w:tc>
      </w:tr>
      <w:tr w:rsidR="005624E3" w:rsidRPr="002F672B" w:rsidTr="00101A80">
        <w:trPr>
          <w:jc w:val="center"/>
        </w:trPr>
        <w:tc>
          <w:tcPr>
            <w:tcW w:w="426" w:type="dxa"/>
            <w:vAlign w:val="center"/>
          </w:tcPr>
          <w:p w:rsidR="005624E3" w:rsidRPr="002F672B" w:rsidRDefault="005624E3" w:rsidP="00101A80">
            <w:pPr>
              <w:rPr>
                <w:noProof/>
                <w:sz w:val="18"/>
                <w:szCs w:val="18"/>
              </w:rPr>
            </w:pPr>
          </w:p>
        </w:tc>
        <w:tc>
          <w:tcPr>
            <w:tcW w:w="2736" w:type="dxa"/>
            <w:gridSpan w:val="5"/>
            <w:tcBorders>
              <w:left w:val="nil"/>
            </w:tcBorders>
            <w:vAlign w:val="center"/>
          </w:tcPr>
          <w:p w:rsidR="005624E3" w:rsidRPr="002F672B" w:rsidRDefault="005624E3" w:rsidP="00101A80">
            <w:pPr>
              <w:rPr>
                <w:noProof/>
                <w:sz w:val="18"/>
                <w:szCs w:val="18"/>
              </w:rPr>
            </w:pPr>
          </w:p>
        </w:tc>
        <w:tc>
          <w:tcPr>
            <w:tcW w:w="807" w:type="dxa"/>
            <w:gridSpan w:val="2"/>
            <w:vAlign w:val="center"/>
          </w:tcPr>
          <w:p w:rsidR="005624E3" w:rsidRPr="002F672B" w:rsidRDefault="005624E3" w:rsidP="00101A80">
            <w:pPr>
              <w:rPr>
                <w:noProof/>
              </w:rPr>
            </w:pPr>
          </w:p>
        </w:tc>
        <w:tc>
          <w:tcPr>
            <w:tcW w:w="2425" w:type="dxa"/>
            <w:gridSpan w:val="4"/>
            <w:tcBorders>
              <w:left w:val="nil"/>
            </w:tcBorders>
            <w:vAlign w:val="center"/>
          </w:tcPr>
          <w:p w:rsidR="005624E3" w:rsidRPr="002F672B" w:rsidRDefault="005624E3" w:rsidP="00101A80">
            <w:pPr>
              <w:rPr>
                <w:noProof/>
                <w:sz w:val="18"/>
                <w:szCs w:val="18"/>
              </w:rPr>
            </w:pPr>
          </w:p>
        </w:tc>
        <w:tc>
          <w:tcPr>
            <w:tcW w:w="694" w:type="dxa"/>
            <w:gridSpan w:val="3"/>
            <w:vAlign w:val="center"/>
          </w:tcPr>
          <w:p w:rsidR="005624E3" w:rsidRPr="002F672B" w:rsidRDefault="005624E3" w:rsidP="00101A80">
            <w:pPr>
              <w:rPr>
                <w:noProof/>
                <w:sz w:val="18"/>
                <w:szCs w:val="18"/>
              </w:rPr>
            </w:pPr>
          </w:p>
        </w:tc>
        <w:tc>
          <w:tcPr>
            <w:tcW w:w="2127" w:type="dxa"/>
            <w:gridSpan w:val="4"/>
            <w:tcBorders>
              <w:left w:val="nil"/>
            </w:tcBorders>
            <w:vAlign w:val="center"/>
          </w:tcPr>
          <w:p w:rsidR="005624E3" w:rsidRPr="002F672B" w:rsidRDefault="005624E3" w:rsidP="00101A80">
            <w:pPr>
              <w:rPr>
                <w:noProof/>
                <w:sz w:val="18"/>
                <w:szCs w:val="18"/>
              </w:rPr>
            </w:pPr>
          </w:p>
        </w:tc>
      </w:tr>
      <w:tr w:rsidR="005624E3" w:rsidRPr="002F672B" w:rsidTr="00101A80">
        <w:tblPrEx>
          <w:tblCellMar>
            <w:left w:w="28" w:type="dxa"/>
            <w:right w:w="28" w:type="dxa"/>
          </w:tblCellMar>
        </w:tblPrEx>
        <w:trPr>
          <w:cantSplit/>
          <w:trHeight w:hRule="exact" w:val="160"/>
          <w:jc w:val="center"/>
        </w:trPr>
        <w:tc>
          <w:tcPr>
            <w:tcW w:w="9215" w:type="dxa"/>
            <w:gridSpan w:val="19"/>
            <w:vAlign w:val="center"/>
          </w:tcPr>
          <w:p w:rsidR="005624E3" w:rsidRPr="002F672B" w:rsidRDefault="005624E3" w:rsidP="00101A80">
            <w:pPr>
              <w:rPr>
                <w:noProof/>
              </w:rPr>
            </w:pPr>
          </w:p>
        </w:tc>
      </w:tr>
      <w:tr w:rsidR="005624E3" w:rsidRPr="00C903F8" w:rsidTr="00101A80">
        <w:tblPrEx>
          <w:tblCellMar>
            <w:left w:w="28" w:type="dxa"/>
            <w:right w:w="28" w:type="dxa"/>
          </w:tblCellMar>
        </w:tblPrEx>
        <w:trPr>
          <w:jc w:val="center"/>
        </w:trPr>
        <w:tc>
          <w:tcPr>
            <w:tcW w:w="1276" w:type="dxa"/>
            <w:gridSpan w:val="2"/>
            <w:vAlign w:val="center"/>
          </w:tcPr>
          <w:p w:rsidR="005624E3" w:rsidRPr="00C903F8" w:rsidRDefault="005624E3" w:rsidP="00101A80">
            <w:pPr>
              <w:rPr>
                <w:noProof/>
                <w:szCs w:val="18"/>
              </w:rPr>
            </w:pPr>
            <w:r>
              <w:t>Gyártó:</w:t>
            </w:r>
          </w:p>
        </w:tc>
        <w:tc>
          <w:tcPr>
            <w:tcW w:w="3402" w:type="dxa"/>
            <w:gridSpan w:val="7"/>
            <w:vAlign w:val="center"/>
          </w:tcPr>
          <w:p w:rsidR="005624E3" w:rsidRPr="00C903F8" w:rsidRDefault="005624E3" w:rsidP="00101A80">
            <w:pPr>
              <w:rPr>
                <w:noProof/>
                <w:szCs w:val="18"/>
              </w:rPr>
            </w:pPr>
            <w:r>
              <w:t>………………………………………….</w:t>
            </w:r>
          </w:p>
        </w:tc>
        <w:tc>
          <w:tcPr>
            <w:tcW w:w="1929" w:type="dxa"/>
            <w:gridSpan w:val="4"/>
            <w:vAlign w:val="center"/>
          </w:tcPr>
          <w:p w:rsidR="005624E3" w:rsidRPr="00C903F8" w:rsidRDefault="005624E3" w:rsidP="00101A80">
            <w:pPr>
              <w:rPr>
                <w:noProof/>
                <w:szCs w:val="18"/>
              </w:rPr>
            </w:pPr>
            <w:r>
              <w:t>A szennyvízkezelő mű típusa:</w:t>
            </w:r>
          </w:p>
        </w:tc>
        <w:tc>
          <w:tcPr>
            <w:tcW w:w="2608" w:type="dxa"/>
            <w:gridSpan w:val="6"/>
            <w:vAlign w:val="center"/>
          </w:tcPr>
          <w:p w:rsidR="005624E3" w:rsidRPr="00C903F8" w:rsidRDefault="005624E3" w:rsidP="00101A80">
            <w:pPr>
              <w:tabs>
                <w:tab w:val="left" w:leader="dot" w:pos="2552"/>
              </w:tabs>
              <w:rPr>
                <w:noProof/>
                <w:szCs w:val="18"/>
              </w:rPr>
            </w:pPr>
            <w:r>
              <w:tab/>
            </w:r>
          </w:p>
        </w:tc>
      </w:tr>
      <w:tr w:rsidR="005624E3" w:rsidRPr="00C903F8" w:rsidTr="00101A80">
        <w:tblPrEx>
          <w:tblCellMar>
            <w:left w:w="28" w:type="dxa"/>
            <w:right w:w="28" w:type="dxa"/>
          </w:tblCellMar>
        </w:tblPrEx>
        <w:trPr>
          <w:jc w:val="center"/>
        </w:trPr>
        <w:tc>
          <w:tcPr>
            <w:tcW w:w="1276" w:type="dxa"/>
            <w:gridSpan w:val="2"/>
            <w:vAlign w:val="center"/>
          </w:tcPr>
          <w:p w:rsidR="005624E3" w:rsidRPr="00C903F8" w:rsidRDefault="005624E3" w:rsidP="00101A80">
            <w:pPr>
              <w:rPr>
                <w:noProof/>
              </w:rPr>
            </w:pPr>
          </w:p>
        </w:tc>
        <w:tc>
          <w:tcPr>
            <w:tcW w:w="3402" w:type="dxa"/>
            <w:gridSpan w:val="7"/>
            <w:tcBorders>
              <w:bottom w:val="nil"/>
            </w:tcBorders>
            <w:vAlign w:val="center"/>
          </w:tcPr>
          <w:p w:rsidR="005624E3" w:rsidRPr="00C903F8" w:rsidRDefault="005624E3" w:rsidP="00101A80">
            <w:pPr>
              <w:rPr>
                <w:noProof/>
                <w:sz w:val="12"/>
                <w:szCs w:val="12"/>
              </w:rPr>
            </w:pPr>
            <w:r>
              <w:rPr>
                <w:noProof/>
                <w:sz w:val="12"/>
              </w:rPr>
              <w:t>(Gyártmány/védjegy/a gyártó kereskedelmi neve)</w:t>
            </w:r>
          </w:p>
        </w:tc>
        <w:tc>
          <w:tcPr>
            <w:tcW w:w="1929" w:type="dxa"/>
            <w:gridSpan w:val="4"/>
            <w:vAlign w:val="center"/>
          </w:tcPr>
          <w:p w:rsidR="005624E3" w:rsidRPr="00C903F8" w:rsidRDefault="005624E3" w:rsidP="00101A80">
            <w:pPr>
              <w:rPr>
                <w:noProof/>
              </w:rPr>
            </w:pPr>
          </w:p>
        </w:tc>
        <w:tc>
          <w:tcPr>
            <w:tcW w:w="2608" w:type="dxa"/>
            <w:gridSpan w:val="6"/>
            <w:tcBorders>
              <w:bottom w:val="nil"/>
            </w:tcBorders>
            <w:vAlign w:val="center"/>
          </w:tcPr>
          <w:p w:rsidR="005624E3" w:rsidRPr="00C903F8" w:rsidRDefault="005624E3" w:rsidP="00101A80">
            <w:pPr>
              <w:rPr>
                <w:noProof/>
                <w:sz w:val="12"/>
                <w:szCs w:val="12"/>
              </w:rPr>
            </w:pPr>
            <w:r>
              <w:rPr>
                <w:noProof/>
                <w:sz w:val="12"/>
              </w:rPr>
              <w:t>(Gyártói megjelölés)</w:t>
            </w:r>
          </w:p>
        </w:tc>
      </w:tr>
      <w:tr w:rsidR="005624E3" w:rsidRPr="00C903F8" w:rsidTr="00101A80">
        <w:tblPrEx>
          <w:tblCellMar>
            <w:left w:w="28" w:type="dxa"/>
            <w:right w:w="28" w:type="dxa"/>
          </w:tblCellMar>
        </w:tblPrEx>
        <w:trPr>
          <w:cantSplit/>
          <w:trHeight w:hRule="exact" w:val="160"/>
          <w:jc w:val="center"/>
        </w:trPr>
        <w:tc>
          <w:tcPr>
            <w:tcW w:w="9215" w:type="dxa"/>
            <w:gridSpan w:val="19"/>
            <w:vAlign w:val="center"/>
          </w:tcPr>
          <w:p w:rsidR="005624E3" w:rsidRPr="00C903F8" w:rsidRDefault="005624E3" w:rsidP="00101A80">
            <w:pPr>
              <w:rPr>
                <w:noProof/>
              </w:rPr>
            </w:pPr>
          </w:p>
        </w:tc>
      </w:tr>
      <w:tr w:rsidR="005624E3" w:rsidRPr="00A0619C" w:rsidTr="00101A80">
        <w:tblPrEx>
          <w:tblCellMar>
            <w:left w:w="28" w:type="dxa"/>
            <w:right w:w="28" w:type="dxa"/>
          </w:tblCellMar>
        </w:tblPrEx>
        <w:trPr>
          <w:cantSplit/>
          <w:jc w:val="center"/>
        </w:trPr>
        <w:tc>
          <w:tcPr>
            <w:tcW w:w="2036" w:type="dxa"/>
            <w:gridSpan w:val="4"/>
            <w:vAlign w:val="center"/>
          </w:tcPr>
          <w:p w:rsidR="005624E3" w:rsidRPr="00C903F8" w:rsidRDefault="005624E3" w:rsidP="00101A80">
            <w:pPr>
              <w:rPr>
                <w:noProof/>
                <w:szCs w:val="18"/>
              </w:rPr>
            </w:pPr>
            <w:r>
              <w:t>A típusjóváhagyás száma:</w:t>
            </w:r>
          </w:p>
        </w:tc>
        <w:tc>
          <w:tcPr>
            <w:tcW w:w="3276" w:type="dxa"/>
            <w:gridSpan w:val="6"/>
            <w:vAlign w:val="center"/>
          </w:tcPr>
          <w:p w:rsidR="005624E3" w:rsidRPr="00C903F8" w:rsidRDefault="005624E3" w:rsidP="00101A80">
            <w:pPr>
              <w:rPr>
                <w:noProof/>
                <w:szCs w:val="18"/>
              </w:rPr>
            </w:pPr>
            <w:r>
              <w:t>………………………………………..</w:t>
            </w:r>
          </w:p>
        </w:tc>
        <w:tc>
          <w:tcPr>
            <w:tcW w:w="1862" w:type="dxa"/>
            <w:gridSpan w:val="7"/>
            <w:vAlign w:val="center"/>
          </w:tcPr>
          <w:p w:rsidR="005624E3" w:rsidRPr="00C903F8" w:rsidRDefault="005624E3" w:rsidP="00101A80">
            <w:pPr>
              <w:rPr>
                <w:noProof/>
                <w:szCs w:val="18"/>
              </w:rPr>
            </w:pPr>
            <w:r>
              <w:t>A fedélzeti szennyvízkezelő mű gyártásának éve:</w:t>
            </w:r>
          </w:p>
        </w:tc>
        <w:tc>
          <w:tcPr>
            <w:tcW w:w="2041" w:type="dxa"/>
            <w:gridSpan w:val="2"/>
            <w:vAlign w:val="center"/>
          </w:tcPr>
          <w:p w:rsidR="005624E3" w:rsidRPr="00C903F8" w:rsidRDefault="005624E3" w:rsidP="00101A80">
            <w:pPr>
              <w:tabs>
                <w:tab w:val="left" w:leader="dot" w:pos="1942"/>
              </w:tabs>
              <w:rPr>
                <w:noProof/>
                <w:szCs w:val="18"/>
              </w:rPr>
            </w:pPr>
            <w:r>
              <w:tab/>
            </w:r>
          </w:p>
        </w:tc>
      </w:tr>
      <w:tr w:rsidR="005624E3" w:rsidRPr="00A0619C" w:rsidTr="00101A80">
        <w:tblPrEx>
          <w:tblCellMar>
            <w:left w:w="28" w:type="dxa"/>
            <w:right w:w="28" w:type="dxa"/>
          </w:tblCellMar>
        </w:tblPrEx>
        <w:trPr>
          <w:cantSplit/>
          <w:trHeight w:hRule="exact" w:val="160"/>
          <w:jc w:val="center"/>
        </w:trPr>
        <w:tc>
          <w:tcPr>
            <w:tcW w:w="9215" w:type="dxa"/>
            <w:gridSpan w:val="19"/>
            <w:vAlign w:val="center"/>
          </w:tcPr>
          <w:p w:rsidR="005624E3" w:rsidRPr="00C903F8" w:rsidRDefault="005624E3" w:rsidP="00101A80">
            <w:pPr>
              <w:rPr>
                <w:noProof/>
              </w:rPr>
            </w:pPr>
          </w:p>
        </w:tc>
      </w:tr>
      <w:tr w:rsidR="005624E3" w:rsidRPr="00C903F8" w:rsidTr="00101A80">
        <w:tblPrEx>
          <w:tblCellMar>
            <w:left w:w="28" w:type="dxa"/>
            <w:right w:w="28" w:type="dxa"/>
          </w:tblCellMar>
        </w:tblPrEx>
        <w:trPr>
          <w:cantSplit/>
          <w:jc w:val="center"/>
        </w:trPr>
        <w:tc>
          <w:tcPr>
            <w:tcW w:w="2036" w:type="dxa"/>
            <w:gridSpan w:val="4"/>
            <w:vAlign w:val="center"/>
          </w:tcPr>
          <w:p w:rsidR="005624E3" w:rsidRPr="00C903F8" w:rsidRDefault="005624E3" w:rsidP="00EA3F15">
            <w:pPr>
              <w:rPr>
                <w:noProof/>
                <w:szCs w:val="18"/>
              </w:rPr>
            </w:pPr>
            <w:r>
              <w:t xml:space="preserve">A fedélzeti szennyvízkezelő mű </w:t>
            </w:r>
            <w:r w:rsidR="00EA3F15">
              <w:t xml:space="preserve">gyártási </w:t>
            </w:r>
            <w:r>
              <w:t>száma:</w:t>
            </w:r>
          </w:p>
        </w:tc>
        <w:tc>
          <w:tcPr>
            <w:tcW w:w="3276" w:type="dxa"/>
            <w:gridSpan w:val="6"/>
            <w:vAlign w:val="center"/>
          </w:tcPr>
          <w:p w:rsidR="005624E3" w:rsidRPr="00C903F8" w:rsidRDefault="005624E3" w:rsidP="00101A80">
            <w:pPr>
              <w:rPr>
                <w:noProof/>
                <w:szCs w:val="18"/>
              </w:rPr>
            </w:pPr>
            <w:r>
              <w:t>………………………………………..</w:t>
            </w:r>
          </w:p>
        </w:tc>
        <w:tc>
          <w:tcPr>
            <w:tcW w:w="1560" w:type="dxa"/>
            <w:gridSpan w:val="4"/>
            <w:vAlign w:val="center"/>
          </w:tcPr>
          <w:p w:rsidR="005624E3" w:rsidRPr="00C903F8" w:rsidRDefault="005624E3" w:rsidP="00101A80">
            <w:pPr>
              <w:rPr>
                <w:noProof/>
                <w:szCs w:val="18"/>
              </w:rPr>
            </w:pPr>
            <w:r>
              <w:t>A rendszerbe állítás helye:</w:t>
            </w:r>
          </w:p>
        </w:tc>
        <w:tc>
          <w:tcPr>
            <w:tcW w:w="2343" w:type="dxa"/>
            <w:gridSpan w:val="5"/>
            <w:vAlign w:val="center"/>
          </w:tcPr>
          <w:p w:rsidR="005624E3" w:rsidRPr="00C903F8" w:rsidRDefault="005624E3" w:rsidP="00101A80">
            <w:pPr>
              <w:tabs>
                <w:tab w:val="left" w:leader="dot" w:pos="2244"/>
              </w:tabs>
              <w:rPr>
                <w:noProof/>
                <w:szCs w:val="18"/>
              </w:rPr>
            </w:pPr>
            <w:r>
              <w:tab/>
            </w:r>
          </w:p>
        </w:tc>
      </w:tr>
      <w:tr w:rsidR="005624E3" w:rsidRPr="00C903F8" w:rsidTr="00101A80">
        <w:tblPrEx>
          <w:tblCellMar>
            <w:left w:w="28" w:type="dxa"/>
            <w:right w:w="28" w:type="dxa"/>
          </w:tblCellMar>
        </w:tblPrEx>
        <w:trPr>
          <w:cantSplit/>
          <w:jc w:val="center"/>
        </w:trPr>
        <w:tc>
          <w:tcPr>
            <w:tcW w:w="2036" w:type="dxa"/>
            <w:gridSpan w:val="4"/>
            <w:vAlign w:val="center"/>
          </w:tcPr>
          <w:p w:rsidR="005624E3" w:rsidRPr="00C903F8" w:rsidRDefault="005624E3" w:rsidP="00101A80">
            <w:pPr>
              <w:rPr>
                <w:noProof/>
              </w:rPr>
            </w:pPr>
          </w:p>
        </w:tc>
        <w:tc>
          <w:tcPr>
            <w:tcW w:w="7179" w:type="dxa"/>
            <w:gridSpan w:val="15"/>
            <w:tcBorders>
              <w:bottom w:val="nil"/>
            </w:tcBorders>
            <w:vAlign w:val="center"/>
          </w:tcPr>
          <w:p w:rsidR="005624E3" w:rsidRPr="00C903F8" w:rsidRDefault="005624E3" w:rsidP="00EA3F15">
            <w:pPr>
              <w:rPr>
                <w:noProof/>
                <w:sz w:val="12"/>
                <w:szCs w:val="12"/>
              </w:rPr>
            </w:pPr>
            <w:r>
              <w:rPr>
                <w:noProof/>
                <w:sz w:val="12"/>
              </w:rPr>
              <w:t xml:space="preserve"> (</w:t>
            </w:r>
            <w:r w:rsidR="00EA3F15">
              <w:rPr>
                <w:noProof/>
                <w:sz w:val="12"/>
              </w:rPr>
              <w:t xml:space="preserve">Gyártási </w:t>
            </w:r>
            <w:r>
              <w:rPr>
                <w:noProof/>
                <w:sz w:val="12"/>
              </w:rPr>
              <w:t>szám)</w:t>
            </w:r>
          </w:p>
        </w:tc>
      </w:tr>
      <w:tr w:rsidR="005624E3" w:rsidRPr="00C903F8" w:rsidTr="00101A80">
        <w:tblPrEx>
          <w:tblCellMar>
            <w:left w:w="28" w:type="dxa"/>
            <w:right w:w="28" w:type="dxa"/>
          </w:tblCellMar>
        </w:tblPrEx>
        <w:trPr>
          <w:cantSplit/>
          <w:trHeight w:hRule="exact" w:val="160"/>
          <w:jc w:val="center"/>
        </w:trPr>
        <w:tc>
          <w:tcPr>
            <w:tcW w:w="9215" w:type="dxa"/>
            <w:gridSpan w:val="19"/>
            <w:vAlign w:val="center"/>
          </w:tcPr>
          <w:p w:rsidR="005624E3" w:rsidRPr="00C903F8" w:rsidRDefault="005624E3" w:rsidP="00101A80">
            <w:pPr>
              <w:rPr>
                <w:noProof/>
              </w:rPr>
            </w:pPr>
          </w:p>
        </w:tc>
      </w:tr>
      <w:tr w:rsidR="005624E3" w:rsidRPr="00A0619C" w:rsidTr="00101A80">
        <w:tblPrEx>
          <w:tblCellMar>
            <w:left w:w="28" w:type="dxa"/>
            <w:right w:w="28" w:type="dxa"/>
          </w:tblCellMar>
        </w:tblPrEx>
        <w:trPr>
          <w:cantSplit/>
          <w:jc w:val="center"/>
        </w:trPr>
        <w:tc>
          <w:tcPr>
            <w:tcW w:w="9215" w:type="dxa"/>
            <w:gridSpan w:val="19"/>
            <w:vAlign w:val="center"/>
          </w:tcPr>
          <w:p w:rsidR="005624E3" w:rsidRPr="00C903F8" w:rsidRDefault="005624E3" w:rsidP="00101A80">
            <w:pPr>
              <w:rPr>
                <w:noProof/>
                <w:szCs w:val="20"/>
              </w:rPr>
            </w:pPr>
            <w:r>
              <w:t xml:space="preserve">A fedélzeti szennyvízkezelő művet és a szennyvízkezelés szempontjából lényeges alkatrészeket az adattábla alapján azonosítottuk. A vizsgálatot a szennyvízkezelő mű szennyvízkezelés szempontjából lényeges alkatrészeinek és paramétereinek ellenőrzéséhez készült gyártói útmutató alapján végeztük el. </w:t>
            </w:r>
          </w:p>
        </w:tc>
      </w:tr>
      <w:tr w:rsidR="005624E3" w:rsidRPr="00A0619C" w:rsidTr="00101A80">
        <w:tblPrEx>
          <w:tblCellMar>
            <w:left w:w="28" w:type="dxa"/>
            <w:right w:w="28" w:type="dxa"/>
          </w:tblCellMar>
        </w:tblPrEx>
        <w:trPr>
          <w:cantSplit/>
          <w:jc w:val="center"/>
        </w:trPr>
        <w:tc>
          <w:tcPr>
            <w:tcW w:w="9215" w:type="dxa"/>
            <w:gridSpan w:val="19"/>
            <w:vAlign w:val="center"/>
          </w:tcPr>
          <w:p w:rsidR="005624E3" w:rsidRPr="00C903F8" w:rsidRDefault="005624E3" w:rsidP="00101A80">
            <w:pPr>
              <w:rPr>
                <w:noProof/>
                <w:szCs w:val="20"/>
              </w:rPr>
            </w:pPr>
          </w:p>
        </w:tc>
      </w:tr>
      <w:tr w:rsidR="005624E3" w:rsidRPr="00A0619C" w:rsidTr="00101A80">
        <w:trPr>
          <w:cantSplit/>
          <w:jc w:val="center"/>
        </w:trPr>
        <w:tc>
          <w:tcPr>
            <w:tcW w:w="9215" w:type="dxa"/>
            <w:gridSpan w:val="19"/>
            <w:vAlign w:val="center"/>
          </w:tcPr>
          <w:p w:rsidR="005624E3" w:rsidRPr="00C903F8" w:rsidRDefault="005624E3" w:rsidP="00101A80">
            <w:pPr>
              <w:rPr>
                <w:b/>
                <w:noProof/>
                <w:szCs w:val="20"/>
              </w:rPr>
            </w:pPr>
            <w:r>
              <w:rPr>
                <w:b/>
                <w:noProof/>
              </w:rPr>
              <w:t>A.</w:t>
            </w:r>
            <w:r>
              <w:tab/>
            </w:r>
            <w:r>
              <w:rPr>
                <w:b/>
                <w:noProof/>
              </w:rPr>
              <w:t>Az alkatrészek vizsgálata</w:t>
            </w:r>
          </w:p>
          <w:p w:rsidR="005624E3" w:rsidRPr="00C903F8" w:rsidRDefault="005624E3" w:rsidP="00101A80">
            <w:pPr>
              <w:ind w:firstLine="3"/>
              <w:rPr>
                <w:noProof/>
                <w:szCs w:val="20"/>
              </w:rPr>
            </w:pPr>
          </w:p>
          <w:p w:rsidR="005624E3" w:rsidRPr="00C903F8" w:rsidRDefault="005624E3" w:rsidP="00101A80">
            <w:pPr>
              <w:ind w:firstLine="3"/>
              <w:rPr>
                <w:noProof/>
                <w:szCs w:val="20"/>
              </w:rPr>
            </w:pPr>
            <w:r>
              <w:t>Az alábbiakban a szennyvízkezelő mű szennyvízkezelés szempontjából lényeges alkatrészeinek és paramétereinek ellenőrzéséhez készült gyártói útmutatóban, valamint a II. szakasz 4. függelékében felsorolt további, a szennyvízkezelés szempontjából lényeges alkatrészeket kell feltüntetni.</w:t>
            </w:r>
          </w:p>
          <w:p w:rsidR="005624E3" w:rsidRPr="00C903F8" w:rsidRDefault="005624E3" w:rsidP="00101A80">
            <w:pPr>
              <w:rPr>
                <w:noProof/>
                <w:szCs w:val="20"/>
              </w:rPr>
            </w:pPr>
          </w:p>
        </w:tc>
      </w:tr>
      <w:tr w:rsidR="005624E3" w:rsidRPr="00C903F8" w:rsidTr="00101A80">
        <w:trPr>
          <w:jc w:val="center"/>
        </w:trPr>
        <w:tc>
          <w:tcPr>
            <w:tcW w:w="426" w:type="dxa"/>
            <w:tcBorders>
              <w:right w:val="single" w:sz="4" w:space="0" w:color="auto"/>
            </w:tcBorders>
            <w:vAlign w:val="center"/>
          </w:tcPr>
          <w:p w:rsidR="005624E3" w:rsidRPr="00C903F8" w:rsidRDefault="005624E3" w:rsidP="00101A80">
            <w:pPr>
              <w:spacing w:before="60" w:after="60" w:line="240" w:lineRule="atLeast"/>
              <w:rPr>
                <w:noProof/>
                <w:sz w:val="18"/>
                <w:szCs w:val="18"/>
              </w:rPr>
            </w:pPr>
          </w:p>
        </w:tc>
        <w:tc>
          <w:tcPr>
            <w:tcW w:w="2693" w:type="dxa"/>
            <w:gridSpan w:val="4"/>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60" w:after="60" w:line="240" w:lineRule="atLeast"/>
              <w:jc w:val="center"/>
              <w:rPr>
                <w:noProof/>
                <w:sz w:val="18"/>
                <w:szCs w:val="18"/>
              </w:rPr>
            </w:pPr>
            <w:r>
              <w:rPr>
                <w:noProof/>
                <w:sz w:val="18"/>
              </w:rPr>
              <w:t>Alkatrész</w:t>
            </w:r>
          </w:p>
        </w:tc>
        <w:tc>
          <w:tcPr>
            <w:tcW w:w="2977" w:type="dxa"/>
            <w:gridSpan w:val="6"/>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60" w:after="60" w:line="240" w:lineRule="atLeast"/>
              <w:jc w:val="center"/>
              <w:rPr>
                <w:bCs/>
                <w:noProof/>
                <w:sz w:val="18"/>
                <w:szCs w:val="18"/>
              </w:rPr>
            </w:pPr>
            <w:r>
              <w:rPr>
                <w:noProof/>
                <w:sz w:val="18"/>
              </w:rPr>
              <w:t>Az azonosított alkatrész száma</w:t>
            </w:r>
          </w:p>
        </w:tc>
        <w:tc>
          <w:tcPr>
            <w:tcW w:w="3119" w:type="dxa"/>
            <w:gridSpan w:val="8"/>
            <w:tcBorders>
              <w:top w:val="single" w:sz="4" w:space="0" w:color="auto"/>
              <w:left w:val="nil"/>
              <w:bottom w:val="single" w:sz="4" w:space="0" w:color="auto"/>
              <w:right w:val="single" w:sz="4" w:space="0" w:color="auto"/>
            </w:tcBorders>
            <w:vAlign w:val="center"/>
          </w:tcPr>
          <w:p w:rsidR="005624E3" w:rsidRPr="00C903F8" w:rsidRDefault="005624E3" w:rsidP="00101A80">
            <w:pPr>
              <w:spacing w:before="60" w:after="60" w:line="240" w:lineRule="atLeast"/>
              <w:jc w:val="center"/>
              <w:rPr>
                <w:b/>
                <w:noProof/>
                <w:sz w:val="18"/>
                <w:szCs w:val="18"/>
              </w:rPr>
            </w:pPr>
            <w:r>
              <w:rPr>
                <w:noProof/>
                <w:sz w:val="18"/>
              </w:rPr>
              <w:t>Megfelelés</w:t>
            </w:r>
            <w:r>
              <w:rPr>
                <w:noProof/>
                <w:vertAlign w:val="superscript"/>
              </w:rPr>
              <w:footnoteReference w:id="73"/>
            </w:r>
          </w:p>
        </w:tc>
      </w:tr>
      <w:tr w:rsidR="005624E3" w:rsidRPr="00C903F8" w:rsidTr="0010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5624E3" w:rsidRPr="00C903F8" w:rsidRDefault="005624E3" w:rsidP="00101A80">
            <w:pPr>
              <w:spacing w:before="60" w:after="60" w:line="240" w:lineRule="atLeast"/>
              <w:rPr>
                <w:noProof/>
                <w:sz w:val="18"/>
                <w:szCs w:val="18"/>
              </w:rPr>
            </w:pPr>
          </w:p>
        </w:tc>
        <w:tc>
          <w:tcPr>
            <w:tcW w:w="2693" w:type="dxa"/>
            <w:gridSpan w:val="4"/>
            <w:tcBorders>
              <w:top w:val="nil"/>
              <w:left w:val="nil"/>
            </w:tcBorders>
            <w:vAlign w:val="center"/>
          </w:tcPr>
          <w:p w:rsidR="005624E3" w:rsidRPr="00C903F8" w:rsidRDefault="005624E3" w:rsidP="00101A80">
            <w:pPr>
              <w:spacing w:before="60" w:after="60" w:line="240" w:lineRule="atLeast"/>
              <w:rPr>
                <w:noProof/>
                <w:sz w:val="18"/>
                <w:szCs w:val="18"/>
              </w:rPr>
            </w:pPr>
          </w:p>
        </w:tc>
        <w:tc>
          <w:tcPr>
            <w:tcW w:w="2977" w:type="dxa"/>
            <w:gridSpan w:val="6"/>
            <w:tcBorders>
              <w:top w:val="nil"/>
            </w:tcBorders>
            <w:vAlign w:val="center"/>
          </w:tcPr>
          <w:p w:rsidR="005624E3" w:rsidRPr="00C903F8" w:rsidRDefault="005624E3" w:rsidP="00101A80">
            <w:pPr>
              <w:spacing w:before="60" w:after="60" w:line="240" w:lineRule="atLeast"/>
              <w:rPr>
                <w:noProof/>
                <w:sz w:val="18"/>
                <w:szCs w:val="18"/>
              </w:rPr>
            </w:pPr>
          </w:p>
        </w:tc>
        <w:tc>
          <w:tcPr>
            <w:tcW w:w="1039" w:type="dxa"/>
            <w:gridSpan w:val="5"/>
            <w:tcBorders>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1"/>
                  <w:enabled/>
                  <w:calcOnExit w:val="0"/>
                  <w:checkBox>
                    <w:size w:val="20"/>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Igen</w:t>
            </w:r>
          </w:p>
        </w:tc>
        <w:tc>
          <w:tcPr>
            <w:tcW w:w="1039" w:type="dxa"/>
            <w:gridSpan w:val="2"/>
            <w:tcBorders>
              <w:left w:val="nil"/>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5"/>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c>
          <w:tcPr>
            <w:tcW w:w="1041" w:type="dxa"/>
            <w:tcBorders>
              <w:lef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6"/>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N/A</w:t>
            </w:r>
          </w:p>
        </w:tc>
      </w:tr>
      <w:tr w:rsidR="005624E3" w:rsidRPr="00C903F8" w:rsidTr="0010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5624E3" w:rsidRPr="00C903F8" w:rsidRDefault="005624E3" w:rsidP="00101A80">
            <w:pPr>
              <w:spacing w:before="60" w:after="60" w:line="240" w:lineRule="atLeast"/>
              <w:rPr>
                <w:noProof/>
                <w:sz w:val="18"/>
                <w:szCs w:val="18"/>
              </w:rPr>
            </w:pPr>
          </w:p>
        </w:tc>
        <w:tc>
          <w:tcPr>
            <w:tcW w:w="2693" w:type="dxa"/>
            <w:gridSpan w:val="4"/>
            <w:tcBorders>
              <w:left w:val="nil"/>
            </w:tcBorders>
            <w:vAlign w:val="center"/>
          </w:tcPr>
          <w:p w:rsidR="005624E3" w:rsidRPr="00C903F8" w:rsidRDefault="005624E3" w:rsidP="00101A80">
            <w:pPr>
              <w:spacing w:before="60" w:after="60" w:line="240" w:lineRule="atLeast"/>
              <w:rPr>
                <w:noProof/>
                <w:sz w:val="18"/>
                <w:szCs w:val="18"/>
              </w:rPr>
            </w:pPr>
          </w:p>
        </w:tc>
        <w:tc>
          <w:tcPr>
            <w:tcW w:w="2977" w:type="dxa"/>
            <w:gridSpan w:val="6"/>
            <w:vAlign w:val="center"/>
          </w:tcPr>
          <w:p w:rsidR="005624E3" w:rsidRPr="00C903F8" w:rsidRDefault="005624E3" w:rsidP="00101A80">
            <w:pPr>
              <w:spacing w:before="60" w:after="60" w:line="240" w:lineRule="atLeast"/>
              <w:rPr>
                <w:noProof/>
                <w:sz w:val="18"/>
                <w:szCs w:val="18"/>
              </w:rPr>
            </w:pPr>
          </w:p>
        </w:tc>
        <w:tc>
          <w:tcPr>
            <w:tcW w:w="1039" w:type="dxa"/>
            <w:gridSpan w:val="5"/>
            <w:tcBorders>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7"/>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039" w:type="dxa"/>
            <w:gridSpan w:val="2"/>
            <w:tcBorders>
              <w:left w:val="nil"/>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8"/>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c>
          <w:tcPr>
            <w:tcW w:w="1041" w:type="dxa"/>
            <w:tcBorders>
              <w:lef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9"/>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N/A</w:t>
            </w:r>
          </w:p>
        </w:tc>
      </w:tr>
      <w:tr w:rsidR="005624E3" w:rsidRPr="00C903F8" w:rsidTr="0010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5624E3" w:rsidRPr="00C903F8" w:rsidRDefault="005624E3" w:rsidP="00101A80">
            <w:pPr>
              <w:spacing w:before="60" w:after="60" w:line="240" w:lineRule="atLeast"/>
              <w:rPr>
                <w:noProof/>
                <w:sz w:val="18"/>
                <w:szCs w:val="18"/>
              </w:rPr>
            </w:pPr>
          </w:p>
        </w:tc>
        <w:tc>
          <w:tcPr>
            <w:tcW w:w="2693" w:type="dxa"/>
            <w:gridSpan w:val="4"/>
            <w:tcBorders>
              <w:left w:val="nil"/>
            </w:tcBorders>
            <w:vAlign w:val="center"/>
          </w:tcPr>
          <w:p w:rsidR="005624E3" w:rsidRPr="00C903F8" w:rsidRDefault="005624E3" w:rsidP="00101A80">
            <w:pPr>
              <w:spacing w:before="60" w:after="60" w:line="240" w:lineRule="atLeast"/>
              <w:rPr>
                <w:noProof/>
                <w:sz w:val="18"/>
                <w:szCs w:val="18"/>
              </w:rPr>
            </w:pPr>
          </w:p>
        </w:tc>
        <w:tc>
          <w:tcPr>
            <w:tcW w:w="2977" w:type="dxa"/>
            <w:gridSpan w:val="6"/>
            <w:vAlign w:val="center"/>
          </w:tcPr>
          <w:p w:rsidR="005624E3" w:rsidRPr="00C903F8" w:rsidRDefault="005624E3" w:rsidP="00101A80">
            <w:pPr>
              <w:spacing w:before="60" w:after="60" w:line="240" w:lineRule="atLeast"/>
              <w:rPr>
                <w:noProof/>
                <w:sz w:val="18"/>
                <w:szCs w:val="18"/>
              </w:rPr>
            </w:pPr>
          </w:p>
        </w:tc>
        <w:tc>
          <w:tcPr>
            <w:tcW w:w="1039" w:type="dxa"/>
            <w:gridSpan w:val="5"/>
            <w:tcBorders>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7"/>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039" w:type="dxa"/>
            <w:gridSpan w:val="2"/>
            <w:tcBorders>
              <w:left w:val="nil"/>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8"/>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c>
          <w:tcPr>
            <w:tcW w:w="1041" w:type="dxa"/>
            <w:tcBorders>
              <w:lef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9"/>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N/A</w:t>
            </w:r>
          </w:p>
        </w:tc>
      </w:tr>
      <w:tr w:rsidR="005624E3" w:rsidRPr="00C903F8" w:rsidTr="0010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5624E3" w:rsidRPr="00C903F8" w:rsidRDefault="005624E3" w:rsidP="00101A80">
            <w:pPr>
              <w:spacing w:before="60" w:after="60" w:line="240" w:lineRule="atLeast"/>
              <w:rPr>
                <w:noProof/>
                <w:sz w:val="18"/>
                <w:szCs w:val="18"/>
              </w:rPr>
            </w:pPr>
          </w:p>
        </w:tc>
        <w:tc>
          <w:tcPr>
            <w:tcW w:w="2693" w:type="dxa"/>
            <w:gridSpan w:val="4"/>
            <w:tcBorders>
              <w:left w:val="nil"/>
            </w:tcBorders>
            <w:vAlign w:val="center"/>
          </w:tcPr>
          <w:p w:rsidR="005624E3" w:rsidRPr="00C903F8" w:rsidRDefault="005624E3" w:rsidP="00101A80">
            <w:pPr>
              <w:spacing w:before="60" w:after="60" w:line="240" w:lineRule="atLeast"/>
              <w:rPr>
                <w:noProof/>
                <w:sz w:val="18"/>
                <w:szCs w:val="18"/>
              </w:rPr>
            </w:pPr>
          </w:p>
        </w:tc>
        <w:tc>
          <w:tcPr>
            <w:tcW w:w="2977" w:type="dxa"/>
            <w:gridSpan w:val="6"/>
            <w:vAlign w:val="center"/>
          </w:tcPr>
          <w:p w:rsidR="005624E3" w:rsidRPr="00C903F8" w:rsidRDefault="005624E3" w:rsidP="00101A80">
            <w:pPr>
              <w:spacing w:before="60" w:after="60" w:line="240" w:lineRule="atLeast"/>
              <w:rPr>
                <w:noProof/>
                <w:sz w:val="18"/>
                <w:szCs w:val="18"/>
              </w:rPr>
            </w:pPr>
          </w:p>
        </w:tc>
        <w:tc>
          <w:tcPr>
            <w:tcW w:w="1039" w:type="dxa"/>
            <w:gridSpan w:val="5"/>
            <w:tcBorders>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7"/>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039" w:type="dxa"/>
            <w:gridSpan w:val="2"/>
            <w:tcBorders>
              <w:left w:val="nil"/>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8"/>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c>
          <w:tcPr>
            <w:tcW w:w="1041" w:type="dxa"/>
            <w:tcBorders>
              <w:lef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9"/>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N/A</w:t>
            </w:r>
          </w:p>
        </w:tc>
      </w:tr>
      <w:tr w:rsidR="005624E3" w:rsidRPr="00C903F8" w:rsidTr="0010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5624E3" w:rsidRPr="00C903F8" w:rsidRDefault="005624E3" w:rsidP="00101A80">
            <w:pPr>
              <w:spacing w:before="60" w:after="60" w:line="240" w:lineRule="atLeast"/>
              <w:rPr>
                <w:noProof/>
                <w:sz w:val="18"/>
                <w:szCs w:val="18"/>
              </w:rPr>
            </w:pPr>
          </w:p>
        </w:tc>
        <w:tc>
          <w:tcPr>
            <w:tcW w:w="2693" w:type="dxa"/>
            <w:gridSpan w:val="4"/>
            <w:tcBorders>
              <w:left w:val="nil"/>
            </w:tcBorders>
            <w:vAlign w:val="center"/>
          </w:tcPr>
          <w:p w:rsidR="005624E3" w:rsidRPr="00C903F8" w:rsidRDefault="005624E3" w:rsidP="00101A80">
            <w:pPr>
              <w:spacing w:before="60" w:after="60" w:line="240" w:lineRule="atLeast"/>
              <w:rPr>
                <w:noProof/>
                <w:sz w:val="18"/>
                <w:szCs w:val="18"/>
              </w:rPr>
            </w:pPr>
          </w:p>
        </w:tc>
        <w:tc>
          <w:tcPr>
            <w:tcW w:w="2977" w:type="dxa"/>
            <w:gridSpan w:val="6"/>
            <w:vAlign w:val="center"/>
          </w:tcPr>
          <w:p w:rsidR="005624E3" w:rsidRPr="00C903F8" w:rsidRDefault="005624E3" w:rsidP="00101A80">
            <w:pPr>
              <w:spacing w:before="60" w:after="60" w:line="240" w:lineRule="atLeast"/>
              <w:rPr>
                <w:noProof/>
                <w:sz w:val="18"/>
                <w:szCs w:val="18"/>
              </w:rPr>
            </w:pPr>
          </w:p>
        </w:tc>
        <w:tc>
          <w:tcPr>
            <w:tcW w:w="1039" w:type="dxa"/>
            <w:gridSpan w:val="5"/>
            <w:tcBorders>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13"/>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039" w:type="dxa"/>
            <w:gridSpan w:val="2"/>
            <w:tcBorders>
              <w:left w:val="nil"/>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14"/>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c>
          <w:tcPr>
            <w:tcW w:w="1041" w:type="dxa"/>
            <w:tcBorders>
              <w:lef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15"/>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N/A</w:t>
            </w:r>
          </w:p>
        </w:tc>
      </w:tr>
      <w:tr w:rsidR="005624E3" w:rsidRPr="00C903F8" w:rsidTr="0010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5624E3" w:rsidRPr="00C903F8" w:rsidRDefault="005624E3" w:rsidP="00101A80">
            <w:pPr>
              <w:spacing w:before="60" w:after="60" w:line="240" w:lineRule="atLeast"/>
              <w:rPr>
                <w:noProof/>
                <w:sz w:val="18"/>
                <w:szCs w:val="18"/>
              </w:rPr>
            </w:pPr>
          </w:p>
        </w:tc>
        <w:tc>
          <w:tcPr>
            <w:tcW w:w="2693" w:type="dxa"/>
            <w:gridSpan w:val="4"/>
            <w:tcBorders>
              <w:left w:val="nil"/>
            </w:tcBorders>
            <w:vAlign w:val="center"/>
          </w:tcPr>
          <w:p w:rsidR="005624E3" w:rsidRPr="00C903F8" w:rsidRDefault="005624E3" w:rsidP="00101A80">
            <w:pPr>
              <w:spacing w:before="60" w:after="60" w:line="240" w:lineRule="atLeast"/>
              <w:rPr>
                <w:noProof/>
                <w:sz w:val="18"/>
                <w:szCs w:val="18"/>
              </w:rPr>
            </w:pPr>
          </w:p>
        </w:tc>
        <w:tc>
          <w:tcPr>
            <w:tcW w:w="2977" w:type="dxa"/>
            <w:gridSpan w:val="6"/>
            <w:vAlign w:val="center"/>
          </w:tcPr>
          <w:p w:rsidR="005624E3" w:rsidRPr="00C903F8" w:rsidRDefault="005624E3" w:rsidP="00101A80">
            <w:pPr>
              <w:spacing w:before="60" w:after="60" w:line="240" w:lineRule="atLeast"/>
              <w:rPr>
                <w:noProof/>
                <w:sz w:val="18"/>
                <w:szCs w:val="18"/>
              </w:rPr>
            </w:pPr>
          </w:p>
        </w:tc>
        <w:tc>
          <w:tcPr>
            <w:tcW w:w="1039" w:type="dxa"/>
            <w:gridSpan w:val="5"/>
            <w:tcBorders>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7"/>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039" w:type="dxa"/>
            <w:gridSpan w:val="2"/>
            <w:tcBorders>
              <w:left w:val="nil"/>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8"/>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c>
          <w:tcPr>
            <w:tcW w:w="1041" w:type="dxa"/>
            <w:tcBorders>
              <w:lef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9"/>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N/A</w:t>
            </w:r>
          </w:p>
        </w:tc>
      </w:tr>
      <w:tr w:rsidR="005624E3" w:rsidRPr="00C903F8" w:rsidTr="0010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5624E3" w:rsidRPr="00C903F8" w:rsidRDefault="005624E3" w:rsidP="00101A80">
            <w:pPr>
              <w:spacing w:before="60" w:after="60" w:line="240" w:lineRule="atLeast"/>
              <w:rPr>
                <w:noProof/>
                <w:sz w:val="18"/>
                <w:szCs w:val="18"/>
              </w:rPr>
            </w:pPr>
          </w:p>
        </w:tc>
        <w:tc>
          <w:tcPr>
            <w:tcW w:w="2693" w:type="dxa"/>
            <w:gridSpan w:val="4"/>
            <w:tcBorders>
              <w:left w:val="nil"/>
            </w:tcBorders>
            <w:vAlign w:val="center"/>
          </w:tcPr>
          <w:p w:rsidR="005624E3" w:rsidRPr="00C903F8" w:rsidRDefault="005624E3" w:rsidP="00101A80">
            <w:pPr>
              <w:spacing w:before="60" w:after="60" w:line="240" w:lineRule="atLeast"/>
              <w:rPr>
                <w:noProof/>
                <w:sz w:val="18"/>
                <w:szCs w:val="18"/>
              </w:rPr>
            </w:pPr>
          </w:p>
        </w:tc>
        <w:tc>
          <w:tcPr>
            <w:tcW w:w="2977" w:type="dxa"/>
            <w:gridSpan w:val="6"/>
            <w:vAlign w:val="center"/>
          </w:tcPr>
          <w:p w:rsidR="005624E3" w:rsidRPr="00C903F8" w:rsidRDefault="005624E3" w:rsidP="00101A80">
            <w:pPr>
              <w:spacing w:before="60" w:after="60" w:line="240" w:lineRule="atLeast"/>
              <w:rPr>
                <w:noProof/>
                <w:sz w:val="18"/>
                <w:szCs w:val="18"/>
              </w:rPr>
            </w:pPr>
          </w:p>
        </w:tc>
        <w:tc>
          <w:tcPr>
            <w:tcW w:w="1039" w:type="dxa"/>
            <w:gridSpan w:val="5"/>
            <w:tcBorders>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16"/>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039" w:type="dxa"/>
            <w:gridSpan w:val="2"/>
            <w:tcBorders>
              <w:left w:val="nil"/>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17"/>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c>
          <w:tcPr>
            <w:tcW w:w="1041" w:type="dxa"/>
            <w:tcBorders>
              <w:lef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18"/>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N/A</w:t>
            </w:r>
          </w:p>
        </w:tc>
      </w:tr>
      <w:tr w:rsidR="005624E3" w:rsidRPr="00C903F8" w:rsidTr="0010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5624E3" w:rsidRPr="00C903F8" w:rsidRDefault="005624E3" w:rsidP="00101A80">
            <w:pPr>
              <w:spacing w:before="60" w:after="60" w:line="240" w:lineRule="atLeast"/>
              <w:rPr>
                <w:noProof/>
                <w:sz w:val="18"/>
                <w:szCs w:val="18"/>
              </w:rPr>
            </w:pPr>
          </w:p>
        </w:tc>
        <w:tc>
          <w:tcPr>
            <w:tcW w:w="2693" w:type="dxa"/>
            <w:gridSpan w:val="4"/>
            <w:tcBorders>
              <w:left w:val="nil"/>
            </w:tcBorders>
            <w:vAlign w:val="center"/>
          </w:tcPr>
          <w:p w:rsidR="005624E3" w:rsidRPr="00C903F8" w:rsidRDefault="005624E3" w:rsidP="00101A80">
            <w:pPr>
              <w:spacing w:before="60" w:after="60" w:line="240" w:lineRule="atLeast"/>
              <w:rPr>
                <w:noProof/>
                <w:sz w:val="18"/>
                <w:szCs w:val="18"/>
              </w:rPr>
            </w:pPr>
          </w:p>
        </w:tc>
        <w:tc>
          <w:tcPr>
            <w:tcW w:w="2977" w:type="dxa"/>
            <w:gridSpan w:val="6"/>
            <w:vAlign w:val="center"/>
          </w:tcPr>
          <w:p w:rsidR="005624E3" w:rsidRPr="00C903F8" w:rsidRDefault="005624E3" w:rsidP="00101A80">
            <w:pPr>
              <w:spacing w:before="60" w:after="60" w:line="240" w:lineRule="atLeast"/>
              <w:rPr>
                <w:noProof/>
                <w:sz w:val="18"/>
                <w:szCs w:val="18"/>
              </w:rPr>
            </w:pPr>
          </w:p>
        </w:tc>
        <w:tc>
          <w:tcPr>
            <w:tcW w:w="1039" w:type="dxa"/>
            <w:gridSpan w:val="5"/>
            <w:tcBorders>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19"/>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039" w:type="dxa"/>
            <w:gridSpan w:val="2"/>
            <w:tcBorders>
              <w:left w:val="nil"/>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20"/>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c>
          <w:tcPr>
            <w:tcW w:w="1041" w:type="dxa"/>
            <w:tcBorders>
              <w:lef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21"/>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N/A</w:t>
            </w:r>
          </w:p>
        </w:tc>
      </w:tr>
      <w:tr w:rsidR="005624E3" w:rsidRPr="00C903F8" w:rsidTr="0010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5624E3" w:rsidRPr="00C903F8" w:rsidRDefault="005624E3" w:rsidP="00101A80">
            <w:pPr>
              <w:spacing w:before="60" w:after="60" w:line="240" w:lineRule="atLeast"/>
              <w:rPr>
                <w:noProof/>
                <w:sz w:val="18"/>
                <w:szCs w:val="18"/>
              </w:rPr>
            </w:pPr>
          </w:p>
        </w:tc>
        <w:tc>
          <w:tcPr>
            <w:tcW w:w="2693" w:type="dxa"/>
            <w:gridSpan w:val="4"/>
            <w:tcBorders>
              <w:left w:val="nil"/>
            </w:tcBorders>
            <w:vAlign w:val="center"/>
          </w:tcPr>
          <w:p w:rsidR="005624E3" w:rsidRPr="00C903F8" w:rsidRDefault="005624E3" w:rsidP="00101A80">
            <w:pPr>
              <w:spacing w:before="60" w:after="60" w:line="240" w:lineRule="atLeast"/>
              <w:rPr>
                <w:noProof/>
                <w:sz w:val="18"/>
                <w:szCs w:val="18"/>
              </w:rPr>
            </w:pPr>
          </w:p>
        </w:tc>
        <w:tc>
          <w:tcPr>
            <w:tcW w:w="2977" w:type="dxa"/>
            <w:gridSpan w:val="6"/>
            <w:vAlign w:val="center"/>
          </w:tcPr>
          <w:p w:rsidR="005624E3" w:rsidRPr="00C903F8" w:rsidRDefault="005624E3" w:rsidP="00101A80">
            <w:pPr>
              <w:spacing w:before="60" w:after="60" w:line="240" w:lineRule="atLeast"/>
              <w:rPr>
                <w:noProof/>
                <w:sz w:val="18"/>
                <w:szCs w:val="18"/>
              </w:rPr>
            </w:pPr>
          </w:p>
        </w:tc>
        <w:tc>
          <w:tcPr>
            <w:tcW w:w="1039" w:type="dxa"/>
            <w:gridSpan w:val="5"/>
            <w:tcBorders>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19"/>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039" w:type="dxa"/>
            <w:gridSpan w:val="2"/>
            <w:tcBorders>
              <w:left w:val="nil"/>
              <w:righ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20"/>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c>
          <w:tcPr>
            <w:tcW w:w="1041" w:type="dxa"/>
            <w:tcBorders>
              <w:left w:val="nil"/>
            </w:tcBorders>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21"/>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N/A</w:t>
            </w:r>
          </w:p>
        </w:tc>
      </w:tr>
    </w:tbl>
    <w:p w:rsidR="005624E3" w:rsidRPr="00C903F8" w:rsidRDefault="005624E3" w:rsidP="005624E3">
      <w:pPr>
        <w:rPr>
          <w:b/>
          <w:bCs/>
          <w:noProof/>
          <w:sz w:val="18"/>
          <w:szCs w:val="18"/>
        </w:rPr>
      </w:pPr>
    </w:p>
    <w:p w:rsidR="005624E3" w:rsidRPr="00C903F8" w:rsidRDefault="005624E3" w:rsidP="005624E3">
      <w:pPr>
        <w:rPr>
          <w:b/>
          <w:bCs/>
          <w:noProof/>
          <w:sz w:val="18"/>
          <w:szCs w:val="18"/>
        </w:rPr>
      </w:pPr>
      <w:r>
        <w:br w:type="page"/>
      </w:r>
    </w:p>
    <w:p w:rsidR="005624E3" w:rsidRPr="00C903F8" w:rsidRDefault="005624E3" w:rsidP="005624E3">
      <w:pPr>
        <w:rPr>
          <w:b/>
          <w:bCs/>
          <w:noProof/>
          <w:sz w:val="18"/>
          <w:szCs w:val="18"/>
        </w:rPr>
      </w:pPr>
      <w:r>
        <w:rPr>
          <w:b/>
          <w:noProof/>
          <w:sz w:val="18"/>
        </w:rPr>
        <w:t>B.</w:t>
      </w:r>
      <w:r>
        <w:tab/>
      </w:r>
      <w:r>
        <w:rPr>
          <w:b/>
          <w:noProof/>
          <w:sz w:val="18"/>
        </w:rPr>
        <w:t>A szúrópróbával vett mintákon alapuló mérések eredményei</w:t>
      </w:r>
    </w:p>
    <w:p w:rsidR="005624E3" w:rsidRPr="00C903F8" w:rsidRDefault="005624E3" w:rsidP="005624E3">
      <w:pPr>
        <w:rPr>
          <w:noProof/>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6"/>
        <w:gridCol w:w="870"/>
        <w:gridCol w:w="514"/>
        <w:gridCol w:w="195"/>
        <w:gridCol w:w="567"/>
        <w:gridCol w:w="810"/>
        <w:gridCol w:w="998"/>
        <w:gridCol w:w="176"/>
        <w:gridCol w:w="953"/>
        <w:gridCol w:w="409"/>
        <w:gridCol w:w="3317"/>
      </w:tblGrid>
      <w:tr w:rsidR="005624E3" w:rsidRPr="00C903F8" w:rsidTr="00101A80">
        <w:trPr>
          <w:gridBefore w:val="1"/>
          <w:gridAfter w:val="2"/>
          <w:wBefore w:w="406" w:type="dxa"/>
          <w:wAfter w:w="3726" w:type="dxa"/>
          <w:cantSplit/>
          <w:jc w:val="center"/>
        </w:trPr>
        <w:tc>
          <w:tcPr>
            <w:tcW w:w="1384" w:type="dxa"/>
            <w:gridSpan w:val="2"/>
            <w:vAlign w:val="center"/>
          </w:tcPr>
          <w:p w:rsidR="005624E3" w:rsidRPr="00C903F8" w:rsidRDefault="005624E3" w:rsidP="00101A80">
            <w:pPr>
              <w:spacing w:before="60" w:after="60" w:line="240" w:lineRule="atLeast"/>
              <w:jc w:val="center"/>
              <w:rPr>
                <w:noProof/>
                <w:sz w:val="18"/>
                <w:szCs w:val="18"/>
              </w:rPr>
            </w:pPr>
            <w:r>
              <w:rPr>
                <w:noProof/>
                <w:sz w:val="18"/>
              </w:rPr>
              <w:t>Paraméter</w:t>
            </w:r>
          </w:p>
        </w:tc>
        <w:tc>
          <w:tcPr>
            <w:tcW w:w="1572" w:type="dxa"/>
            <w:gridSpan w:val="3"/>
            <w:vAlign w:val="center"/>
          </w:tcPr>
          <w:p w:rsidR="005624E3" w:rsidRPr="00C903F8" w:rsidRDefault="005624E3" w:rsidP="00101A80">
            <w:pPr>
              <w:spacing w:before="60" w:after="60" w:line="240" w:lineRule="atLeast"/>
              <w:jc w:val="center"/>
              <w:rPr>
                <w:noProof/>
                <w:sz w:val="18"/>
                <w:szCs w:val="18"/>
              </w:rPr>
            </w:pPr>
            <w:r>
              <w:rPr>
                <w:noProof/>
                <w:sz w:val="18"/>
              </w:rPr>
              <w:t>Mért érték</w:t>
            </w:r>
          </w:p>
        </w:tc>
        <w:tc>
          <w:tcPr>
            <w:tcW w:w="2127" w:type="dxa"/>
            <w:gridSpan w:val="3"/>
            <w:vAlign w:val="center"/>
          </w:tcPr>
          <w:p w:rsidR="005624E3" w:rsidRPr="00C903F8" w:rsidRDefault="005624E3" w:rsidP="00101A80">
            <w:pPr>
              <w:spacing w:before="60" w:after="60" w:line="240" w:lineRule="atLeast"/>
              <w:jc w:val="center"/>
              <w:rPr>
                <w:noProof/>
                <w:sz w:val="18"/>
                <w:szCs w:val="18"/>
              </w:rPr>
            </w:pPr>
            <w:r>
              <w:rPr>
                <w:noProof/>
                <w:sz w:val="18"/>
              </w:rPr>
              <w:t>Megfelelés</w:t>
            </w:r>
            <w:r>
              <w:rPr>
                <w:noProof/>
                <w:sz w:val="18"/>
                <w:vertAlign w:val="superscript"/>
              </w:rPr>
              <w:t>(</w:t>
            </w:r>
            <w:r>
              <w:rPr>
                <w:noProof/>
                <w:sz w:val="18"/>
                <w:vertAlign w:val="superscript"/>
              </w:rPr>
              <w:footnoteReference w:id="74"/>
            </w:r>
            <w:r>
              <w:rPr>
                <w:noProof/>
                <w:sz w:val="18"/>
                <w:vertAlign w:val="superscript"/>
              </w:rPr>
              <w:t>)</w:t>
            </w:r>
          </w:p>
        </w:tc>
      </w:tr>
      <w:tr w:rsidR="005624E3" w:rsidRPr="00C903F8" w:rsidTr="00101A80">
        <w:trPr>
          <w:gridBefore w:val="1"/>
          <w:gridAfter w:val="2"/>
          <w:wBefore w:w="406" w:type="dxa"/>
          <w:wAfter w:w="3726" w:type="dxa"/>
          <w:cantSplit/>
          <w:jc w:val="center"/>
        </w:trPr>
        <w:tc>
          <w:tcPr>
            <w:tcW w:w="1384" w:type="dxa"/>
            <w:gridSpan w:val="2"/>
            <w:vAlign w:val="center"/>
          </w:tcPr>
          <w:p w:rsidR="005624E3" w:rsidRPr="00C903F8" w:rsidRDefault="003142CA" w:rsidP="00101A80">
            <w:pPr>
              <w:spacing w:before="60" w:after="60" w:line="240" w:lineRule="atLeast"/>
              <w:rPr>
                <w:noProof/>
                <w:sz w:val="18"/>
                <w:szCs w:val="18"/>
              </w:rPr>
            </w:pPr>
            <m:oMathPara>
              <m:oMathParaPr>
                <m:jc m:val="left"/>
              </m:oMathParaP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m:oMathPara>
          </w:p>
        </w:tc>
        <w:tc>
          <w:tcPr>
            <w:tcW w:w="1572" w:type="dxa"/>
            <w:gridSpan w:val="3"/>
            <w:vAlign w:val="center"/>
          </w:tcPr>
          <w:p w:rsidR="005624E3" w:rsidRPr="00C903F8" w:rsidRDefault="005624E3" w:rsidP="00101A80">
            <w:pPr>
              <w:spacing w:before="60" w:after="60" w:line="240" w:lineRule="atLeast"/>
              <w:rPr>
                <w:noProof/>
                <w:sz w:val="18"/>
                <w:szCs w:val="18"/>
              </w:rPr>
            </w:pPr>
          </w:p>
        </w:tc>
        <w:tc>
          <w:tcPr>
            <w:tcW w:w="998" w:type="dxa"/>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129" w:type="dxa"/>
            <w:gridSpan w:val="2"/>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20"/>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r>
      <w:tr w:rsidR="005624E3" w:rsidRPr="00C903F8" w:rsidTr="00101A80">
        <w:trPr>
          <w:gridBefore w:val="1"/>
          <w:gridAfter w:val="2"/>
          <w:wBefore w:w="406" w:type="dxa"/>
          <w:wAfter w:w="3726" w:type="dxa"/>
          <w:cantSplit/>
          <w:jc w:val="center"/>
        </w:trPr>
        <w:tc>
          <w:tcPr>
            <w:tcW w:w="1384" w:type="dxa"/>
            <w:gridSpan w:val="2"/>
            <w:vAlign w:val="center"/>
          </w:tcPr>
          <w:p w:rsidR="005624E3" w:rsidRPr="00C903F8" w:rsidRDefault="005624E3" w:rsidP="00101A80">
            <w:pPr>
              <w:spacing w:before="60" w:after="60" w:line="240" w:lineRule="atLeast"/>
              <w:rPr>
                <w:noProof/>
                <w:sz w:val="18"/>
                <w:szCs w:val="18"/>
              </w:rPr>
            </w:pPr>
            <w:r>
              <w:rPr>
                <w:noProof/>
                <w:sz w:val="18"/>
              </w:rPr>
              <w:t>COD</w:t>
            </w:r>
          </w:p>
        </w:tc>
        <w:tc>
          <w:tcPr>
            <w:tcW w:w="1572" w:type="dxa"/>
            <w:gridSpan w:val="3"/>
            <w:vAlign w:val="center"/>
          </w:tcPr>
          <w:p w:rsidR="005624E3" w:rsidRPr="00C903F8" w:rsidRDefault="005624E3" w:rsidP="00101A80">
            <w:pPr>
              <w:spacing w:before="60" w:after="60" w:line="240" w:lineRule="atLeast"/>
              <w:rPr>
                <w:noProof/>
                <w:sz w:val="18"/>
                <w:szCs w:val="18"/>
              </w:rPr>
            </w:pPr>
          </w:p>
        </w:tc>
        <w:tc>
          <w:tcPr>
            <w:tcW w:w="998" w:type="dxa"/>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129" w:type="dxa"/>
            <w:gridSpan w:val="2"/>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20"/>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r>
      <w:tr w:rsidR="005624E3" w:rsidRPr="00C903F8" w:rsidTr="00101A80">
        <w:trPr>
          <w:gridBefore w:val="1"/>
          <w:gridAfter w:val="2"/>
          <w:wBefore w:w="406" w:type="dxa"/>
          <w:wAfter w:w="3726" w:type="dxa"/>
          <w:cantSplit/>
          <w:jc w:val="center"/>
        </w:trPr>
        <w:tc>
          <w:tcPr>
            <w:tcW w:w="1384" w:type="dxa"/>
            <w:gridSpan w:val="2"/>
            <w:vAlign w:val="center"/>
          </w:tcPr>
          <w:p w:rsidR="005624E3" w:rsidRPr="00C903F8" w:rsidRDefault="005624E3" w:rsidP="00101A80">
            <w:pPr>
              <w:spacing w:before="60" w:after="60" w:line="240" w:lineRule="atLeast"/>
              <w:rPr>
                <w:noProof/>
                <w:sz w:val="18"/>
                <w:szCs w:val="18"/>
                <w:vertAlign w:val="superscript"/>
              </w:rPr>
            </w:pPr>
            <w:r>
              <w:rPr>
                <w:noProof/>
                <w:sz w:val="18"/>
              </w:rPr>
              <w:t>TOC</w:t>
            </w:r>
            <w:r>
              <w:rPr>
                <w:sz w:val="18"/>
                <w:vertAlign w:val="superscript"/>
              </w:rPr>
              <w:t>(</w:t>
            </w:r>
            <w:r>
              <w:rPr>
                <w:b/>
                <w:sz w:val="18"/>
                <w:vertAlign w:val="superscript"/>
              </w:rPr>
              <w:footnoteReference w:id="75"/>
            </w:r>
            <w:r>
              <w:rPr>
                <w:sz w:val="18"/>
                <w:vertAlign w:val="superscript"/>
              </w:rPr>
              <w:t>)</w:t>
            </w:r>
          </w:p>
        </w:tc>
        <w:tc>
          <w:tcPr>
            <w:tcW w:w="1572" w:type="dxa"/>
            <w:gridSpan w:val="3"/>
            <w:vAlign w:val="center"/>
          </w:tcPr>
          <w:p w:rsidR="005624E3" w:rsidRPr="00C903F8" w:rsidRDefault="005624E3" w:rsidP="00101A80">
            <w:pPr>
              <w:spacing w:before="60" w:after="60" w:line="240" w:lineRule="atLeast"/>
              <w:rPr>
                <w:noProof/>
                <w:sz w:val="18"/>
                <w:szCs w:val="18"/>
              </w:rPr>
            </w:pPr>
          </w:p>
        </w:tc>
        <w:tc>
          <w:tcPr>
            <w:tcW w:w="998" w:type="dxa"/>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Igen</w:t>
            </w:r>
          </w:p>
        </w:tc>
        <w:tc>
          <w:tcPr>
            <w:tcW w:w="1129" w:type="dxa"/>
            <w:gridSpan w:val="2"/>
            <w:vAlign w:val="center"/>
          </w:tcPr>
          <w:p w:rsidR="005624E3" w:rsidRPr="00C903F8" w:rsidRDefault="005624E3" w:rsidP="00101A80">
            <w:pPr>
              <w:spacing w:before="60" w:after="60" w:line="240" w:lineRule="atLeast"/>
              <w:rPr>
                <w:noProof/>
                <w:sz w:val="18"/>
                <w:szCs w:val="18"/>
              </w:rPr>
            </w:pPr>
            <w:r>
              <w:rPr>
                <w:noProof/>
                <w:sz w:val="18"/>
                <w:szCs w:val="18"/>
              </w:rPr>
              <w:fldChar w:fldCharType="begin">
                <w:ffData>
                  <w:name w:val="Kontrollkästchen20"/>
                  <w:enabled/>
                  <w:calcOnExit w:val="0"/>
                  <w:checkBox>
                    <w:sizeAuto/>
                    <w:default w:val="0"/>
                  </w:checkBox>
                </w:ffData>
              </w:fldChar>
            </w:r>
            <w:r>
              <w:rPr>
                <w:noProof/>
                <w:sz w:val="18"/>
                <w:szCs w:val="18"/>
              </w:rPr>
              <w:instrText xml:space="preserve"> FORMCHECKBOX </w:instrText>
            </w:r>
            <w:r w:rsidR="003142CA">
              <w:rPr>
                <w:noProof/>
                <w:sz w:val="18"/>
                <w:szCs w:val="18"/>
              </w:rPr>
            </w:r>
            <w:r w:rsidR="003142CA">
              <w:rPr>
                <w:noProof/>
                <w:sz w:val="18"/>
                <w:szCs w:val="18"/>
              </w:rPr>
              <w:fldChar w:fldCharType="separate"/>
            </w:r>
            <w:r>
              <w:rPr>
                <w:noProof/>
                <w:sz w:val="18"/>
                <w:szCs w:val="18"/>
              </w:rPr>
              <w:fldChar w:fldCharType="end"/>
            </w:r>
            <w:r>
              <w:rPr>
                <w:noProof/>
                <w:sz w:val="18"/>
              </w:rPr>
              <w:t xml:space="preserve"> Nem</w:t>
            </w:r>
          </w:p>
        </w:tc>
      </w:tr>
      <w:tr w:rsidR="005624E3" w:rsidRPr="00C903F8"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5624E3" w:rsidRPr="00C903F8" w:rsidRDefault="005624E3" w:rsidP="00101A80">
            <w:pPr>
              <w:rPr>
                <w:b/>
                <w:bCs/>
                <w:noProof/>
                <w:sz w:val="18"/>
                <w:szCs w:val="18"/>
              </w:rPr>
            </w:pPr>
          </w:p>
          <w:p w:rsidR="005624E3" w:rsidRPr="00C903F8" w:rsidRDefault="005624E3" w:rsidP="00101A80">
            <w:pPr>
              <w:rPr>
                <w:b/>
                <w:bCs/>
                <w:noProof/>
                <w:sz w:val="18"/>
                <w:szCs w:val="18"/>
              </w:rPr>
            </w:pPr>
            <w:r>
              <w:rPr>
                <w:b/>
                <w:noProof/>
                <w:sz w:val="18"/>
              </w:rPr>
              <w:t>C.</w:t>
            </w:r>
            <w:r>
              <w:tab/>
            </w:r>
            <w:r>
              <w:rPr>
                <w:b/>
                <w:noProof/>
                <w:sz w:val="18"/>
              </w:rPr>
              <w:t>Megjegyzések:</w:t>
            </w:r>
          </w:p>
          <w:p w:rsidR="005624E3" w:rsidRPr="00C903F8" w:rsidRDefault="005624E3" w:rsidP="00101A80">
            <w:pPr>
              <w:rPr>
                <w:b/>
                <w:bCs/>
                <w:noProof/>
                <w:sz w:val="18"/>
                <w:szCs w:val="18"/>
              </w:rPr>
            </w:pPr>
          </w:p>
        </w:tc>
        <w:tc>
          <w:tcPr>
            <w:tcW w:w="7230" w:type="dxa"/>
            <w:gridSpan w:val="7"/>
            <w:tcBorders>
              <w:bottom w:val="dotted" w:sz="4" w:space="0" w:color="auto"/>
            </w:tcBorders>
            <w:vAlign w:val="center"/>
          </w:tcPr>
          <w:p w:rsidR="005624E3" w:rsidRPr="00C903F8" w:rsidRDefault="005624E3" w:rsidP="00101A80">
            <w:pPr>
              <w:rPr>
                <w:b/>
                <w:bCs/>
                <w:noProof/>
                <w:sz w:val="18"/>
                <w:szCs w:val="18"/>
              </w:rPr>
            </w:pPr>
          </w:p>
        </w:tc>
      </w:tr>
      <w:tr w:rsidR="005624E3" w:rsidRPr="00A0619C"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5624E3" w:rsidRPr="00C903F8" w:rsidRDefault="005624E3" w:rsidP="00101A80">
            <w:pPr>
              <w:rPr>
                <w:b/>
                <w:noProof/>
              </w:rPr>
            </w:pPr>
          </w:p>
        </w:tc>
        <w:tc>
          <w:tcPr>
            <w:tcW w:w="7230" w:type="dxa"/>
            <w:gridSpan w:val="7"/>
            <w:tcBorders>
              <w:top w:val="dotted" w:sz="4" w:space="0" w:color="auto"/>
              <w:bottom w:val="dotted" w:sz="4" w:space="0" w:color="auto"/>
            </w:tcBorders>
            <w:vAlign w:val="center"/>
          </w:tcPr>
          <w:p w:rsidR="005624E3" w:rsidRPr="00C903F8" w:rsidRDefault="005624E3" w:rsidP="00101A80">
            <w:pPr>
              <w:spacing w:before="20"/>
              <w:rPr>
                <w:noProof/>
                <w:sz w:val="14"/>
                <w:szCs w:val="12"/>
              </w:rPr>
            </w:pPr>
            <w:r>
              <w:rPr>
                <w:noProof/>
                <w:sz w:val="16"/>
              </w:rPr>
              <w:t>(A rendszerbe állított fedélzeti szennyvízkezelő művön a következő eltéréseket, módosításokat és változtatásokat azonosítottuk.)</w:t>
            </w:r>
          </w:p>
        </w:tc>
      </w:tr>
      <w:tr w:rsidR="005624E3" w:rsidRPr="00A0619C"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5624E3" w:rsidRPr="00C903F8" w:rsidRDefault="005624E3" w:rsidP="00101A80">
            <w:pPr>
              <w:rPr>
                <w:noProof/>
              </w:rPr>
            </w:pPr>
          </w:p>
        </w:tc>
        <w:tc>
          <w:tcPr>
            <w:tcW w:w="7230" w:type="dxa"/>
            <w:gridSpan w:val="7"/>
            <w:tcBorders>
              <w:top w:val="dotted" w:sz="4" w:space="0" w:color="auto"/>
              <w:bottom w:val="dotted" w:sz="4" w:space="0" w:color="auto"/>
            </w:tcBorders>
            <w:vAlign w:val="center"/>
          </w:tcPr>
          <w:p w:rsidR="005624E3" w:rsidRPr="00C903F8" w:rsidRDefault="005624E3" w:rsidP="00101A80">
            <w:pPr>
              <w:rPr>
                <w:noProof/>
              </w:rPr>
            </w:pPr>
          </w:p>
        </w:tc>
      </w:tr>
      <w:tr w:rsidR="005624E3" w:rsidRPr="00A0619C"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5624E3" w:rsidRPr="00C903F8" w:rsidRDefault="005624E3" w:rsidP="00101A80">
            <w:pPr>
              <w:rPr>
                <w:noProof/>
              </w:rPr>
            </w:pPr>
          </w:p>
        </w:tc>
        <w:tc>
          <w:tcPr>
            <w:tcW w:w="7230" w:type="dxa"/>
            <w:gridSpan w:val="7"/>
            <w:tcBorders>
              <w:top w:val="dotted" w:sz="4" w:space="0" w:color="auto"/>
              <w:bottom w:val="dotted" w:sz="4" w:space="0" w:color="auto"/>
            </w:tcBorders>
            <w:vAlign w:val="center"/>
          </w:tcPr>
          <w:p w:rsidR="005624E3" w:rsidRPr="00C903F8" w:rsidRDefault="005624E3" w:rsidP="00101A80">
            <w:pPr>
              <w:rPr>
                <w:noProof/>
              </w:rPr>
            </w:pPr>
          </w:p>
        </w:tc>
      </w:tr>
      <w:tr w:rsidR="005624E3" w:rsidRPr="00A0619C"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5624E3" w:rsidRPr="00C903F8" w:rsidRDefault="005624E3" w:rsidP="00101A80">
            <w:pPr>
              <w:rPr>
                <w:noProof/>
              </w:rPr>
            </w:pPr>
          </w:p>
        </w:tc>
        <w:tc>
          <w:tcPr>
            <w:tcW w:w="7230" w:type="dxa"/>
            <w:gridSpan w:val="7"/>
            <w:tcBorders>
              <w:top w:val="dotted" w:sz="4" w:space="0" w:color="auto"/>
              <w:bottom w:val="dotted" w:sz="4" w:space="0" w:color="auto"/>
            </w:tcBorders>
            <w:vAlign w:val="center"/>
          </w:tcPr>
          <w:p w:rsidR="005624E3" w:rsidRPr="00C903F8" w:rsidRDefault="005624E3" w:rsidP="00101A80">
            <w:pPr>
              <w:rPr>
                <w:noProof/>
              </w:rPr>
            </w:pPr>
          </w:p>
        </w:tc>
      </w:tr>
      <w:tr w:rsidR="005624E3" w:rsidRPr="00A0619C"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5624E3" w:rsidRPr="00C903F8" w:rsidRDefault="005624E3" w:rsidP="00101A80">
            <w:pPr>
              <w:rPr>
                <w:noProof/>
              </w:rPr>
            </w:pPr>
          </w:p>
        </w:tc>
        <w:tc>
          <w:tcPr>
            <w:tcW w:w="7230" w:type="dxa"/>
            <w:gridSpan w:val="7"/>
            <w:tcBorders>
              <w:top w:val="dotted" w:sz="4" w:space="0" w:color="auto"/>
              <w:bottom w:val="dotted" w:sz="4" w:space="0" w:color="auto"/>
            </w:tcBorders>
            <w:vAlign w:val="center"/>
          </w:tcPr>
          <w:p w:rsidR="005624E3" w:rsidRPr="00C903F8" w:rsidRDefault="005624E3" w:rsidP="00101A80">
            <w:pPr>
              <w:rPr>
                <w:noProof/>
              </w:rPr>
            </w:pPr>
          </w:p>
        </w:tc>
      </w:tr>
      <w:tr w:rsidR="005624E3" w:rsidRPr="00A0619C"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5624E3" w:rsidRPr="00C903F8" w:rsidRDefault="005624E3" w:rsidP="00101A80">
            <w:pPr>
              <w:rPr>
                <w:noProof/>
              </w:rPr>
            </w:pPr>
          </w:p>
        </w:tc>
        <w:tc>
          <w:tcPr>
            <w:tcW w:w="7230" w:type="dxa"/>
            <w:gridSpan w:val="7"/>
            <w:tcBorders>
              <w:top w:val="dotted" w:sz="4" w:space="0" w:color="auto"/>
              <w:bottom w:val="dotted" w:sz="4" w:space="0" w:color="auto"/>
            </w:tcBorders>
            <w:vAlign w:val="center"/>
          </w:tcPr>
          <w:p w:rsidR="005624E3" w:rsidRPr="00C903F8" w:rsidRDefault="005624E3" w:rsidP="00101A80">
            <w:pPr>
              <w:rPr>
                <w:noProof/>
              </w:rPr>
            </w:pPr>
          </w:p>
        </w:tc>
      </w:tr>
      <w:tr w:rsidR="005624E3" w:rsidRPr="00A0619C"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60"/>
          <w:jc w:val="center"/>
        </w:trPr>
        <w:tc>
          <w:tcPr>
            <w:tcW w:w="9215" w:type="dxa"/>
            <w:gridSpan w:val="11"/>
            <w:vAlign w:val="center"/>
          </w:tcPr>
          <w:p w:rsidR="005624E3" w:rsidRPr="00C903F8" w:rsidRDefault="005624E3" w:rsidP="00101A80">
            <w:pPr>
              <w:rPr>
                <w:noProof/>
              </w:rPr>
            </w:pPr>
          </w:p>
        </w:tc>
      </w:tr>
      <w:tr w:rsidR="005624E3" w:rsidRPr="00C903F8"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5624E3" w:rsidRPr="00C903F8" w:rsidRDefault="005624E3" w:rsidP="00101A80">
            <w:pPr>
              <w:rPr>
                <w:noProof/>
                <w:sz w:val="18"/>
                <w:szCs w:val="18"/>
              </w:rPr>
            </w:pPr>
          </w:p>
        </w:tc>
        <w:tc>
          <w:tcPr>
            <w:tcW w:w="1984" w:type="dxa"/>
            <w:gridSpan w:val="3"/>
            <w:vAlign w:val="center"/>
          </w:tcPr>
          <w:p w:rsidR="005624E3" w:rsidRPr="00C903F8" w:rsidRDefault="005624E3" w:rsidP="00101A80">
            <w:pPr>
              <w:rPr>
                <w:noProof/>
                <w:sz w:val="18"/>
                <w:szCs w:val="18"/>
              </w:rPr>
            </w:pPr>
            <w:r>
              <w:rPr>
                <w:noProof/>
                <w:sz w:val="18"/>
              </w:rPr>
              <w:t>A vizsgálóbiztos neve:</w:t>
            </w:r>
          </w:p>
        </w:tc>
        <w:tc>
          <w:tcPr>
            <w:tcW w:w="4679" w:type="dxa"/>
            <w:gridSpan w:val="3"/>
            <w:tcBorders>
              <w:bottom w:val="dotted" w:sz="4" w:space="0" w:color="auto"/>
            </w:tcBorders>
            <w:vAlign w:val="center"/>
          </w:tcPr>
          <w:p w:rsidR="005624E3" w:rsidRPr="00C903F8" w:rsidRDefault="005624E3" w:rsidP="00101A80">
            <w:pPr>
              <w:rPr>
                <w:noProof/>
                <w:sz w:val="18"/>
                <w:szCs w:val="18"/>
              </w:rPr>
            </w:pPr>
          </w:p>
        </w:tc>
      </w:tr>
      <w:tr w:rsidR="005624E3" w:rsidRPr="00C903F8"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5624E3" w:rsidRPr="00C903F8" w:rsidRDefault="005624E3" w:rsidP="00101A80">
            <w:pPr>
              <w:rPr>
                <w:noProof/>
              </w:rPr>
            </w:pPr>
          </w:p>
        </w:tc>
      </w:tr>
      <w:tr w:rsidR="005624E3" w:rsidRPr="00C903F8"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5624E3" w:rsidRPr="00C903F8" w:rsidRDefault="005624E3" w:rsidP="00101A80">
            <w:pPr>
              <w:rPr>
                <w:noProof/>
                <w:sz w:val="18"/>
                <w:szCs w:val="18"/>
              </w:rPr>
            </w:pPr>
          </w:p>
        </w:tc>
        <w:tc>
          <w:tcPr>
            <w:tcW w:w="1984" w:type="dxa"/>
            <w:gridSpan w:val="3"/>
            <w:vAlign w:val="center"/>
          </w:tcPr>
          <w:p w:rsidR="005624E3" w:rsidRPr="00C903F8" w:rsidRDefault="005624E3" w:rsidP="00101A80">
            <w:pPr>
              <w:rPr>
                <w:noProof/>
                <w:sz w:val="18"/>
                <w:szCs w:val="18"/>
              </w:rPr>
            </w:pPr>
            <w:r>
              <w:rPr>
                <w:noProof/>
                <w:sz w:val="18"/>
              </w:rPr>
              <w:t>Hely és dátum:</w:t>
            </w:r>
          </w:p>
        </w:tc>
        <w:tc>
          <w:tcPr>
            <w:tcW w:w="4679" w:type="dxa"/>
            <w:gridSpan w:val="3"/>
            <w:tcBorders>
              <w:bottom w:val="dotted" w:sz="4" w:space="0" w:color="auto"/>
            </w:tcBorders>
            <w:vAlign w:val="center"/>
          </w:tcPr>
          <w:p w:rsidR="005624E3" w:rsidRPr="00C903F8" w:rsidRDefault="005624E3" w:rsidP="00101A80">
            <w:pPr>
              <w:rPr>
                <w:noProof/>
                <w:sz w:val="18"/>
                <w:szCs w:val="18"/>
              </w:rPr>
            </w:pPr>
          </w:p>
        </w:tc>
      </w:tr>
      <w:tr w:rsidR="005624E3" w:rsidRPr="00C903F8"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5624E3" w:rsidRPr="00C903F8" w:rsidRDefault="005624E3" w:rsidP="00101A80">
            <w:pPr>
              <w:rPr>
                <w:noProof/>
                <w:sz w:val="18"/>
                <w:szCs w:val="18"/>
              </w:rPr>
            </w:pPr>
          </w:p>
        </w:tc>
        <w:tc>
          <w:tcPr>
            <w:tcW w:w="1984" w:type="dxa"/>
            <w:gridSpan w:val="3"/>
            <w:vAlign w:val="center"/>
          </w:tcPr>
          <w:p w:rsidR="005624E3" w:rsidRPr="00C903F8" w:rsidRDefault="005624E3" w:rsidP="00101A80">
            <w:pPr>
              <w:rPr>
                <w:noProof/>
                <w:sz w:val="18"/>
                <w:szCs w:val="18"/>
              </w:rPr>
            </w:pPr>
            <w:r>
              <w:rPr>
                <w:noProof/>
                <w:sz w:val="18"/>
              </w:rPr>
              <w:t>Aláírás:</w:t>
            </w:r>
          </w:p>
        </w:tc>
        <w:tc>
          <w:tcPr>
            <w:tcW w:w="4679" w:type="dxa"/>
            <w:gridSpan w:val="3"/>
            <w:tcBorders>
              <w:bottom w:val="dotted" w:sz="4" w:space="0" w:color="auto"/>
            </w:tcBorders>
            <w:vAlign w:val="center"/>
          </w:tcPr>
          <w:p w:rsidR="005624E3" w:rsidRPr="00C903F8" w:rsidRDefault="005624E3" w:rsidP="00101A80">
            <w:pPr>
              <w:rPr>
                <w:noProof/>
                <w:sz w:val="18"/>
                <w:szCs w:val="18"/>
              </w:rPr>
            </w:pPr>
          </w:p>
        </w:tc>
      </w:tr>
      <w:tr w:rsidR="005624E3" w:rsidRPr="00C903F8"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5624E3" w:rsidRPr="00C903F8" w:rsidRDefault="005624E3" w:rsidP="00101A80">
            <w:pPr>
              <w:rPr>
                <w:noProof/>
              </w:rPr>
            </w:pPr>
          </w:p>
        </w:tc>
      </w:tr>
      <w:tr w:rsidR="005624E3" w:rsidRPr="00C903F8"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276" w:type="dxa"/>
            <w:gridSpan w:val="2"/>
            <w:vAlign w:val="center"/>
          </w:tcPr>
          <w:p w:rsidR="005624E3" w:rsidRPr="00C903F8" w:rsidRDefault="005624E3" w:rsidP="00101A80">
            <w:pPr>
              <w:rPr>
                <w:noProof/>
                <w:sz w:val="18"/>
                <w:szCs w:val="18"/>
              </w:rPr>
            </w:pPr>
          </w:p>
        </w:tc>
        <w:tc>
          <w:tcPr>
            <w:tcW w:w="1276" w:type="dxa"/>
            <w:gridSpan w:val="3"/>
            <w:vAlign w:val="center"/>
          </w:tcPr>
          <w:p w:rsidR="005624E3" w:rsidRPr="00C903F8" w:rsidRDefault="005624E3" w:rsidP="00101A80">
            <w:pPr>
              <w:rPr>
                <w:noProof/>
                <w:sz w:val="18"/>
                <w:szCs w:val="18"/>
              </w:rPr>
            </w:pPr>
          </w:p>
        </w:tc>
        <w:tc>
          <w:tcPr>
            <w:tcW w:w="1984" w:type="dxa"/>
            <w:gridSpan w:val="3"/>
            <w:vAlign w:val="center"/>
          </w:tcPr>
          <w:p w:rsidR="005624E3" w:rsidRPr="00C903F8" w:rsidRDefault="005624E3" w:rsidP="00101A80">
            <w:pPr>
              <w:rPr>
                <w:noProof/>
                <w:sz w:val="18"/>
                <w:szCs w:val="18"/>
              </w:rPr>
            </w:pPr>
          </w:p>
        </w:tc>
        <w:tc>
          <w:tcPr>
            <w:tcW w:w="4679" w:type="dxa"/>
            <w:gridSpan w:val="3"/>
            <w:vAlign w:val="center"/>
          </w:tcPr>
          <w:p w:rsidR="005624E3" w:rsidRPr="00C903F8" w:rsidRDefault="005624E3" w:rsidP="00101A80">
            <w:pPr>
              <w:rPr>
                <w:noProof/>
                <w:sz w:val="18"/>
                <w:szCs w:val="18"/>
              </w:rPr>
            </w:pPr>
          </w:p>
        </w:tc>
      </w:tr>
      <w:tr w:rsidR="005624E3" w:rsidRPr="00C903F8"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5624E3" w:rsidRPr="00C903F8" w:rsidRDefault="005624E3" w:rsidP="00101A80">
            <w:pPr>
              <w:ind w:left="286" w:hanging="286"/>
              <w:rPr>
                <w:noProof/>
                <w:sz w:val="16"/>
                <w:szCs w:val="16"/>
              </w:rPr>
            </w:pPr>
          </w:p>
        </w:tc>
        <w:tc>
          <w:tcPr>
            <w:tcW w:w="3317" w:type="dxa"/>
            <w:vAlign w:val="center"/>
          </w:tcPr>
          <w:p w:rsidR="005624E3" w:rsidRPr="00C903F8" w:rsidRDefault="005624E3" w:rsidP="00101A80">
            <w:pPr>
              <w:rPr>
                <w:noProof/>
              </w:rPr>
            </w:pPr>
          </w:p>
        </w:tc>
      </w:tr>
      <w:tr w:rsidR="005624E3" w:rsidRPr="00C903F8" w:rsidTr="00101A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5624E3" w:rsidRPr="00C903F8" w:rsidRDefault="005624E3" w:rsidP="00101A80">
            <w:pPr>
              <w:rPr>
                <w:noProof/>
                <w:sz w:val="16"/>
                <w:szCs w:val="16"/>
                <w:vertAlign w:val="superscript"/>
              </w:rPr>
            </w:pPr>
          </w:p>
          <w:p w:rsidR="005624E3" w:rsidRPr="00C903F8" w:rsidRDefault="005624E3" w:rsidP="00101A80">
            <w:pPr>
              <w:rPr>
                <w:noProof/>
                <w:sz w:val="16"/>
                <w:szCs w:val="16"/>
                <w:vertAlign w:val="superscript"/>
              </w:rPr>
            </w:pPr>
          </w:p>
        </w:tc>
        <w:tc>
          <w:tcPr>
            <w:tcW w:w="3317" w:type="dxa"/>
            <w:vAlign w:val="center"/>
          </w:tcPr>
          <w:p w:rsidR="005624E3" w:rsidRPr="00C903F8" w:rsidRDefault="005624E3" w:rsidP="00101A80">
            <w:pPr>
              <w:rPr>
                <w:noProof/>
              </w:rPr>
            </w:pPr>
          </w:p>
        </w:tc>
      </w:tr>
    </w:tbl>
    <w:p w:rsidR="005624E3" w:rsidRPr="00C903F8" w:rsidRDefault="005624E3" w:rsidP="005624E3">
      <w:pPr>
        <w:tabs>
          <w:tab w:val="left" w:pos="1021"/>
          <w:tab w:val="center" w:pos="8080"/>
        </w:tabs>
        <w:suppressAutoHyphens/>
        <w:spacing w:line="240" w:lineRule="atLeast"/>
        <w:rPr>
          <w:rFonts w:cs="Arial"/>
        </w:rPr>
        <w:sectPr w:rsidR="005624E3" w:rsidRPr="00C903F8" w:rsidSect="00FB55E9">
          <w:headerReference w:type="default" r:id="rId94"/>
          <w:footerReference w:type="default" r:id="rId95"/>
          <w:headerReference w:type="first" r:id="rId96"/>
          <w:footerReference w:type="first" r:id="rId97"/>
          <w:footnotePr>
            <w:numRestart w:val="eachPage"/>
          </w:footnotePr>
          <w:pgSz w:w="11907" w:h="16840"/>
          <w:pgMar w:top="1247" w:right="1418" w:bottom="1247" w:left="1418" w:header="720" w:footer="720" w:gutter="0"/>
          <w:cols w:space="720"/>
          <w:docGrid w:linePitch="272"/>
        </w:sectPr>
      </w:pPr>
    </w:p>
    <w:p w:rsidR="005624E3" w:rsidRPr="00C903F8" w:rsidRDefault="005624E3" w:rsidP="005624E3">
      <w:pPr>
        <w:pStyle w:val="ES-Titre3"/>
        <w:rPr>
          <w:noProof/>
        </w:rPr>
      </w:pPr>
      <w:bookmarkStart w:id="716" w:name="_Toc491854340"/>
      <w:bookmarkStart w:id="717" w:name="_Toc535854121"/>
      <w:r>
        <w:t>IX. szakasz</w:t>
      </w:r>
      <w:bookmarkEnd w:id="716"/>
      <w:bookmarkEnd w:id="717"/>
    </w:p>
    <w:p w:rsidR="005624E3" w:rsidRPr="00C903F8" w:rsidRDefault="005624E3" w:rsidP="005624E3">
      <w:pPr>
        <w:pStyle w:val="ES-Titre3a"/>
        <w:rPr>
          <w:noProof/>
        </w:rPr>
      </w:pPr>
      <w:bookmarkStart w:id="718" w:name="_Toc491854341"/>
      <w:bookmarkStart w:id="719" w:name="_Toc535854122"/>
      <w:r>
        <w:t>Vizsgálati eljárás</w:t>
      </w:r>
      <w:bookmarkEnd w:id="718"/>
      <w:bookmarkEnd w:id="719"/>
    </w:p>
    <w:p w:rsidR="005624E3" w:rsidRPr="00C903F8" w:rsidRDefault="005624E3" w:rsidP="005624E3">
      <w:pPr>
        <w:tabs>
          <w:tab w:val="left" w:pos="1021"/>
          <w:tab w:val="center" w:pos="8080"/>
        </w:tabs>
        <w:suppressAutoHyphens/>
        <w:spacing w:line="240" w:lineRule="atLeast"/>
        <w:rPr>
          <w:rFonts w:cs="Arial"/>
          <w:szCs w:val="20"/>
        </w:rPr>
      </w:pPr>
    </w:p>
    <w:p w:rsidR="005624E3" w:rsidRPr="00C903F8" w:rsidRDefault="005624E3" w:rsidP="005624E3">
      <w:pPr>
        <w:spacing w:line="240" w:lineRule="atLeast"/>
        <w:rPr>
          <w:rFonts w:cs="Arial"/>
          <w:b/>
          <w:noProof/>
          <w:color w:val="000000"/>
        </w:rPr>
      </w:pPr>
      <w:r>
        <w:rPr>
          <w:b/>
          <w:noProof/>
          <w:color w:val="000000"/>
        </w:rPr>
        <w:t>1.</w:t>
      </w:r>
      <w:r>
        <w:tab/>
      </w:r>
      <w:r>
        <w:rPr>
          <w:b/>
          <w:noProof/>
          <w:color w:val="000000"/>
        </w:rPr>
        <w:t>Általános rendelkezések</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1.1.</w:t>
      </w:r>
      <w:r>
        <w:tab/>
      </w:r>
      <w:r>
        <w:rPr>
          <w:noProof/>
          <w:color w:val="000000"/>
        </w:rPr>
        <w:t>Alapelvek</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 xml:space="preserve">Ezt a vizsgálati eljárást a személyhajókon használt fedélzeti szennyvízkezelő művek alkalmasságának megítélésére kell alkalmazni. </w:t>
      </w:r>
    </w:p>
    <w:p w:rsidR="005624E3" w:rsidRPr="00C903F8" w:rsidRDefault="005624E3" w:rsidP="005624E3">
      <w:pPr>
        <w:spacing w:line="240" w:lineRule="atLeast"/>
        <w:ind w:left="426"/>
        <w:rPr>
          <w:noProof/>
        </w:rPr>
      </w:pPr>
      <w:r>
        <w:t>Az eljárás keretében az alkalmazott eljárást és szennyvízkezelési technológiát egy teszt-szennyvízkezelőmű vizsgálata és jóváhagyása útján kell ellenőrizni. A későbbiekben azt, hogy az üzembe helyezett szennyvízkezelő művek megfeleljenek a teszt-szennyvízkezelőműnek, az azonos tervezési és méretezési kritériumok alkalmazása fogja biztosítani.</w:t>
      </w:r>
    </w:p>
    <w:p w:rsidR="005624E3" w:rsidRPr="00C903F8" w:rsidRDefault="005624E3" w:rsidP="005624E3">
      <w:pPr>
        <w:spacing w:line="240" w:lineRule="atLeast"/>
        <w:ind w:left="426"/>
        <w:rPr>
          <w:noProof/>
        </w:rPr>
      </w:pPr>
    </w:p>
    <w:p w:rsidR="005624E3" w:rsidRPr="00C903F8" w:rsidRDefault="005624E3" w:rsidP="005624E3">
      <w:pPr>
        <w:spacing w:line="240" w:lineRule="atLeast"/>
        <w:rPr>
          <w:rFonts w:cs="Arial"/>
          <w:noProof/>
          <w:color w:val="000000"/>
        </w:rPr>
      </w:pPr>
      <w:r>
        <w:rPr>
          <w:noProof/>
          <w:color w:val="000000"/>
        </w:rPr>
        <w:t>1.2.</w:t>
      </w:r>
      <w:r>
        <w:tab/>
      </w:r>
      <w:r>
        <w:rPr>
          <w:noProof/>
          <w:color w:val="000000"/>
        </w:rPr>
        <w:t>Felelősség és a vizsgálat helye</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 xml:space="preserve">A fedélzeti szennyvízkezelő művek egy adott csoportját képviselő teszt-szennyvízkezelőművet a műszaki szolgálat vonja vizsgálat alá. A vizsgálat helyén érvényes vizsgálati feltételek biztosítása a műszaki szolgálat feladata; e körülményeknek meg kell felelniük az alábbiakban meghatározott körülményeknek. </w:t>
      </w:r>
    </w:p>
    <w:p w:rsidR="005624E3" w:rsidRPr="00C903F8" w:rsidRDefault="005624E3" w:rsidP="005624E3">
      <w:pPr>
        <w:ind w:left="850" w:hanging="850"/>
        <w:rPr>
          <w:noProof/>
        </w:rPr>
      </w:pPr>
    </w:p>
    <w:p w:rsidR="005624E3" w:rsidRPr="00C903F8" w:rsidRDefault="005624E3" w:rsidP="005624E3">
      <w:pPr>
        <w:spacing w:line="240" w:lineRule="atLeast"/>
        <w:rPr>
          <w:rFonts w:cs="Arial"/>
          <w:noProof/>
          <w:color w:val="000000"/>
        </w:rPr>
      </w:pPr>
      <w:r>
        <w:rPr>
          <w:noProof/>
          <w:color w:val="000000"/>
        </w:rPr>
        <w:t>1.3.</w:t>
      </w:r>
      <w:r>
        <w:tab/>
      </w:r>
      <w:r>
        <w:rPr>
          <w:noProof/>
          <w:color w:val="000000"/>
        </w:rPr>
        <w:t>Benyújtandó dokumentumok</w:t>
      </w:r>
    </w:p>
    <w:p w:rsidR="005624E3" w:rsidRPr="00C903F8" w:rsidRDefault="005624E3" w:rsidP="005624E3">
      <w:pPr>
        <w:ind w:left="851"/>
        <w:rPr>
          <w:noProof/>
        </w:rPr>
      </w:pPr>
    </w:p>
    <w:p w:rsidR="005624E3" w:rsidRPr="00C903F8" w:rsidRDefault="005624E3" w:rsidP="005624E3">
      <w:pPr>
        <w:spacing w:line="240" w:lineRule="atLeast"/>
        <w:ind w:left="426"/>
        <w:rPr>
          <w:noProof/>
        </w:rPr>
      </w:pPr>
      <w:r>
        <w:t xml:space="preserve">A vizsgálatot a 7. melléklet II. szakasza szerinti adatközlő lap alapján kell végrehajtani. </w:t>
      </w:r>
    </w:p>
    <w:p w:rsidR="005624E3" w:rsidRPr="00C903F8" w:rsidRDefault="005624E3" w:rsidP="005624E3">
      <w:pPr>
        <w:spacing w:line="240" w:lineRule="atLeast"/>
        <w:ind w:left="426"/>
        <w:rPr>
          <w:noProof/>
        </w:rPr>
      </w:pPr>
    </w:p>
    <w:p w:rsidR="005624E3" w:rsidRPr="00C903F8" w:rsidRDefault="005624E3" w:rsidP="005624E3">
      <w:pPr>
        <w:spacing w:line="240" w:lineRule="atLeast"/>
        <w:rPr>
          <w:rFonts w:cs="Arial"/>
          <w:noProof/>
          <w:color w:val="000000"/>
        </w:rPr>
      </w:pPr>
      <w:r>
        <w:rPr>
          <w:noProof/>
          <w:color w:val="000000"/>
        </w:rPr>
        <w:t>1,4</w:t>
      </w:r>
      <w:r>
        <w:tab/>
      </w:r>
      <w:r>
        <w:rPr>
          <w:noProof/>
          <w:color w:val="000000"/>
        </w:rPr>
        <w:t xml:space="preserve">A szennyvízkezelő művek méretezése </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A fedélzeti szennyvízkezelő műveket úgy kell méretezni és megtervezni, hogy a 18.01. cikk 2. bekezdésének 1. és 2. táblázataiban előírt határértékek a szennyvízkezelő művek üzeme során a kilépési oldalon mindenkor teljesüljenek.</w:t>
      </w:r>
    </w:p>
    <w:p w:rsidR="005624E3" w:rsidRPr="00C903F8" w:rsidRDefault="005624E3" w:rsidP="005624E3">
      <w:pPr>
        <w:spacing w:line="240" w:lineRule="atLeast"/>
        <w:ind w:left="426"/>
        <w:rPr>
          <w:noProof/>
        </w:rPr>
      </w:pPr>
    </w:p>
    <w:p w:rsidR="005624E3" w:rsidRPr="00C903F8" w:rsidRDefault="005624E3" w:rsidP="005624E3">
      <w:pPr>
        <w:spacing w:line="240" w:lineRule="atLeast"/>
        <w:rPr>
          <w:rFonts w:cs="Arial"/>
          <w:b/>
          <w:noProof/>
          <w:color w:val="000000"/>
        </w:rPr>
      </w:pPr>
      <w:r>
        <w:rPr>
          <w:b/>
          <w:noProof/>
          <w:color w:val="000000"/>
        </w:rPr>
        <w:t>2.</w:t>
      </w:r>
      <w:r>
        <w:tab/>
      </w:r>
      <w:r>
        <w:rPr>
          <w:b/>
          <w:noProof/>
          <w:color w:val="000000"/>
        </w:rPr>
        <w:t xml:space="preserve">Előkészítő mérések </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2.1.</w:t>
      </w:r>
      <w:r>
        <w:tab/>
      </w:r>
      <w:r>
        <w:rPr>
          <w:noProof/>
          <w:color w:val="000000"/>
        </w:rPr>
        <w:t>Általános szempontok</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ind w:left="426"/>
        <w:rPr>
          <w:noProof/>
        </w:rPr>
      </w:pPr>
      <w:r>
        <w:t>A vizsgálat megkezdése előtt a gyártó átadja a műszaki szolgálatnak a teszt-szennyvízkezelőmű műszaki és technológiai leírását, melynek tartalmaznia kell a 7. melléklet II. szakaszában meghatározott összes rajzot és háttérszámítást, továbbá rendelkezésre bocsátja a fedélzeti szennyvízkezelő mű rendszerbe állítására, üzemeltetésére és karbantartására vonatkozó valamennyi információt. A gyártó tájékoztatja a műszaki szolgálatot a megvizsgálandó fedélzeti szennyvízkezelő mű mechanikai, villamos és műszaki biztonságáról.</w:t>
      </w:r>
    </w:p>
    <w:p w:rsidR="005624E3" w:rsidRPr="00C903F8" w:rsidRDefault="005624E3" w:rsidP="005624E3">
      <w:pPr>
        <w:ind w:left="851"/>
        <w:rPr>
          <w:noProof/>
        </w:rPr>
      </w:pPr>
    </w:p>
    <w:p w:rsidR="005624E3" w:rsidRPr="00C903F8" w:rsidRDefault="005624E3" w:rsidP="005624E3">
      <w:pPr>
        <w:spacing w:line="240" w:lineRule="atLeast"/>
        <w:rPr>
          <w:rFonts w:cs="Arial"/>
          <w:noProof/>
          <w:color w:val="000000"/>
        </w:rPr>
      </w:pPr>
      <w:r>
        <w:rPr>
          <w:noProof/>
          <w:color w:val="000000"/>
        </w:rPr>
        <w:t>2.2.</w:t>
      </w:r>
      <w:r>
        <w:tab/>
      </w:r>
      <w:r>
        <w:rPr>
          <w:noProof/>
          <w:color w:val="000000"/>
        </w:rPr>
        <w:t>Rendszerbe állítás és üzembe helyezés</w:t>
      </w:r>
    </w:p>
    <w:p w:rsidR="005624E3" w:rsidRPr="00C903F8" w:rsidRDefault="005624E3" w:rsidP="005624E3">
      <w:pPr>
        <w:ind w:left="851"/>
        <w:rPr>
          <w:noProof/>
        </w:rPr>
      </w:pPr>
    </w:p>
    <w:p w:rsidR="005624E3" w:rsidRPr="00C903F8" w:rsidRDefault="005624E3" w:rsidP="005624E3">
      <w:pPr>
        <w:spacing w:line="240" w:lineRule="atLeast"/>
        <w:ind w:left="426"/>
        <w:rPr>
          <w:noProof/>
        </w:rPr>
      </w:pPr>
      <w:r>
        <w:t xml:space="preserve">E vizsgálat céljára a gyártó a teszt-szennyvízkezelőművet a személyhajókon várható rendszerbe állítási körülményeknek megfelelően állítja rendszerbe. A vizsgálat megkezdése előtt a gyártó összeszereli és üzembe helyezi a fedélzeti szennyvízkezelő művet. A beindítást a gyártó üzemeltetési utasításai szerint, a műszaki szolgálat ellenőrzése mellett kell végezni. </w:t>
      </w:r>
    </w:p>
    <w:p w:rsidR="005624E3" w:rsidRPr="00C903F8" w:rsidRDefault="005624E3" w:rsidP="005624E3">
      <w:pPr>
        <w:ind w:left="850" w:hanging="850"/>
        <w:rPr>
          <w:noProof/>
        </w:rPr>
      </w:pPr>
    </w:p>
    <w:p w:rsidR="005624E3" w:rsidRPr="00C903F8" w:rsidRDefault="005624E3" w:rsidP="005624E3">
      <w:pPr>
        <w:ind w:left="850" w:hanging="850"/>
        <w:rPr>
          <w:noProof/>
        </w:rPr>
      </w:pPr>
      <w:r>
        <w:br w:type="page"/>
      </w:r>
    </w:p>
    <w:p w:rsidR="005624E3" w:rsidRPr="00C903F8" w:rsidRDefault="005624E3" w:rsidP="005624E3">
      <w:pPr>
        <w:spacing w:line="240" w:lineRule="atLeast"/>
        <w:rPr>
          <w:rFonts w:cs="Arial"/>
          <w:noProof/>
          <w:color w:val="000000"/>
        </w:rPr>
      </w:pPr>
      <w:r>
        <w:rPr>
          <w:noProof/>
          <w:color w:val="000000"/>
        </w:rPr>
        <w:t>2.3.</w:t>
      </w:r>
      <w:r>
        <w:tab/>
      </w:r>
      <w:r>
        <w:rPr>
          <w:noProof/>
          <w:color w:val="000000"/>
        </w:rPr>
        <w:t>Bejáratás</w:t>
      </w:r>
    </w:p>
    <w:p w:rsidR="005624E3" w:rsidRPr="00C903F8" w:rsidRDefault="005624E3" w:rsidP="005624E3">
      <w:pPr>
        <w:ind w:left="851"/>
        <w:rPr>
          <w:noProof/>
        </w:rPr>
      </w:pPr>
    </w:p>
    <w:p w:rsidR="005624E3" w:rsidRPr="00C903F8" w:rsidRDefault="005624E3" w:rsidP="005624E3">
      <w:pPr>
        <w:spacing w:line="240" w:lineRule="atLeast"/>
        <w:ind w:left="426"/>
        <w:rPr>
          <w:noProof/>
        </w:rPr>
      </w:pPr>
      <w:r>
        <w:t>A gyártó megadja a műszaki szolgálatnak a rendes üzem megkezdése előtti bejáratási fázis névleges időtartamát (hetekben). A gyártó megadja azt a pontot, amikor a bejáratás befejezettnek tekinthető, és megkezdődhet a vizsgálat.</w:t>
      </w:r>
    </w:p>
    <w:p w:rsidR="005624E3" w:rsidRPr="00C903F8" w:rsidRDefault="005624E3" w:rsidP="005624E3">
      <w:pPr>
        <w:ind w:left="850" w:hanging="850"/>
        <w:rPr>
          <w:noProof/>
        </w:rPr>
      </w:pPr>
    </w:p>
    <w:p w:rsidR="005624E3" w:rsidRPr="00C903F8" w:rsidRDefault="005624E3" w:rsidP="005624E3">
      <w:pPr>
        <w:spacing w:line="240" w:lineRule="atLeast"/>
        <w:rPr>
          <w:rFonts w:cs="Arial"/>
          <w:noProof/>
          <w:color w:val="000000"/>
        </w:rPr>
      </w:pPr>
      <w:r>
        <w:rPr>
          <w:noProof/>
          <w:color w:val="000000"/>
        </w:rPr>
        <w:t>2.4.</w:t>
      </w:r>
      <w:r>
        <w:tab/>
      </w:r>
      <w:r>
        <w:rPr>
          <w:noProof/>
          <w:color w:val="000000"/>
        </w:rPr>
        <w:t>A belépő szennyvíz jellemzői</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 xml:space="preserve">A teszt-szennyvízkezelőművet nyers lakossági szennyvíz segítségével kell vizsgálni. A belépő szennyvíz jellemzőit, azaz szennyezéskoncentrációit a fedélzeti szennyvízkezelő műnek a 7. melléklet II. szakasza szerinti gyártói méretezési dokumentációja alapján, a szerves anyagok térfogatáramát kifejező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xml:space="preserve">-terhelés [kg/nap] és a szennyvíz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w:r>
        <w:t xml:space="preserve"> tervezési térfogatárama [m³/nap] hányadosaként kell meghatározni. A felügyeleti szerv a szennyvízjellemzőket ennek megfelelően állítja be.</w:t>
      </w:r>
    </w:p>
    <w:p w:rsidR="005624E3" w:rsidRPr="00C903F8" w:rsidRDefault="005624E3" w:rsidP="005624E3">
      <w:pPr>
        <w:ind w:left="851"/>
        <w:rPr>
          <w:noProof/>
        </w:rPr>
      </w:pPr>
    </w:p>
    <w:p w:rsidR="005624E3" w:rsidRPr="00C903F8" w:rsidRDefault="005624E3" w:rsidP="005624E3">
      <w:pPr>
        <w:spacing w:line="240" w:lineRule="atLeast"/>
        <w:ind w:left="426"/>
        <w:rPr>
          <w:noProof/>
        </w:rPr>
      </w:pPr>
      <w:r>
        <w:t>1. képlet – A szennyvízjellemzők számítása</w:t>
      </w:r>
    </w:p>
    <w:p w:rsidR="005624E3" w:rsidRPr="00C903F8" w:rsidRDefault="005624E3" w:rsidP="005624E3">
      <w:pPr>
        <w:spacing w:line="240" w:lineRule="atLeast"/>
        <w:ind w:left="426"/>
        <w:rPr>
          <w:noProof/>
        </w:rPr>
      </w:pPr>
    </w:p>
    <w:p w:rsidR="005624E3" w:rsidRPr="00C903F8" w:rsidRDefault="003142CA" w:rsidP="005624E3">
      <w:pPr>
        <w:spacing w:line="240" w:lineRule="atLeast"/>
        <w:ind w:left="426"/>
        <w:rPr>
          <w:noProof/>
        </w:rPr>
      </w:pPr>
      <m:oMathPara>
        <m:oMath>
          <m:sSub>
            <m:sSubPr>
              <m:ctrlPr>
                <w:rPr>
                  <w:rFonts w:ascii="Cambria Math" w:hAnsi="Cambria Math"/>
                  <w:i/>
                  <w:noProof/>
                </w:rPr>
              </m:ctrlPr>
            </m:sSubPr>
            <m:e>
              <m:r>
                <w:rPr>
                  <w:rFonts w:ascii="Cambria Math" w:hAnsi="Cambria Math"/>
                  <w:noProof/>
                </w:rPr>
                <m:t>C</m:t>
              </m:r>
            </m:e>
            <m:sub>
              <m:r>
                <w:rPr>
                  <w:rFonts w:ascii="Cambria Math" w:hAnsi="Cambria Math"/>
                  <w:noProof/>
                </w:rPr>
                <m:t>BOD5,mean</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num>
            <m:den>
              <m:sSub>
                <m:sSubPr>
                  <m:ctrlPr>
                    <w:rPr>
                      <w:rFonts w:ascii="Cambria Math" w:hAnsi="Cambria Math"/>
                      <w:i/>
                      <w:noProof/>
                    </w:rPr>
                  </m:ctrlPr>
                </m:sSubPr>
                <m:e>
                  <m:r>
                    <w:rPr>
                      <w:rFonts w:ascii="Cambria Math" w:hAnsi="Cambria Math"/>
                      <w:noProof/>
                    </w:rPr>
                    <m:t>Q</m:t>
                  </m:r>
                </m:e>
                <m:sub>
                  <m:r>
                    <w:rPr>
                      <w:rFonts w:ascii="Cambria Math" w:hAnsi="Cambria Math"/>
                      <w:noProof/>
                    </w:rPr>
                    <m:t>d</m:t>
                  </m:r>
                </m:sub>
              </m:sSub>
            </m:den>
          </m:f>
          <m:r>
            <w:rPr>
              <w:rFonts w:ascii="Cambria Math" w:hAnsi="Cambria Math"/>
              <w:noProof/>
            </w:rPr>
            <m:t xml:space="preserve"> </m:t>
          </m:r>
          <m:d>
            <m:dPr>
              <m:begChr m:val="["/>
              <m:endChr m:val="]"/>
              <m:ctrlPr>
                <w:rPr>
                  <w:rFonts w:ascii="Cambria Math" w:hAnsi="Cambria Math"/>
                  <w:i/>
                  <w:noProof/>
                </w:rPr>
              </m:ctrlPr>
            </m:dPr>
            <m:e>
              <m:f>
                <m:fPr>
                  <m:ctrlPr>
                    <w:rPr>
                      <w:rFonts w:ascii="Cambria Math" w:hAnsi="Cambria Math"/>
                      <w:i/>
                      <w:noProof/>
                    </w:rPr>
                  </m:ctrlPr>
                </m:fPr>
                <m:num>
                  <m:r>
                    <w:rPr>
                      <w:rFonts w:ascii="Cambria Math" w:hAnsi="Cambria Math"/>
                      <w:noProof/>
                    </w:rPr>
                    <m:t>kg/d</m:t>
                  </m:r>
                </m:num>
                <m:den>
                  <m:sSup>
                    <m:sSupPr>
                      <m:ctrlPr>
                        <w:rPr>
                          <w:rFonts w:ascii="Cambria Math" w:hAnsi="Cambria Math"/>
                          <w:i/>
                          <w:noProof/>
                        </w:rPr>
                      </m:ctrlPr>
                    </m:sSupPr>
                    <m:e>
                      <m:r>
                        <w:rPr>
                          <w:rFonts w:ascii="Cambria Math" w:hAnsi="Cambria Math"/>
                          <w:noProof/>
                        </w:rPr>
                        <m:t>m</m:t>
                      </m:r>
                    </m:e>
                    <m:sup>
                      <m:r>
                        <w:rPr>
                          <w:rFonts w:ascii="Cambria Math" w:hAnsi="Cambria Math"/>
                          <w:noProof/>
                        </w:rPr>
                        <m:t>3</m:t>
                      </m:r>
                    </m:sup>
                  </m:sSup>
                  <m:r>
                    <w:rPr>
                      <w:rFonts w:ascii="Cambria Math" w:hAnsi="Cambria Math"/>
                      <w:noProof/>
                    </w:rPr>
                    <m:t>/d</m:t>
                  </m:r>
                </m:den>
              </m:f>
            </m:e>
          </m:d>
        </m:oMath>
      </m:oMathPara>
    </w:p>
    <w:p w:rsidR="005624E3" w:rsidRPr="00C903F8" w:rsidRDefault="005624E3" w:rsidP="005624E3">
      <w:pPr>
        <w:spacing w:line="240" w:lineRule="atLeast"/>
        <w:ind w:left="426"/>
        <w:rPr>
          <w:noProof/>
        </w:rPr>
      </w:pPr>
    </w:p>
    <w:p w:rsidR="005624E3" w:rsidRPr="00C903F8" w:rsidRDefault="005624E3" w:rsidP="005624E3">
      <w:pPr>
        <w:spacing w:line="240" w:lineRule="atLeast"/>
        <w:ind w:firstLine="1"/>
        <w:rPr>
          <w:noProof/>
        </w:rPr>
      </w:pPr>
      <w:r>
        <w:t xml:space="preserve">Ha az 1. képlet szerinti számítás eredménye </w:t>
      </w:r>
      <m:oMath>
        <m:sSub>
          <m:sSubPr>
            <m:ctrlPr>
              <w:rPr>
                <w:rFonts w:ascii="Cambria Math" w:hAnsi="Cambria Math" w:cs="Arial"/>
                <w:i/>
                <w:color w:val="000000"/>
              </w:rPr>
            </m:ctrlPr>
          </m:sSubPr>
          <m:e>
            <m:r>
              <w:rPr>
                <w:rFonts w:ascii="Cambria Math" w:hAnsi="Cambria Math" w:cs="Arial"/>
                <w:color w:val="000000"/>
              </w:rPr>
              <m:t>C</m:t>
            </m:r>
          </m:e>
          <m:sub>
            <m:sSub>
              <m:sSubPr>
                <m:ctrlPr>
                  <w:rPr>
                    <w:rFonts w:ascii="Cambria Math" w:hAnsi="Cambria Math" w:cs="Arial"/>
                    <w:i/>
                    <w:color w:val="000000"/>
                  </w:rPr>
                </m:ctrlPr>
              </m:sSubPr>
              <m:e>
                <m:r>
                  <w:rPr>
                    <w:rFonts w:ascii="Cambria Math" w:hAnsi="Cambria Math" w:cs="Arial"/>
                    <w:color w:val="000000"/>
                  </w:rPr>
                  <m:t>BOD</m:t>
                </m:r>
              </m:e>
              <m:sub>
                <m:r>
                  <w:rPr>
                    <w:rFonts w:ascii="Cambria Math" w:hAnsi="Cambria Math" w:cs="Arial"/>
                    <w:color w:val="000000"/>
                  </w:rPr>
                  <m:t>5, mean</m:t>
                </m:r>
              </m:sub>
            </m:sSub>
          </m:sub>
        </m:sSub>
        <m:r>
          <w:rPr>
            <w:rFonts w:ascii="Cambria Math" w:hAnsi="Cambria Math" w:cs="Arial"/>
            <w:color w:val="000000"/>
          </w:rPr>
          <m:t>=500 mg/l</m:t>
        </m:r>
      </m:oMath>
      <w:r>
        <w:t xml:space="preserve">-nél kisebb átlagos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xml:space="preserve">-koncentráció, a belépő szennyvíz tekintetében legalább 500 mg/l értékű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xml:space="preserve"> átlagos koncentrációt kell beállítani.</w:t>
      </w:r>
    </w:p>
    <w:p w:rsidR="005624E3" w:rsidRDefault="005624E3" w:rsidP="005624E3">
      <w:pPr>
        <w:spacing w:line="240" w:lineRule="atLeast"/>
        <w:ind w:left="426"/>
        <w:rPr>
          <w:noProof/>
        </w:rPr>
      </w:pPr>
      <w:r>
        <w:t xml:space="preserve">A műszaki szolgálat a belépő nyers szennyvizet nem vetheti alá mechanikai aprításnak. A homoktalanítás (például szűréssel) megengedhető. </w:t>
      </w:r>
    </w:p>
    <w:p w:rsidR="005624E3" w:rsidRPr="00C903F8" w:rsidRDefault="005624E3" w:rsidP="005624E3">
      <w:pPr>
        <w:spacing w:line="240" w:lineRule="atLeast"/>
        <w:ind w:left="426"/>
        <w:rPr>
          <w:noProof/>
        </w:rPr>
      </w:pPr>
    </w:p>
    <w:p w:rsidR="005624E3" w:rsidRPr="00C903F8" w:rsidRDefault="005624E3" w:rsidP="005624E3">
      <w:pPr>
        <w:spacing w:line="240" w:lineRule="atLeast"/>
        <w:rPr>
          <w:rFonts w:cs="Arial"/>
          <w:b/>
          <w:color w:val="000000"/>
        </w:rPr>
      </w:pPr>
      <w:r>
        <w:rPr>
          <w:b/>
          <w:color w:val="000000"/>
        </w:rPr>
        <w:t>3.</w:t>
      </w:r>
      <w:r>
        <w:tab/>
      </w:r>
      <w:r>
        <w:rPr>
          <w:b/>
          <w:color w:val="000000"/>
        </w:rPr>
        <w:t>Vizsgálati eljárás</w:t>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rPr>
          <w:rFonts w:cs="Arial"/>
          <w:color w:val="000000"/>
        </w:rPr>
      </w:pPr>
      <w:r>
        <w:rPr>
          <w:color w:val="000000"/>
        </w:rPr>
        <w:t>3.1.</w:t>
      </w:r>
      <w:r>
        <w:tab/>
      </w:r>
      <w:r>
        <w:rPr>
          <w:color w:val="000000"/>
        </w:rPr>
        <w:t>Terhelési szakaszok és hidraulikai adagolás</w:t>
      </w:r>
    </w:p>
    <w:p w:rsidR="005624E3" w:rsidRPr="00C903F8" w:rsidRDefault="005624E3" w:rsidP="005624E3">
      <w:pPr>
        <w:spacing w:line="240" w:lineRule="atLeast"/>
        <w:rPr>
          <w:rFonts w:cs="Arial"/>
          <w:color w:val="000000"/>
        </w:rPr>
      </w:pPr>
    </w:p>
    <w:p w:rsidR="005624E3" w:rsidRPr="00C903F8" w:rsidRDefault="005624E3" w:rsidP="005624E3">
      <w:pPr>
        <w:spacing w:line="240" w:lineRule="atLeast"/>
        <w:ind w:left="426"/>
        <w:rPr>
          <w:noProof/>
        </w:rPr>
      </w:pPr>
      <w:r>
        <w:t>A vizsgálati eljárás 30 vizsgálati napot foglal magában. A teszt-szennyvízkezelőműbe a vizsgálat keretei között az 1. táblázat szerinti terhelésnek megfelelően kell lakossági szennyvizet adagolni. Különböző terhelési viszonyokat kell vizsgálni: a vizsgálati programnak a szokásos terhelés mellett ki kell terjednie speciális terhelési viszonyokra, azaz a túlterhelés, a részleges terhelés és a készenléti üzem szakaszaira is. Az egyes terhelési szakaszok időtartamát (a vizsgálati napok számát) az 1. táblázat tartalmazza. Az egyes terhelési szakaszokon belül az átlagos napi hidraulikai terhelést az 1. táblázatnak megfelelően kell beállítani. A 2.4. pontnak megfelelően alkalmazott átlagos szennyezéskoncentrációt állandó értéken kell tartani.</w:t>
      </w:r>
    </w:p>
    <w:p w:rsidR="005624E3" w:rsidRPr="00C903F8" w:rsidRDefault="005624E3" w:rsidP="005624E3">
      <w:pPr>
        <w:spacing w:line="240" w:lineRule="atLeast"/>
        <w:rPr>
          <w:rFonts w:cs="Arial"/>
          <w:color w:val="000000"/>
        </w:rPr>
      </w:pPr>
    </w:p>
    <w:p w:rsidR="005624E3" w:rsidRPr="00C903F8" w:rsidRDefault="005624E3" w:rsidP="005624E3">
      <w:pPr>
        <w:tabs>
          <w:tab w:val="left" w:pos="1276"/>
        </w:tabs>
        <w:spacing w:line="240" w:lineRule="atLeast"/>
        <w:ind w:left="426"/>
      </w:pPr>
      <w:r>
        <w:t>1. táblázat:</w:t>
      </w:r>
      <w:r>
        <w:tab/>
        <w:t>A terhelés értéke az egyes terhelési szakaszokban</w:t>
      </w:r>
    </w:p>
    <w:p w:rsidR="005624E3" w:rsidRPr="00C903F8" w:rsidRDefault="005624E3" w:rsidP="005624E3">
      <w:pPr>
        <w:tabs>
          <w:tab w:val="left" w:pos="1418"/>
        </w:tabs>
        <w:suppressAutoHyphens/>
        <w:spacing w:line="240" w:lineRule="atLeast"/>
        <w:ind w:left="709" w:hanging="709"/>
        <w:rPr>
          <w:rFonts w:cs="Arial"/>
          <w:szCs w:val="20"/>
        </w:rPr>
      </w:pPr>
    </w:p>
    <w:tbl>
      <w:tblPr>
        <w:tblW w:w="0" w:type="auto"/>
        <w:jc w:val="center"/>
        <w:tblLayout w:type="fixed"/>
        <w:tblLook w:val="0000" w:firstRow="0" w:lastRow="0" w:firstColumn="0" w:lastColumn="0" w:noHBand="0" w:noVBand="0"/>
      </w:tblPr>
      <w:tblGrid>
        <w:gridCol w:w="1418"/>
        <w:gridCol w:w="1134"/>
        <w:gridCol w:w="2268"/>
        <w:gridCol w:w="3345"/>
      </w:tblGrid>
      <w:tr w:rsidR="005624E3" w:rsidRPr="00C903F8" w:rsidTr="00101A80">
        <w:trPr>
          <w:jc w:val="center"/>
        </w:trPr>
        <w:tc>
          <w:tcPr>
            <w:tcW w:w="1418" w:type="dxa"/>
            <w:tcBorders>
              <w:top w:val="single" w:sz="4" w:space="0" w:color="000000"/>
              <w:left w:val="single" w:sz="4" w:space="0" w:color="000000"/>
              <w:bottom w:val="single" w:sz="4" w:space="0" w:color="000000"/>
            </w:tcBorders>
            <w:shd w:val="clear" w:color="auto" w:fill="auto"/>
          </w:tcPr>
          <w:p w:rsidR="005624E3" w:rsidRPr="00C903F8" w:rsidRDefault="005624E3" w:rsidP="00101A80">
            <w:pPr>
              <w:spacing w:before="60" w:after="60" w:line="240" w:lineRule="atLeast"/>
              <w:jc w:val="center"/>
              <w:rPr>
                <w:sz w:val="18"/>
                <w:szCs w:val="18"/>
              </w:rPr>
            </w:pPr>
            <w:r>
              <w:rPr>
                <w:sz w:val="18"/>
              </w:rPr>
              <w:t>Terhelési szakasz</w:t>
            </w:r>
          </w:p>
        </w:tc>
        <w:tc>
          <w:tcPr>
            <w:tcW w:w="1134" w:type="dxa"/>
            <w:tcBorders>
              <w:top w:val="single" w:sz="4" w:space="0" w:color="000000"/>
              <w:left w:val="single" w:sz="4" w:space="0" w:color="000000"/>
              <w:bottom w:val="single" w:sz="4" w:space="0" w:color="000000"/>
            </w:tcBorders>
          </w:tcPr>
          <w:p w:rsidR="005624E3" w:rsidRPr="00C903F8" w:rsidRDefault="005624E3" w:rsidP="00101A80">
            <w:pPr>
              <w:spacing w:before="60" w:after="60" w:line="240" w:lineRule="atLeast"/>
              <w:jc w:val="center"/>
              <w:rPr>
                <w:sz w:val="18"/>
                <w:szCs w:val="18"/>
              </w:rPr>
            </w:pPr>
            <w:r>
              <w:rPr>
                <w:sz w:val="18"/>
              </w:rPr>
              <w:t>Vizsgálati napok száma</w:t>
            </w:r>
          </w:p>
        </w:tc>
        <w:tc>
          <w:tcPr>
            <w:tcW w:w="2268" w:type="dxa"/>
            <w:tcBorders>
              <w:top w:val="single" w:sz="4" w:space="0" w:color="000000"/>
              <w:left w:val="single" w:sz="4" w:space="0" w:color="000000"/>
              <w:bottom w:val="single" w:sz="4" w:space="0" w:color="000000"/>
            </w:tcBorders>
          </w:tcPr>
          <w:p w:rsidR="005624E3" w:rsidRPr="00C903F8" w:rsidRDefault="005624E3" w:rsidP="00101A80">
            <w:pPr>
              <w:spacing w:before="60" w:after="60" w:line="240" w:lineRule="atLeast"/>
              <w:jc w:val="center"/>
              <w:rPr>
                <w:sz w:val="18"/>
                <w:szCs w:val="18"/>
              </w:rPr>
            </w:pPr>
            <w:r>
              <w:rPr>
                <w:sz w:val="18"/>
              </w:rPr>
              <w:t>Napi hidraulikai terhelés</w:t>
            </w:r>
          </w:p>
        </w:tc>
        <w:tc>
          <w:tcPr>
            <w:tcW w:w="3345" w:type="dxa"/>
            <w:tcBorders>
              <w:top w:val="single" w:sz="4" w:space="0" w:color="000000"/>
              <w:left w:val="single" w:sz="4" w:space="0" w:color="000000"/>
              <w:bottom w:val="single" w:sz="4" w:space="0" w:color="000000"/>
              <w:right w:val="single" w:sz="4" w:space="0" w:color="000000"/>
            </w:tcBorders>
          </w:tcPr>
          <w:p w:rsidR="005624E3" w:rsidRPr="00C903F8" w:rsidRDefault="005624E3" w:rsidP="00101A80">
            <w:pPr>
              <w:spacing w:before="60" w:after="60" w:line="240" w:lineRule="atLeast"/>
              <w:jc w:val="center"/>
              <w:rPr>
                <w:sz w:val="18"/>
                <w:szCs w:val="18"/>
              </w:rPr>
            </w:pPr>
            <w:r>
              <w:rPr>
                <w:sz w:val="18"/>
              </w:rPr>
              <w:t>Szennyezéskoncentráció</w:t>
            </w:r>
          </w:p>
        </w:tc>
      </w:tr>
      <w:tr w:rsidR="005624E3" w:rsidRPr="00842442" w:rsidTr="00101A80">
        <w:trPr>
          <w:jc w:val="center"/>
        </w:trPr>
        <w:tc>
          <w:tcPr>
            <w:tcW w:w="1418" w:type="dxa"/>
            <w:tcBorders>
              <w:top w:val="single" w:sz="4" w:space="0" w:color="000000"/>
              <w:left w:val="single" w:sz="4" w:space="0" w:color="000000"/>
              <w:bottom w:val="single" w:sz="4" w:space="0" w:color="000000"/>
            </w:tcBorders>
          </w:tcPr>
          <w:p w:rsidR="005624E3" w:rsidRPr="00C903F8" w:rsidRDefault="005624E3" w:rsidP="00101A80">
            <w:pPr>
              <w:spacing w:before="60" w:after="60" w:line="240" w:lineRule="atLeast"/>
              <w:rPr>
                <w:sz w:val="18"/>
                <w:szCs w:val="18"/>
              </w:rPr>
            </w:pPr>
            <w:r>
              <w:rPr>
                <w:sz w:val="18"/>
              </w:rPr>
              <w:t>Szokásos terhelés</w:t>
            </w:r>
          </w:p>
        </w:tc>
        <w:tc>
          <w:tcPr>
            <w:tcW w:w="1134" w:type="dxa"/>
            <w:tcBorders>
              <w:top w:val="single" w:sz="4" w:space="0" w:color="000000"/>
              <w:left w:val="single" w:sz="4" w:space="0" w:color="000000"/>
              <w:bottom w:val="single" w:sz="4" w:space="0" w:color="000000"/>
            </w:tcBorders>
          </w:tcPr>
          <w:p w:rsidR="005624E3" w:rsidRPr="00C903F8" w:rsidRDefault="005624E3" w:rsidP="00101A80">
            <w:pPr>
              <w:spacing w:before="60" w:after="60" w:line="240" w:lineRule="atLeast"/>
              <w:rPr>
                <w:sz w:val="18"/>
                <w:szCs w:val="18"/>
              </w:rPr>
            </w:pPr>
            <w:r>
              <w:rPr>
                <w:sz w:val="18"/>
              </w:rPr>
              <w:t>20 nap</w:t>
            </w:r>
          </w:p>
        </w:tc>
        <w:tc>
          <w:tcPr>
            <w:tcW w:w="2268" w:type="dxa"/>
            <w:tcBorders>
              <w:top w:val="single" w:sz="4" w:space="0" w:color="000000"/>
              <w:left w:val="single" w:sz="4" w:space="0" w:color="000000"/>
              <w:bottom w:val="single" w:sz="4" w:space="0" w:color="000000"/>
            </w:tcBorders>
          </w:tcPr>
          <w:p w:rsidR="005624E3" w:rsidRPr="00C903F8" w:rsidRDefault="003142CA" w:rsidP="00101A80">
            <w:pPr>
              <w:spacing w:before="60" w:after="60" w:line="240" w:lineRule="atLeast"/>
              <w:rPr>
                <w:sz w:val="18"/>
                <w:szCs w:val="18"/>
              </w:rPr>
            </w:pPr>
            <m:oMathPara>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shd w:val="clear" w:color="auto" w:fill="auto"/>
          </w:tcPr>
          <w:p w:rsidR="005624E3" w:rsidRPr="00D50F76" w:rsidRDefault="003142CA" w:rsidP="00101A80">
            <w:pPr>
              <w:spacing w:before="60" w:after="60" w:line="240" w:lineRule="atLeast"/>
              <w:rPr>
                <w:sz w:val="18"/>
                <w:szCs w:val="18"/>
                <w:lang w:val="pl-PL"/>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lang w:val="pl-PL"/>
                        </w:rPr>
                        <m:t>5</m:t>
                      </m:r>
                    </m:sub>
                  </m:sSub>
                </m:sub>
              </m:sSub>
            </m:oMath>
            <w:r w:rsidR="005624E3" w:rsidRPr="00D50F76">
              <w:rPr>
                <w:sz w:val="18"/>
                <w:lang w:val="pl-PL"/>
              </w:rPr>
              <w:t xml:space="preserve"> a 2.4. pontnak megfelelően</w:t>
            </w:r>
          </w:p>
        </w:tc>
      </w:tr>
      <w:tr w:rsidR="005624E3" w:rsidRPr="00842442" w:rsidTr="00101A80">
        <w:trPr>
          <w:jc w:val="center"/>
        </w:trPr>
        <w:tc>
          <w:tcPr>
            <w:tcW w:w="1418" w:type="dxa"/>
            <w:tcBorders>
              <w:top w:val="single" w:sz="4" w:space="0" w:color="000000"/>
              <w:left w:val="single" w:sz="4" w:space="0" w:color="000000"/>
              <w:bottom w:val="single" w:sz="4" w:space="0" w:color="000000"/>
            </w:tcBorders>
          </w:tcPr>
          <w:p w:rsidR="005624E3" w:rsidRPr="00C903F8" w:rsidRDefault="005624E3" w:rsidP="00101A80">
            <w:pPr>
              <w:spacing w:before="60" w:after="60" w:line="240" w:lineRule="atLeast"/>
              <w:rPr>
                <w:sz w:val="18"/>
                <w:szCs w:val="18"/>
              </w:rPr>
            </w:pPr>
            <w:r>
              <w:rPr>
                <w:sz w:val="18"/>
              </w:rPr>
              <w:t>Túlterhelés</w:t>
            </w:r>
          </w:p>
        </w:tc>
        <w:tc>
          <w:tcPr>
            <w:tcW w:w="1134" w:type="dxa"/>
            <w:tcBorders>
              <w:top w:val="single" w:sz="4" w:space="0" w:color="000000"/>
              <w:left w:val="single" w:sz="4" w:space="0" w:color="000000"/>
              <w:bottom w:val="single" w:sz="4" w:space="0" w:color="000000"/>
            </w:tcBorders>
          </w:tcPr>
          <w:p w:rsidR="005624E3" w:rsidRPr="00C903F8" w:rsidRDefault="005624E3" w:rsidP="00101A80">
            <w:pPr>
              <w:spacing w:before="60" w:after="60" w:line="240" w:lineRule="atLeast"/>
              <w:rPr>
                <w:sz w:val="18"/>
                <w:szCs w:val="18"/>
              </w:rPr>
            </w:pPr>
            <w:r>
              <w:rPr>
                <w:sz w:val="18"/>
              </w:rPr>
              <w:t>3 nap</w:t>
            </w:r>
          </w:p>
        </w:tc>
        <w:tc>
          <w:tcPr>
            <w:tcW w:w="2268" w:type="dxa"/>
            <w:tcBorders>
              <w:top w:val="single" w:sz="4" w:space="0" w:color="000000"/>
              <w:left w:val="single" w:sz="4" w:space="0" w:color="000000"/>
              <w:bottom w:val="single" w:sz="4" w:space="0" w:color="000000"/>
            </w:tcBorders>
          </w:tcPr>
          <w:p w:rsidR="005624E3" w:rsidRPr="00C903F8" w:rsidRDefault="003142CA" w:rsidP="00101A80">
            <w:pPr>
              <w:spacing w:before="60" w:after="60" w:line="240" w:lineRule="atLeast"/>
              <w:rPr>
                <w:sz w:val="18"/>
                <w:szCs w:val="18"/>
              </w:rPr>
            </w:pPr>
            <m:oMathPara>
              <m:oMath>
                <m:sSub>
                  <m:sSubPr>
                    <m:ctrlPr>
                      <w:rPr>
                        <w:rFonts w:ascii="Cambria Math" w:hAnsi="Cambria Math"/>
                        <w:i/>
                        <w:sz w:val="18"/>
                        <w:szCs w:val="18"/>
                      </w:rPr>
                    </m:ctrlPr>
                  </m:sSubPr>
                  <m:e>
                    <m:r>
                      <w:rPr>
                        <w:rFonts w:ascii="Cambria Math" w:hAnsi="Cambria Math"/>
                        <w:sz w:val="18"/>
                        <w:szCs w:val="18"/>
                      </w:rPr>
                      <m:t>1,25 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5624E3" w:rsidRPr="00D50F76" w:rsidRDefault="003142CA" w:rsidP="00101A80">
            <w:pPr>
              <w:spacing w:before="60" w:after="60" w:line="240" w:lineRule="atLeast"/>
              <w:rPr>
                <w:sz w:val="18"/>
                <w:szCs w:val="18"/>
                <w:lang w:val="pl-PL"/>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lang w:val="pl-PL"/>
                        </w:rPr>
                        <m:t>5</m:t>
                      </m:r>
                    </m:sub>
                  </m:sSub>
                </m:sub>
              </m:sSub>
            </m:oMath>
            <w:r w:rsidR="005624E3" w:rsidRPr="00D50F76">
              <w:rPr>
                <w:sz w:val="18"/>
                <w:lang w:val="pl-PL"/>
              </w:rPr>
              <w:t xml:space="preserve"> a 2.4. pontnak megfelelően</w:t>
            </w:r>
          </w:p>
        </w:tc>
      </w:tr>
      <w:tr w:rsidR="005624E3" w:rsidRPr="00842442" w:rsidTr="00101A80">
        <w:trPr>
          <w:jc w:val="center"/>
        </w:trPr>
        <w:tc>
          <w:tcPr>
            <w:tcW w:w="1418" w:type="dxa"/>
            <w:tcBorders>
              <w:top w:val="single" w:sz="4" w:space="0" w:color="000000"/>
              <w:left w:val="single" w:sz="4" w:space="0" w:color="000000"/>
              <w:bottom w:val="single" w:sz="4" w:space="0" w:color="000000"/>
            </w:tcBorders>
          </w:tcPr>
          <w:p w:rsidR="005624E3" w:rsidRPr="00C903F8" w:rsidRDefault="005624E3" w:rsidP="00101A80">
            <w:pPr>
              <w:spacing w:before="60" w:after="60" w:line="240" w:lineRule="atLeast"/>
              <w:rPr>
                <w:sz w:val="18"/>
                <w:szCs w:val="18"/>
              </w:rPr>
            </w:pPr>
            <w:r>
              <w:rPr>
                <w:sz w:val="18"/>
              </w:rPr>
              <w:t>Részleges terhelés</w:t>
            </w:r>
          </w:p>
        </w:tc>
        <w:tc>
          <w:tcPr>
            <w:tcW w:w="1134" w:type="dxa"/>
            <w:tcBorders>
              <w:top w:val="single" w:sz="4" w:space="0" w:color="000000"/>
              <w:left w:val="single" w:sz="4" w:space="0" w:color="000000"/>
              <w:bottom w:val="single" w:sz="4" w:space="0" w:color="000000"/>
            </w:tcBorders>
          </w:tcPr>
          <w:p w:rsidR="005624E3" w:rsidRPr="00C903F8" w:rsidRDefault="005624E3" w:rsidP="00101A80">
            <w:pPr>
              <w:spacing w:before="60" w:after="60" w:line="240" w:lineRule="atLeast"/>
              <w:rPr>
                <w:sz w:val="18"/>
                <w:szCs w:val="18"/>
              </w:rPr>
            </w:pPr>
            <w:r>
              <w:rPr>
                <w:sz w:val="18"/>
              </w:rPr>
              <w:t>3 nap</w:t>
            </w:r>
          </w:p>
        </w:tc>
        <w:tc>
          <w:tcPr>
            <w:tcW w:w="2268" w:type="dxa"/>
            <w:tcBorders>
              <w:top w:val="single" w:sz="4" w:space="0" w:color="000000"/>
              <w:left w:val="single" w:sz="4" w:space="0" w:color="000000"/>
              <w:bottom w:val="single" w:sz="4" w:space="0" w:color="000000"/>
            </w:tcBorders>
          </w:tcPr>
          <w:p w:rsidR="005624E3" w:rsidRPr="00C903F8" w:rsidRDefault="003142CA" w:rsidP="00101A80">
            <w:pPr>
              <w:spacing w:before="60" w:after="60" w:line="240" w:lineRule="atLeast"/>
              <w:rPr>
                <w:sz w:val="18"/>
                <w:szCs w:val="18"/>
              </w:rPr>
            </w:pPr>
            <m:oMathPara>
              <m:oMath>
                <m:sSub>
                  <m:sSubPr>
                    <m:ctrlPr>
                      <w:rPr>
                        <w:rFonts w:ascii="Cambria Math" w:hAnsi="Cambria Math"/>
                        <w:i/>
                        <w:sz w:val="18"/>
                        <w:szCs w:val="18"/>
                      </w:rPr>
                    </m:ctrlPr>
                  </m:sSubPr>
                  <m:e>
                    <m:r>
                      <w:rPr>
                        <w:rFonts w:ascii="Cambria Math" w:hAnsi="Cambria Math"/>
                        <w:sz w:val="18"/>
                        <w:szCs w:val="18"/>
                      </w:rPr>
                      <m:t>0,5 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5624E3" w:rsidRPr="00D50F76" w:rsidRDefault="003142CA" w:rsidP="00101A80">
            <w:pPr>
              <w:spacing w:before="60" w:after="60" w:line="240" w:lineRule="atLeast"/>
              <w:rPr>
                <w:sz w:val="18"/>
                <w:szCs w:val="18"/>
                <w:lang w:val="pl-PL"/>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lang w:val="pl-PL"/>
                        </w:rPr>
                        <m:t>5</m:t>
                      </m:r>
                    </m:sub>
                  </m:sSub>
                </m:sub>
              </m:sSub>
            </m:oMath>
            <w:r w:rsidR="005624E3" w:rsidRPr="00D50F76">
              <w:rPr>
                <w:sz w:val="18"/>
                <w:lang w:val="pl-PL"/>
              </w:rPr>
              <w:t xml:space="preserve"> a 2.4. pontnak megfelelően</w:t>
            </w:r>
          </w:p>
        </w:tc>
      </w:tr>
      <w:tr w:rsidR="005624E3" w:rsidRPr="00842442" w:rsidTr="00101A80">
        <w:trPr>
          <w:jc w:val="center"/>
        </w:trPr>
        <w:tc>
          <w:tcPr>
            <w:tcW w:w="1418" w:type="dxa"/>
            <w:tcBorders>
              <w:top w:val="single" w:sz="4" w:space="0" w:color="000000"/>
              <w:left w:val="single" w:sz="4" w:space="0" w:color="000000"/>
              <w:bottom w:val="single" w:sz="4" w:space="0" w:color="000000"/>
            </w:tcBorders>
          </w:tcPr>
          <w:p w:rsidR="005624E3" w:rsidRPr="00C903F8" w:rsidRDefault="005624E3" w:rsidP="00101A80">
            <w:pPr>
              <w:spacing w:before="60" w:after="60" w:line="240" w:lineRule="atLeast"/>
              <w:rPr>
                <w:sz w:val="18"/>
                <w:szCs w:val="18"/>
              </w:rPr>
            </w:pPr>
            <w:r>
              <w:rPr>
                <w:sz w:val="18"/>
              </w:rPr>
              <w:t>Készenléti üzem</w:t>
            </w:r>
          </w:p>
        </w:tc>
        <w:tc>
          <w:tcPr>
            <w:tcW w:w="1134" w:type="dxa"/>
            <w:tcBorders>
              <w:top w:val="single" w:sz="4" w:space="0" w:color="000000"/>
              <w:left w:val="single" w:sz="4" w:space="0" w:color="000000"/>
              <w:bottom w:val="single" w:sz="4" w:space="0" w:color="000000"/>
            </w:tcBorders>
          </w:tcPr>
          <w:p w:rsidR="005624E3" w:rsidRPr="00C903F8" w:rsidRDefault="005624E3" w:rsidP="00101A80">
            <w:pPr>
              <w:spacing w:before="60" w:after="60" w:line="240" w:lineRule="atLeast"/>
              <w:rPr>
                <w:sz w:val="18"/>
                <w:szCs w:val="18"/>
              </w:rPr>
            </w:pPr>
            <w:r>
              <w:rPr>
                <w:sz w:val="18"/>
              </w:rPr>
              <w:t>4 nap</w:t>
            </w:r>
          </w:p>
        </w:tc>
        <w:tc>
          <w:tcPr>
            <w:tcW w:w="2268" w:type="dxa"/>
            <w:tcBorders>
              <w:top w:val="single" w:sz="4" w:space="0" w:color="000000"/>
              <w:left w:val="single" w:sz="4" w:space="0" w:color="000000"/>
              <w:bottom w:val="single" w:sz="4" w:space="0" w:color="000000"/>
            </w:tcBorders>
          </w:tcPr>
          <w:p w:rsidR="005624E3" w:rsidRPr="00D50F76" w:rsidRDefault="005624E3" w:rsidP="00101A80">
            <w:pPr>
              <w:spacing w:before="60" w:after="60" w:line="240" w:lineRule="atLeast"/>
              <w:rPr>
                <w:sz w:val="18"/>
                <w:szCs w:val="18"/>
                <w:lang w:val="es-ES"/>
              </w:rPr>
            </w:pPr>
            <w:r w:rsidRPr="00D50F76">
              <w:rPr>
                <w:sz w:val="18"/>
                <w:lang w:val="es-ES"/>
              </w:rPr>
              <w:t xml:space="preserve">1. és 2. nap: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r>
                <w:rPr>
                  <w:rFonts w:ascii="Cambria Math" w:hAnsi="Cambria Math"/>
                  <w:sz w:val="18"/>
                  <w:szCs w:val="18"/>
                  <w:lang w:val="es-ES"/>
                </w:rPr>
                <m:t>=0</m:t>
              </m:r>
            </m:oMath>
            <w:r w:rsidRPr="00D50F76">
              <w:rPr>
                <w:sz w:val="18"/>
                <w:szCs w:val="18"/>
                <w:lang w:val="es-ES"/>
              </w:rPr>
              <w:br/>
            </w:r>
            <w:r w:rsidRPr="00D50F76">
              <w:rPr>
                <w:sz w:val="18"/>
                <w:lang w:val="es-ES"/>
              </w:rPr>
              <w:t xml:space="preserve">3. és 4. nap: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w:p>
        </w:tc>
        <w:tc>
          <w:tcPr>
            <w:tcW w:w="3345" w:type="dxa"/>
            <w:tcBorders>
              <w:top w:val="single" w:sz="4" w:space="0" w:color="000000"/>
              <w:left w:val="single" w:sz="4" w:space="0" w:color="000000"/>
              <w:bottom w:val="single" w:sz="4" w:space="0" w:color="000000"/>
              <w:right w:val="single" w:sz="4" w:space="0" w:color="000000"/>
            </w:tcBorders>
          </w:tcPr>
          <w:p w:rsidR="005624E3" w:rsidRPr="00D50F76" w:rsidRDefault="003142CA" w:rsidP="00101A80">
            <w:pPr>
              <w:spacing w:before="60" w:after="60" w:line="240" w:lineRule="atLeast"/>
              <w:rPr>
                <w:sz w:val="18"/>
                <w:szCs w:val="18"/>
                <w:lang w:val="pl-PL"/>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lang w:val="pl-PL"/>
                        </w:rPr>
                        <m:t>5</m:t>
                      </m:r>
                    </m:sub>
                  </m:sSub>
                </m:sub>
              </m:sSub>
            </m:oMath>
            <w:r w:rsidR="005624E3" w:rsidRPr="00D50F76">
              <w:rPr>
                <w:sz w:val="18"/>
                <w:lang w:val="pl-PL"/>
              </w:rPr>
              <w:t xml:space="preserve"> a 2.4. pontnak megfelelően</w:t>
            </w:r>
          </w:p>
        </w:tc>
      </w:tr>
    </w:tbl>
    <w:p w:rsidR="005624E3" w:rsidRPr="00D50F76" w:rsidRDefault="005624E3" w:rsidP="005624E3">
      <w:pPr>
        <w:spacing w:line="240" w:lineRule="atLeast"/>
        <w:ind w:left="426"/>
        <w:rPr>
          <w:noProof/>
          <w:lang w:val="pl-PL"/>
        </w:rPr>
      </w:pPr>
    </w:p>
    <w:p w:rsidR="005624E3" w:rsidRPr="00D50F76" w:rsidRDefault="005624E3" w:rsidP="005624E3">
      <w:pPr>
        <w:spacing w:line="240" w:lineRule="atLeast"/>
        <w:ind w:left="426"/>
        <w:rPr>
          <w:noProof/>
          <w:lang w:val="pl-PL"/>
        </w:rPr>
      </w:pPr>
      <w:r w:rsidRPr="00D50F76">
        <w:rPr>
          <w:lang w:val="pl-PL"/>
        </w:rPr>
        <w:br w:type="page"/>
      </w:r>
    </w:p>
    <w:p w:rsidR="005624E3" w:rsidRPr="00D50F76" w:rsidRDefault="005624E3" w:rsidP="005624E3">
      <w:pPr>
        <w:spacing w:line="240" w:lineRule="atLeast"/>
        <w:ind w:left="426"/>
        <w:rPr>
          <w:noProof/>
          <w:lang w:val="pl-PL"/>
        </w:rPr>
      </w:pPr>
      <w:r w:rsidRPr="00D50F76">
        <w:rPr>
          <w:lang w:val="pl-PL"/>
        </w:rPr>
        <w:t xml:space="preserve">A speciális terhelési szakaszokat (túlterhelés, részleges terhelés, készenléti üzem) egymás után, megszakítás nélkül kell alkalmazni, míg a szokásos terhelés több részszakaszra bontható. A vizsgálat első öt napjában és utolsó öt napjában szokásos terhelést kell alkalmazni. </w:t>
      </w:r>
    </w:p>
    <w:p w:rsidR="005624E3" w:rsidRPr="00D50F76" w:rsidRDefault="005624E3" w:rsidP="005624E3">
      <w:pPr>
        <w:spacing w:line="240" w:lineRule="atLeast"/>
        <w:ind w:left="426"/>
        <w:rPr>
          <w:noProof/>
          <w:lang w:val="pl-PL"/>
        </w:rPr>
      </w:pPr>
    </w:p>
    <w:p w:rsidR="005624E3" w:rsidRPr="00D50F76" w:rsidRDefault="005624E3" w:rsidP="005624E3">
      <w:pPr>
        <w:spacing w:line="240" w:lineRule="atLeast"/>
        <w:ind w:left="426"/>
        <w:rPr>
          <w:noProof/>
          <w:lang w:val="pl-PL"/>
        </w:rPr>
      </w:pPr>
      <w:r w:rsidRPr="00D50F76">
        <w:rPr>
          <w:lang w:val="pl-PL"/>
        </w:rPr>
        <w:t xml:space="preserve">A napi adagolási görbéket a fedélzeti szennyvízkezelő mű leírásában megadott üzemi viszonyoknak megfelelően kell megválasztani. A napi adagolási görbéket a fedélzeti szennyvízkezelő mű üzemeltetési elveinek megfelelően kell felvenni. Különbséget kell tenni aközött, hogy a fedélzeti szennyvízkezelő mű üzemeltetése befolyó oldali szennyvízgyűjtő tartállyal vagy anélkül történik-e. A napi adagolási görbéket az 1. és a 2. ábra szemlélteti. </w:t>
      </w:r>
    </w:p>
    <w:p w:rsidR="005624E3" w:rsidRPr="00D50F76" w:rsidRDefault="005624E3" w:rsidP="005624E3">
      <w:pPr>
        <w:spacing w:line="240" w:lineRule="atLeast"/>
        <w:ind w:left="426"/>
        <w:rPr>
          <w:noProof/>
          <w:lang w:val="pl-PL"/>
        </w:rPr>
      </w:pPr>
    </w:p>
    <w:p w:rsidR="005624E3" w:rsidRPr="00D50F76" w:rsidRDefault="005624E3" w:rsidP="005624E3">
      <w:pPr>
        <w:spacing w:line="240" w:lineRule="atLeast"/>
        <w:ind w:left="426"/>
        <w:rPr>
          <w:noProof/>
          <w:lang w:val="pl-PL"/>
        </w:rPr>
      </w:pPr>
      <w:r w:rsidRPr="00D50F76">
        <w:rPr>
          <w:lang w:val="pl-PL"/>
        </w:rPr>
        <w:t xml:space="preserve">A belépő térfogatáramot a vizsgálat teljes időtartama alatt állandó értéken kell tartani. Az óránként átlagosan adagolandó </w:t>
      </w:r>
      <m:oMath>
        <m:sSub>
          <m:sSubPr>
            <m:ctrlPr>
              <w:rPr>
                <w:rFonts w:ascii="Cambria Math" w:hAnsi="Cambria Math"/>
                <w:i/>
                <w:noProof/>
              </w:rPr>
            </m:ctrlPr>
          </m:sSubPr>
          <m:e>
            <m:r>
              <w:rPr>
                <w:rFonts w:ascii="Cambria Math" w:hAnsi="Cambria Math"/>
                <w:noProof/>
              </w:rPr>
              <m:t>Q</m:t>
            </m:r>
          </m:e>
          <m:sub>
            <m:r>
              <w:rPr>
                <w:rFonts w:ascii="Cambria Math" w:hAnsi="Cambria Math"/>
                <w:noProof/>
                <w:lang w:val="pl-PL"/>
              </w:rPr>
              <m:t xml:space="preserve">h, </m:t>
            </m:r>
            <m:r>
              <w:rPr>
                <w:rFonts w:ascii="Cambria Math" w:hAnsi="Cambria Math"/>
                <w:noProof/>
              </w:rPr>
              <m:t>mean</m:t>
            </m:r>
          </m:sub>
        </m:sSub>
      </m:oMath>
      <w:r w:rsidRPr="00D50F76">
        <w:rPr>
          <w:lang w:val="pl-PL"/>
        </w:rPr>
        <w:t xml:space="preserve"> szennyvízmennyiség az 1. táblázat szerinti napi hidraulikai terhelés 1/24-</w:t>
      </w:r>
      <w:r w:rsidR="005D5D40">
        <w:rPr>
          <w:lang w:val="pl-PL"/>
        </w:rPr>
        <w:t>ede</w:t>
      </w:r>
      <w:r w:rsidRPr="00D50F76">
        <w:rPr>
          <w:lang w:val="pl-PL"/>
        </w:rPr>
        <w:t>. A belépő térfogatáramot a műszaki szolgálatnak folyamatosan mérnie kell. A napi adagolási görbéktől legfeljebb ±5 %-kal szabad eltérni.</w:t>
      </w:r>
    </w:p>
    <w:p w:rsidR="005624E3" w:rsidRPr="00D50F76" w:rsidRDefault="005624E3" w:rsidP="005624E3">
      <w:pPr>
        <w:spacing w:line="240" w:lineRule="atLeast"/>
        <w:ind w:left="426"/>
        <w:rPr>
          <w:noProof/>
          <w:lang w:val="pl-PL"/>
        </w:rPr>
      </w:pPr>
    </w:p>
    <w:p w:rsidR="005624E3" w:rsidRPr="00D50F76" w:rsidRDefault="005624E3" w:rsidP="005624E3">
      <w:pPr>
        <w:spacing w:line="240" w:lineRule="atLeast"/>
        <w:ind w:left="426"/>
        <w:rPr>
          <w:noProof/>
          <w:lang w:val="pl-PL"/>
        </w:rPr>
      </w:pPr>
    </w:p>
    <w:p w:rsidR="005624E3" w:rsidRDefault="005624E3" w:rsidP="005624E3">
      <w:pPr>
        <w:spacing w:line="240" w:lineRule="atLeast"/>
        <w:ind w:left="426"/>
        <w:jc w:val="center"/>
        <w:rPr>
          <w:noProof/>
        </w:rPr>
      </w:pPr>
      <w:r>
        <w:rPr>
          <w:noProof/>
        </w:rPr>
        <w:drawing>
          <wp:inline distT="0" distB="0" distL="0" distR="0" wp14:anchorId="3DB50DB1" wp14:editId="65DB05CE">
            <wp:extent cx="5358384" cy="3267456"/>
            <wp:effectExtent l="0" t="0" r="0" b="9525"/>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1en_p369..jpg"/>
                    <pic:cNvPicPr/>
                  </pic:nvPicPr>
                  <pic:blipFill>
                    <a:blip r:embed="rId98">
                      <a:extLst>
                        <a:ext uri="{28A0092B-C50C-407E-A947-70E740481C1C}">
                          <a14:useLocalDpi xmlns:a14="http://schemas.microsoft.com/office/drawing/2010/main" val="0"/>
                        </a:ext>
                      </a:extLst>
                    </a:blip>
                    <a:stretch>
                      <a:fillRect/>
                    </a:stretch>
                  </pic:blipFill>
                  <pic:spPr>
                    <a:xfrm>
                      <a:off x="0" y="0"/>
                      <a:ext cx="5358384" cy="3267456"/>
                    </a:xfrm>
                    <a:prstGeom prst="rect">
                      <a:avLst/>
                    </a:prstGeom>
                  </pic:spPr>
                </pic:pic>
              </a:graphicData>
            </a:graphic>
          </wp:inline>
        </w:drawing>
      </w:r>
    </w:p>
    <w:p w:rsidR="005624E3" w:rsidRPr="00C903F8" w:rsidRDefault="005624E3" w:rsidP="005624E3">
      <w:pPr>
        <w:spacing w:line="240" w:lineRule="atLeast"/>
        <w:ind w:left="426"/>
        <w:rPr>
          <w:noProof/>
        </w:rPr>
      </w:pPr>
    </w:p>
    <w:p w:rsidR="005624E3" w:rsidRPr="00C903F8" w:rsidRDefault="005624E3" w:rsidP="005624E3">
      <w:pPr>
        <w:ind w:left="1985" w:hanging="1276"/>
        <w:rPr>
          <w:i/>
          <w:noProof/>
          <w:szCs w:val="20"/>
        </w:rPr>
      </w:pPr>
      <w:r>
        <w:rPr>
          <w:i/>
          <w:noProof/>
          <w:szCs w:val="20"/>
        </w:rPr>
        <w:fldChar w:fldCharType="begin"/>
      </w:r>
      <w:r>
        <w:rPr>
          <w:i/>
          <w:noProof/>
          <w:szCs w:val="20"/>
        </w:rPr>
        <w:instrText xml:space="preserve"> SEQ Abbildung \* ARABIC </w:instrText>
      </w:r>
      <w:r>
        <w:rPr>
          <w:i/>
          <w:noProof/>
          <w:szCs w:val="20"/>
        </w:rPr>
        <w:fldChar w:fldCharType="separate"/>
      </w:r>
      <w:r>
        <w:rPr>
          <w:i/>
          <w:noProof/>
          <w:szCs w:val="20"/>
        </w:rPr>
        <w:t>1</w:t>
      </w:r>
      <w:r>
        <w:rPr>
          <w:i/>
          <w:noProof/>
          <w:szCs w:val="20"/>
        </w:rPr>
        <w:fldChar w:fldCharType="end"/>
      </w:r>
      <w:r>
        <w:rPr>
          <w:i/>
          <w:noProof/>
        </w:rPr>
        <w:t>. ábra:</w:t>
      </w:r>
      <w:r>
        <w:tab/>
      </w:r>
      <w:r>
        <w:rPr>
          <w:i/>
          <w:noProof/>
        </w:rPr>
        <w:t>Napi adagolási görbe befolyó oldali szennyvízgyűjtő tartállyal együtt alkalmazott fedélzeti szennyvízkezelő művekhez</w:t>
      </w:r>
    </w:p>
    <w:p w:rsidR="005624E3" w:rsidRPr="00C903F8" w:rsidRDefault="005624E3" w:rsidP="005624E3">
      <w:pPr>
        <w:rPr>
          <w:noProof/>
        </w:rPr>
      </w:pPr>
    </w:p>
    <w:p w:rsidR="005624E3" w:rsidRPr="00C903F8" w:rsidRDefault="005624E3" w:rsidP="005624E3">
      <w:pPr>
        <w:rPr>
          <w:noProof/>
        </w:rPr>
      </w:pPr>
    </w:p>
    <w:p w:rsidR="005624E3" w:rsidRPr="00C903F8" w:rsidRDefault="005624E3" w:rsidP="005624E3">
      <w:pPr>
        <w:suppressAutoHyphens/>
        <w:spacing w:line="240" w:lineRule="atLeast"/>
        <w:rPr>
          <w:rFonts w:cs="Arial"/>
        </w:rPr>
      </w:pPr>
      <w:r>
        <w:br w:type="page"/>
      </w:r>
    </w:p>
    <w:p w:rsidR="005624E3" w:rsidRPr="00C903F8" w:rsidRDefault="005624E3" w:rsidP="005624E3">
      <w:pPr>
        <w:suppressAutoHyphens/>
        <w:spacing w:line="240" w:lineRule="atLeast"/>
        <w:rPr>
          <w:rFonts w:cs="Arial"/>
        </w:rPr>
      </w:pPr>
    </w:p>
    <w:p w:rsidR="005624E3" w:rsidRPr="00C903F8" w:rsidRDefault="005624E3" w:rsidP="005624E3">
      <w:pPr>
        <w:spacing w:line="240" w:lineRule="atLeast"/>
        <w:rPr>
          <w:rFonts w:cs="Arial"/>
          <w:noProof/>
          <w:color w:val="000000"/>
        </w:rPr>
      </w:pPr>
      <w:r>
        <w:rPr>
          <w:rFonts w:cs="Arial"/>
          <w:noProof/>
          <w:color w:val="000000"/>
        </w:rPr>
        <w:drawing>
          <wp:inline distT="0" distB="0" distL="0" distR="0" wp14:anchorId="1E7AAD1E" wp14:editId="63502659">
            <wp:extent cx="5358384" cy="2950464"/>
            <wp:effectExtent l="0" t="0" r="0" b="2540"/>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2en_p369..jpg"/>
                    <pic:cNvPicPr/>
                  </pic:nvPicPr>
                  <pic:blipFill>
                    <a:blip r:embed="rId99">
                      <a:extLst>
                        <a:ext uri="{28A0092B-C50C-407E-A947-70E740481C1C}">
                          <a14:useLocalDpi xmlns:a14="http://schemas.microsoft.com/office/drawing/2010/main" val="0"/>
                        </a:ext>
                      </a:extLst>
                    </a:blip>
                    <a:stretch>
                      <a:fillRect/>
                    </a:stretch>
                  </pic:blipFill>
                  <pic:spPr>
                    <a:xfrm>
                      <a:off x="0" y="0"/>
                      <a:ext cx="5358384" cy="2950464"/>
                    </a:xfrm>
                    <a:prstGeom prst="rect">
                      <a:avLst/>
                    </a:prstGeom>
                  </pic:spPr>
                </pic:pic>
              </a:graphicData>
            </a:graphic>
          </wp:inline>
        </w:drawing>
      </w:r>
    </w:p>
    <w:p w:rsidR="005624E3" w:rsidRDefault="005624E3" w:rsidP="005624E3">
      <w:pPr>
        <w:ind w:left="1985" w:hanging="1276"/>
        <w:rPr>
          <w:i/>
          <w:noProof/>
          <w:szCs w:val="20"/>
        </w:rPr>
      </w:pPr>
    </w:p>
    <w:p w:rsidR="005624E3" w:rsidRPr="00C903F8" w:rsidRDefault="005624E3" w:rsidP="005624E3">
      <w:pPr>
        <w:ind w:left="1985" w:hanging="1276"/>
        <w:rPr>
          <w:i/>
          <w:noProof/>
          <w:szCs w:val="20"/>
        </w:rPr>
      </w:pPr>
      <w:r>
        <w:rPr>
          <w:i/>
          <w:noProof/>
          <w:szCs w:val="20"/>
        </w:rPr>
        <w:fldChar w:fldCharType="begin"/>
      </w:r>
      <w:r>
        <w:rPr>
          <w:i/>
          <w:noProof/>
          <w:szCs w:val="20"/>
        </w:rPr>
        <w:instrText xml:space="preserve"> SEQ Abbildung \* ARABIC </w:instrText>
      </w:r>
      <w:r>
        <w:rPr>
          <w:i/>
          <w:noProof/>
          <w:szCs w:val="20"/>
        </w:rPr>
        <w:fldChar w:fldCharType="separate"/>
      </w:r>
      <w:r>
        <w:rPr>
          <w:i/>
          <w:noProof/>
          <w:szCs w:val="20"/>
        </w:rPr>
        <w:t>2</w:t>
      </w:r>
      <w:r>
        <w:rPr>
          <w:i/>
          <w:noProof/>
          <w:szCs w:val="20"/>
        </w:rPr>
        <w:fldChar w:fldCharType="end"/>
      </w:r>
      <w:r>
        <w:rPr>
          <w:i/>
          <w:noProof/>
        </w:rPr>
        <w:t>. ábra:</w:t>
      </w:r>
      <w:r>
        <w:tab/>
      </w:r>
      <w:r>
        <w:rPr>
          <w:i/>
          <w:noProof/>
        </w:rPr>
        <w:t>Napi adagolási görbe befolyó oldali szennyvízgyűjtő tartály nélkül alkalmazott fedélzeti szennyvízkezelő művekhez</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3.2.</w:t>
      </w:r>
      <w:r>
        <w:tab/>
      </w:r>
      <w:r>
        <w:rPr>
          <w:noProof/>
          <w:color w:val="000000"/>
        </w:rPr>
        <w:t>A vizsgálat megszakítása, leállítása</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A vizsgálatot szükséges lehet megszakítani, ha áramellátási zavar vagy valamely részegységének rendellenes működése miatt a teszt-szennyvízkezelőmű nem üzemeltethető megfelelő módon. Ilyenkor a vizsgálat a hiba kijavításának időtartamára szakítható meg. Nem kell megismételni a vizsgálatot teljes egészében, csak azt a terhelési szakaszt, amelyben a részegység rendellenes működése elkezdődött.</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Ha a vizsgálatot másodszor is meg kell szakítani, a műszaki szolgálat eldönti, hogy folytatható-e a vizsgálat, vagy azt le kell állítani. A döntést a vizsgálati jegyzőkönyvben indokolni és dokumentálni kell. Leállítás esetén a vizsgálatot később teljes egészében meg kell ismételni.</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3.3.</w:t>
      </w:r>
      <w:r>
        <w:tab/>
      </w:r>
      <w:r>
        <w:rPr>
          <w:noProof/>
          <w:color w:val="000000"/>
        </w:rPr>
        <w:t xml:space="preserve">A tisztítási hatékonyság és a kilépési határértékeknek való megfelelés vizsgálata </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 xml:space="preserve">A műszaki szolgálat mintákat vesz a teszt-szennyvízkezelőműbe belépő szennyvízből, és azok alapján értékeli a belépő szennyvíz jellemzőinek (szennyezéskoncentrációinak) megfelelőségét. A teszt-szennyvízkezelőműből kilépő anyagból szintén kell mintákat venni, és ennek alapján meg kell határozni a tisztítási hatékonyságot, továbbá meg kell állapítani, hogy a kilépő anyag teljesíti-e a vonatkozó határértékeket. A mintavételezés keretében egyrészt szúrópróbaszerű mintákat, másrészt 24 órás egyesített mintákat kell venni. A 24 órás egyesített mintákat vagy időarányos, vagy térfogatáram-arányos mintavétellel kell előállítani. A 24 órás egyesített minta típusáról az ellenőrző szerv rendelkezik. A belépő és a kilépő anyagból egyszerre, azonos módon kell mintát venni. </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br w:type="page"/>
      </w:r>
    </w:p>
    <w:p w:rsidR="005624E3" w:rsidRPr="00C903F8" w:rsidRDefault="005624E3" w:rsidP="005624E3">
      <w:pPr>
        <w:spacing w:line="240" w:lineRule="atLeast"/>
        <w:ind w:left="426"/>
        <w:rPr>
          <w:noProof/>
        </w:rPr>
      </w:pPr>
      <w:r>
        <w:t xml:space="preserve">A vizsgálat tárgyát képező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COD és TOC</w:t>
      </w:r>
      <w:r>
        <w:rPr>
          <w:vertAlign w:val="superscript"/>
        </w:rPr>
        <w:t>(</w:t>
      </w:r>
      <w:r>
        <w:rPr>
          <w:vertAlign w:val="superscript"/>
        </w:rPr>
        <w:footnoteReference w:id="76"/>
      </w:r>
      <w:r>
        <w:rPr>
          <w:vertAlign w:val="superscript"/>
        </w:rPr>
        <w:t>)</w:t>
      </w:r>
      <w:r>
        <w:t xml:space="preserve"> paraméterek mellett a környezet és a vizsgálati feltételek leírásához és ismertetéséhez a belépő és a kilépő anyag következő jellemzőit is meg kell mérni:</w:t>
      </w:r>
    </w:p>
    <w:p w:rsidR="005624E3" w:rsidRPr="00C903F8" w:rsidRDefault="005624E3" w:rsidP="005624E3">
      <w:pPr>
        <w:spacing w:before="60" w:line="240" w:lineRule="atLeast"/>
        <w:ind w:left="851"/>
        <w:rPr>
          <w:rFonts w:cs="Arial"/>
          <w:noProof/>
        </w:rPr>
      </w:pPr>
      <w:r>
        <w:t>a)</w:t>
      </w:r>
      <w:r>
        <w:tab/>
        <w:t>szűréssel eltávolítható szilárd anyag mennyisége (SRF);</w:t>
      </w:r>
    </w:p>
    <w:p w:rsidR="005624E3" w:rsidRPr="00C903F8" w:rsidRDefault="005624E3" w:rsidP="005624E3">
      <w:pPr>
        <w:spacing w:before="60" w:line="240" w:lineRule="atLeast"/>
        <w:ind w:left="851"/>
        <w:rPr>
          <w:rFonts w:cs="Arial"/>
          <w:noProof/>
        </w:rPr>
      </w:pPr>
      <w:r>
        <w:t>b)</w:t>
      </w:r>
      <w:r>
        <w:tab/>
        <w:t>pH;</w:t>
      </w:r>
    </w:p>
    <w:p w:rsidR="005624E3" w:rsidRPr="00C903F8" w:rsidRDefault="005624E3" w:rsidP="005624E3">
      <w:pPr>
        <w:spacing w:before="60" w:line="240" w:lineRule="atLeast"/>
        <w:ind w:left="851"/>
        <w:rPr>
          <w:rFonts w:cs="Arial"/>
          <w:noProof/>
        </w:rPr>
      </w:pPr>
      <w:r>
        <w:t>c)</w:t>
      </w:r>
      <w:r>
        <w:tab/>
        <w:t>vezetőképesség;</w:t>
      </w:r>
    </w:p>
    <w:p w:rsidR="005624E3" w:rsidRPr="00C903F8" w:rsidRDefault="005624E3" w:rsidP="005624E3">
      <w:pPr>
        <w:spacing w:before="60" w:line="240" w:lineRule="atLeast"/>
        <w:ind w:left="851"/>
        <w:rPr>
          <w:rFonts w:cs="Arial"/>
          <w:noProof/>
        </w:rPr>
      </w:pPr>
      <w:r>
        <w:t>d)</w:t>
      </w:r>
      <w:r>
        <w:tab/>
        <w:t xml:space="preserve">folyékony fázisok hőmérséklete. </w:t>
      </w:r>
    </w:p>
    <w:p w:rsidR="005624E3" w:rsidRPr="00C903F8" w:rsidRDefault="005624E3" w:rsidP="005624E3">
      <w:pPr>
        <w:spacing w:before="60" w:line="240" w:lineRule="atLeast"/>
        <w:ind w:left="851"/>
        <w:rPr>
          <w:rFonts w:cs="Arial"/>
          <w:noProof/>
        </w:rPr>
      </w:pPr>
    </w:p>
    <w:p w:rsidR="005624E3" w:rsidRPr="00C903F8" w:rsidRDefault="005624E3" w:rsidP="005624E3">
      <w:pPr>
        <w:spacing w:line="240" w:lineRule="atLeast"/>
        <w:ind w:left="426"/>
        <w:rPr>
          <w:noProof/>
        </w:rPr>
      </w:pPr>
      <w:r>
        <w:t xml:space="preserve">Az egyes terhelési szakaszokban eltérő számú vizsgálatot kell végezni, melyek számát a 2. táblázat határozza meg. A mintavételek száma a teszt-szennyvízkezelőműbe belépő, illetve az onnan kilépő anyagra vonatkozik. </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1560" w:hanging="851"/>
        <w:rPr>
          <w:rFonts w:cs="Arial"/>
          <w:noProof/>
          <w:color w:val="000000"/>
        </w:rPr>
      </w:pPr>
      <w:r>
        <w:rPr>
          <w:noProof/>
          <w:color w:val="000000"/>
        </w:rPr>
        <w:t>2. táblázat:</w:t>
      </w:r>
      <w:r>
        <w:tab/>
      </w:r>
      <w:r>
        <w:rPr>
          <w:noProof/>
          <w:color w:val="000000"/>
        </w:rPr>
        <w:t xml:space="preserve">A teszt-szennyvízkezelőműbe belépő, illetve az onnan kilépő anyagból veendő minták száma és a mintavételek időpontja </w:t>
      </w:r>
    </w:p>
    <w:p w:rsidR="005624E3" w:rsidRPr="00C903F8" w:rsidRDefault="005624E3" w:rsidP="005624E3">
      <w:pPr>
        <w:spacing w:line="240" w:lineRule="atLeast"/>
        <w:ind w:left="2127" w:hanging="1418"/>
        <w:rPr>
          <w:rFonts w:cs="Arial"/>
          <w:noProof/>
          <w:color w:val="000000"/>
        </w:rPr>
      </w:pPr>
    </w:p>
    <w:tbl>
      <w:tblPr>
        <w:tblW w:w="8363"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7"/>
        <w:gridCol w:w="1092"/>
        <w:gridCol w:w="2472"/>
        <w:gridCol w:w="3402"/>
      </w:tblGrid>
      <w:tr w:rsidR="005624E3" w:rsidRPr="00A0619C" w:rsidTr="00101A80">
        <w:tc>
          <w:tcPr>
            <w:tcW w:w="1397" w:type="dxa"/>
          </w:tcPr>
          <w:p w:rsidR="005624E3" w:rsidRPr="00C903F8" w:rsidRDefault="005624E3" w:rsidP="00101A80">
            <w:pPr>
              <w:spacing w:before="60" w:after="60" w:line="240" w:lineRule="atLeast"/>
              <w:rPr>
                <w:noProof/>
                <w:sz w:val="18"/>
                <w:szCs w:val="20"/>
              </w:rPr>
            </w:pPr>
            <w:r>
              <w:rPr>
                <w:noProof/>
                <w:sz w:val="18"/>
              </w:rPr>
              <w:t>Terhelési szakasz</w:t>
            </w:r>
          </w:p>
        </w:tc>
        <w:tc>
          <w:tcPr>
            <w:tcW w:w="1092" w:type="dxa"/>
          </w:tcPr>
          <w:p w:rsidR="005624E3" w:rsidRPr="00C903F8" w:rsidRDefault="005624E3" w:rsidP="00101A80">
            <w:pPr>
              <w:spacing w:before="60" w:after="60" w:line="240" w:lineRule="atLeast"/>
              <w:rPr>
                <w:noProof/>
                <w:sz w:val="18"/>
                <w:szCs w:val="20"/>
              </w:rPr>
            </w:pPr>
            <w:r>
              <w:rPr>
                <w:noProof/>
                <w:sz w:val="18"/>
              </w:rPr>
              <w:t>Vizsgálati napok száma</w:t>
            </w:r>
          </w:p>
        </w:tc>
        <w:tc>
          <w:tcPr>
            <w:tcW w:w="2472" w:type="dxa"/>
          </w:tcPr>
          <w:p w:rsidR="005624E3" w:rsidRPr="00C903F8" w:rsidRDefault="005624E3" w:rsidP="00101A80">
            <w:pPr>
              <w:spacing w:before="60" w:after="60" w:line="240" w:lineRule="atLeast"/>
              <w:rPr>
                <w:noProof/>
                <w:sz w:val="18"/>
                <w:szCs w:val="20"/>
              </w:rPr>
            </w:pPr>
            <w:r>
              <w:rPr>
                <w:noProof/>
                <w:sz w:val="18"/>
              </w:rPr>
              <w:t>Mintavételek száma</w:t>
            </w:r>
          </w:p>
        </w:tc>
        <w:tc>
          <w:tcPr>
            <w:tcW w:w="3402" w:type="dxa"/>
          </w:tcPr>
          <w:p w:rsidR="005624E3" w:rsidRPr="00C903F8" w:rsidRDefault="005624E3" w:rsidP="00101A80">
            <w:pPr>
              <w:spacing w:before="60" w:after="60" w:line="240" w:lineRule="atLeast"/>
              <w:rPr>
                <w:noProof/>
                <w:sz w:val="18"/>
                <w:szCs w:val="20"/>
              </w:rPr>
            </w:pPr>
            <w:r>
              <w:rPr>
                <w:noProof/>
                <w:sz w:val="18"/>
              </w:rPr>
              <w:t>A mintavételek időpontja</w:t>
            </w:r>
          </w:p>
        </w:tc>
      </w:tr>
      <w:tr w:rsidR="005624E3" w:rsidRPr="00A0619C" w:rsidTr="00101A80">
        <w:tc>
          <w:tcPr>
            <w:tcW w:w="1397" w:type="dxa"/>
          </w:tcPr>
          <w:p w:rsidR="005624E3" w:rsidRPr="00C903F8" w:rsidRDefault="005624E3" w:rsidP="00101A80">
            <w:pPr>
              <w:spacing w:before="60" w:after="60" w:line="240" w:lineRule="atLeast"/>
              <w:rPr>
                <w:noProof/>
                <w:sz w:val="18"/>
                <w:szCs w:val="20"/>
              </w:rPr>
            </w:pPr>
            <w:r>
              <w:rPr>
                <w:noProof/>
                <w:sz w:val="18"/>
              </w:rPr>
              <w:t>Szokásos terhelés</w:t>
            </w:r>
          </w:p>
        </w:tc>
        <w:tc>
          <w:tcPr>
            <w:tcW w:w="1092" w:type="dxa"/>
          </w:tcPr>
          <w:p w:rsidR="005624E3" w:rsidRPr="00C903F8" w:rsidRDefault="005624E3" w:rsidP="00101A80">
            <w:pPr>
              <w:spacing w:before="60" w:after="60" w:line="240" w:lineRule="atLeast"/>
              <w:rPr>
                <w:noProof/>
                <w:sz w:val="18"/>
                <w:szCs w:val="20"/>
              </w:rPr>
            </w:pPr>
            <w:r>
              <w:rPr>
                <w:noProof/>
                <w:sz w:val="18"/>
              </w:rPr>
              <w:t>20 nap</w:t>
            </w:r>
          </w:p>
        </w:tc>
        <w:tc>
          <w:tcPr>
            <w:tcW w:w="2472" w:type="dxa"/>
          </w:tcPr>
          <w:p w:rsidR="005624E3" w:rsidRPr="00C903F8" w:rsidRDefault="005624E3" w:rsidP="00101A80">
            <w:pPr>
              <w:tabs>
                <w:tab w:val="left" w:pos="2081"/>
              </w:tabs>
              <w:spacing w:before="60" w:after="60" w:line="240" w:lineRule="atLeast"/>
              <w:rPr>
                <w:noProof/>
                <w:sz w:val="18"/>
                <w:szCs w:val="20"/>
              </w:rPr>
            </w:pPr>
            <w:r>
              <w:rPr>
                <w:noProof/>
                <w:sz w:val="18"/>
              </w:rPr>
              <w:t xml:space="preserve">24 órás egyesített minták: </w:t>
            </w:r>
            <w:r>
              <w:tab/>
            </w:r>
            <w:r>
              <w:rPr>
                <w:noProof/>
                <w:sz w:val="18"/>
              </w:rPr>
              <w:t>8</w:t>
            </w:r>
            <w:r>
              <w:rPr>
                <w:noProof/>
                <w:sz w:val="18"/>
                <w:szCs w:val="20"/>
              </w:rPr>
              <w:br/>
            </w:r>
            <w:r>
              <w:rPr>
                <w:noProof/>
                <w:sz w:val="18"/>
              </w:rPr>
              <w:t xml:space="preserve">Szúrópróbaszerű minták: </w:t>
            </w:r>
            <w:r>
              <w:tab/>
            </w:r>
            <w:r>
              <w:rPr>
                <w:noProof/>
                <w:sz w:val="18"/>
              </w:rPr>
              <w:t>8</w:t>
            </w:r>
          </w:p>
        </w:tc>
        <w:tc>
          <w:tcPr>
            <w:tcW w:w="3402" w:type="dxa"/>
          </w:tcPr>
          <w:p w:rsidR="005624E3" w:rsidRPr="00C903F8" w:rsidRDefault="005624E3" w:rsidP="00101A80">
            <w:pPr>
              <w:spacing w:before="60" w:after="60" w:line="240" w:lineRule="atLeast"/>
              <w:rPr>
                <w:noProof/>
                <w:sz w:val="18"/>
                <w:szCs w:val="20"/>
              </w:rPr>
            </w:pPr>
            <w:r>
              <w:rPr>
                <w:noProof/>
                <w:sz w:val="18"/>
              </w:rPr>
              <w:t>A teljes vizsgálati időszak folyamán szabályos időközönként</w:t>
            </w:r>
          </w:p>
        </w:tc>
      </w:tr>
      <w:tr w:rsidR="005624E3" w:rsidRPr="00A0619C" w:rsidTr="00101A80">
        <w:tc>
          <w:tcPr>
            <w:tcW w:w="1397" w:type="dxa"/>
          </w:tcPr>
          <w:p w:rsidR="005624E3" w:rsidRPr="00C903F8" w:rsidRDefault="005624E3" w:rsidP="00101A80">
            <w:pPr>
              <w:spacing w:before="60" w:after="60" w:line="240" w:lineRule="atLeast"/>
              <w:rPr>
                <w:noProof/>
                <w:sz w:val="18"/>
                <w:szCs w:val="20"/>
              </w:rPr>
            </w:pPr>
            <w:r>
              <w:rPr>
                <w:noProof/>
                <w:sz w:val="18"/>
              </w:rPr>
              <w:t>Túlterhelés</w:t>
            </w:r>
          </w:p>
        </w:tc>
        <w:tc>
          <w:tcPr>
            <w:tcW w:w="1092" w:type="dxa"/>
          </w:tcPr>
          <w:p w:rsidR="005624E3" w:rsidRPr="00C903F8" w:rsidRDefault="005624E3" w:rsidP="00101A80">
            <w:pPr>
              <w:spacing w:before="60" w:after="60" w:line="240" w:lineRule="atLeast"/>
              <w:rPr>
                <w:noProof/>
                <w:sz w:val="18"/>
                <w:szCs w:val="20"/>
              </w:rPr>
            </w:pPr>
            <w:r>
              <w:rPr>
                <w:noProof/>
                <w:sz w:val="18"/>
              </w:rPr>
              <w:t>3 nap</w:t>
            </w:r>
          </w:p>
        </w:tc>
        <w:tc>
          <w:tcPr>
            <w:tcW w:w="2472" w:type="dxa"/>
          </w:tcPr>
          <w:p w:rsidR="005624E3" w:rsidRPr="00C903F8" w:rsidRDefault="005624E3" w:rsidP="00101A80">
            <w:pPr>
              <w:tabs>
                <w:tab w:val="left" w:pos="2081"/>
              </w:tabs>
              <w:spacing w:before="60" w:after="60" w:line="240" w:lineRule="atLeast"/>
              <w:rPr>
                <w:noProof/>
                <w:sz w:val="18"/>
                <w:szCs w:val="20"/>
              </w:rPr>
            </w:pPr>
            <w:r>
              <w:rPr>
                <w:noProof/>
                <w:sz w:val="18"/>
              </w:rPr>
              <w:t>24 órás egyesített minták:</w:t>
            </w:r>
            <w:r>
              <w:tab/>
            </w:r>
            <w:r>
              <w:rPr>
                <w:noProof/>
                <w:sz w:val="18"/>
              </w:rPr>
              <w:t>2</w:t>
            </w:r>
            <w:r>
              <w:rPr>
                <w:noProof/>
                <w:sz w:val="18"/>
                <w:szCs w:val="20"/>
              </w:rPr>
              <w:br/>
            </w:r>
            <w:r>
              <w:rPr>
                <w:noProof/>
                <w:sz w:val="18"/>
              </w:rPr>
              <w:t xml:space="preserve">Szúrópróbaszerű minták: </w:t>
            </w:r>
            <w:r>
              <w:tab/>
            </w:r>
            <w:r>
              <w:rPr>
                <w:noProof/>
                <w:sz w:val="18"/>
              </w:rPr>
              <w:t>2</w:t>
            </w:r>
          </w:p>
        </w:tc>
        <w:tc>
          <w:tcPr>
            <w:tcW w:w="3402" w:type="dxa"/>
          </w:tcPr>
          <w:p w:rsidR="005624E3" w:rsidRPr="00C903F8" w:rsidRDefault="005624E3" w:rsidP="00101A80">
            <w:pPr>
              <w:spacing w:before="60" w:after="60" w:line="240" w:lineRule="atLeast"/>
              <w:rPr>
                <w:noProof/>
                <w:sz w:val="18"/>
                <w:szCs w:val="20"/>
              </w:rPr>
            </w:pPr>
            <w:r>
              <w:rPr>
                <w:noProof/>
                <w:sz w:val="18"/>
              </w:rPr>
              <w:t>A teljes vizsgálati időszak folyamán szabályos időközönként</w:t>
            </w:r>
          </w:p>
        </w:tc>
      </w:tr>
      <w:tr w:rsidR="005624E3" w:rsidRPr="00A0619C" w:rsidTr="00101A80">
        <w:tc>
          <w:tcPr>
            <w:tcW w:w="1397" w:type="dxa"/>
          </w:tcPr>
          <w:p w:rsidR="005624E3" w:rsidRPr="00C903F8" w:rsidRDefault="005624E3" w:rsidP="00101A80">
            <w:pPr>
              <w:spacing w:before="60" w:after="60" w:line="240" w:lineRule="atLeast"/>
              <w:rPr>
                <w:noProof/>
                <w:sz w:val="18"/>
                <w:szCs w:val="20"/>
              </w:rPr>
            </w:pPr>
            <w:r>
              <w:rPr>
                <w:noProof/>
                <w:sz w:val="18"/>
              </w:rPr>
              <w:t>Részleges terhelés</w:t>
            </w:r>
          </w:p>
        </w:tc>
        <w:tc>
          <w:tcPr>
            <w:tcW w:w="1092" w:type="dxa"/>
          </w:tcPr>
          <w:p w:rsidR="005624E3" w:rsidRPr="00C903F8" w:rsidRDefault="005624E3" w:rsidP="00101A80">
            <w:pPr>
              <w:spacing w:before="60" w:after="60" w:line="240" w:lineRule="atLeast"/>
              <w:rPr>
                <w:noProof/>
                <w:sz w:val="18"/>
                <w:szCs w:val="20"/>
              </w:rPr>
            </w:pPr>
            <w:r>
              <w:rPr>
                <w:noProof/>
                <w:sz w:val="18"/>
              </w:rPr>
              <w:t>3 nap</w:t>
            </w:r>
          </w:p>
        </w:tc>
        <w:tc>
          <w:tcPr>
            <w:tcW w:w="2472" w:type="dxa"/>
          </w:tcPr>
          <w:p w:rsidR="005624E3" w:rsidRPr="00C903F8" w:rsidRDefault="005624E3" w:rsidP="00101A80">
            <w:pPr>
              <w:tabs>
                <w:tab w:val="left" w:pos="2081"/>
              </w:tabs>
              <w:spacing w:before="60" w:after="60" w:line="240" w:lineRule="atLeast"/>
              <w:rPr>
                <w:noProof/>
                <w:sz w:val="18"/>
                <w:szCs w:val="20"/>
              </w:rPr>
            </w:pPr>
            <w:r>
              <w:rPr>
                <w:noProof/>
                <w:sz w:val="18"/>
              </w:rPr>
              <w:t xml:space="preserve">24 órás egyesített minták: </w:t>
            </w:r>
            <w:r>
              <w:tab/>
            </w:r>
            <w:r>
              <w:rPr>
                <w:noProof/>
                <w:sz w:val="18"/>
              </w:rPr>
              <w:t>2</w:t>
            </w:r>
            <w:r>
              <w:rPr>
                <w:noProof/>
                <w:sz w:val="18"/>
                <w:szCs w:val="20"/>
              </w:rPr>
              <w:br/>
            </w:r>
            <w:r>
              <w:rPr>
                <w:noProof/>
                <w:sz w:val="18"/>
              </w:rPr>
              <w:t xml:space="preserve">Szúrópróbaszerű minták: </w:t>
            </w:r>
            <w:r>
              <w:tab/>
            </w:r>
            <w:r>
              <w:rPr>
                <w:noProof/>
                <w:sz w:val="18"/>
              </w:rPr>
              <w:t>2</w:t>
            </w:r>
          </w:p>
        </w:tc>
        <w:tc>
          <w:tcPr>
            <w:tcW w:w="3402" w:type="dxa"/>
          </w:tcPr>
          <w:p w:rsidR="005624E3" w:rsidRPr="00C903F8" w:rsidRDefault="005624E3" w:rsidP="00101A80">
            <w:pPr>
              <w:spacing w:before="60" w:after="60" w:line="240" w:lineRule="atLeast"/>
              <w:rPr>
                <w:noProof/>
                <w:sz w:val="18"/>
                <w:szCs w:val="20"/>
              </w:rPr>
            </w:pPr>
            <w:r>
              <w:rPr>
                <w:noProof/>
                <w:sz w:val="18"/>
              </w:rPr>
              <w:t>A teljes vizsgálati időszak folyamán szabályos időközönként</w:t>
            </w:r>
          </w:p>
        </w:tc>
      </w:tr>
      <w:tr w:rsidR="005624E3" w:rsidRPr="00A0619C" w:rsidTr="00101A80">
        <w:tc>
          <w:tcPr>
            <w:tcW w:w="1397" w:type="dxa"/>
          </w:tcPr>
          <w:p w:rsidR="005624E3" w:rsidRPr="00C903F8" w:rsidRDefault="005624E3" w:rsidP="00101A80">
            <w:pPr>
              <w:spacing w:before="60" w:after="60" w:line="240" w:lineRule="atLeast"/>
              <w:rPr>
                <w:noProof/>
                <w:sz w:val="18"/>
                <w:szCs w:val="20"/>
              </w:rPr>
            </w:pPr>
            <w:r>
              <w:rPr>
                <w:noProof/>
                <w:sz w:val="18"/>
              </w:rPr>
              <w:t>Készenléti üzem</w:t>
            </w:r>
          </w:p>
        </w:tc>
        <w:tc>
          <w:tcPr>
            <w:tcW w:w="1092" w:type="dxa"/>
          </w:tcPr>
          <w:p w:rsidR="005624E3" w:rsidRPr="00C903F8" w:rsidRDefault="005624E3" w:rsidP="00101A80">
            <w:pPr>
              <w:spacing w:before="60" w:after="60" w:line="240" w:lineRule="atLeast"/>
              <w:rPr>
                <w:noProof/>
                <w:sz w:val="18"/>
                <w:szCs w:val="20"/>
              </w:rPr>
            </w:pPr>
            <w:r>
              <w:rPr>
                <w:noProof/>
                <w:sz w:val="18"/>
              </w:rPr>
              <w:t>4 nap</w:t>
            </w:r>
          </w:p>
        </w:tc>
        <w:tc>
          <w:tcPr>
            <w:tcW w:w="2472" w:type="dxa"/>
          </w:tcPr>
          <w:p w:rsidR="005624E3" w:rsidRPr="00C903F8" w:rsidRDefault="005624E3" w:rsidP="00101A80">
            <w:pPr>
              <w:tabs>
                <w:tab w:val="left" w:pos="2081"/>
              </w:tabs>
              <w:spacing w:before="60" w:after="60" w:line="240" w:lineRule="atLeast"/>
              <w:rPr>
                <w:noProof/>
                <w:sz w:val="18"/>
                <w:szCs w:val="20"/>
              </w:rPr>
            </w:pPr>
            <w:r>
              <w:rPr>
                <w:noProof/>
                <w:sz w:val="18"/>
              </w:rPr>
              <w:t xml:space="preserve">24 órás egyesített minták: </w:t>
            </w:r>
            <w:r>
              <w:tab/>
            </w:r>
            <w:r>
              <w:rPr>
                <w:noProof/>
                <w:sz w:val="18"/>
              </w:rPr>
              <w:t>2</w:t>
            </w:r>
            <w:r>
              <w:rPr>
                <w:noProof/>
                <w:sz w:val="18"/>
                <w:szCs w:val="20"/>
              </w:rPr>
              <w:br/>
            </w:r>
            <w:r>
              <w:rPr>
                <w:noProof/>
                <w:sz w:val="18"/>
              </w:rPr>
              <w:t xml:space="preserve">Szúrópróbaszerű minták: </w:t>
            </w:r>
            <w:r>
              <w:tab/>
            </w:r>
            <w:r>
              <w:rPr>
                <w:noProof/>
                <w:sz w:val="18"/>
              </w:rPr>
              <w:t>2</w:t>
            </w:r>
          </w:p>
        </w:tc>
        <w:tc>
          <w:tcPr>
            <w:tcW w:w="3402" w:type="dxa"/>
          </w:tcPr>
          <w:p w:rsidR="005624E3" w:rsidRPr="00C903F8" w:rsidRDefault="005624E3" w:rsidP="00101A80">
            <w:pPr>
              <w:spacing w:before="60" w:after="60" w:line="240" w:lineRule="atLeast"/>
              <w:rPr>
                <w:noProof/>
                <w:sz w:val="18"/>
                <w:szCs w:val="20"/>
              </w:rPr>
            </w:pPr>
            <w:r>
              <w:rPr>
                <w:noProof/>
                <w:sz w:val="18"/>
              </w:rPr>
              <w:t>24 órás egyesített minta esetében: a szennyvíz beeresztésének megkezdésekor, majd 24 órával később.</w:t>
            </w:r>
            <w:r>
              <w:rPr>
                <w:noProof/>
                <w:sz w:val="18"/>
                <w:szCs w:val="20"/>
              </w:rPr>
              <w:br/>
            </w:r>
            <w:r>
              <w:rPr>
                <w:noProof/>
                <w:sz w:val="18"/>
              </w:rPr>
              <w:t>Szúrópróbaszerű minta esetében: a szennyvíz beeresztésének megkezdése után 1 órával, majd 24 órával később.</w:t>
            </w:r>
          </w:p>
        </w:tc>
      </w:tr>
      <w:tr w:rsidR="005624E3" w:rsidRPr="00A0619C" w:rsidTr="00101A80">
        <w:tc>
          <w:tcPr>
            <w:tcW w:w="8363" w:type="dxa"/>
            <w:gridSpan w:val="4"/>
          </w:tcPr>
          <w:p w:rsidR="005624E3" w:rsidRPr="00C903F8" w:rsidRDefault="005624E3" w:rsidP="00101A80">
            <w:pPr>
              <w:spacing w:before="60" w:after="60" w:line="240" w:lineRule="atLeast"/>
              <w:rPr>
                <w:noProof/>
                <w:sz w:val="18"/>
                <w:szCs w:val="20"/>
              </w:rPr>
            </w:pPr>
            <w:r>
              <w:rPr>
                <w:noProof/>
                <w:sz w:val="18"/>
              </w:rPr>
              <w:t>24 órás egyesített minták száma összesen: 14</w:t>
            </w:r>
            <w:r>
              <w:tab/>
            </w:r>
            <w:r>
              <w:rPr>
                <w:noProof/>
                <w:sz w:val="18"/>
                <w:szCs w:val="20"/>
              </w:rPr>
              <w:br/>
            </w:r>
            <w:r>
              <w:rPr>
                <w:noProof/>
                <w:sz w:val="18"/>
              </w:rPr>
              <w:t>Szúrópróbaszerű minták száma összesen: 14</w:t>
            </w:r>
          </w:p>
        </w:tc>
      </w:tr>
    </w:tbl>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A szúrópróbaszerű mintákon adott esetben a következő üzemi paramétereket is meg kell mérni:</w:t>
      </w:r>
    </w:p>
    <w:p w:rsidR="005624E3" w:rsidRPr="00C903F8" w:rsidRDefault="005624E3" w:rsidP="005624E3">
      <w:pPr>
        <w:spacing w:before="60" w:line="240" w:lineRule="atLeast"/>
        <w:ind w:left="851"/>
        <w:rPr>
          <w:rFonts w:cs="Arial"/>
          <w:noProof/>
        </w:rPr>
      </w:pPr>
      <w:r>
        <w:t>a)</w:t>
      </w:r>
      <w:r>
        <w:tab/>
        <w:t>az oldott oxigén koncentrációja a bioreaktorban;</w:t>
      </w:r>
    </w:p>
    <w:p w:rsidR="005624E3" w:rsidRPr="00C903F8" w:rsidRDefault="005624E3" w:rsidP="005624E3">
      <w:pPr>
        <w:spacing w:before="60" w:line="240" w:lineRule="atLeast"/>
        <w:ind w:left="851"/>
        <w:rPr>
          <w:rFonts w:cs="Arial"/>
          <w:noProof/>
        </w:rPr>
      </w:pPr>
      <w:r>
        <w:t>b)</w:t>
      </w:r>
      <w:r>
        <w:tab/>
        <w:t>szárazanyag-tartalom a bioreaktorban;</w:t>
      </w:r>
    </w:p>
    <w:p w:rsidR="005624E3" w:rsidRPr="00C903F8" w:rsidRDefault="005624E3" w:rsidP="005624E3">
      <w:pPr>
        <w:spacing w:before="60" w:line="240" w:lineRule="atLeast"/>
        <w:ind w:left="851"/>
        <w:rPr>
          <w:rFonts w:cs="Arial"/>
          <w:noProof/>
        </w:rPr>
      </w:pPr>
      <w:r>
        <w:t>c)</w:t>
      </w:r>
      <w:r>
        <w:tab/>
        <w:t>hőmérséklet a bioreaktorban;</w:t>
      </w:r>
    </w:p>
    <w:p w:rsidR="005624E3" w:rsidRPr="00C903F8" w:rsidRDefault="005624E3" w:rsidP="005624E3">
      <w:pPr>
        <w:spacing w:before="60" w:line="240" w:lineRule="atLeast"/>
        <w:ind w:left="851"/>
        <w:rPr>
          <w:rFonts w:cs="Arial"/>
          <w:noProof/>
        </w:rPr>
      </w:pPr>
      <w:r>
        <w:t>d)</w:t>
      </w:r>
      <w:r>
        <w:tab/>
        <w:t>környezeti hőmérséklet;</w:t>
      </w:r>
    </w:p>
    <w:p w:rsidR="005624E3" w:rsidRPr="00C903F8" w:rsidRDefault="005624E3" w:rsidP="005624E3">
      <w:pPr>
        <w:spacing w:before="60" w:line="240" w:lineRule="atLeast"/>
        <w:ind w:left="851"/>
        <w:rPr>
          <w:rFonts w:cs="Arial"/>
          <w:noProof/>
        </w:rPr>
      </w:pPr>
      <w:r>
        <w:t>e)</w:t>
      </w:r>
      <w:r>
        <w:tab/>
        <w:t>a gyártó üzemeltetési utasításainak megfelelő további üzemi paraméterek.</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br w:type="page"/>
      </w:r>
    </w:p>
    <w:p w:rsidR="005624E3" w:rsidRPr="00C903F8" w:rsidRDefault="005624E3" w:rsidP="005624E3">
      <w:pPr>
        <w:spacing w:line="240" w:lineRule="atLeast"/>
        <w:rPr>
          <w:rFonts w:cs="Arial"/>
          <w:noProof/>
          <w:color w:val="000000"/>
        </w:rPr>
      </w:pPr>
      <w:r>
        <w:rPr>
          <w:noProof/>
          <w:color w:val="000000"/>
        </w:rPr>
        <w:t>3.4.</w:t>
      </w:r>
      <w:r>
        <w:tab/>
      </w:r>
      <w:r>
        <w:rPr>
          <w:noProof/>
          <w:color w:val="000000"/>
        </w:rPr>
        <w:t>A vizsgálatok kiértékelése</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 xml:space="preserve">A meghatározott tisztítási hatékonyság dokumentálása és a határértékek teljesülésének ellenőrzése érdekében a mintákon mért legkisebb és legnagyobb értéket (min., max.), valamint a mintákon mért értékek számtani közepét (átlag) kell megadni, továbbá a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a COD és a TOC paraméterek esetében a mérési eredményeket egyenként is rögzíteni kell.</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A mintákon mért legnagyobb érték esetében a terhelési szakaszt is meg kell adni. Az értékelés során a terhelési szakaszokat összevontan kell kezelni. Az eredményeket a következő táblázatban ismertetett módon kell feldolgozni:</w:t>
      </w:r>
    </w:p>
    <w:p w:rsidR="005624E3" w:rsidRPr="00C903F8" w:rsidRDefault="005624E3" w:rsidP="005624E3">
      <w:pPr>
        <w:spacing w:line="240" w:lineRule="atLeast"/>
        <w:ind w:left="426"/>
        <w:rPr>
          <w:noProof/>
        </w:rPr>
      </w:pPr>
    </w:p>
    <w:p w:rsidR="005624E3" w:rsidRPr="00C903F8" w:rsidRDefault="005624E3" w:rsidP="005624E3">
      <w:pPr>
        <w:tabs>
          <w:tab w:val="left" w:pos="709"/>
        </w:tabs>
        <w:suppressAutoHyphens/>
        <w:spacing w:after="120" w:line="240" w:lineRule="atLeast"/>
        <w:ind w:left="1701" w:hanging="992"/>
        <w:rPr>
          <w:rFonts w:cs="Arial"/>
          <w:szCs w:val="20"/>
        </w:rPr>
      </w:pPr>
      <w:r>
        <w:t>3a. táblázat</w:t>
      </w:r>
      <w:r>
        <w:tab/>
        <w:t xml:space="preserve">Az összegyűjtött adatok statisztikai feldolgozásának módja: értékelés a kilépő anyagra vonatkozó határértékeknek való megfelelés dokumentálásához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1"/>
        <w:gridCol w:w="2325"/>
        <w:gridCol w:w="1428"/>
        <w:gridCol w:w="927"/>
        <w:gridCol w:w="848"/>
        <w:gridCol w:w="852"/>
        <w:gridCol w:w="903"/>
      </w:tblGrid>
      <w:tr w:rsidR="005624E3" w:rsidRPr="00C903F8" w:rsidTr="00101A80">
        <w:trPr>
          <w:jc w:val="center"/>
        </w:trPr>
        <w:tc>
          <w:tcPr>
            <w:tcW w:w="1461" w:type="dxa"/>
            <w:vMerge w:val="restart"/>
            <w:vAlign w:val="center"/>
          </w:tcPr>
          <w:p w:rsidR="005624E3" w:rsidRPr="00C903F8" w:rsidRDefault="005624E3" w:rsidP="00101A80">
            <w:pPr>
              <w:spacing w:before="60" w:after="60" w:line="240" w:lineRule="atLeast"/>
              <w:rPr>
                <w:rFonts w:cs="Arial"/>
                <w:noProof/>
                <w:sz w:val="18"/>
                <w:szCs w:val="18"/>
              </w:rPr>
            </w:pPr>
            <w:r>
              <w:rPr>
                <w:noProof/>
                <w:sz w:val="18"/>
              </w:rPr>
              <w:t>Paraméter</w:t>
            </w:r>
          </w:p>
        </w:tc>
        <w:tc>
          <w:tcPr>
            <w:tcW w:w="2325" w:type="dxa"/>
            <w:vMerge w:val="restart"/>
            <w:vAlign w:val="center"/>
          </w:tcPr>
          <w:p w:rsidR="005624E3" w:rsidRPr="00C903F8" w:rsidRDefault="005624E3" w:rsidP="00101A80">
            <w:pPr>
              <w:spacing w:before="60" w:after="60" w:line="240" w:lineRule="atLeast"/>
              <w:jc w:val="center"/>
              <w:rPr>
                <w:rFonts w:cs="Arial"/>
                <w:noProof/>
                <w:sz w:val="18"/>
                <w:szCs w:val="18"/>
              </w:rPr>
            </w:pPr>
            <w:r>
              <w:rPr>
                <w:noProof/>
                <w:sz w:val="18"/>
              </w:rPr>
              <w:t>Mintavétel típusa</w:t>
            </w:r>
          </w:p>
        </w:tc>
        <w:tc>
          <w:tcPr>
            <w:tcW w:w="1016" w:type="dxa"/>
            <w:vMerge w:val="restart"/>
            <w:vAlign w:val="center"/>
          </w:tcPr>
          <w:p w:rsidR="005624E3" w:rsidRPr="00C903F8" w:rsidRDefault="005624E3" w:rsidP="00101A80">
            <w:pPr>
              <w:spacing w:before="60" w:after="60" w:line="240" w:lineRule="atLeast"/>
              <w:jc w:val="center"/>
              <w:rPr>
                <w:rFonts w:cs="Arial"/>
                <w:noProof/>
                <w:sz w:val="18"/>
                <w:szCs w:val="18"/>
              </w:rPr>
            </w:pPr>
            <w:r>
              <w:rPr>
                <w:noProof/>
                <w:sz w:val="18"/>
              </w:rPr>
              <w:t>A határértékeknek megfelelő vizsgálatok száma</w:t>
            </w:r>
          </w:p>
        </w:tc>
        <w:tc>
          <w:tcPr>
            <w:tcW w:w="927" w:type="dxa"/>
            <w:vMerge w:val="restart"/>
            <w:vAlign w:val="center"/>
          </w:tcPr>
          <w:p w:rsidR="005624E3" w:rsidRPr="00C903F8" w:rsidRDefault="005624E3" w:rsidP="00101A80">
            <w:pPr>
              <w:spacing w:before="60" w:after="60" w:line="240" w:lineRule="atLeast"/>
              <w:jc w:val="center"/>
              <w:rPr>
                <w:rFonts w:cs="Arial"/>
                <w:noProof/>
                <w:sz w:val="18"/>
                <w:szCs w:val="18"/>
              </w:rPr>
            </w:pPr>
            <w:r>
              <w:rPr>
                <w:noProof/>
                <w:sz w:val="18"/>
              </w:rPr>
              <w:t>Átlag</w:t>
            </w:r>
          </w:p>
        </w:tc>
        <w:tc>
          <w:tcPr>
            <w:tcW w:w="848" w:type="dxa"/>
            <w:vMerge w:val="restart"/>
            <w:vAlign w:val="center"/>
          </w:tcPr>
          <w:p w:rsidR="005624E3" w:rsidRPr="00C903F8" w:rsidRDefault="005624E3" w:rsidP="00101A80">
            <w:pPr>
              <w:spacing w:before="60" w:after="60" w:line="240" w:lineRule="atLeast"/>
              <w:jc w:val="center"/>
              <w:rPr>
                <w:rFonts w:cs="Arial"/>
                <w:noProof/>
                <w:sz w:val="18"/>
                <w:szCs w:val="18"/>
              </w:rPr>
            </w:pPr>
            <w:r>
              <w:rPr>
                <w:noProof/>
                <w:sz w:val="18"/>
              </w:rPr>
              <w:t>Min.</w:t>
            </w:r>
          </w:p>
        </w:tc>
        <w:tc>
          <w:tcPr>
            <w:tcW w:w="1755" w:type="dxa"/>
            <w:gridSpan w:val="2"/>
            <w:vAlign w:val="center"/>
          </w:tcPr>
          <w:p w:rsidR="005624E3" w:rsidRPr="00C903F8" w:rsidRDefault="005624E3" w:rsidP="00101A80">
            <w:pPr>
              <w:spacing w:before="60" w:after="60" w:line="240" w:lineRule="atLeast"/>
              <w:jc w:val="center"/>
              <w:rPr>
                <w:rFonts w:cs="Arial"/>
                <w:noProof/>
                <w:sz w:val="18"/>
                <w:szCs w:val="18"/>
              </w:rPr>
            </w:pPr>
            <w:r>
              <w:rPr>
                <w:noProof/>
                <w:sz w:val="18"/>
              </w:rPr>
              <w:t>Max.</w:t>
            </w:r>
          </w:p>
        </w:tc>
      </w:tr>
      <w:tr w:rsidR="005624E3" w:rsidRPr="00C903F8" w:rsidTr="00101A80">
        <w:trPr>
          <w:jc w:val="center"/>
        </w:trPr>
        <w:tc>
          <w:tcPr>
            <w:tcW w:w="1461" w:type="dxa"/>
            <w:vMerge/>
          </w:tcPr>
          <w:p w:rsidR="005624E3" w:rsidRPr="00C903F8" w:rsidRDefault="005624E3" w:rsidP="00101A80">
            <w:pPr>
              <w:spacing w:before="60" w:after="60" w:line="240" w:lineRule="atLeast"/>
              <w:rPr>
                <w:rFonts w:cs="Arial"/>
                <w:noProof/>
                <w:sz w:val="18"/>
                <w:szCs w:val="18"/>
              </w:rPr>
            </w:pPr>
          </w:p>
        </w:tc>
        <w:tc>
          <w:tcPr>
            <w:tcW w:w="2325" w:type="dxa"/>
            <w:vMerge/>
          </w:tcPr>
          <w:p w:rsidR="005624E3" w:rsidRPr="00C903F8" w:rsidRDefault="005624E3" w:rsidP="00101A80">
            <w:pPr>
              <w:spacing w:before="60" w:after="60" w:line="240" w:lineRule="atLeast"/>
              <w:jc w:val="center"/>
              <w:rPr>
                <w:rFonts w:cs="Arial"/>
                <w:noProof/>
                <w:sz w:val="18"/>
                <w:szCs w:val="18"/>
              </w:rPr>
            </w:pPr>
          </w:p>
        </w:tc>
        <w:tc>
          <w:tcPr>
            <w:tcW w:w="1016" w:type="dxa"/>
            <w:vMerge/>
          </w:tcPr>
          <w:p w:rsidR="005624E3" w:rsidRPr="00C903F8" w:rsidRDefault="005624E3" w:rsidP="00101A80">
            <w:pPr>
              <w:spacing w:before="60" w:after="60" w:line="240" w:lineRule="atLeast"/>
              <w:jc w:val="center"/>
              <w:rPr>
                <w:rFonts w:cs="Arial"/>
                <w:noProof/>
                <w:sz w:val="18"/>
                <w:szCs w:val="18"/>
              </w:rPr>
            </w:pPr>
          </w:p>
        </w:tc>
        <w:tc>
          <w:tcPr>
            <w:tcW w:w="927" w:type="dxa"/>
            <w:vMerge/>
          </w:tcPr>
          <w:p w:rsidR="005624E3" w:rsidRPr="00C903F8" w:rsidRDefault="005624E3" w:rsidP="00101A80">
            <w:pPr>
              <w:spacing w:before="60" w:after="60" w:line="240" w:lineRule="atLeast"/>
              <w:jc w:val="center"/>
              <w:rPr>
                <w:rFonts w:cs="Arial"/>
                <w:noProof/>
                <w:sz w:val="18"/>
                <w:szCs w:val="18"/>
              </w:rPr>
            </w:pPr>
          </w:p>
        </w:tc>
        <w:tc>
          <w:tcPr>
            <w:tcW w:w="848" w:type="dxa"/>
            <w:vMerge/>
          </w:tcPr>
          <w:p w:rsidR="005624E3" w:rsidRPr="00C903F8" w:rsidRDefault="005624E3" w:rsidP="00101A80">
            <w:pPr>
              <w:spacing w:before="60" w:after="60" w:line="240" w:lineRule="atLeast"/>
              <w:jc w:val="center"/>
              <w:rPr>
                <w:rFonts w:cs="Arial"/>
                <w:noProof/>
                <w:sz w:val="18"/>
                <w:szCs w:val="18"/>
              </w:rPr>
            </w:pPr>
          </w:p>
        </w:tc>
        <w:tc>
          <w:tcPr>
            <w:tcW w:w="852" w:type="dxa"/>
          </w:tcPr>
          <w:p w:rsidR="005624E3" w:rsidRPr="00C903F8" w:rsidRDefault="005624E3" w:rsidP="00101A80">
            <w:pPr>
              <w:spacing w:before="60" w:after="60" w:line="240" w:lineRule="atLeast"/>
              <w:jc w:val="center"/>
              <w:rPr>
                <w:rFonts w:cs="Arial"/>
                <w:noProof/>
                <w:sz w:val="18"/>
                <w:szCs w:val="18"/>
              </w:rPr>
            </w:pPr>
            <w:r>
              <w:rPr>
                <w:noProof/>
                <w:sz w:val="18"/>
              </w:rPr>
              <w:t>Érték</w:t>
            </w:r>
          </w:p>
        </w:tc>
        <w:tc>
          <w:tcPr>
            <w:tcW w:w="903" w:type="dxa"/>
          </w:tcPr>
          <w:p w:rsidR="005624E3" w:rsidRPr="00C903F8" w:rsidRDefault="005624E3" w:rsidP="00101A80">
            <w:pPr>
              <w:spacing w:before="60" w:after="60" w:line="240" w:lineRule="atLeast"/>
              <w:jc w:val="center"/>
              <w:rPr>
                <w:rFonts w:cs="Arial"/>
                <w:noProof/>
                <w:sz w:val="18"/>
                <w:szCs w:val="18"/>
              </w:rPr>
            </w:pPr>
            <w:r>
              <w:rPr>
                <w:noProof/>
                <w:sz w:val="18"/>
              </w:rPr>
              <w:t>Terhelési szakasz</w:t>
            </w:r>
          </w:p>
        </w:tc>
      </w:tr>
      <w:tr w:rsidR="005624E3" w:rsidRPr="00C903F8" w:rsidTr="00101A80">
        <w:trPr>
          <w:jc w:val="center"/>
        </w:trPr>
        <w:tc>
          <w:tcPr>
            <w:tcW w:w="1461" w:type="dxa"/>
            <w:vAlign w:val="center"/>
          </w:tcPr>
          <w:p w:rsidR="005624E3" w:rsidRPr="00C903F8" w:rsidRDefault="005624E3" w:rsidP="00101A80">
            <w:pPr>
              <w:spacing w:before="60" w:after="60" w:line="240" w:lineRule="atLeast"/>
              <w:rPr>
                <w:rFonts w:cs="Arial"/>
                <w:noProof/>
                <w:sz w:val="18"/>
                <w:szCs w:val="18"/>
              </w:rPr>
            </w:pPr>
            <w:r>
              <w:rPr>
                <w:noProof/>
                <w:sz w:val="18"/>
              </w:rPr>
              <w:t xml:space="preserve">Belépő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24 órás egyesített minták</w:t>
            </w:r>
          </w:p>
        </w:tc>
        <w:tc>
          <w:tcPr>
            <w:tcW w:w="1016"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tcPr>
          <w:p w:rsidR="005624E3" w:rsidRPr="00C903F8" w:rsidRDefault="005624E3" w:rsidP="00101A80">
            <w:pPr>
              <w:spacing w:before="60" w:after="60" w:line="240" w:lineRule="atLeast"/>
              <w:rPr>
                <w:rFonts w:cs="Arial"/>
                <w:noProof/>
                <w:sz w:val="18"/>
                <w:szCs w:val="18"/>
              </w:rPr>
            </w:pPr>
            <w:r>
              <w:rPr>
                <w:noProof/>
                <w:sz w:val="18"/>
              </w:rPr>
              <w:t xml:space="preserve">Kilépő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24 órás egyesített minták</w:t>
            </w:r>
          </w:p>
        </w:tc>
        <w:tc>
          <w:tcPr>
            <w:tcW w:w="1016" w:type="dxa"/>
            <w:vAlign w:val="center"/>
          </w:tcPr>
          <w:p w:rsidR="005624E3" w:rsidRPr="00C903F8" w:rsidRDefault="005624E3" w:rsidP="00101A80">
            <w:pPr>
              <w:spacing w:before="60" w:after="60" w:line="240" w:lineRule="atLeast"/>
              <w:rPr>
                <w:rFonts w:cs="Arial"/>
                <w:noProof/>
                <w:sz w:val="18"/>
                <w:szCs w:val="18"/>
              </w:rPr>
            </w:pP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vAlign w:val="center"/>
          </w:tcPr>
          <w:p w:rsidR="005624E3" w:rsidRPr="00C903F8" w:rsidRDefault="005624E3" w:rsidP="00101A80">
            <w:pPr>
              <w:spacing w:before="60" w:after="60" w:line="240" w:lineRule="atLeast"/>
              <w:rPr>
                <w:rFonts w:cs="Arial"/>
                <w:noProof/>
                <w:sz w:val="18"/>
                <w:szCs w:val="18"/>
              </w:rPr>
            </w:pPr>
            <w:r>
              <w:rPr>
                <w:noProof/>
                <w:sz w:val="18"/>
              </w:rPr>
              <w:t xml:space="preserve">Belépő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Szúrópróbaszerű minták</w:t>
            </w:r>
          </w:p>
        </w:tc>
        <w:tc>
          <w:tcPr>
            <w:tcW w:w="1016"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tcPr>
          <w:p w:rsidR="005624E3" w:rsidRPr="00C903F8" w:rsidRDefault="005624E3" w:rsidP="00101A80">
            <w:pPr>
              <w:spacing w:before="60" w:after="60" w:line="240" w:lineRule="atLeast"/>
              <w:rPr>
                <w:rFonts w:cs="Arial"/>
                <w:noProof/>
                <w:sz w:val="18"/>
                <w:szCs w:val="18"/>
              </w:rPr>
            </w:pPr>
            <w:r>
              <w:rPr>
                <w:noProof/>
                <w:sz w:val="18"/>
              </w:rPr>
              <w:t xml:space="preserve">Kilépő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Szúrópróbaszerű minták</w:t>
            </w:r>
          </w:p>
        </w:tc>
        <w:tc>
          <w:tcPr>
            <w:tcW w:w="1016" w:type="dxa"/>
            <w:vAlign w:val="center"/>
          </w:tcPr>
          <w:p w:rsidR="005624E3" w:rsidRPr="00C903F8" w:rsidRDefault="005624E3" w:rsidP="00101A80">
            <w:pPr>
              <w:spacing w:before="60" w:after="60" w:line="240" w:lineRule="atLeast"/>
              <w:rPr>
                <w:rFonts w:cs="Arial"/>
                <w:noProof/>
                <w:sz w:val="18"/>
                <w:szCs w:val="18"/>
              </w:rPr>
            </w:pP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vAlign w:val="center"/>
          </w:tcPr>
          <w:p w:rsidR="005624E3" w:rsidRPr="00C903F8" w:rsidRDefault="005624E3" w:rsidP="00101A80">
            <w:pPr>
              <w:spacing w:before="60" w:after="60" w:line="240" w:lineRule="atLeast"/>
              <w:rPr>
                <w:rFonts w:cs="Arial"/>
                <w:noProof/>
                <w:sz w:val="18"/>
                <w:szCs w:val="18"/>
              </w:rPr>
            </w:pPr>
            <w:r>
              <w:rPr>
                <w:noProof/>
                <w:sz w:val="18"/>
              </w:rPr>
              <w:t>Belépő COD</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24 órás egyesített minták</w:t>
            </w:r>
          </w:p>
        </w:tc>
        <w:tc>
          <w:tcPr>
            <w:tcW w:w="1016"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tcPr>
          <w:p w:rsidR="005624E3" w:rsidRPr="00C903F8" w:rsidRDefault="005624E3" w:rsidP="00101A80">
            <w:pPr>
              <w:spacing w:before="60" w:after="60" w:line="240" w:lineRule="atLeast"/>
              <w:rPr>
                <w:rFonts w:cs="Arial"/>
                <w:noProof/>
                <w:sz w:val="18"/>
                <w:szCs w:val="18"/>
              </w:rPr>
            </w:pPr>
            <w:r>
              <w:rPr>
                <w:noProof/>
                <w:sz w:val="18"/>
              </w:rPr>
              <w:t>Kilépő COD</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24 órás egyesített minták</w:t>
            </w:r>
          </w:p>
        </w:tc>
        <w:tc>
          <w:tcPr>
            <w:tcW w:w="1016" w:type="dxa"/>
            <w:vAlign w:val="center"/>
          </w:tcPr>
          <w:p w:rsidR="005624E3" w:rsidRPr="00C903F8" w:rsidRDefault="005624E3" w:rsidP="00101A80">
            <w:pPr>
              <w:spacing w:before="60" w:after="60" w:line="240" w:lineRule="atLeast"/>
              <w:rPr>
                <w:rFonts w:cs="Arial"/>
                <w:noProof/>
                <w:sz w:val="18"/>
                <w:szCs w:val="18"/>
              </w:rPr>
            </w:pP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vAlign w:val="center"/>
          </w:tcPr>
          <w:p w:rsidR="005624E3" w:rsidRPr="00C903F8" w:rsidRDefault="005624E3" w:rsidP="00101A80">
            <w:pPr>
              <w:spacing w:before="60" w:after="60" w:line="240" w:lineRule="atLeast"/>
              <w:rPr>
                <w:rFonts w:cs="Arial"/>
                <w:noProof/>
                <w:sz w:val="18"/>
                <w:szCs w:val="18"/>
              </w:rPr>
            </w:pPr>
            <w:r>
              <w:rPr>
                <w:noProof/>
                <w:sz w:val="18"/>
              </w:rPr>
              <w:t>Belépő COD</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Szúrópróbaszerű minták</w:t>
            </w:r>
          </w:p>
        </w:tc>
        <w:tc>
          <w:tcPr>
            <w:tcW w:w="1016"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tcPr>
          <w:p w:rsidR="005624E3" w:rsidRPr="00C903F8" w:rsidRDefault="005624E3" w:rsidP="00101A80">
            <w:pPr>
              <w:spacing w:before="60" w:after="60" w:line="240" w:lineRule="atLeast"/>
              <w:rPr>
                <w:rFonts w:cs="Arial"/>
                <w:noProof/>
                <w:sz w:val="18"/>
                <w:szCs w:val="18"/>
              </w:rPr>
            </w:pPr>
            <w:r>
              <w:rPr>
                <w:noProof/>
                <w:sz w:val="18"/>
              </w:rPr>
              <w:t>Kilépő COD</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Szúrópróbaszerű minták</w:t>
            </w:r>
          </w:p>
        </w:tc>
        <w:tc>
          <w:tcPr>
            <w:tcW w:w="1016" w:type="dxa"/>
            <w:vAlign w:val="center"/>
          </w:tcPr>
          <w:p w:rsidR="005624E3" w:rsidRPr="00C903F8" w:rsidRDefault="005624E3" w:rsidP="00101A80">
            <w:pPr>
              <w:spacing w:before="60" w:after="60" w:line="240" w:lineRule="atLeast"/>
              <w:rPr>
                <w:rFonts w:cs="Arial"/>
                <w:noProof/>
                <w:sz w:val="18"/>
                <w:szCs w:val="18"/>
              </w:rPr>
            </w:pP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vAlign w:val="center"/>
          </w:tcPr>
          <w:p w:rsidR="005624E3" w:rsidRPr="00C903F8" w:rsidRDefault="005624E3" w:rsidP="00101A80">
            <w:pPr>
              <w:spacing w:before="60" w:after="60" w:line="240" w:lineRule="atLeast"/>
              <w:rPr>
                <w:rFonts w:cs="Arial"/>
                <w:noProof/>
                <w:sz w:val="18"/>
                <w:szCs w:val="18"/>
              </w:rPr>
            </w:pPr>
            <w:r>
              <w:rPr>
                <w:noProof/>
                <w:sz w:val="18"/>
              </w:rPr>
              <w:t>Belépő TOC</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24 órás egyesített minták</w:t>
            </w:r>
          </w:p>
        </w:tc>
        <w:tc>
          <w:tcPr>
            <w:tcW w:w="1016"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tcPr>
          <w:p w:rsidR="005624E3" w:rsidRPr="00C903F8" w:rsidRDefault="005624E3" w:rsidP="00101A80">
            <w:pPr>
              <w:spacing w:before="60" w:after="60" w:line="240" w:lineRule="atLeast"/>
              <w:rPr>
                <w:rFonts w:cs="Arial"/>
                <w:noProof/>
                <w:sz w:val="18"/>
                <w:szCs w:val="18"/>
              </w:rPr>
            </w:pPr>
            <w:r>
              <w:rPr>
                <w:noProof/>
                <w:sz w:val="18"/>
              </w:rPr>
              <w:t>Kilépő TOC</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24 órás egyesített minták</w:t>
            </w:r>
          </w:p>
        </w:tc>
        <w:tc>
          <w:tcPr>
            <w:tcW w:w="1016" w:type="dxa"/>
            <w:vAlign w:val="center"/>
          </w:tcPr>
          <w:p w:rsidR="005624E3" w:rsidRPr="00C903F8" w:rsidRDefault="005624E3" w:rsidP="00101A80">
            <w:pPr>
              <w:spacing w:before="60" w:after="60" w:line="240" w:lineRule="atLeast"/>
              <w:rPr>
                <w:rFonts w:cs="Arial"/>
                <w:noProof/>
                <w:sz w:val="18"/>
                <w:szCs w:val="18"/>
              </w:rPr>
            </w:pP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vAlign w:val="center"/>
          </w:tcPr>
          <w:p w:rsidR="005624E3" w:rsidRPr="00C903F8" w:rsidRDefault="005624E3" w:rsidP="00101A80">
            <w:pPr>
              <w:spacing w:before="60" w:after="60" w:line="240" w:lineRule="atLeast"/>
              <w:rPr>
                <w:rFonts w:cs="Arial"/>
                <w:noProof/>
                <w:sz w:val="18"/>
                <w:szCs w:val="18"/>
              </w:rPr>
            </w:pPr>
            <w:r>
              <w:rPr>
                <w:noProof/>
                <w:sz w:val="18"/>
              </w:rPr>
              <w:t>Belépő TOC</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Szúrópróbaszerű minták</w:t>
            </w:r>
          </w:p>
        </w:tc>
        <w:tc>
          <w:tcPr>
            <w:tcW w:w="1016"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tcPr>
          <w:p w:rsidR="005624E3" w:rsidRPr="00C903F8" w:rsidRDefault="005624E3" w:rsidP="00101A80">
            <w:pPr>
              <w:spacing w:before="60" w:after="60" w:line="240" w:lineRule="atLeast"/>
              <w:rPr>
                <w:rFonts w:cs="Arial"/>
                <w:noProof/>
                <w:sz w:val="18"/>
                <w:szCs w:val="18"/>
              </w:rPr>
            </w:pPr>
            <w:r>
              <w:rPr>
                <w:noProof/>
                <w:sz w:val="18"/>
              </w:rPr>
              <w:t>Kilépő TOC</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Szúrópróbaszerű minták</w:t>
            </w:r>
          </w:p>
        </w:tc>
        <w:tc>
          <w:tcPr>
            <w:tcW w:w="1016" w:type="dxa"/>
            <w:vAlign w:val="center"/>
          </w:tcPr>
          <w:p w:rsidR="005624E3" w:rsidRPr="00C903F8" w:rsidRDefault="005624E3" w:rsidP="00101A80">
            <w:pPr>
              <w:spacing w:before="60" w:after="60" w:line="240" w:lineRule="atLeast"/>
              <w:rPr>
                <w:rFonts w:cs="Arial"/>
                <w:noProof/>
                <w:sz w:val="18"/>
                <w:szCs w:val="18"/>
              </w:rPr>
            </w:pP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vAlign w:val="center"/>
          </w:tcPr>
          <w:p w:rsidR="005624E3" w:rsidRPr="00C903F8" w:rsidRDefault="005624E3" w:rsidP="00101A80">
            <w:pPr>
              <w:spacing w:before="60" w:after="60" w:line="240" w:lineRule="atLeast"/>
              <w:rPr>
                <w:rFonts w:cs="Arial"/>
                <w:noProof/>
                <w:sz w:val="18"/>
                <w:szCs w:val="18"/>
              </w:rPr>
            </w:pPr>
            <w:r>
              <w:rPr>
                <w:noProof/>
                <w:sz w:val="18"/>
              </w:rPr>
              <w:t>Belépő SRF</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24 órás egyesített minták</w:t>
            </w:r>
          </w:p>
        </w:tc>
        <w:tc>
          <w:tcPr>
            <w:tcW w:w="1016"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tcPr>
          <w:p w:rsidR="005624E3" w:rsidRPr="00C903F8" w:rsidRDefault="005624E3" w:rsidP="00101A80">
            <w:pPr>
              <w:spacing w:before="60" w:after="60" w:line="240" w:lineRule="atLeast"/>
              <w:rPr>
                <w:rFonts w:cs="Arial"/>
                <w:noProof/>
                <w:sz w:val="18"/>
                <w:szCs w:val="18"/>
              </w:rPr>
            </w:pPr>
            <w:r>
              <w:rPr>
                <w:noProof/>
                <w:sz w:val="18"/>
              </w:rPr>
              <w:t>Kilépő SRF</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24 órás egyesített minták</w:t>
            </w:r>
          </w:p>
        </w:tc>
        <w:tc>
          <w:tcPr>
            <w:tcW w:w="1016" w:type="dxa"/>
            <w:vAlign w:val="center"/>
          </w:tcPr>
          <w:p w:rsidR="005624E3" w:rsidRPr="00C903F8" w:rsidRDefault="005624E3" w:rsidP="00101A80">
            <w:pPr>
              <w:spacing w:before="60" w:after="60" w:line="240" w:lineRule="atLeast"/>
              <w:rPr>
                <w:rFonts w:cs="Arial"/>
                <w:noProof/>
                <w:sz w:val="18"/>
                <w:szCs w:val="18"/>
              </w:rPr>
            </w:pP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vAlign w:val="center"/>
          </w:tcPr>
          <w:p w:rsidR="005624E3" w:rsidRPr="00C903F8" w:rsidRDefault="005624E3" w:rsidP="00101A80">
            <w:pPr>
              <w:spacing w:before="60" w:after="60" w:line="240" w:lineRule="atLeast"/>
              <w:rPr>
                <w:rFonts w:cs="Arial"/>
                <w:noProof/>
                <w:sz w:val="18"/>
                <w:szCs w:val="18"/>
              </w:rPr>
            </w:pPr>
            <w:r>
              <w:rPr>
                <w:noProof/>
                <w:sz w:val="18"/>
              </w:rPr>
              <w:t>Belépő SRF</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Szúrópróbaszerű minták</w:t>
            </w:r>
          </w:p>
        </w:tc>
        <w:tc>
          <w:tcPr>
            <w:tcW w:w="1016" w:type="dxa"/>
            <w:vAlign w:val="center"/>
          </w:tcPr>
          <w:p w:rsidR="005624E3" w:rsidRPr="00C903F8" w:rsidRDefault="005624E3" w:rsidP="00101A80">
            <w:pPr>
              <w:spacing w:before="60" w:after="60" w:line="240" w:lineRule="atLeast"/>
              <w:jc w:val="center"/>
              <w:rPr>
                <w:rFonts w:cs="Arial"/>
                <w:noProof/>
                <w:sz w:val="18"/>
                <w:szCs w:val="18"/>
              </w:rPr>
            </w:pPr>
            <w:r>
              <w:rPr>
                <w:noProof/>
                <w:sz w:val="18"/>
              </w:rPr>
              <w:t>--</w:t>
            </w: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r w:rsidR="005624E3" w:rsidRPr="00C903F8" w:rsidTr="00101A80">
        <w:trPr>
          <w:jc w:val="center"/>
        </w:trPr>
        <w:tc>
          <w:tcPr>
            <w:tcW w:w="1461" w:type="dxa"/>
          </w:tcPr>
          <w:p w:rsidR="005624E3" w:rsidRPr="00C903F8" w:rsidRDefault="005624E3" w:rsidP="00101A80">
            <w:pPr>
              <w:spacing w:before="60" w:after="60" w:line="240" w:lineRule="atLeast"/>
              <w:rPr>
                <w:rFonts w:cs="Arial"/>
                <w:noProof/>
                <w:sz w:val="18"/>
                <w:szCs w:val="18"/>
              </w:rPr>
            </w:pPr>
            <w:r>
              <w:rPr>
                <w:noProof/>
                <w:sz w:val="18"/>
              </w:rPr>
              <w:t>Kilépő SRF</w:t>
            </w:r>
          </w:p>
        </w:tc>
        <w:tc>
          <w:tcPr>
            <w:tcW w:w="2325" w:type="dxa"/>
            <w:vAlign w:val="center"/>
          </w:tcPr>
          <w:p w:rsidR="005624E3" w:rsidRPr="00C903F8" w:rsidRDefault="005624E3" w:rsidP="00101A80">
            <w:pPr>
              <w:spacing w:before="60" w:after="60" w:line="240" w:lineRule="atLeast"/>
              <w:rPr>
                <w:rFonts w:cs="Arial"/>
                <w:noProof/>
                <w:sz w:val="18"/>
                <w:szCs w:val="18"/>
              </w:rPr>
            </w:pPr>
            <w:r>
              <w:rPr>
                <w:noProof/>
                <w:sz w:val="18"/>
              </w:rPr>
              <w:t>Szúrópróbaszerű minták</w:t>
            </w:r>
          </w:p>
        </w:tc>
        <w:tc>
          <w:tcPr>
            <w:tcW w:w="1016" w:type="dxa"/>
            <w:vAlign w:val="center"/>
          </w:tcPr>
          <w:p w:rsidR="005624E3" w:rsidRPr="00C903F8" w:rsidRDefault="005624E3" w:rsidP="00101A80">
            <w:pPr>
              <w:spacing w:before="60" w:after="60" w:line="240" w:lineRule="atLeast"/>
              <w:rPr>
                <w:rFonts w:cs="Arial"/>
                <w:noProof/>
                <w:sz w:val="18"/>
                <w:szCs w:val="18"/>
              </w:rPr>
            </w:pPr>
          </w:p>
        </w:tc>
        <w:tc>
          <w:tcPr>
            <w:tcW w:w="927" w:type="dxa"/>
            <w:vAlign w:val="center"/>
          </w:tcPr>
          <w:p w:rsidR="005624E3" w:rsidRPr="00C903F8" w:rsidRDefault="005624E3" w:rsidP="00101A80">
            <w:pPr>
              <w:spacing w:before="60" w:after="60" w:line="240" w:lineRule="atLeast"/>
              <w:rPr>
                <w:rFonts w:cs="Arial"/>
                <w:noProof/>
                <w:sz w:val="18"/>
                <w:szCs w:val="18"/>
              </w:rPr>
            </w:pPr>
          </w:p>
        </w:tc>
        <w:tc>
          <w:tcPr>
            <w:tcW w:w="848" w:type="dxa"/>
          </w:tcPr>
          <w:p w:rsidR="005624E3" w:rsidRPr="00C903F8" w:rsidRDefault="005624E3" w:rsidP="00101A80">
            <w:pPr>
              <w:spacing w:before="60" w:after="60" w:line="240" w:lineRule="atLeast"/>
              <w:rPr>
                <w:rFonts w:cs="Arial"/>
                <w:noProof/>
                <w:sz w:val="18"/>
                <w:szCs w:val="18"/>
              </w:rPr>
            </w:pPr>
          </w:p>
        </w:tc>
        <w:tc>
          <w:tcPr>
            <w:tcW w:w="852" w:type="dxa"/>
            <w:vAlign w:val="center"/>
          </w:tcPr>
          <w:p w:rsidR="005624E3" w:rsidRPr="00C903F8" w:rsidRDefault="005624E3" w:rsidP="00101A80">
            <w:pPr>
              <w:spacing w:before="60" w:after="60" w:line="240" w:lineRule="atLeast"/>
              <w:rPr>
                <w:rFonts w:cs="Arial"/>
                <w:noProof/>
                <w:sz w:val="18"/>
                <w:szCs w:val="18"/>
              </w:rPr>
            </w:pPr>
          </w:p>
        </w:tc>
        <w:tc>
          <w:tcPr>
            <w:tcW w:w="903" w:type="dxa"/>
            <w:vAlign w:val="center"/>
          </w:tcPr>
          <w:p w:rsidR="005624E3" w:rsidRPr="00C903F8" w:rsidRDefault="005624E3" w:rsidP="00101A80">
            <w:pPr>
              <w:spacing w:before="60" w:after="60" w:line="240" w:lineRule="atLeast"/>
              <w:rPr>
                <w:rFonts w:cs="Arial"/>
                <w:noProof/>
                <w:sz w:val="18"/>
                <w:szCs w:val="18"/>
              </w:rPr>
            </w:pPr>
          </w:p>
        </w:tc>
      </w:tr>
    </w:tbl>
    <w:p w:rsidR="005624E3" w:rsidRPr="00C903F8" w:rsidRDefault="005624E3" w:rsidP="005624E3">
      <w:pPr>
        <w:spacing w:line="240" w:lineRule="atLeast"/>
        <w:rPr>
          <w:rFonts w:cs="Arial"/>
          <w:noProof/>
          <w:color w:val="000000"/>
        </w:rPr>
      </w:pPr>
      <w:r>
        <w:br w:type="page"/>
      </w:r>
    </w:p>
    <w:p w:rsidR="005624E3" w:rsidRPr="00C903F8" w:rsidRDefault="005624E3" w:rsidP="005624E3">
      <w:pPr>
        <w:tabs>
          <w:tab w:val="left" w:pos="709"/>
        </w:tabs>
        <w:suppressAutoHyphens/>
        <w:spacing w:after="120" w:line="240" w:lineRule="atLeast"/>
        <w:ind w:left="1701" w:hanging="992"/>
        <w:rPr>
          <w:rFonts w:cs="Arial"/>
          <w:szCs w:val="20"/>
        </w:rPr>
      </w:pPr>
      <w:r>
        <w:t>3b. táblázat:</w:t>
      </w:r>
      <w:r>
        <w:tab/>
        <w:t xml:space="preserve">Az összegyűjtött adatok statisztikai feldolgozásának módja: értékelés a tisztítási hatékonyság dokumentálásához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8"/>
        <w:gridCol w:w="2325"/>
        <w:gridCol w:w="936"/>
        <w:gridCol w:w="858"/>
        <w:gridCol w:w="858"/>
      </w:tblGrid>
      <w:tr w:rsidR="005624E3" w:rsidRPr="00C903F8" w:rsidTr="00101A80">
        <w:trPr>
          <w:trHeight w:val="760"/>
          <w:jc w:val="center"/>
        </w:trPr>
        <w:tc>
          <w:tcPr>
            <w:tcW w:w="1588" w:type="dxa"/>
            <w:vAlign w:val="center"/>
          </w:tcPr>
          <w:p w:rsidR="005624E3" w:rsidRPr="00C903F8" w:rsidRDefault="005624E3" w:rsidP="00101A80">
            <w:pPr>
              <w:spacing w:before="60" w:after="60" w:line="240" w:lineRule="atLeast"/>
              <w:jc w:val="center"/>
              <w:rPr>
                <w:noProof/>
                <w:sz w:val="18"/>
                <w:szCs w:val="18"/>
              </w:rPr>
            </w:pPr>
            <w:r>
              <w:rPr>
                <w:noProof/>
                <w:sz w:val="18"/>
              </w:rPr>
              <w:t>Paraméter</w:t>
            </w:r>
          </w:p>
        </w:tc>
        <w:tc>
          <w:tcPr>
            <w:tcW w:w="2325" w:type="dxa"/>
            <w:vAlign w:val="center"/>
          </w:tcPr>
          <w:p w:rsidR="005624E3" w:rsidRPr="00C903F8" w:rsidRDefault="005624E3" w:rsidP="00101A80">
            <w:pPr>
              <w:spacing w:before="60" w:after="60" w:line="240" w:lineRule="atLeast"/>
              <w:jc w:val="center"/>
              <w:rPr>
                <w:noProof/>
                <w:sz w:val="18"/>
                <w:szCs w:val="18"/>
              </w:rPr>
            </w:pPr>
            <w:r>
              <w:rPr>
                <w:noProof/>
                <w:sz w:val="18"/>
              </w:rPr>
              <w:t>Mintavétel típusa</w:t>
            </w:r>
          </w:p>
        </w:tc>
        <w:tc>
          <w:tcPr>
            <w:tcW w:w="936" w:type="dxa"/>
            <w:vAlign w:val="center"/>
          </w:tcPr>
          <w:p w:rsidR="005624E3" w:rsidRPr="00C903F8" w:rsidRDefault="005624E3" w:rsidP="00101A80">
            <w:pPr>
              <w:spacing w:before="60" w:after="60" w:line="240" w:lineRule="atLeast"/>
              <w:jc w:val="center"/>
              <w:rPr>
                <w:noProof/>
                <w:sz w:val="18"/>
                <w:szCs w:val="18"/>
              </w:rPr>
            </w:pPr>
            <w:r>
              <w:rPr>
                <w:noProof/>
                <w:sz w:val="18"/>
              </w:rPr>
              <w:t>Átlag</w:t>
            </w:r>
          </w:p>
        </w:tc>
        <w:tc>
          <w:tcPr>
            <w:tcW w:w="858" w:type="dxa"/>
            <w:vAlign w:val="center"/>
          </w:tcPr>
          <w:p w:rsidR="005624E3" w:rsidRPr="00C903F8" w:rsidRDefault="005624E3" w:rsidP="00101A80">
            <w:pPr>
              <w:spacing w:before="60" w:after="60" w:line="240" w:lineRule="atLeast"/>
              <w:jc w:val="center"/>
              <w:rPr>
                <w:noProof/>
                <w:sz w:val="18"/>
                <w:szCs w:val="18"/>
              </w:rPr>
            </w:pPr>
            <w:r>
              <w:rPr>
                <w:noProof/>
                <w:sz w:val="18"/>
              </w:rPr>
              <w:t>Min.</w:t>
            </w:r>
          </w:p>
        </w:tc>
        <w:tc>
          <w:tcPr>
            <w:tcW w:w="858" w:type="dxa"/>
            <w:vAlign w:val="center"/>
          </w:tcPr>
          <w:p w:rsidR="005624E3" w:rsidRPr="00C903F8" w:rsidRDefault="005624E3" w:rsidP="00101A80">
            <w:pPr>
              <w:spacing w:before="60" w:after="60" w:line="240" w:lineRule="atLeast"/>
              <w:jc w:val="center"/>
              <w:rPr>
                <w:noProof/>
                <w:sz w:val="18"/>
                <w:szCs w:val="18"/>
              </w:rPr>
            </w:pPr>
            <w:r>
              <w:rPr>
                <w:noProof/>
                <w:sz w:val="18"/>
              </w:rPr>
              <w:t>Max.</w:t>
            </w:r>
          </w:p>
        </w:tc>
      </w:tr>
      <w:tr w:rsidR="005624E3" w:rsidRPr="00C903F8" w:rsidTr="00101A80">
        <w:trPr>
          <w:jc w:val="center"/>
        </w:trPr>
        <w:tc>
          <w:tcPr>
            <w:tcW w:w="1588" w:type="dxa"/>
          </w:tcPr>
          <w:p w:rsidR="005624E3" w:rsidRPr="00C903F8" w:rsidRDefault="005624E3" w:rsidP="00101A80">
            <w:pPr>
              <w:spacing w:before="60" w:after="60" w:line="240" w:lineRule="atLeast"/>
              <w:rPr>
                <w:noProof/>
                <w:sz w:val="18"/>
                <w:szCs w:val="18"/>
              </w:rPr>
            </w:pPr>
            <w:r>
              <w:rPr>
                <w:noProof/>
                <w:sz w:val="18"/>
              </w:rPr>
              <w:t xml:space="preserve">Tisztítási hatékonyság –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p>
        </w:tc>
        <w:tc>
          <w:tcPr>
            <w:tcW w:w="2325" w:type="dxa"/>
            <w:vAlign w:val="center"/>
          </w:tcPr>
          <w:p w:rsidR="005624E3" w:rsidRPr="00C903F8" w:rsidRDefault="005624E3" w:rsidP="00101A80">
            <w:pPr>
              <w:spacing w:before="60" w:after="60" w:line="240" w:lineRule="atLeast"/>
              <w:rPr>
                <w:noProof/>
                <w:sz w:val="18"/>
                <w:szCs w:val="18"/>
              </w:rPr>
            </w:pPr>
            <w:r>
              <w:rPr>
                <w:noProof/>
                <w:sz w:val="18"/>
              </w:rPr>
              <w:t>24 órás egyesített minták</w:t>
            </w:r>
          </w:p>
        </w:tc>
        <w:tc>
          <w:tcPr>
            <w:tcW w:w="936"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r>
      <w:tr w:rsidR="005624E3" w:rsidRPr="00C903F8" w:rsidTr="00101A80">
        <w:trPr>
          <w:jc w:val="center"/>
        </w:trPr>
        <w:tc>
          <w:tcPr>
            <w:tcW w:w="1588" w:type="dxa"/>
          </w:tcPr>
          <w:p w:rsidR="005624E3" w:rsidRPr="00C903F8" w:rsidRDefault="005624E3" w:rsidP="00101A80">
            <w:pPr>
              <w:spacing w:before="60" w:after="60" w:line="240" w:lineRule="atLeast"/>
              <w:rPr>
                <w:noProof/>
                <w:sz w:val="18"/>
                <w:szCs w:val="18"/>
              </w:rPr>
            </w:pPr>
            <w:r>
              <w:rPr>
                <w:noProof/>
                <w:sz w:val="18"/>
              </w:rPr>
              <w:t xml:space="preserve">Tisztítási hatékonyság –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p>
        </w:tc>
        <w:tc>
          <w:tcPr>
            <w:tcW w:w="2325" w:type="dxa"/>
            <w:vAlign w:val="center"/>
          </w:tcPr>
          <w:p w:rsidR="005624E3" w:rsidRPr="00C903F8" w:rsidRDefault="005624E3" w:rsidP="00101A80">
            <w:pPr>
              <w:spacing w:before="60" w:after="60" w:line="240" w:lineRule="atLeast"/>
              <w:rPr>
                <w:noProof/>
                <w:sz w:val="18"/>
                <w:szCs w:val="18"/>
              </w:rPr>
            </w:pPr>
            <w:r>
              <w:rPr>
                <w:noProof/>
                <w:sz w:val="18"/>
              </w:rPr>
              <w:t>Szúrópróbaszerű minták</w:t>
            </w:r>
          </w:p>
        </w:tc>
        <w:tc>
          <w:tcPr>
            <w:tcW w:w="936"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r>
      <w:tr w:rsidR="005624E3" w:rsidRPr="00C903F8" w:rsidTr="00101A80">
        <w:trPr>
          <w:jc w:val="center"/>
        </w:trPr>
        <w:tc>
          <w:tcPr>
            <w:tcW w:w="1588" w:type="dxa"/>
          </w:tcPr>
          <w:p w:rsidR="005624E3" w:rsidRPr="00C903F8" w:rsidRDefault="005624E3" w:rsidP="00101A80">
            <w:pPr>
              <w:spacing w:before="60" w:after="60" w:line="240" w:lineRule="atLeast"/>
              <w:rPr>
                <w:noProof/>
                <w:sz w:val="18"/>
                <w:szCs w:val="18"/>
              </w:rPr>
            </w:pPr>
            <w:r>
              <w:rPr>
                <w:noProof/>
                <w:sz w:val="18"/>
              </w:rPr>
              <w:t>Tisztítási hatékonyság – COD</w:t>
            </w:r>
          </w:p>
        </w:tc>
        <w:tc>
          <w:tcPr>
            <w:tcW w:w="2325" w:type="dxa"/>
          </w:tcPr>
          <w:p w:rsidR="005624E3" w:rsidRPr="00C903F8" w:rsidRDefault="005624E3" w:rsidP="00101A80">
            <w:pPr>
              <w:spacing w:before="60" w:after="60" w:line="240" w:lineRule="atLeast"/>
              <w:rPr>
                <w:noProof/>
                <w:sz w:val="18"/>
                <w:szCs w:val="18"/>
              </w:rPr>
            </w:pPr>
            <w:r>
              <w:rPr>
                <w:noProof/>
                <w:sz w:val="18"/>
              </w:rPr>
              <w:t>24 órás egyesített minták</w:t>
            </w:r>
          </w:p>
        </w:tc>
        <w:tc>
          <w:tcPr>
            <w:tcW w:w="936"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r>
      <w:tr w:rsidR="005624E3" w:rsidRPr="00C903F8" w:rsidTr="00101A80">
        <w:trPr>
          <w:jc w:val="center"/>
        </w:trPr>
        <w:tc>
          <w:tcPr>
            <w:tcW w:w="1588" w:type="dxa"/>
          </w:tcPr>
          <w:p w:rsidR="005624E3" w:rsidRPr="00C903F8" w:rsidRDefault="005624E3" w:rsidP="00101A80">
            <w:pPr>
              <w:spacing w:before="60" w:after="60" w:line="240" w:lineRule="atLeast"/>
              <w:rPr>
                <w:noProof/>
                <w:sz w:val="18"/>
                <w:szCs w:val="18"/>
              </w:rPr>
            </w:pPr>
            <w:r>
              <w:rPr>
                <w:noProof/>
                <w:sz w:val="18"/>
              </w:rPr>
              <w:t>Tisztítási hatékonyság – COD</w:t>
            </w:r>
          </w:p>
        </w:tc>
        <w:tc>
          <w:tcPr>
            <w:tcW w:w="2325" w:type="dxa"/>
          </w:tcPr>
          <w:p w:rsidR="005624E3" w:rsidRPr="00C903F8" w:rsidRDefault="005624E3" w:rsidP="00101A80">
            <w:pPr>
              <w:spacing w:before="60" w:after="60" w:line="240" w:lineRule="atLeast"/>
              <w:rPr>
                <w:noProof/>
                <w:sz w:val="18"/>
                <w:szCs w:val="18"/>
              </w:rPr>
            </w:pPr>
            <w:r>
              <w:rPr>
                <w:noProof/>
                <w:sz w:val="18"/>
              </w:rPr>
              <w:t>Szúrópróbaszerű minták</w:t>
            </w:r>
          </w:p>
        </w:tc>
        <w:tc>
          <w:tcPr>
            <w:tcW w:w="936"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r>
      <w:tr w:rsidR="005624E3" w:rsidRPr="00C903F8" w:rsidTr="00101A80">
        <w:trPr>
          <w:jc w:val="center"/>
        </w:trPr>
        <w:tc>
          <w:tcPr>
            <w:tcW w:w="1588" w:type="dxa"/>
          </w:tcPr>
          <w:p w:rsidR="005624E3" w:rsidRPr="00C903F8" w:rsidRDefault="005624E3" w:rsidP="00101A80">
            <w:pPr>
              <w:spacing w:before="60" w:after="60" w:line="240" w:lineRule="atLeast"/>
              <w:rPr>
                <w:noProof/>
                <w:sz w:val="18"/>
                <w:szCs w:val="18"/>
              </w:rPr>
            </w:pPr>
            <w:r>
              <w:rPr>
                <w:noProof/>
                <w:sz w:val="18"/>
              </w:rPr>
              <w:t>Tisztítási hatékonyság – TOC</w:t>
            </w:r>
          </w:p>
        </w:tc>
        <w:tc>
          <w:tcPr>
            <w:tcW w:w="2325" w:type="dxa"/>
          </w:tcPr>
          <w:p w:rsidR="005624E3" w:rsidRPr="00C903F8" w:rsidRDefault="005624E3" w:rsidP="00101A80">
            <w:pPr>
              <w:spacing w:before="60" w:after="60" w:line="240" w:lineRule="atLeast"/>
              <w:rPr>
                <w:noProof/>
                <w:sz w:val="18"/>
                <w:szCs w:val="18"/>
              </w:rPr>
            </w:pPr>
            <w:r>
              <w:rPr>
                <w:noProof/>
                <w:sz w:val="18"/>
              </w:rPr>
              <w:t>24 órás egyesített minták</w:t>
            </w:r>
          </w:p>
        </w:tc>
        <w:tc>
          <w:tcPr>
            <w:tcW w:w="936"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r>
      <w:tr w:rsidR="005624E3" w:rsidRPr="00C903F8" w:rsidTr="00101A80">
        <w:trPr>
          <w:jc w:val="center"/>
        </w:trPr>
        <w:tc>
          <w:tcPr>
            <w:tcW w:w="1588" w:type="dxa"/>
          </w:tcPr>
          <w:p w:rsidR="005624E3" w:rsidRPr="00C903F8" w:rsidRDefault="005624E3" w:rsidP="00101A80">
            <w:pPr>
              <w:spacing w:before="60" w:after="60" w:line="240" w:lineRule="atLeast"/>
              <w:rPr>
                <w:noProof/>
                <w:sz w:val="18"/>
                <w:szCs w:val="18"/>
              </w:rPr>
            </w:pPr>
            <w:r>
              <w:rPr>
                <w:noProof/>
                <w:sz w:val="18"/>
              </w:rPr>
              <w:t>Tisztítási hatékonyság – TOC</w:t>
            </w:r>
          </w:p>
        </w:tc>
        <w:tc>
          <w:tcPr>
            <w:tcW w:w="2325" w:type="dxa"/>
          </w:tcPr>
          <w:p w:rsidR="005624E3" w:rsidRPr="00C903F8" w:rsidRDefault="005624E3" w:rsidP="00101A80">
            <w:pPr>
              <w:spacing w:before="60" w:after="60" w:line="240" w:lineRule="atLeast"/>
              <w:rPr>
                <w:noProof/>
                <w:sz w:val="18"/>
                <w:szCs w:val="18"/>
              </w:rPr>
            </w:pPr>
            <w:r>
              <w:rPr>
                <w:noProof/>
                <w:sz w:val="18"/>
              </w:rPr>
              <w:t>Szúrópróbaszerű minták</w:t>
            </w:r>
          </w:p>
        </w:tc>
        <w:tc>
          <w:tcPr>
            <w:tcW w:w="936"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r>
      <w:tr w:rsidR="005624E3" w:rsidRPr="00C903F8" w:rsidTr="00101A80">
        <w:trPr>
          <w:jc w:val="center"/>
        </w:trPr>
        <w:tc>
          <w:tcPr>
            <w:tcW w:w="1588" w:type="dxa"/>
          </w:tcPr>
          <w:p w:rsidR="005624E3" w:rsidRPr="00C903F8" w:rsidRDefault="005624E3" w:rsidP="00101A80">
            <w:pPr>
              <w:spacing w:before="60" w:after="60" w:line="240" w:lineRule="atLeast"/>
              <w:rPr>
                <w:noProof/>
                <w:sz w:val="18"/>
                <w:szCs w:val="18"/>
              </w:rPr>
            </w:pPr>
            <w:r>
              <w:rPr>
                <w:noProof/>
                <w:sz w:val="18"/>
              </w:rPr>
              <w:t>Tisztítási hatékonyság – SRF</w:t>
            </w:r>
          </w:p>
        </w:tc>
        <w:tc>
          <w:tcPr>
            <w:tcW w:w="2325" w:type="dxa"/>
          </w:tcPr>
          <w:p w:rsidR="005624E3" w:rsidRPr="00C903F8" w:rsidRDefault="005624E3" w:rsidP="00101A80">
            <w:pPr>
              <w:spacing w:before="60" w:after="60" w:line="240" w:lineRule="atLeast"/>
              <w:rPr>
                <w:noProof/>
                <w:sz w:val="18"/>
                <w:szCs w:val="18"/>
              </w:rPr>
            </w:pPr>
            <w:r>
              <w:rPr>
                <w:noProof/>
                <w:sz w:val="18"/>
              </w:rPr>
              <w:t>24 órás egyesített minták</w:t>
            </w:r>
          </w:p>
        </w:tc>
        <w:tc>
          <w:tcPr>
            <w:tcW w:w="936"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r>
      <w:tr w:rsidR="005624E3" w:rsidRPr="00C903F8" w:rsidTr="00101A80">
        <w:trPr>
          <w:jc w:val="center"/>
        </w:trPr>
        <w:tc>
          <w:tcPr>
            <w:tcW w:w="1588" w:type="dxa"/>
          </w:tcPr>
          <w:p w:rsidR="005624E3" w:rsidRPr="00C903F8" w:rsidRDefault="005624E3" w:rsidP="00101A80">
            <w:pPr>
              <w:spacing w:before="60" w:after="60" w:line="240" w:lineRule="atLeast"/>
              <w:rPr>
                <w:noProof/>
                <w:sz w:val="18"/>
                <w:szCs w:val="18"/>
              </w:rPr>
            </w:pPr>
            <w:r>
              <w:rPr>
                <w:noProof/>
                <w:sz w:val="18"/>
              </w:rPr>
              <w:t>Tisztítási hatékonyság – SRF</w:t>
            </w:r>
          </w:p>
        </w:tc>
        <w:tc>
          <w:tcPr>
            <w:tcW w:w="2325" w:type="dxa"/>
          </w:tcPr>
          <w:p w:rsidR="005624E3" w:rsidRPr="00C903F8" w:rsidRDefault="005624E3" w:rsidP="00101A80">
            <w:pPr>
              <w:spacing w:before="60" w:after="60" w:line="240" w:lineRule="atLeast"/>
              <w:rPr>
                <w:noProof/>
                <w:sz w:val="18"/>
                <w:szCs w:val="18"/>
              </w:rPr>
            </w:pPr>
            <w:r>
              <w:rPr>
                <w:noProof/>
                <w:sz w:val="18"/>
              </w:rPr>
              <w:t>Szúrópróbaszerű minták</w:t>
            </w:r>
          </w:p>
        </w:tc>
        <w:tc>
          <w:tcPr>
            <w:tcW w:w="936"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c>
          <w:tcPr>
            <w:tcW w:w="858" w:type="dxa"/>
          </w:tcPr>
          <w:p w:rsidR="005624E3" w:rsidRPr="00C903F8" w:rsidRDefault="005624E3" w:rsidP="00101A80">
            <w:pPr>
              <w:spacing w:before="60" w:after="60" w:line="240" w:lineRule="atLeast"/>
              <w:rPr>
                <w:noProof/>
                <w:sz w:val="18"/>
                <w:szCs w:val="18"/>
              </w:rPr>
            </w:pPr>
          </w:p>
        </w:tc>
      </w:tr>
    </w:tbl>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 xml:space="preserve">A 3.3. pont b)–d) alpontja szerinti többi paramétert és a 3.3. pont szerinti üzemi paramétereket ugyancsak táblázatosan, a mintákon mért legkisebb és legnagyobb érték (min., max.), valamint a mintákon mért értékek számtani közepe (átlag) megadásával kell dokumentálni. </w:t>
      </w:r>
    </w:p>
    <w:p w:rsidR="005624E3" w:rsidRPr="00C903F8" w:rsidRDefault="005624E3" w:rsidP="005624E3">
      <w:pPr>
        <w:spacing w:line="240" w:lineRule="atLeast"/>
        <w:ind w:left="426"/>
        <w:rPr>
          <w:noProof/>
        </w:rPr>
      </w:pPr>
    </w:p>
    <w:p w:rsidR="005624E3" w:rsidRPr="00C903F8" w:rsidRDefault="005624E3" w:rsidP="005624E3">
      <w:pPr>
        <w:spacing w:line="240" w:lineRule="atLeast"/>
        <w:rPr>
          <w:rFonts w:cs="Arial"/>
          <w:noProof/>
          <w:color w:val="000000"/>
        </w:rPr>
      </w:pPr>
      <w:r>
        <w:rPr>
          <w:noProof/>
          <w:color w:val="000000"/>
        </w:rPr>
        <w:t>3.5.</w:t>
      </w:r>
      <w:r>
        <w:tab/>
      </w:r>
      <w:r>
        <w:rPr>
          <w:noProof/>
          <w:color w:val="000000"/>
        </w:rPr>
        <w:t xml:space="preserve">A 18. fejezet követelményeinek való megfelelés </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ind w:left="426"/>
        <w:rPr>
          <w:noProof/>
        </w:rPr>
      </w:pPr>
      <w:r>
        <w:t xml:space="preserve">A 18.01. cikk 2. bekezdésének 1. és 2. táblázatában előírt határértékek akkor tekinthetők teljesítettnek, ha a COD, a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xml:space="preserve"> és a TOC paraméter tekintetében külön-külön:</w:t>
      </w:r>
    </w:p>
    <w:p w:rsidR="005624E3" w:rsidRPr="00C903F8" w:rsidRDefault="005624E3" w:rsidP="005624E3">
      <w:pPr>
        <w:spacing w:before="60" w:line="240" w:lineRule="atLeast"/>
        <w:ind w:left="851"/>
        <w:rPr>
          <w:rFonts w:cs="Arial"/>
          <w:noProof/>
        </w:rPr>
      </w:pPr>
      <w:r>
        <w:t>a)</w:t>
      </w:r>
      <w:r>
        <w:tab/>
        <w:t xml:space="preserve">a kilépő anyagból vett mind a 14 minta mérési eredményének átlagai, valamint </w:t>
      </w:r>
    </w:p>
    <w:p w:rsidR="005624E3" w:rsidRPr="00C903F8" w:rsidRDefault="005624E3" w:rsidP="005624E3">
      <w:pPr>
        <w:spacing w:before="60" w:line="240" w:lineRule="atLeast"/>
        <w:ind w:left="851"/>
        <w:rPr>
          <w:rFonts w:cs="Arial"/>
          <w:noProof/>
        </w:rPr>
      </w:pPr>
      <w:r>
        <w:t>b)</w:t>
      </w:r>
      <w:r>
        <w:tab/>
        <w:t>a kilépő anyagból vett 14 mintából legalább 10 esetében a mérési eredmények nem lépik túl a 24 órás egyesített mintákhoz, illetve a szúrópróbaszerű mintákhoz tartozó határértékeket.</w:t>
      </w:r>
    </w:p>
    <w:p w:rsidR="005624E3" w:rsidRPr="00C903F8" w:rsidRDefault="005624E3" w:rsidP="005624E3">
      <w:pPr>
        <w:spacing w:line="240" w:lineRule="atLeast"/>
        <w:ind w:left="426"/>
        <w:rPr>
          <w:noProof/>
        </w:rPr>
      </w:pPr>
    </w:p>
    <w:p w:rsidR="005624E3" w:rsidRPr="00C903F8" w:rsidRDefault="005624E3" w:rsidP="005624E3">
      <w:pPr>
        <w:spacing w:line="240" w:lineRule="atLeast"/>
        <w:rPr>
          <w:rFonts w:cs="Arial"/>
          <w:noProof/>
          <w:color w:val="000000"/>
        </w:rPr>
      </w:pPr>
      <w:r>
        <w:rPr>
          <w:noProof/>
          <w:color w:val="000000"/>
        </w:rPr>
        <w:t>3.6.</w:t>
      </w:r>
      <w:r>
        <w:tab/>
      </w:r>
      <w:r>
        <w:rPr>
          <w:noProof/>
          <w:color w:val="000000"/>
        </w:rPr>
        <w:t xml:space="preserve">Üzemeltetés és karbantartás a vizsgálatok közben </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 xml:space="preserve">A teszt-szennyvízkezelőművet a vizsgálatok teljes időtartama alatt a gyártó utasításainak megfelelően kell üzemeltetni. A gyártó üzemeltetési és karbantartási utasításainak megfelelően rutinellenőrzéseket és karbantartást kell végezni. A biológiai tisztítás során keletkező, feleslegessé vált szennyvíziszap akkor távolítható el a fedélzeti szennyvízkezelő műből, ha a gyártó üzemeltetési és karbantartási utasításai így rendelkeznek. A műszaki szolgálat mindennemű karbantartási műveletet köteles feljegyezni és a vizsgálati jegyzőkönyvben dokumentálni. A vizsgálatok időtartama alatt illetéktelenek nem férhetnek hozzá a teszt-szennyvízkezelőműhöz. </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br w:type="page"/>
      </w:r>
    </w:p>
    <w:p w:rsidR="005624E3" w:rsidRPr="00C903F8" w:rsidRDefault="005624E3" w:rsidP="005624E3">
      <w:pPr>
        <w:spacing w:line="240" w:lineRule="atLeast"/>
        <w:rPr>
          <w:rFonts w:cs="Arial"/>
          <w:noProof/>
          <w:color w:val="000000"/>
        </w:rPr>
      </w:pPr>
      <w:r>
        <w:rPr>
          <w:noProof/>
          <w:color w:val="000000"/>
        </w:rPr>
        <w:t>3.7.</w:t>
      </w:r>
      <w:r>
        <w:tab/>
      </w:r>
      <w:r>
        <w:rPr>
          <w:noProof/>
          <w:color w:val="000000"/>
        </w:rPr>
        <w:t>A minták elemzése / az elemzés módja</w:t>
      </w:r>
    </w:p>
    <w:p w:rsidR="005624E3" w:rsidRPr="00C903F8" w:rsidRDefault="005624E3" w:rsidP="005624E3">
      <w:pPr>
        <w:spacing w:line="240" w:lineRule="atLeast"/>
        <w:ind w:left="426"/>
        <w:rPr>
          <w:noProof/>
        </w:rPr>
      </w:pPr>
    </w:p>
    <w:p w:rsidR="005624E3" w:rsidRPr="00C903F8" w:rsidRDefault="005624E3" w:rsidP="005624E3">
      <w:pPr>
        <w:spacing w:line="240" w:lineRule="atLeast"/>
        <w:ind w:left="426"/>
        <w:rPr>
          <w:noProof/>
        </w:rPr>
      </w:pPr>
      <w:r>
        <w:t>A vizsgálandó paramétereket jóváhagyott szabványos eljárások útján kell elemezni. Az alkalmazott szabványos eljárást dokumentálni kell.</w:t>
      </w:r>
    </w:p>
    <w:p w:rsidR="005624E3" w:rsidRPr="00C903F8" w:rsidRDefault="005624E3" w:rsidP="005624E3">
      <w:pPr>
        <w:spacing w:line="240" w:lineRule="atLeast"/>
        <w:ind w:left="426"/>
        <w:rPr>
          <w:noProof/>
        </w:rPr>
      </w:pPr>
    </w:p>
    <w:p w:rsidR="005624E3" w:rsidRPr="001E2A58" w:rsidRDefault="005624E3" w:rsidP="005624E3">
      <w:pPr>
        <w:spacing w:line="240" w:lineRule="atLeast"/>
        <w:rPr>
          <w:rFonts w:cs="Arial"/>
          <w:b/>
          <w:noProof/>
          <w:color w:val="000000"/>
        </w:rPr>
      </w:pPr>
      <w:r>
        <w:rPr>
          <w:b/>
          <w:noProof/>
          <w:color w:val="000000"/>
        </w:rPr>
        <w:t>4.</w:t>
      </w:r>
      <w:r>
        <w:tab/>
      </w:r>
      <w:r>
        <w:rPr>
          <w:b/>
          <w:noProof/>
          <w:color w:val="000000"/>
        </w:rPr>
        <w:t>Vizsgálati jelentés</w:t>
      </w:r>
    </w:p>
    <w:p w:rsidR="005624E3" w:rsidRPr="00C903F8" w:rsidRDefault="005624E3" w:rsidP="005624E3">
      <w:pPr>
        <w:spacing w:line="240" w:lineRule="atLeast"/>
        <w:rPr>
          <w:rFonts w:cs="Arial"/>
          <w:noProof/>
          <w:color w:val="000000"/>
        </w:rPr>
      </w:pPr>
    </w:p>
    <w:p w:rsidR="005624E3" w:rsidRPr="00C903F8" w:rsidRDefault="005624E3" w:rsidP="005624E3">
      <w:pPr>
        <w:spacing w:line="240" w:lineRule="atLeast"/>
        <w:rPr>
          <w:rFonts w:cs="Arial"/>
          <w:noProof/>
          <w:color w:val="000000"/>
        </w:rPr>
      </w:pPr>
      <w:r>
        <w:rPr>
          <w:noProof/>
          <w:color w:val="000000"/>
        </w:rPr>
        <w:t>4.1.</w:t>
      </w:r>
      <w:r>
        <w:tab/>
      </w:r>
      <w:r>
        <w:rPr>
          <w:noProof/>
          <w:color w:val="000000"/>
        </w:rPr>
        <w:t>A műszaki szolgálat jelentést készít a végrehajtott típuspróbáról. A jelentésnek legalább a következő információkat kell tartalmaznia:</w:t>
      </w:r>
    </w:p>
    <w:p w:rsidR="005624E3" w:rsidRPr="00C903F8" w:rsidRDefault="005624E3" w:rsidP="005624E3">
      <w:pPr>
        <w:spacing w:before="60" w:line="240" w:lineRule="atLeast"/>
        <w:ind w:left="851"/>
        <w:rPr>
          <w:rFonts w:cs="Arial"/>
          <w:noProof/>
        </w:rPr>
      </w:pPr>
      <w:r>
        <w:t>a)</w:t>
      </w:r>
      <w:r>
        <w:tab/>
        <w:t>a vizsgált szennyvízkezelő mű adatai, például típus, a névleges napi szennyezésterhelésre vonatkozó adatok, a gyártó által követett méretezési elvek;</w:t>
      </w:r>
    </w:p>
    <w:p w:rsidR="005624E3" w:rsidRPr="00C903F8" w:rsidRDefault="005624E3" w:rsidP="005624E3">
      <w:pPr>
        <w:spacing w:before="60" w:line="240" w:lineRule="atLeast"/>
        <w:ind w:left="851"/>
        <w:rPr>
          <w:rFonts w:cs="Arial"/>
          <w:noProof/>
        </w:rPr>
      </w:pPr>
      <w:r>
        <w:t>b)</w:t>
      </w:r>
      <w:r>
        <w:tab/>
        <w:t>a vizsgált fedélzeti szennyvízkezelő mű megfelelőségére vonatkozó információk a vizsgálathoz rendelkezésre bocsátott dokumentációval együtt;</w:t>
      </w:r>
    </w:p>
    <w:p w:rsidR="005624E3" w:rsidRPr="00C903F8" w:rsidRDefault="005624E3" w:rsidP="005624E3">
      <w:pPr>
        <w:spacing w:before="60" w:line="240" w:lineRule="atLeast"/>
        <w:ind w:left="851"/>
        <w:rPr>
          <w:rFonts w:cs="Arial"/>
          <w:noProof/>
        </w:rPr>
      </w:pPr>
      <w:r>
        <w:t>c)</w:t>
      </w:r>
      <w:r>
        <w:tab/>
        <w:t>az egyenkénti mérési eredményekkel, a szennyvízkezelő mű tisztítási hatékonyságának kiértékelésével, valamint a kilépő anyagra vonatkozó határértékeknek való megfeleléssel kapcsolatos információk;</w:t>
      </w:r>
    </w:p>
    <w:p w:rsidR="005624E3" w:rsidRPr="00C903F8" w:rsidRDefault="005624E3" w:rsidP="005624E3">
      <w:pPr>
        <w:spacing w:before="60" w:line="240" w:lineRule="atLeast"/>
        <w:ind w:left="851"/>
        <w:rPr>
          <w:rFonts w:cs="Arial"/>
          <w:noProof/>
        </w:rPr>
      </w:pPr>
      <w:r>
        <w:t>d)</w:t>
      </w:r>
      <w:r>
        <w:tab/>
        <w:t>a feleslegessé vált szennyvíziszap eltávolítására vonatkozó adatok, például az eltávolított mennyiségek nagysága és az eltávolítás gyakorisága;</w:t>
      </w:r>
    </w:p>
    <w:p w:rsidR="005624E3" w:rsidRPr="00C903F8" w:rsidRDefault="005624E3" w:rsidP="005624E3">
      <w:pPr>
        <w:spacing w:before="60" w:line="240" w:lineRule="atLeast"/>
        <w:ind w:left="851"/>
        <w:rPr>
          <w:rFonts w:cs="Arial"/>
          <w:noProof/>
        </w:rPr>
      </w:pPr>
      <w:r>
        <w:t>e)</w:t>
      </w:r>
      <w:r>
        <w:tab/>
        <w:t>a vizsgálat időtartama alatt végrehajtott valamennyi üzemeltetési, karbantartási és javítási műveletre vonatkozó információk;</w:t>
      </w:r>
    </w:p>
    <w:p w:rsidR="005624E3" w:rsidRPr="00C903F8" w:rsidRDefault="005624E3" w:rsidP="005624E3">
      <w:pPr>
        <w:spacing w:before="60" w:line="240" w:lineRule="atLeast"/>
        <w:ind w:left="851"/>
        <w:rPr>
          <w:rFonts w:cs="Arial"/>
          <w:noProof/>
        </w:rPr>
      </w:pPr>
      <w:r>
        <w:t>f)</w:t>
      </w:r>
      <w:r>
        <w:tab/>
        <w:t>a fedélzeti szennyvízkezelő művön megfigyelt esetleges állapotromlásokra, valamint a vizsgálatok esetleges megszakításaira vonatkozó információk;</w:t>
      </w:r>
    </w:p>
    <w:p w:rsidR="005624E3" w:rsidRPr="00C903F8" w:rsidRDefault="005624E3" w:rsidP="005624E3">
      <w:pPr>
        <w:spacing w:before="60" w:line="240" w:lineRule="atLeast"/>
        <w:ind w:left="851"/>
        <w:rPr>
          <w:rFonts w:cs="Arial"/>
          <w:noProof/>
        </w:rPr>
      </w:pPr>
      <w:r>
        <w:t>g)</w:t>
      </w:r>
      <w:r>
        <w:tab/>
        <w:t>a vizsgálat során felmerült esetleges problémákra vonatkozó információk;</w:t>
      </w:r>
    </w:p>
    <w:p w:rsidR="005624E3" w:rsidRPr="00C903F8" w:rsidRDefault="005624E3" w:rsidP="005624E3">
      <w:pPr>
        <w:spacing w:before="60" w:line="240" w:lineRule="atLeast"/>
        <w:ind w:left="851"/>
        <w:rPr>
          <w:rFonts w:cs="Arial"/>
          <w:noProof/>
        </w:rPr>
      </w:pPr>
      <w:r>
        <w:t>h)</w:t>
      </w:r>
      <w:r>
        <w:tab/>
        <w:t>a fedélzeti szennyvízkezelő mű típusvizsgálatában részt vevő felelős személyek jegyzéke név és beosztás megjelölésével;</w:t>
      </w:r>
    </w:p>
    <w:p w:rsidR="005624E3" w:rsidRPr="00C903F8" w:rsidRDefault="005624E3" w:rsidP="005624E3">
      <w:pPr>
        <w:spacing w:before="60" w:line="240" w:lineRule="atLeast"/>
        <w:ind w:left="851"/>
        <w:rPr>
          <w:rFonts w:cs="Arial"/>
          <w:noProof/>
        </w:rPr>
      </w:pPr>
      <w:r>
        <w:t>i)</w:t>
      </w:r>
      <w:r>
        <w:tab/>
        <w:t>a szennyvízminták analízisét végző laboratórium neve és címe;</w:t>
      </w:r>
    </w:p>
    <w:p w:rsidR="005624E3" w:rsidRPr="00C903F8" w:rsidRDefault="005624E3" w:rsidP="005624E3">
      <w:pPr>
        <w:spacing w:before="60" w:line="240" w:lineRule="atLeast"/>
        <w:ind w:left="851"/>
        <w:rPr>
          <w:rFonts w:cs="Arial"/>
          <w:noProof/>
        </w:rPr>
      </w:pPr>
      <w:r>
        <w:t>j)</w:t>
      </w:r>
      <w:r>
        <w:tab/>
        <w:t>az alkalmazott analitikai módszerek.</w:t>
      </w:r>
    </w:p>
    <w:p w:rsidR="005624E3" w:rsidRPr="00C903F8" w:rsidRDefault="005624E3" w:rsidP="005624E3">
      <w:pPr>
        <w:spacing w:before="60" w:line="240" w:lineRule="atLeast"/>
        <w:ind w:left="851"/>
        <w:rPr>
          <w:rFonts w:cs="Arial"/>
          <w:noProof/>
          <w:szCs w:val="20"/>
        </w:rPr>
      </w:pPr>
    </w:p>
    <w:p w:rsidR="005624E3" w:rsidRPr="00C903F8" w:rsidRDefault="005624E3" w:rsidP="005624E3">
      <w:pPr>
        <w:tabs>
          <w:tab w:val="left" w:pos="1021"/>
          <w:tab w:val="center" w:pos="8080"/>
        </w:tabs>
        <w:suppressAutoHyphens/>
        <w:spacing w:line="240" w:lineRule="atLeast"/>
        <w:rPr>
          <w:rFonts w:cs="Arial"/>
          <w:szCs w:val="20"/>
        </w:rPr>
      </w:pPr>
      <w:r>
        <w:br w:type="page"/>
      </w:r>
    </w:p>
    <w:p w:rsidR="005624E3" w:rsidRPr="00C903F8" w:rsidRDefault="005624E3" w:rsidP="005624E3">
      <w:pPr>
        <w:suppressAutoHyphens/>
        <w:spacing w:line="240" w:lineRule="atLeast"/>
        <w:jc w:val="center"/>
        <w:rPr>
          <w:rFonts w:cs="Arial"/>
          <w:b/>
        </w:rPr>
      </w:pPr>
      <w:r>
        <w:rPr>
          <w:b/>
        </w:rPr>
        <w:t>1. függelék</w:t>
      </w:r>
    </w:p>
    <w:p w:rsidR="005624E3" w:rsidRPr="00C903F8" w:rsidRDefault="005624E3" w:rsidP="005624E3">
      <w:pPr>
        <w:tabs>
          <w:tab w:val="left" w:pos="1021"/>
          <w:tab w:val="center" w:pos="8080"/>
        </w:tabs>
        <w:suppressAutoHyphens/>
        <w:spacing w:line="240" w:lineRule="atLeast"/>
        <w:jc w:val="center"/>
        <w:rPr>
          <w:rFonts w:cs="Arial"/>
          <w:b/>
        </w:rPr>
      </w:pPr>
      <w:r>
        <w:rPr>
          <w:b/>
        </w:rPr>
        <w:t>Példák vizsgálati programokra</w:t>
      </w:r>
    </w:p>
    <w:p w:rsidR="005624E3" w:rsidRPr="00C903F8" w:rsidRDefault="005624E3" w:rsidP="005624E3">
      <w:pPr>
        <w:tabs>
          <w:tab w:val="left" w:pos="1021"/>
          <w:tab w:val="center" w:pos="8080"/>
        </w:tabs>
        <w:suppressAutoHyphens/>
        <w:spacing w:line="240" w:lineRule="atLeast"/>
        <w:rPr>
          <w:rFonts w:cs="Arial"/>
          <w:b/>
        </w:rPr>
      </w:pPr>
    </w:p>
    <w:p w:rsidR="005624E3" w:rsidRPr="00C903F8" w:rsidRDefault="005624E3" w:rsidP="005624E3">
      <w:pPr>
        <w:tabs>
          <w:tab w:val="left" w:leader="dot" w:pos="9072"/>
        </w:tabs>
        <w:spacing w:line="240" w:lineRule="atLeast"/>
        <w:rPr>
          <w:rFonts w:cs="Arial"/>
        </w:rPr>
      </w:pPr>
      <w:r>
        <w:rPr>
          <w:rFonts w:cs="Arial"/>
          <w:b/>
          <w:noProof/>
        </w:rPr>
        <mc:AlternateContent>
          <mc:Choice Requires="wps">
            <w:drawing>
              <wp:anchor distT="0" distB="0" distL="114300" distR="114300" simplePos="0" relativeHeight="251676672" behindDoc="0" locked="0" layoutInCell="1" allowOverlap="1" wp14:anchorId="14DC04FE" wp14:editId="57B843E3">
                <wp:simplePos x="0" y="0"/>
                <wp:positionH relativeFrom="column">
                  <wp:posOffset>1606550</wp:posOffset>
                </wp:positionH>
                <wp:positionV relativeFrom="paragraph">
                  <wp:posOffset>574675</wp:posOffset>
                </wp:positionV>
                <wp:extent cx="386715" cy="349250"/>
                <wp:effectExtent l="0" t="0" r="0" b="0"/>
                <wp:wrapNone/>
                <wp:docPr id="2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Túl-</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3" o:spid="_x0000_s1027" type="#_x0000_t202" style="position:absolute;margin-left:126.5pt;margin-top:45.25pt;width:30.45pt;height: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PGOhQIAAAw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" fillcolor="#37eb29" stroked="f">
                <v:textbox inset="0,1mm,0,0">
                  <w:txbxContent>
                    <w:p w:rsidR="00842442" w:rsidRPr="00FA5168" w:rsidRDefault="00842442" w:rsidP="005624E3">
                      <w:pPr>
                        <w:jc w:val="center"/>
                        <w:rPr>
                          <w:sz w:val="16"/>
                        </w:rPr>
                      </w:pPr>
                      <w:r>
                        <w:rPr>
                          <w:sz w:val="16"/>
                        </w:rPr>
                        <w:t>Túl-</w:t>
                      </w:r>
                      <w:r>
                        <w:rPr>
                          <w:sz w:val="16"/>
                        </w:rPr>
                        <w:br/>
                        <w:t>terhelés</w:t>
                      </w:r>
                    </w:p>
                  </w:txbxContent>
                </v:textbox>
              </v:shape>
            </w:pict>
          </mc:Fallback>
        </mc:AlternateContent>
      </w:r>
      <w:r>
        <w:rPr>
          <w:rFonts w:cs="Arial"/>
          <w:b/>
          <w:noProof/>
        </w:rPr>
        <mc:AlternateContent>
          <mc:Choice Requires="wps">
            <w:drawing>
              <wp:anchor distT="0" distB="0" distL="114300" distR="114300" simplePos="0" relativeHeight="251677696" behindDoc="0" locked="0" layoutInCell="1" allowOverlap="1" wp14:anchorId="53113D78" wp14:editId="577014E9">
                <wp:simplePos x="0" y="0"/>
                <wp:positionH relativeFrom="column">
                  <wp:posOffset>2813685</wp:posOffset>
                </wp:positionH>
                <wp:positionV relativeFrom="paragraph">
                  <wp:posOffset>573405</wp:posOffset>
                </wp:positionV>
                <wp:extent cx="386715" cy="349250"/>
                <wp:effectExtent l="0" t="0" r="0" b="0"/>
                <wp:wrapNone/>
                <wp:docPr id="2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Részleges</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4" o:spid="_x0000_s1028" type="#_x0000_t202" style="position:absolute;margin-left:221.55pt;margin-top:45.15pt;width:30.45pt;height: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" fillcolor="#37eb29" stroked="f">
                <v:textbox inset="0,1mm,0,0">
                  <w:txbxContent>
                    <w:p w:rsidR="00842442" w:rsidRPr="00FA5168" w:rsidRDefault="00842442" w:rsidP="005624E3">
                      <w:pPr>
                        <w:jc w:val="center"/>
                        <w:rPr>
                          <w:sz w:val="16"/>
                        </w:rPr>
                      </w:pPr>
                      <w:r>
                        <w:rPr>
                          <w:sz w:val="16"/>
                        </w:rPr>
                        <w:t>Részleges</w:t>
                      </w:r>
                      <w:r>
                        <w:rPr>
                          <w:sz w:val="16"/>
                        </w:rPr>
                        <w:br/>
                        <w:t>terhelés</w:t>
                      </w:r>
                    </w:p>
                  </w:txbxContent>
                </v:textbox>
              </v:shape>
            </w:pict>
          </mc:Fallback>
        </mc:AlternateContent>
      </w:r>
      <w:r>
        <w:rPr>
          <w:rFonts w:cs="Arial"/>
          <w:b/>
          <w:noProof/>
        </w:rPr>
        <mc:AlternateContent>
          <mc:Choice Requires="wps">
            <w:drawing>
              <wp:anchor distT="0" distB="0" distL="114300" distR="114300" simplePos="0" relativeHeight="251675648" behindDoc="0" locked="0" layoutInCell="1" allowOverlap="1" wp14:anchorId="01DF1334" wp14:editId="65F05C39">
                <wp:simplePos x="0" y="0"/>
                <wp:positionH relativeFrom="column">
                  <wp:posOffset>213995</wp:posOffset>
                </wp:positionH>
                <wp:positionV relativeFrom="paragraph">
                  <wp:posOffset>813435</wp:posOffset>
                </wp:positionV>
                <wp:extent cx="300355" cy="2115820"/>
                <wp:effectExtent l="0" t="0" r="4445" b="0"/>
                <wp:wrapNone/>
                <wp:docPr id="30"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9734D" w:rsidRDefault="00842442" w:rsidP="005624E3">
                            <w:pPr>
                              <w:jc w:val="center"/>
                              <w:rPr>
                                <w:b/>
                                <w:color w:val="0070C0"/>
                              </w:rPr>
                            </w:pPr>
                            <w:r>
                              <w:rPr>
                                <w:b/>
                                <w:color w:val="0070C0"/>
                              </w:rPr>
                              <w:t>Q</w:t>
                            </w:r>
                            <w:r>
                              <w:rPr>
                                <w:b/>
                                <w:color w:val="0070C0"/>
                                <w:vertAlign w:val="subscript"/>
                              </w:rPr>
                              <w:t>d</w:t>
                            </w:r>
                            <w:r>
                              <w:rPr>
                                <w:b/>
                                <w:color w:val="0070C0"/>
                              </w:rPr>
                              <w:t xml:space="preserve"> hidraulikai terhelés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6" o:spid="_x0000_s1029" type="#_x0000_t202" style="position:absolute;margin-left:16.85pt;margin-top:64.05pt;width:23.65pt;height:16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" stroked="f">
                <v:textbox style="layout-flow:vertical;mso-layout-flow-alt:bottom-to-top" inset="0,0,0,0">
                  <w:txbxContent>
                    <w:p w:rsidR="00842442" w:rsidRPr="00F9734D" w:rsidRDefault="00842442" w:rsidP="005624E3">
                      <w:pPr>
                        <w:jc w:val="center"/>
                        <w:rPr>
                          <w:b/>
                          <w:color w:val="0070C0"/>
                        </w:rPr>
                      </w:pPr>
                      <w:r>
                        <w:rPr>
                          <w:b/>
                          <w:color w:val="0070C0"/>
                        </w:rPr>
                        <w:t>Q</w:t>
                      </w:r>
                      <w:r>
                        <w:rPr>
                          <w:b/>
                          <w:color w:val="0070C0"/>
                          <w:vertAlign w:val="subscript"/>
                        </w:rPr>
                        <w:t>d</w:t>
                      </w:r>
                      <w:r>
                        <w:rPr>
                          <w:b/>
                          <w:color w:val="0070C0"/>
                        </w:rPr>
                        <w:t xml:space="preserve"> hidraulikai terhelés [%]</w:t>
                      </w:r>
                    </w:p>
                  </w:txbxContent>
                </v:textbox>
              </v:shape>
            </w:pict>
          </mc:Fallback>
        </mc:AlternateContent>
      </w:r>
      <w:r>
        <w:rPr>
          <w:rFonts w:cs="Arial"/>
          <w:b/>
          <w:noProof/>
        </w:rPr>
        <mc:AlternateContent>
          <mc:Choice Requires="wps">
            <w:drawing>
              <wp:anchor distT="0" distB="0" distL="114300" distR="114300" simplePos="0" relativeHeight="251674624" behindDoc="0" locked="0" layoutInCell="1" allowOverlap="1" wp14:anchorId="510EE89A" wp14:editId="43FE2A05">
                <wp:simplePos x="0" y="0"/>
                <wp:positionH relativeFrom="column">
                  <wp:posOffset>4683760</wp:posOffset>
                </wp:positionH>
                <wp:positionV relativeFrom="paragraph">
                  <wp:posOffset>569595</wp:posOffset>
                </wp:positionV>
                <wp:extent cx="539115" cy="349250"/>
                <wp:effectExtent l="0" t="0" r="0" b="0"/>
                <wp:wrapNone/>
                <wp:docPr id="38"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 xml:space="preserve">Szokásos </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5" o:spid="_x0000_s1030" type="#_x0000_t202" style="position:absolute;margin-left:368.8pt;margin-top:44.85pt;width:42.45pt;height:2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" fillcolor="#59bb9a" stroked="f">
                <v:textbox inset="0,1mm,0,0">
                  <w:txbxContent>
                    <w:p w:rsidR="00842442" w:rsidRPr="00FA5168" w:rsidRDefault="00842442" w:rsidP="005624E3">
                      <w:pPr>
                        <w:jc w:val="center"/>
                        <w:rPr>
                          <w:sz w:val="16"/>
                        </w:rPr>
                      </w:pPr>
                      <w:r>
                        <w:rPr>
                          <w:sz w:val="16"/>
                        </w:rPr>
                        <w:t xml:space="preserve">Szokásos </w:t>
                      </w:r>
                      <w:r>
                        <w:rPr>
                          <w:sz w:val="16"/>
                        </w:rPr>
                        <w:br/>
                        <w:t>terhelés</w:t>
                      </w:r>
                    </w:p>
                  </w:txbxContent>
                </v:textbox>
              </v:shape>
            </w:pict>
          </mc:Fallback>
        </mc:AlternateContent>
      </w:r>
      <w:r>
        <w:rPr>
          <w:rFonts w:cs="Arial"/>
          <w:b/>
          <w:noProof/>
        </w:rPr>
        <mc:AlternateContent>
          <mc:Choice Requires="wps">
            <w:drawing>
              <wp:anchor distT="0" distB="0" distL="114300" distR="114300" simplePos="0" relativeHeight="251673600" behindDoc="0" locked="0" layoutInCell="1" allowOverlap="1" wp14:anchorId="089EE600" wp14:editId="52EA3BDB">
                <wp:simplePos x="0" y="0"/>
                <wp:positionH relativeFrom="column">
                  <wp:posOffset>3332480</wp:posOffset>
                </wp:positionH>
                <wp:positionV relativeFrom="paragraph">
                  <wp:posOffset>569595</wp:posOffset>
                </wp:positionV>
                <wp:extent cx="539115" cy="349250"/>
                <wp:effectExtent l="0" t="0" r="0" b="0"/>
                <wp:wrapNone/>
                <wp:docPr id="42"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 xml:space="preserve">Szokásos </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4" o:spid="_x0000_s1031" type="#_x0000_t202" style="position:absolute;margin-left:262.4pt;margin-top:44.85pt;width:42.45pt;height:2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" fillcolor="#59bb9a" stroked="f">
                <v:textbox inset="0,1mm,0,0">
                  <w:txbxContent>
                    <w:p w:rsidR="00842442" w:rsidRPr="00FA5168" w:rsidRDefault="00842442" w:rsidP="005624E3">
                      <w:pPr>
                        <w:jc w:val="center"/>
                        <w:rPr>
                          <w:sz w:val="16"/>
                        </w:rPr>
                      </w:pPr>
                      <w:r>
                        <w:rPr>
                          <w:sz w:val="16"/>
                        </w:rPr>
                        <w:t xml:space="preserve">Szokásos </w:t>
                      </w:r>
                      <w:r>
                        <w:rPr>
                          <w:sz w:val="16"/>
                        </w:rPr>
                        <w:br/>
                        <w:t>terhelés</w:t>
                      </w:r>
                    </w:p>
                  </w:txbxContent>
                </v:textbox>
              </v:shape>
            </w:pict>
          </mc:Fallback>
        </mc:AlternateContent>
      </w:r>
      <w:r>
        <w:rPr>
          <w:rFonts w:cs="Arial"/>
          <w:noProof/>
          <w:szCs w:val="20"/>
        </w:rPr>
        <mc:AlternateContent>
          <mc:Choice Requires="wps">
            <w:drawing>
              <wp:anchor distT="0" distB="0" distL="114300" distR="114300" simplePos="0" relativeHeight="251672576" behindDoc="0" locked="0" layoutInCell="1" allowOverlap="1" wp14:anchorId="7F0720B0" wp14:editId="4F7E01DD">
                <wp:simplePos x="0" y="0"/>
                <wp:positionH relativeFrom="column">
                  <wp:posOffset>2131695</wp:posOffset>
                </wp:positionH>
                <wp:positionV relativeFrom="paragraph">
                  <wp:posOffset>569595</wp:posOffset>
                </wp:positionV>
                <wp:extent cx="539115" cy="349250"/>
                <wp:effectExtent l="0" t="0" r="0" b="0"/>
                <wp:wrapNone/>
                <wp:docPr id="45"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 xml:space="preserve">Szokásos </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3" o:spid="_x0000_s1032" type="#_x0000_t202" style="position:absolute;margin-left:167.85pt;margin-top:44.85pt;width:42.45pt;height:2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" fillcolor="#59bb9a" stroked="f">
                <v:textbox inset="0,1mm,0,0">
                  <w:txbxContent>
                    <w:p w:rsidR="00842442" w:rsidRPr="00FA5168" w:rsidRDefault="00842442" w:rsidP="005624E3">
                      <w:pPr>
                        <w:jc w:val="center"/>
                        <w:rPr>
                          <w:sz w:val="16"/>
                        </w:rPr>
                      </w:pPr>
                      <w:r>
                        <w:rPr>
                          <w:sz w:val="16"/>
                        </w:rPr>
                        <w:t xml:space="preserve">Szokásos </w:t>
                      </w:r>
                      <w:r>
                        <w:rPr>
                          <w:sz w:val="16"/>
                        </w:rPr>
                        <w:br/>
                        <w:t>terhelés</w:t>
                      </w:r>
                    </w:p>
                  </w:txbxContent>
                </v:textbox>
              </v:shape>
            </w:pict>
          </mc:Fallback>
        </mc:AlternateContent>
      </w:r>
      <w:r>
        <w:rPr>
          <w:rFonts w:cs="Arial"/>
          <w:noProof/>
          <w:szCs w:val="20"/>
        </w:rPr>
        <mc:AlternateContent>
          <mc:Choice Requires="wps">
            <w:drawing>
              <wp:anchor distT="0" distB="0" distL="114300" distR="114300" simplePos="0" relativeHeight="251671552" behindDoc="0" locked="0" layoutInCell="1" allowOverlap="1" wp14:anchorId="301A53C7" wp14:editId="7D0CC09F">
                <wp:simplePos x="0" y="0"/>
                <wp:positionH relativeFrom="column">
                  <wp:posOffset>928370</wp:posOffset>
                </wp:positionH>
                <wp:positionV relativeFrom="paragraph">
                  <wp:posOffset>569595</wp:posOffset>
                </wp:positionV>
                <wp:extent cx="539115" cy="349250"/>
                <wp:effectExtent l="0" t="0" r="0" b="0"/>
                <wp:wrapNone/>
                <wp:docPr id="4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 xml:space="preserve">Szokásos </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2" o:spid="_x0000_s1033" type="#_x0000_t202" style="position:absolute;margin-left:73.1pt;margin-top:44.85pt;width:42.45pt;height: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" fillcolor="#59bb9a" stroked="f">
                <v:textbox inset="0,1mm,0,0">
                  <w:txbxContent>
                    <w:p w:rsidR="00842442" w:rsidRPr="00FA5168" w:rsidRDefault="00842442" w:rsidP="005624E3">
                      <w:pPr>
                        <w:jc w:val="center"/>
                        <w:rPr>
                          <w:sz w:val="16"/>
                        </w:rPr>
                      </w:pPr>
                      <w:r>
                        <w:rPr>
                          <w:sz w:val="16"/>
                        </w:rPr>
                        <w:t xml:space="preserve">Szokásos </w:t>
                      </w:r>
                      <w:r>
                        <w:rPr>
                          <w:sz w:val="16"/>
                        </w:rPr>
                        <w:br/>
                        <w:t>terhelés</w:t>
                      </w:r>
                    </w:p>
                  </w:txbxContent>
                </v:textbox>
              </v:shape>
            </w:pict>
          </mc:Fallback>
        </mc:AlternateContent>
      </w:r>
      <w:r>
        <w:rPr>
          <w:rFonts w:cs="Arial"/>
          <w:noProof/>
        </w:rPr>
        <w:drawing>
          <wp:anchor distT="0" distB="0" distL="0" distR="0" simplePos="0" relativeHeight="251670528" behindDoc="0" locked="0" layoutInCell="1" allowOverlap="1" wp14:anchorId="6D4690F7" wp14:editId="473441A6">
            <wp:simplePos x="0" y="0"/>
            <wp:positionH relativeFrom="column">
              <wp:posOffset>9525</wp:posOffset>
            </wp:positionH>
            <wp:positionV relativeFrom="paragraph">
              <wp:posOffset>177165</wp:posOffset>
            </wp:positionV>
            <wp:extent cx="5732780" cy="3655695"/>
            <wp:effectExtent l="0" t="0" r="1270" b="1905"/>
            <wp:wrapTopAndBottom/>
            <wp:docPr id="4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32780" cy="3655695"/>
                    </a:xfrm>
                    <a:prstGeom prst="rect">
                      <a:avLst/>
                    </a:prstGeom>
                    <a:solidFill>
                      <a:srgbClr val="FFFFFF"/>
                    </a:solidFill>
                    <a:ln>
                      <a:noFill/>
                    </a:ln>
                  </pic:spPr>
                </pic:pic>
              </a:graphicData>
            </a:graphic>
          </wp:anchor>
        </w:drawing>
      </w:r>
      <w:r>
        <w:t>1. példa</w:t>
      </w:r>
    </w:p>
    <w:p w:rsidR="005624E3" w:rsidRPr="00C903F8" w:rsidRDefault="005624E3" w:rsidP="005624E3">
      <w:pPr>
        <w:tabs>
          <w:tab w:val="left" w:leader="dot" w:pos="9072"/>
        </w:tabs>
        <w:spacing w:line="240" w:lineRule="atLeast"/>
        <w:rPr>
          <w:rFonts w:cs="Arial"/>
        </w:rPr>
      </w:pPr>
      <w:r>
        <w:rPr>
          <w:rFonts w:cs="Arial"/>
          <w:b/>
          <w:noProof/>
        </w:rPr>
        <mc:AlternateContent>
          <mc:Choice Requires="wps">
            <w:drawing>
              <wp:anchor distT="0" distB="0" distL="114300" distR="114300" simplePos="0" relativeHeight="251668480" behindDoc="0" locked="0" layoutInCell="1" allowOverlap="1" wp14:anchorId="3AC76921" wp14:editId="0F18D914">
                <wp:simplePos x="0" y="0"/>
                <wp:positionH relativeFrom="column">
                  <wp:posOffset>2661285</wp:posOffset>
                </wp:positionH>
                <wp:positionV relativeFrom="paragraph">
                  <wp:posOffset>3399155</wp:posOffset>
                </wp:positionV>
                <wp:extent cx="539115" cy="211455"/>
                <wp:effectExtent l="0" t="0" r="0" b="0"/>
                <wp:wrapNone/>
                <wp:docPr id="20"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Nap</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7" o:spid="_x0000_s1034" type="#_x0000_t202" style="position:absolute;margin-left:209.55pt;margin-top:267.65pt;width:42.45pt;height:1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" stroked="f">
                <v:textbox inset="0,1mm,0,0">
                  <w:txbxContent>
                    <w:p w:rsidR="00842442" w:rsidRPr="00FA5168" w:rsidRDefault="00842442" w:rsidP="005624E3">
                      <w:pPr>
                        <w:jc w:val="center"/>
                        <w:rPr>
                          <w:sz w:val="16"/>
                        </w:rPr>
                      </w:pPr>
                      <w:r>
                        <w:rPr>
                          <w:sz w:val="16"/>
                        </w:rPr>
                        <w:t>Nap</w:t>
                      </w:r>
                    </w:p>
                  </w:txbxContent>
                </v:textbox>
              </v:shape>
            </w:pict>
          </mc:Fallback>
        </mc:AlternateContent>
      </w:r>
    </w:p>
    <w:p w:rsidR="005624E3" w:rsidRPr="00C903F8" w:rsidRDefault="005624E3" w:rsidP="005624E3">
      <w:pPr>
        <w:tabs>
          <w:tab w:val="left" w:leader="dot" w:pos="9072"/>
        </w:tabs>
        <w:spacing w:line="240" w:lineRule="atLeast"/>
        <w:rPr>
          <w:rFonts w:cs="Arial"/>
        </w:rPr>
      </w:pPr>
      <w:r>
        <w:rPr>
          <w:rFonts w:cs="Arial"/>
          <w:noProof/>
        </w:rPr>
        <w:drawing>
          <wp:anchor distT="0" distB="0" distL="0" distR="0" simplePos="0" relativeHeight="251678720" behindDoc="0" locked="0" layoutInCell="1" allowOverlap="1" wp14:anchorId="474C8FAF" wp14:editId="5F3107FC">
            <wp:simplePos x="0" y="0"/>
            <wp:positionH relativeFrom="column">
              <wp:posOffset>9525</wp:posOffset>
            </wp:positionH>
            <wp:positionV relativeFrom="paragraph">
              <wp:posOffset>307340</wp:posOffset>
            </wp:positionV>
            <wp:extent cx="5732780" cy="3558540"/>
            <wp:effectExtent l="0" t="0" r="1270" b="3810"/>
            <wp:wrapTopAndBottom/>
            <wp:docPr id="5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32780" cy="3558540"/>
                    </a:xfrm>
                    <a:prstGeom prst="rect">
                      <a:avLst/>
                    </a:prstGeom>
                    <a:solidFill>
                      <a:srgbClr val="FFFFFF"/>
                    </a:solidFill>
                    <a:ln>
                      <a:noFill/>
                    </a:ln>
                  </pic:spPr>
                </pic:pic>
              </a:graphicData>
            </a:graphic>
          </wp:anchor>
        </w:drawing>
      </w:r>
      <w:r>
        <w:t>2. példa</w:t>
      </w:r>
    </w:p>
    <w:p w:rsidR="005624E3" w:rsidRPr="00C903F8" w:rsidRDefault="005624E3" w:rsidP="005624E3">
      <w:pPr>
        <w:spacing w:line="240" w:lineRule="atLeast"/>
        <w:rPr>
          <w:rFonts w:cs="Arial"/>
          <w:color w:val="000000"/>
        </w:rPr>
      </w:pPr>
      <w:r>
        <w:rPr>
          <w:rFonts w:cs="Arial"/>
          <w:noProof/>
        </w:rPr>
        <mc:AlternateContent>
          <mc:Choice Requires="wps">
            <w:drawing>
              <wp:anchor distT="0" distB="0" distL="114300" distR="114300" simplePos="0" relativeHeight="251669504" behindDoc="0" locked="0" layoutInCell="1" allowOverlap="1" wp14:anchorId="770C3F76" wp14:editId="2BEB87CE">
                <wp:simplePos x="0" y="0"/>
                <wp:positionH relativeFrom="column">
                  <wp:posOffset>2661285</wp:posOffset>
                </wp:positionH>
                <wp:positionV relativeFrom="paragraph">
                  <wp:posOffset>3549650</wp:posOffset>
                </wp:positionV>
                <wp:extent cx="539115" cy="211455"/>
                <wp:effectExtent l="0" t="0" r="0" b="0"/>
                <wp:wrapNone/>
                <wp:docPr id="19"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Nap</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8" o:spid="_x0000_s1035" type="#_x0000_t202" style="position:absolute;margin-left:209.55pt;margin-top:279.5pt;width:42.45pt;height:16.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" stroked="f">
                <v:textbox inset="0,1mm,0,0">
                  <w:txbxContent>
                    <w:p w:rsidR="00842442" w:rsidRPr="00FA5168" w:rsidRDefault="00842442" w:rsidP="005624E3">
                      <w:pPr>
                        <w:jc w:val="center"/>
                        <w:rPr>
                          <w:sz w:val="16"/>
                        </w:rPr>
                      </w:pPr>
                      <w:r>
                        <w:rPr>
                          <w:sz w:val="16"/>
                        </w:rPr>
                        <w:t>Nap</w:t>
                      </w:r>
                    </w:p>
                  </w:txbxContent>
                </v:textbox>
              </v:shape>
            </w:pict>
          </mc:Fallback>
        </mc:AlternateContent>
      </w:r>
      <w:r>
        <w:rPr>
          <w:rFonts w:cs="Arial"/>
          <w:b/>
          <w:noProof/>
        </w:rPr>
        <mc:AlternateContent>
          <mc:Choice Requires="wps">
            <w:drawing>
              <wp:anchor distT="0" distB="0" distL="114300" distR="114300" simplePos="0" relativeHeight="251667456" behindDoc="0" locked="0" layoutInCell="1" allowOverlap="1" wp14:anchorId="05C5BFEF" wp14:editId="0E60DBFD">
                <wp:simplePos x="0" y="0"/>
                <wp:positionH relativeFrom="column">
                  <wp:posOffset>2904490</wp:posOffset>
                </wp:positionH>
                <wp:positionV relativeFrom="paragraph">
                  <wp:posOffset>431165</wp:posOffset>
                </wp:positionV>
                <wp:extent cx="386715" cy="349250"/>
                <wp:effectExtent l="0" t="0" r="0" b="0"/>
                <wp:wrapNone/>
                <wp:docPr id="18"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Részleges</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6" o:spid="_x0000_s1036" type="#_x0000_t202" style="position:absolute;margin-left:228.7pt;margin-top:33.95pt;width:30.45pt;height:2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uathA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" fillcolor="#37eb29" stroked="f">
                <v:textbox inset="0,1mm,0,0">
                  <w:txbxContent>
                    <w:p w:rsidR="00842442" w:rsidRPr="00FA5168" w:rsidRDefault="00842442" w:rsidP="005624E3">
                      <w:pPr>
                        <w:jc w:val="center"/>
                        <w:rPr>
                          <w:sz w:val="16"/>
                        </w:rPr>
                      </w:pPr>
                      <w:r>
                        <w:rPr>
                          <w:sz w:val="16"/>
                        </w:rPr>
                        <w:t>Részleges</w:t>
                      </w:r>
                      <w:r>
                        <w:rPr>
                          <w:sz w:val="16"/>
                        </w:rPr>
                        <w:br/>
                        <w:t>terhelés</w:t>
                      </w:r>
                    </w:p>
                  </w:txbxContent>
                </v:textbox>
              </v:shape>
            </w:pict>
          </mc:Fallback>
        </mc:AlternateContent>
      </w:r>
      <w:r>
        <w:rPr>
          <w:rFonts w:cs="Arial"/>
          <w:b/>
          <w:noProof/>
        </w:rPr>
        <mc:AlternateContent>
          <mc:Choice Requires="wps">
            <w:drawing>
              <wp:anchor distT="0" distB="0" distL="114300" distR="114300" simplePos="0" relativeHeight="251666432" behindDoc="0" locked="0" layoutInCell="1" allowOverlap="1" wp14:anchorId="34E43A2C" wp14:editId="32988BD8">
                <wp:simplePos x="0" y="0"/>
                <wp:positionH relativeFrom="column">
                  <wp:posOffset>2426970</wp:posOffset>
                </wp:positionH>
                <wp:positionV relativeFrom="paragraph">
                  <wp:posOffset>431165</wp:posOffset>
                </wp:positionV>
                <wp:extent cx="386715" cy="349250"/>
                <wp:effectExtent l="0" t="0" r="0" b="0"/>
                <wp:wrapNone/>
                <wp:docPr id="1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Túl-</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5" o:spid="_x0000_s1037" type="#_x0000_t202" style="position:absolute;margin-left:191.1pt;margin-top:33.95pt;width:30.45pt;height: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phShQ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" fillcolor="#37eb29" stroked="f">
                <v:textbox inset="0,1mm,0,0">
                  <w:txbxContent>
                    <w:p w:rsidR="00842442" w:rsidRPr="00FA5168" w:rsidRDefault="00842442" w:rsidP="005624E3">
                      <w:pPr>
                        <w:jc w:val="center"/>
                        <w:rPr>
                          <w:sz w:val="16"/>
                        </w:rPr>
                      </w:pPr>
                      <w:r>
                        <w:rPr>
                          <w:sz w:val="16"/>
                        </w:rPr>
                        <w:t>Túl-</w:t>
                      </w:r>
                      <w:r>
                        <w:rPr>
                          <w:sz w:val="16"/>
                        </w:rPr>
                        <w:br/>
                        <w:t>terhelés</w:t>
                      </w:r>
                    </w:p>
                  </w:txbxContent>
                </v:textbox>
              </v:shape>
            </w:pict>
          </mc:Fallback>
        </mc:AlternateContent>
      </w:r>
      <w:r>
        <w:rPr>
          <w:rFonts w:cs="Arial"/>
          <w:noProof/>
        </w:rPr>
        <mc:AlternateContent>
          <mc:Choice Requires="wps">
            <w:drawing>
              <wp:anchor distT="0" distB="0" distL="114300" distR="114300" simplePos="0" relativeHeight="251665408" behindDoc="0" locked="0" layoutInCell="1" allowOverlap="1" wp14:anchorId="2139997D" wp14:editId="39C216D8">
                <wp:simplePos x="0" y="0"/>
                <wp:positionH relativeFrom="column">
                  <wp:posOffset>4888230</wp:posOffset>
                </wp:positionH>
                <wp:positionV relativeFrom="paragraph">
                  <wp:posOffset>431165</wp:posOffset>
                </wp:positionV>
                <wp:extent cx="539115" cy="349250"/>
                <wp:effectExtent l="0" t="0" r="0" b="0"/>
                <wp:wrapNone/>
                <wp:docPr id="15"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 xml:space="preserve">Szokásos </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2" o:spid="_x0000_s1038" type="#_x0000_t202" style="position:absolute;margin-left:384.9pt;margin-top:33.95pt;width:42.45pt;height: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" fillcolor="#59bb9a" stroked="f">
                <v:textbox inset="0,1mm,0,0">
                  <w:txbxContent>
                    <w:p w:rsidR="00842442" w:rsidRPr="00FA5168" w:rsidRDefault="00842442" w:rsidP="005624E3">
                      <w:pPr>
                        <w:jc w:val="center"/>
                        <w:rPr>
                          <w:sz w:val="16"/>
                        </w:rPr>
                      </w:pPr>
                      <w:r>
                        <w:rPr>
                          <w:sz w:val="16"/>
                        </w:rPr>
                        <w:t xml:space="preserve">Szokásos </w:t>
                      </w:r>
                      <w:r>
                        <w:rPr>
                          <w:sz w:val="16"/>
                        </w:rPr>
                        <w:br/>
                        <w:t>terhelés</w:t>
                      </w:r>
                    </w:p>
                  </w:txbxContent>
                </v:textbox>
              </v:shape>
            </w:pict>
          </mc:Fallback>
        </mc:AlternateContent>
      </w:r>
      <w:r>
        <w:rPr>
          <w:rFonts w:cs="Arial"/>
          <w:noProof/>
        </w:rPr>
        <mc:AlternateContent>
          <mc:Choice Requires="wps">
            <w:drawing>
              <wp:anchor distT="0" distB="0" distL="114300" distR="114300" simplePos="0" relativeHeight="251664384" behindDoc="0" locked="0" layoutInCell="1" allowOverlap="1" wp14:anchorId="65F32C6A" wp14:editId="3CFBD771">
                <wp:simplePos x="0" y="0"/>
                <wp:positionH relativeFrom="column">
                  <wp:posOffset>4097020</wp:posOffset>
                </wp:positionH>
                <wp:positionV relativeFrom="paragraph">
                  <wp:posOffset>431165</wp:posOffset>
                </wp:positionV>
                <wp:extent cx="539115" cy="349250"/>
                <wp:effectExtent l="0" t="0" r="0" b="0"/>
                <wp:wrapNone/>
                <wp:docPr id="1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 xml:space="preserve">Szokásos </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1" o:spid="_x0000_s1039" type="#_x0000_t202" style="position:absolute;margin-left:322.6pt;margin-top:33.95pt;width:42.45pt;height:2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" fillcolor="#59bb9a" stroked="f">
                <v:textbox inset="0,1mm,0,0">
                  <w:txbxContent>
                    <w:p w:rsidR="00842442" w:rsidRPr="00FA5168" w:rsidRDefault="00842442" w:rsidP="005624E3">
                      <w:pPr>
                        <w:jc w:val="center"/>
                        <w:rPr>
                          <w:sz w:val="16"/>
                        </w:rPr>
                      </w:pPr>
                      <w:r>
                        <w:rPr>
                          <w:sz w:val="16"/>
                        </w:rPr>
                        <w:t xml:space="preserve">Szokásos </w:t>
                      </w:r>
                      <w:r>
                        <w:rPr>
                          <w:sz w:val="16"/>
                        </w:rPr>
                        <w:br/>
                        <w:t>terhelés</w:t>
                      </w:r>
                    </w:p>
                  </w:txbxContent>
                </v:textbox>
              </v:shape>
            </w:pict>
          </mc:Fallback>
        </mc:AlternateContent>
      </w:r>
      <w:r>
        <w:rPr>
          <w:rFonts w:cs="Arial"/>
          <w:noProof/>
        </w:rPr>
        <mc:AlternateContent>
          <mc:Choice Requires="wps">
            <w:drawing>
              <wp:anchor distT="0" distB="0" distL="114300" distR="114300" simplePos="0" relativeHeight="251663360" behindDoc="0" locked="0" layoutInCell="1" allowOverlap="1" wp14:anchorId="2484EA56" wp14:editId="1A1EA861">
                <wp:simplePos x="0" y="0"/>
                <wp:positionH relativeFrom="column">
                  <wp:posOffset>1722120</wp:posOffset>
                </wp:positionH>
                <wp:positionV relativeFrom="paragraph">
                  <wp:posOffset>431165</wp:posOffset>
                </wp:positionV>
                <wp:extent cx="539115" cy="349250"/>
                <wp:effectExtent l="0" t="0" r="0" b="0"/>
                <wp:wrapNone/>
                <wp:docPr id="1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 xml:space="preserve">Szokásos </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0" o:spid="_x0000_s1040" type="#_x0000_t202" style="position:absolute;margin-left:135.6pt;margin-top:33.95pt;width:42.45pt;height: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" fillcolor="#59bb9a" stroked="f">
                <v:textbox inset="0,1mm,0,0">
                  <w:txbxContent>
                    <w:p w:rsidR="00842442" w:rsidRPr="00FA5168" w:rsidRDefault="00842442" w:rsidP="005624E3">
                      <w:pPr>
                        <w:jc w:val="center"/>
                        <w:rPr>
                          <w:sz w:val="16"/>
                        </w:rPr>
                      </w:pPr>
                      <w:r>
                        <w:rPr>
                          <w:sz w:val="16"/>
                        </w:rPr>
                        <w:t xml:space="preserve">Szokásos </w:t>
                      </w:r>
                      <w:r>
                        <w:rPr>
                          <w:sz w:val="16"/>
                        </w:rPr>
                        <w:br/>
                        <w:t>terhelés</w:t>
                      </w:r>
                    </w:p>
                  </w:txbxContent>
                </v:textbox>
              </v:shape>
            </w:pict>
          </mc:Fallback>
        </mc:AlternateContent>
      </w:r>
      <w:r>
        <w:rPr>
          <w:rFonts w:cs="Arial"/>
          <w:b/>
          <w:noProof/>
        </w:rPr>
        <mc:AlternateContent>
          <mc:Choice Requires="wps">
            <w:drawing>
              <wp:anchor distT="0" distB="0" distL="114300" distR="114300" simplePos="0" relativeHeight="251662336" behindDoc="0" locked="0" layoutInCell="1" allowOverlap="1" wp14:anchorId="252E617D" wp14:editId="7F5EC07D">
                <wp:simplePos x="0" y="0"/>
                <wp:positionH relativeFrom="column">
                  <wp:posOffset>928370</wp:posOffset>
                </wp:positionH>
                <wp:positionV relativeFrom="paragraph">
                  <wp:posOffset>431165</wp:posOffset>
                </wp:positionV>
                <wp:extent cx="539115" cy="349250"/>
                <wp:effectExtent l="0" t="0" r="0" b="0"/>
                <wp:wrapNone/>
                <wp:docPr id="1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A5168" w:rsidRDefault="00842442" w:rsidP="005624E3">
                            <w:pPr>
                              <w:jc w:val="center"/>
                              <w:rPr>
                                <w:sz w:val="16"/>
                              </w:rPr>
                            </w:pPr>
                            <w:r>
                              <w:rPr>
                                <w:sz w:val="16"/>
                              </w:rPr>
                              <w:t xml:space="preserve">Szokásos </w:t>
                            </w:r>
                            <w:r>
                              <w:rPr>
                                <w:sz w:val="16"/>
                              </w:rPr>
                              <w:br/>
                              <w:t>terhelés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9" o:spid="_x0000_s1041" type="#_x0000_t202" style="position:absolute;margin-left:73.1pt;margin-top:33.95pt;width:42.45pt;height: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" fillcolor="#59bb9a" stroked="f">
                <v:textbox inset="0,1mm,0,0">
                  <w:txbxContent>
                    <w:p w:rsidR="00842442" w:rsidRPr="00FA5168" w:rsidRDefault="00842442" w:rsidP="005624E3">
                      <w:pPr>
                        <w:jc w:val="center"/>
                        <w:rPr>
                          <w:sz w:val="16"/>
                        </w:rPr>
                      </w:pPr>
                      <w:r>
                        <w:rPr>
                          <w:sz w:val="16"/>
                        </w:rPr>
                        <w:t xml:space="preserve">Szokásos </w:t>
                      </w:r>
                      <w:r>
                        <w:rPr>
                          <w:sz w:val="16"/>
                        </w:rPr>
                        <w:br/>
                        <w:t>terhelés</w:t>
                      </w:r>
                    </w:p>
                  </w:txbxContent>
                </v:textbox>
              </v:shape>
            </w:pict>
          </mc:Fallback>
        </mc:AlternateContent>
      </w:r>
      <w:r>
        <w:rPr>
          <w:rFonts w:cs="Arial"/>
          <w:b/>
          <w:noProof/>
        </w:rPr>
        <mc:AlternateContent>
          <mc:Choice Requires="wps">
            <w:drawing>
              <wp:anchor distT="0" distB="0" distL="114300" distR="114300" simplePos="0" relativeHeight="251661312" behindDoc="0" locked="0" layoutInCell="1" allowOverlap="1" wp14:anchorId="710B7192" wp14:editId="5F10D91C">
                <wp:simplePos x="0" y="0"/>
                <wp:positionH relativeFrom="column">
                  <wp:posOffset>168910</wp:posOffset>
                </wp:positionH>
                <wp:positionV relativeFrom="paragraph">
                  <wp:posOffset>745490</wp:posOffset>
                </wp:positionV>
                <wp:extent cx="300355" cy="2115820"/>
                <wp:effectExtent l="0" t="0" r="4445" b="0"/>
                <wp:wrapNone/>
                <wp:docPr id="21"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F9734D" w:rsidRDefault="00842442" w:rsidP="005624E3">
                            <w:pPr>
                              <w:jc w:val="center"/>
                              <w:rPr>
                                <w:b/>
                                <w:color w:val="0070C0"/>
                              </w:rPr>
                            </w:pPr>
                            <w:r>
                              <w:rPr>
                                <w:b/>
                                <w:color w:val="0070C0"/>
                              </w:rPr>
                              <w:t>Q</w:t>
                            </w:r>
                            <w:r>
                              <w:rPr>
                                <w:b/>
                                <w:color w:val="0070C0"/>
                                <w:vertAlign w:val="subscript"/>
                              </w:rPr>
                              <w:t>d</w:t>
                            </w:r>
                            <w:r>
                              <w:rPr>
                                <w:b/>
                                <w:color w:val="0070C0"/>
                              </w:rPr>
                              <w:t xml:space="preserve"> hidraulikai terhelés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8" o:spid="_x0000_s1042" type="#_x0000_t202" style="position:absolute;margin-left:13.3pt;margin-top:58.7pt;width:23.65pt;height:166.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" stroked="f">
                <v:textbox style="layout-flow:vertical;mso-layout-flow-alt:bottom-to-top" inset="0,0,0,0">
                  <w:txbxContent>
                    <w:p w:rsidR="00842442" w:rsidRPr="00F9734D" w:rsidRDefault="00842442" w:rsidP="005624E3">
                      <w:pPr>
                        <w:jc w:val="center"/>
                        <w:rPr>
                          <w:b/>
                          <w:color w:val="0070C0"/>
                        </w:rPr>
                      </w:pPr>
                      <w:r>
                        <w:rPr>
                          <w:b/>
                          <w:color w:val="0070C0"/>
                        </w:rPr>
                        <w:t>Q</w:t>
                      </w:r>
                      <w:r>
                        <w:rPr>
                          <w:b/>
                          <w:color w:val="0070C0"/>
                          <w:vertAlign w:val="subscript"/>
                        </w:rPr>
                        <w:t>d</w:t>
                      </w:r>
                      <w:r>
                        <w:rPr>
                          <w:b/>
                          <w:color w:val="0070C0"/>
                        </w:rPr>
                        <w:t xml:space="preserve"> hidraulikai terhelés [%]</w:t>
                      </w:r>
                    </w:p>
                  </w:txbxContent>
                </v:textbox>
              </v:shape>
            </w:pict>
          </mc:Fallback>
        </mc:AlternateContent>
      </w:r>
      <w:r>
        <w:br w:type="page"/>
      </w:r>
    </w:p>
    <w:p w:rsidR="005624E3" w:rsidRDefault="005624E3" w:rsidP="005624E3">
      <w:pPr>
        <w:tabs>
          <w:tab w:val="left" w:pos="709"/>
        </w:tabs>
        <w:suppressAutoHyphens/>
        <w:spacing w:line="240" w:lineRule="atLeast"/>
        <w:ind w:left="709" w:hanging="709"/>
        <w:jc w:val="center"/>
        <w:rPr>
          <w:rFonts w:cs="Arial"/>
          <w:b/>
          <w:szCs w:val="20"/>
        </w:rPr>
        <w:sectPr w:rsidR="005624E3" w:rsidSect="00AC5CC1">
          <w:headerReference w:type="default" r:id="rId102"/>
          <w:footerReference w:type="default" r:id="rId103"/>
          <w:headerReference w:type="first" r:id="rId104"/>
          <w:footerReference w:type="first" r:id="rId105"/>
          <w:footnotePr>
            <w:numRestart w:val="eachPage"/>
          </w:footnotePr>
          <w:pgSz w:w="11906" w:h="16838" w:code="9"/>
          <w:pgMar w:top="1418" w:right="1418" w:bottom="1418" w:left="1418" w:header="709" w:footer="709" w:gutter="0"/>
          <w:cols w:space="709"/>
          <w:titlePg/>
          <w:docGrid w:linePitch="272"/>
        </w:sectPr>
      </w:pPr>
    </w:p>
    <w:p w:rsidR="005624E3" w:rsidRDefault="005624E3" w:rsidP="005624E3">
      <w:pPr>
        <w:tabs>
          <w:tab w:val="left" w:pos="709"/>
        </w:tabs>
        <w:suppressAutoHyphens/>
        <w:spacing w:line="240" w:lineRule="atLeast"/>
        <w:ind w:left="709" w:hanging="709"/>
        <w:jc w:val="center"/>
        <w:rPr>
          <w:rFonts w:cs="Arial"/>
          <w:b/>
          <w:szCs w:val="20"/>
        </w:rPr>
        <w:sectPr w:rsidR="005624E3" w:rsidSect="00AC5CC1">
          <w:footnotePr>
            <w:numRestart w:val="eachPage"/>
          </w:footnotePr>
          <w:pgSz w:w="11906" w:h="16838" w:code="9"/>
          <w:pgMar w:top="1418" w:right="1418" w:bottom="1418" w:left="1418" w:header="709" w:footer="709" w:gutter="0"/>
          <w:cols w:space="709"/>
          <w:titlePg/>
          <w:docGrid w:linePitch="272"/>
        </w:sectPr>
      </w:pPr>
    </w:p>
    <w:p w:rsidR="005624E3" w:rsidRPr="00C903F8" w:rsidRDefault="005624E3" w:rsidP="005624E3">
      <w:pPr>
        <w:tabs>
          <w:tab w:val="left" w:pos="709"/>
        </w:tabs>
        <w:suppressAutoHyphens/>
        <w:spacing w:line="240" w:lineRule="atLeast"/>
        <w:ind w:left="709" w:hanging="709"/>
        <w:jc w:val="center"/>
        <w:rPr>
          <w:rFonts w:cs="Arial"/>
          <w:b/>
          <w:szCs w:val="20"/>
        </w:rPr>
      </w:pPr>
      <w:r>
        <w:rPr>
          <w:b/>
        </w:rPr>
        <w:t>2. függelék</w:t>
      </w:r>
    </w:p>
    <w:p w:rsidR="005624E3" w:rsidRPr="00C903F8" w:rsidRDefault="005624E3" w:rsidP="005624E3">
      <w:pPr>
        <w:tabs>
          <w:tab w:val="left" w:pos="1021"/>
          <w:tab w:val="center" w:pos="8080"/>
        </w:tabs>
        <w:suppressAutoHyphens/>
        <w:spacing w:line="240" w:lineRule="atLeast"/>
        <w:jc w:val="center"/>
        <w:rPr>
          <w:rFonts w:cs="Arial"/>
          <w:szCs w:val="20"/>
        </w:rPr>
      </w:pPr>
      <w:r>
        <w:rPr>
          <w:b/>
        </w:rPr>
        <w:t>Megjegyzések az öt nap utáni biokémiai oxigénigény (</w:t>
      </w:r>
      <m:oMath>
        <m:sSub>
          <m:sSubPr>
            <m:ctrlPr>
              <w:rPr>
                <w:rFonts w:ascii="Cambria Math" w:hAnsi="Cambria Math"/>
                <w:b/>
                <w:i/>
                <w:noProof/>
              </w:rPr>
            </m:ctrlPr>
          </m:sSubPr>
          <m:e>
            <m:r>
              <m:rPr>
                <m:sty m:val="bi"/>
              </m:rPr>
              <w:rPr>
                <w:rFonts w:ascii="Cambria Math" w:hAnsi="Cambria Math"/>
                <w:noProof/>
              </w:rPr>
              <m:t>BOD</m:t>
            </m:r>
          </m:e>
          <m:sub>
            <m:r>
              <m:rPr>
                <m:sty m:val="bi"/>
              </m:rPr>
              <w:rPr>
                <w:rFonts w:ascii="Cambria Math" w:hAnsi="Cambria Math"/>
                <w:noProof/>
              </w:rPr>
              <m:t>5</m:t>
            </m:r>
          </m:sub>
        </m:sSub>
      </m:oMath>
      <w:r>
        <w:rPr>
          <w:b/>
        </w:rPr>
        <w:t>) 24 órás egyesített mintákon végzett meghatározásához</w:t>
      </w:r>
    </w:p>
    <w:p w:rsidR="005624E3" w:rsidRPr="00C903F8" w:rsidRDefault="005624E3" w:rsidP="005624E3">
      <w:pPr>
        <w:tabs>
          <w:tab w:val="left" w:pos="709"/>
        </w:tabs>
        <w:suppressAutoHyphens/>
        <w:spacing w:line="240" w:lineRule="atLeast"/>
        <w:rPr>
          <w:rFonts w:cs="Arial"/>
          <w:szCs w:val="20"/>
        </w:rPr>
      </w:pPr>
    </w:p>
    <w:p w:rsidR="005624E3" w:rsidRPr="00C903F8" w:rsidRDefault="005624E3" w:rsidP="005624E3">
      <w:pPr>
        <w:tabs>
          <w:tab w:val="left" w:leader="dot" w:pos="9072"/>
        </w:tabs>
        <w:spacing w:line="240" w:lineRule="atLeast"/>
        <w:rPr>
          <w:rFonts w:cs="Arial"/>
          <w:noProof/>
        </w:rPr>
      </w:pPr>
      <w:r>
        <w:t xml:space="preserve">Az ISO 5815 és az ISO 5815-2:2003 nemzetközi szabványok értelmében az öt nap utáni biokémiai oxigénigény meghatározását szolgáló analízis céljára felhasználandó vízmintákat a mintavétel után azonnal pereméig töltött, szorosan lezárt üvegbe kell helyezni, és az analízisig 0 °C és 4 °C közötti hőmérsékleten kell tartani. A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Pr>
          <w:noProof/>
          <w:vertAlign w:val="subscript"/>
        </w:rPr>
        <w:t xml:space="preserve"> </w:t>
      </w:r>
      <w:r>
        <w:t>meghatározására szolgáló eljárást a lehető leghamarabb, de legkésőbb a mintavétel befejezése után huszonnégy órával meg kell kezdeni.</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noProof/>
        </w:rPr>
      </w:pPr>
      <w:r>
        <w:t>Annak érdekében, hogy a 24 órás egyesített mintában ne indulhassanak meg biokémiai lebomlási folyamatok, a gyakorlatban a vízmintát már a mintavételezés időtartama alatt legfeljebb 4 °C-ra le kell hűteni, és a mintavételezés végeztével ezen a hőmérsékleten kell tovább tárolni.</w:t>
      </w:r>
    </w:p>
    <w:p w:rsidR="005624E3" w:rsidRPr="00C903F8" w:rsidRDefault="005624E3" w:rsidP="005624E3">
      <w:pPr>
        <w:tabs>
          <w:tab w:val="left" w:leader="dot" w:pos="9072"/>
        </w:tabs>
        <w:spacing w:line="240" w:lineRule="atLeast"/>
        <w:rPr>
          <w:rFonts w:cs="Arial"/>
          <w:noProof/>
        </w:rPr>
      </w:pPr>
    </w:p>
    <w:p w:rsidR="005624E3" w:rsidRDefault="005624E3" w:rsidP="005624E3">
      <w:pPr>
        <w:tabs>
          <w:tab w:val="left" w:leader="dot" w:pos="9072"/>
        </w:tabs>
        <w:spacing w:line="240" w:lineRule="atLeast"/>
        <w:rPr>
          <w:rFonts w:cs="Arial"/>
          <w:noProof/>
        </w:rPr>
      </w:pPr>
      <w:r>
        <w:t>A megfelelő mintavételi eszközök a kereskedelmi forgalomban beszerezhetők.</w:t>
      </w:r>
    </w:p>
    <w:p w:rsidR="005624E3" w:rsidRPr="00C903F8" w:rsidRDefault="005624E3" w:rsidP="005624E3">
      <w:pPr>
        <w:tabs>
          <w:tab w:val="left" w:leader="dot" w:pos="9072"/>
        </w:tabs>
        <w:spacing w:line="240" w:lineRule="atLeast"/>
        <w:rPr>
          <w:rFonts w:cs="Arial"/>
          <w:noProof/>
        </w:rPr>
      </w:pPr>
    </w:p>
    <w:p w:rsidR="005624E3" w:rsidRPr="00C903F8" w:rsidRDefault="005624E3" w:rsidP="005624E3">
      <w:pPr>
        <w:tabs>
          <w:tab w:val="left" w:leader="dot" w:pos="9072"/>
        </w:tabs>
        <w:spacing w:line="240" w:lineRule="atLeast"/>
        <w:rPr>
          <w:rFonts w:cs="Arial"/>
        </w:rPr>
      </w:pPr>
    </w:p>
    <w:p w:rsidR="005624E3" w:rsidRPr="00C903F8" w:rsidRDefault="005624E3" w:rsidP="005624E3">
      <w:pPr>
        <w:tabs>
          <w:tab w:val="left" w:leader="dot" w:pos="9072"/>
        </w:tabs>
        <w:spacing w:line="240" w:lineRule="atLeast"/>
        <w:rPr>
          <w:rFonts w:cs="Arial"/>
        </w:rPr>
        <w:sectPr w:rsidR="005624E3" w:rsidRPr="00C903F8" w:rsidSect="00AC5CC1">
          <w:footnotePr>
            <w:numRestart w:val="eachPage"/>
          </w:footnotePr>
          <w:pgSz w:w="11906" w:h="16838" w:code="9"/>
          <w:pgMar w:top="1418" w:right="1418" w:bottom="1418" w:left="1418" w:header="709" w:footer="709" w:gutter="0"/>
          <w:cols w:space="709"/>
          <w:titlePg/>
          <w:docGrid w:linePitch="272"/>
        </w:sectPr>
      </w:pPr>
    </w:p>
    <w:p w:rsidR="005624E3" w:rsidRDefault="005624E3" w:rsidP="005624E3">
      <w:pPr>
        <w:tabs>
          <w:tab w:val="left" w:pos="709"/>
        </w:tabs>
        <w:suppressAutoHyphens/>
        <w:spacing w:line="240" w:lineRule="atLeast"/>
        <w:rPr>
          <w:rFonts w:cs="Arial"/>
          <w:szCs w:val="20"/>
        </w:rPr>
      </w:pPr>
    </w:p>
    <w:p w:rsidR="005624E3" w:rsidRDefault="005624E3" w:rsidP="005624E3">
      <w:pPr>
        <w:tabs>
          <w:tab w:val="left" w:pos="709"/>
        </w:tabs>
        <w:suppressAutoHyphens/>
        <w:spacing w:line="240" w:lineRule="atLeast"/>
        <w:rPr>
          <w:rFonts w:cs="Arial"/>
          <w:szCs w:val="20"/>
        </w:rPr>
      </w:pPr>
    </w:p>
    <w:p w:rsidR="005624E3" w:rsidRDefault="005624E3" w:rsidP="005624E3">
      <w:pPr>
        <w:tabs>
          <w:tab w:val="left" w:pos="709"/>
        </w:tabs>
        <w:suppressAutoHyphens/>
        <w:spacing w:line="240" w:lineRule="atLeast"/>
        <w:rPr>
          <w:rFonts w:cs="Arial"/>
          <w:szCs w:val="20"/>
        </w:rPr>
      </w:pPr>
    </w:p>
    <w:p w:rsidR="005624E3" w:rsidRPr="00C903F8" w:rsidRDefault="005624E3" w:rsidP="005624E3">
      <w:pPr>
        <w:tabs>
          <w:tab w:val="left" w:pos="709"/>
        </w:tabs>
        <w:suppressAutoHyphens/>
        <w:spacing w:line="240" w:lineRule="atLeast"/>
        <w:rPr>
          <w:rFonts w:cs="Arial"/>
          <w:szCs w:val="20"/>
        </w:rPr>
      </w:pPr>
    </w:p>
    <w:p w:rsidR="005624E3" w:rsidRDefault="005624E3" w:rsidP="005624E3">
      <w:pPr>
        <w:pStyle w:val="ES-Titre2"/>
        <w:pageBreakBefore w:val="0"/>
        <w:sectPr w:rsidR="005624E3" w:rsidSect="00AC5CC1">
          <w:footnotePr>
            <w:numRestart w:val="eachPage"/>
          </w:footnotePr>
          <w:pgSz w:w="11906" w:h="16838" w:code="9"/>
          <w:pgMar w:top="1418" w:right="1418" w:bottom="1418" w:left="1418" w:header="709" w:footer="709" w:gutter="0"/>
          <w:cols w:space="709"/>
          <w:titlePg/>
          <w:docGrid w:linePitch="272"/>
        </w:sectPr>
      </w:pPr>
    </w:p>
    <w:p w:rsidR="005624E3" w:rsidRPr="00C903F8" w:rsidRDefault="005624E3" w:rsidP="005624E3">
      <w:pPr>
        <w:pStyle w:val="ES-Titre2"/>
        <w:pageBreakBefore w:val="0"/>
      </w:pPr>
      <w:bookmarkStart w:id="720" w:name="_Toc491854342"/>
      <w:bookmarkStart w:id="721" w:name="_Toc535854123"/>
      <w:r>
        <w:t>8. melléklet</w:t>
      </w:r>
      <w:r>
        <w:br/>
        <w:t>Az 55 °C vagy annál alacsonyabb lobbanáspontú tüzelőanyaggal üzemelő vízi járművekre vonatkozó kiegészítő rendelkezések</w:t>
      </w:r>
      <w:bookmarkEnd w:id="720"/>
      <w:bookmarkEnd w:id="721"/>
    </w:p>
    <w:p w:rsidR="005624E3" w:rsidRPr="00D50F76" w:rsidRDefault="005624E3" w:rsidP="005624E3">
      <w:pPr>
        <w:pStyle w:val="ESch"/>
      </w:pPr>
    </w:p>
    <w:p w:rsidR="005624E3" w:rsidRPr="00D50F76" w:rsidRDefault="005624E3" w:rsidP="005624E3">
      <w:pPr>
        <w:pStyle w:val="ES-Titre3"/>
      </w:pPr>
      <w:bookmarkStart w:id="722" w:name="_Toc491854343"/>
      <w:bookmarkStart w:id="723" w:name="_Toc535854124"/>
      <w:r w:rsidRPr="00D50F76">
        <w:t>I. szakasz</w:t>
      </w:r>
      <w:bookmarkEnd w:id="722"/>
      <w:bookmarkEnd w:id="723"/>
    </w:p>
    <w:p w:rsidR="005624E3" w:rsidRPr="00D50F76" w:rsidRDefault="005624E3" w:rsidP="005624E3">
      <w:pPr>
        <w:pStyle w:val="ES-Titre3a"/>
      </w:pPr>
      <w:bookmarkStart w:id="724" w:name="_Toc491854344"/>
      <w:bookmarkStart w:id="725" w:name="_Toc535854125"/>
      <w:r w:rsidRPr="00D50F76">
        <w:t>Cseppfolyósított földgáz (LNG)</w:t>
      </w:r>
      <w:bookmarkEnd w:id="724"/>
      <w:bookmarkEnd w:id="725"/>
    </w:p>
    <w:p w:rsidR="005624E3" w:rsidRPr="00D50F76" w:rsidRDefault="005624E3" w:rsidP="005624E3">
      <w:pPr>
        <w:adjustRightInd w:val="0"/>
        <w:spacing w:line="240" w:lineRule="atLeast"/>
        <w:rPr>
          <w:rFonts w:cs="Arial"/>
          <w:szCs w:val="20"/>
        </w:rPr>
      </w:pPr>
    </w:p>
    <w:p w:rsidR="005624E3" w:rsidRPr="00D50F76" w:rsidRDefault="005624E3" w:rsidP="005624E3">
      <w:pPr>
        <w:pStyle w:val="Esann8titrechap"/>
      </w:pPr>
      <w:r w:rsidRPr="00D50F76">
        <w:t xml:space="preserve">1. fejezet </w:t>
      </w:r>
    </w:p>
    <w:p w:rsidR="005624E3" w:rsidRPr="00D50F76" w:rsidRDefault="005624E3" w:rsidP="005624E3">
      <w:pPr>
        <w:pStyle w:val="Esann8titrechap"/>
      </w:pPr>
      <w:r w:rsidRPr="00D50F76">
        <w:t>Általános rendelkezések</w:t>
      </w:r>
    </w:p>
    <w:p w:rsidR="005624E3" w:rsidRPr="00D50F76" w:rsidRDefault="005624E3" w:rsidP="005624E3">
      <w:pPr>
        <w:pStyle w:val="Esann8ch"/>
      </w:pPr>
    </w:p>
    <w:p w:rsidR="005624E3" w:rsidRPr="00D50F76" w:rsidRDefault="005624E3" w:rsidP="005624E3">
      <w:pPr>
        <w:pStyle w:val="Esann8chgras"/>
      </w:pPr>
      <w:r w:rsidRPr="00D50F76">
        <w:t>1.1.</w:t>
      </w:r>
      <w:r w:rsidRPr="00D50F76">
        <w:tab/>
        <w:t>Alkalmazás</w:t>
      </w:r>
    </w:p>
    <w:p w:rsidR="005624E3" w:rsidRPr="00D50F76" w:rsidRDefault="005624E3" w:rsidP="005624E3">
      <w:pPr>
        <w:tabs>
          <w:tab w:val="left" w:pos="720"/>
          <w:tab w:val="left" w:pos="1440"/>
        </w:tabs>
        <w:adjustRightInd w:val="0"/>
        <w:spacing w:line="240" w:lineRule="atLeast"/>
        <w:rPr>
          <w:rFonts w:cs="Arial"/>
          <w:b/>
          <w:bCs/>
          <w:szCs w:val="20"/>
          <w:u w:val="single"/>
        </w:rPr>
      </w:pPr>
    </w:p>
    <w:p w:rsidR="005624E3" w:rsidRPr="00D50F76" w:rsidRDefault="005624E3" w:rsidP="005624E3">
      <w:pPr>
        <w:pStyle w:val="Esann8ch"/>
        <w:rPr>
          <w:b/>
          <w:bCs/>
        </w:rPr>
      </w:pPr>
      <w:r w:rsidRPr="00D50F76">
        <w:t>1.1.1.</w:t>
      </w:r>
      <w:r w:rsidRPr="00D50F76">
        <w:tab/>
        <w:t xml:space="preserve">Az I. szakasz rendelkezései az 1.2.1. pont szerinti cseppfolyósított földgázzal (LNG) üzemelő propulziós vagy kiegészítő rendszerekkel felszerelt vízi járművekre alkalmazandók, és minden olyan területet lefednek, amely különleges figyelmet kell fordítani a cseppfolyósított földgáz (LNG) tüzelőanyagként való felhasználása tekintetében. </w:t>
      </w:r>
    </w:p>
    <w:p w:rsidR="005624E3" w:rsidRPr="00D50F76" w:rsidRDefault="005624E3" w:rsidP="005624E3">
      <w:pPr>
        <w:tabs>
          <w:tab w:val="left" w:pos="720"/>
          <w:tab w:val="left" w:pos="1440"/>
        </w:tabs>
        <w:adjustRightInd w:val="0"/>
        <w:spacing w:line="240" w:lineRule="atLeast"/>
        <w:rPr>
          <w:rFonts w:cs="Arial"/>
          <w:b/>
          <w:bCs/>
          <w:szCs w:val="20"/>
        </w:rPr>
      </w:pPr>
    </w:p>
    <w:p w:rsidR="005624E3" w:rsidRPr="00D50F76" w:rsidRDefault="005624E3" w:rsidP="005624E3">
      <w:pPr>
        <w:pStyle w:val="Esann8chgras"/>
        <w:rPr>
          <w:rFonts w:eastAsia="Calibri"/>
        </w:rPr>
      </w:pPr>
      <w:r w:rsidRPr="00D50F76">
        <w:t>1.2.</w:t>
      </w:r>
      <w:r w:rsidRPr="00D50F76">
        <w:tab/>
        <w:t>Fogalommeghatározások</w:t>
      </w:r>
    </w:p>
    <w:p w:rsidR="005624E3" w:rsidRPr="00D50F76" w:rsidRDefault="005624E3" w:rsidP="005624E3">
      <w:pPr>
        <w:adjustRightInd w:val="0"/>
        <w:spacing w:line="240" w:lineRule="atLeast"/>
        <w:rPr>
          <w:rFonts w:cs="Arial"/>
          <w:iCs/>
          <w:szCs w:val="20"/>
        </w:rPr>
      </w:pPr>
    </w:p>
    <w:p w:rsidR="005624E3" w:rsidRPr="00D50F76" w:rsidRDefault="005624E3" w:rsidP="005624E3">
      <w:pPr>
        <w:pStyle w:val="Esann8chpar"/>
      </w:pPr>
      <w:r w:rsidRPr="00D50F76">
        <w:t>E szakasz alkalmazásában a következő fogalommeghatározásokat kell alkalmazni:</w:t>
      </w:r>
    </w:p>
    <w:p w:rsidR="005624E3" w:rsidRPr="00D50F76" w:rsidRDefault="005624E3" w:rsidP="005624E3">
      <w:pPr>
        <w:pStyle w:val="Esann8chpar"/>
      </w:pPr>
    </w:p>
    <w:p w:rsidR="005624E3" w:rsidRPr="00D50F76" w:rsidRDefault="005624E3" w:rsidP="005624E3">
      <w:pPr>
        <w:pStyle w:val="Esann8ch"/>
      </w:pPr>
      <w:r w:rsidRPr="00D50F76">
        <w:t>1.2.1.</w:t>
      </w:r>
      <w:r w:rsidRPr="00D50F76">
        <w:tab/>
      </w:r>
      <w:r w:rsidRPr="00D50F76">
        <w:rPr>
          <w:i/>
        </w:rPr>
        <w:t>Cseppfolyósított földgáz (LNG)</w:t>
      </w:r>
      <w:r w:rsidRPr="00D50F76">
        <w:t>: a –161 °C hőmérsékletre való hűtéssel cseppfolyóssá tett földgáz.</w:t>
      </w:r>
    </w:p>
    <w:p w:rsidR="005624E3" w:rsidRPr="00D50F76" w:rsidRDefault="005624E3" w:rsidP="005624E3">
      <w:pPr>
        <w:pStyle w:val="Esann8ch"/>
      </w:pPr>
    </w:p>
    <w:p w:rsidR="005624E3" w:rsidRPr="00D50F76" w:rsidRDefault="005624E3" w:rsidP="005624E3">
      <w:pPr>
        <w:pStyle w:val="Esann8ch"/>
      </w:pPr>
      <w:r w:rsidRPr="00D50F76">
        <w:t>1.2.2</w:t>
      </w:r>
      <w:r w:rsidRPr="00D50F76">
        <w:rPr>
          <w:i/>
        </w:rPr>
        <w:t xml:space="preserve"> </w:t>
      </w:r>
      <w:r w:rsidRPr="00D50F76">
        <w:tab/>
      </w:r>
      <w:r w:rsidRPr="00D50F76">
        <w:rPr>
          <w:i/>
        </w:rPr>
        <w:t>LNG-rendszer:</w:t>
      </w:r>
      <w:r w:rsidRPr="00D50F76">
        <w:t xml:space="preserve"> a vízi jármű valamennyi olyan része, amely cseppfolyósított földgázt (LNG) vagy földgázt tartalmaz, például motorok, tüzelőanyag-tartályok és feltöltővezetékek.</w:t>
      </w:r>
    </w:p>
    <w:p w:rsidR="005624E3" w:rsidRPr="00D50F76" w:rsidRDefault="005624E3" w:rsidP="005624E3">
      <w:pPr>
        <w:pStyle w:val="Esann8ch"/>
      </w:pPr>
    </w:p>
    <w:p w:rsidR="005624E3" w:rsidRPr="00D50F76" w:rsidRDefault="005624E3" w:rsidP="005624E3">
      <w:pPr>
        <w:pStyle w:val="Esann8ch"/>
      </w:pPr>
      <w:r w:rsidRPr="00D50F76">
        <w:t>1.2.3.</w:t>
      </w:r>
      <w:r w:rsidRPr="00D50F76">
        <w:tab/>
      </w:r>
      <w:r w:rsidRPr="00D50F76">
        <w:rPr>
          <w:i/>
        </w:rPr>
        <w:t>LNG-feltöltő rendszer:</w:t>
      </w:r>
      <w:r w:rsidRPr="00D50F76">
        <w:t xml:space="preserve"> cseppfolyósított földgáz (LNG) feltöltésére szolgáló berendezés (feltöltőállomás és feltöltővezetékek) a vízi járművön.</w:t>
      </w:r>
    </w:p>
    <w:p w:rsidR="005624E3" w:rsidRPr="00D50F76" w:rsidRDefault="005624E3" w:rsidP="005624E3">
      <w:pPr>
        <w:pStyle w:val="Esann8ch"/>
      </w:pPr>
    </w:p>
    <w:p w:rsidR="005624E3" w:rsidRPr="00D50F76" w:rsidRDefault="005624E3" w:rsidP="005624E3">
      <w:pPr>
        <w:pStyle w:val="Esann8ch"/>
      </w:pPr>
      <w:r w:rsidRPr="00D50F76">
        <w:t>1.2.4.</w:t>
      </w:r>
      <w:r w:rsidRPr="00D50F76">
        <w:tab/>
      </w:r>
      <w:r w:rsidRPr="00D50F76">
        <w:rPr>
          <w:i/>
        </w:rPr>
        <w:t>Felöltő állomás:</w:t>
      </w:r>
      <w:r w:rsidRPr="00D50F76">
        <w:t xml:space="preserve"> az a terület a fedélzeten, amelyen a feltöltéshez használt valamennyi eszköz – például elosztócsövek, szelepek, mérőműszerek, biztonsági berendezések, ellenőrző állomások, szerszámok stb. – elhelyezkedik.</w:t>
      </w:r>
    </w:p>
    <w:p w:rsidR="005624E3" w:rsidRPr="00D50F76" w:rsidRDefault="005624E3" w:rsidP="005624E3">
      <w:pPr>
        <w:pStyle w:val="Esann8ch"/>
      </w:pPr>
    </w:p>
    <w:p w:rsidR="005624E3" w:rsidRPr="00D50F76" w:rsidRDefault="005624E3" w:rsidP="005624E3">
      <w:pPr>
        <w:pStyle w:val="Esann8ch"/>
      </w:pPr>
      <w:r w:rsidRPr="00D50F76">
        <w:t>1.2.5.</w:t>
      </w:r>
      <w:r w:rsidRPr="00D50F76">
        <w:tab/>
      </w:r>
      <w:r w:rsidRPr="00D50F76">
        <w:rPr>
          <w:i/>
        </w:rPr>
        <w:t>LNG-tároló rendszer:</w:t>
      </w:r>
      <w:r w:rsidRPr="00D50F76">
        <w:t xml:space="preserve"> a cseppfolyósított földgáz (LNG) tárolására szolgáló rendszer, beleértve a tartálycsatlakozásokat is.</w:t>
      </w:r>
    </w:p>
    <w:p w:rsidR="005624E3" w:rsidRPr="00D50F76" w:rsidRDefault="005624E3" w:rsidP="005624E3">
      <w:pPr>
        <w:pStyle w:val="Esann8ch"/>
      </w:pPr>
    </w:p>
    <w:p w:rsidR="005624E3" w:rsidRPr="00D50F76" w:rsidRDefault="005624E3" w:rsidP="005624E3">
      <w:pPr>
        <w:pStyle w:val="Esann8ch"/>
      </w:pPr>
      <w:r w:rsidRPr="00D50F76">
        <w:t>1.2.6.</w:t>
      </w:r>
      <w:r w:rsidRPr="00D50F76">
        <w:tab/>
      </w:r>
      <w:r w:rsidRPr="00D50F76">
        <w:rPr>
          <w:i/>
        </w:rPr>
        <w:t>Gázellátó rendszer:</w:t>
      </w:r>
      <w:r w:rsidRPr="00D50F76">
        <w:t xml:space="preserve"> az a rendszer, beleértve a gázelőkészítő rendszert, a gázvezetékeket és -szelepeket is, amely a gázt a fedélzeten valamennyi gázfogyasztó berendezéshez eljuttatja.</w:t>
      </w:r>
    </w:p>
    <w:p w:rsidR="005624E3" w:rsidRPr="00D50F76" w:rsidRDefault="005624E3" w:rsidP="005624E3">
      <w:pPr>
        <w:pStyle w:val="Esann8ch"/>
      </w:pPr>
    </w:p>
    <w:p w:rsidR="005624E3" w:rsidRPr="00D50F76" w:rsidRDefault="005624E3" w:rsidP="005624E3">
      <w:pPr>
        <w:pStyle w:val="Esann8ch"/>
      </w:pPr>
      <w:r w:rsidRPr="00D50F76">
        <w:t>1.2.7.</w:t>
      </w:r>
      <w:r w:rsidRPr="00D50F76">
        <w:tab/>
      </w:r>
      <w:r w:rsidRPr="00D50F76">
        <w:rPr>
          <w:i/>
        </w:rPr>
        <w:t>Gázelőkészítő rendszer:</w:t>
      </w:r>
      <w:r w:rsidRPr="00D50F76">
        <w:t xml:space="preserve"> a cseppfolyósított földgázt (LNG) földgázzá átalakító egység, annak szerelvényei és vezetékei.</w:t>
      </w:r>
    </w:p>
    <w:p w:rsidR="005624E3" w:rsidRPr="00D50F76" w:rsidRDefault="005624E3" w:rsidP="005624E3">
      <w:pPr>
        <w:pStyle w:val="Esann8ch"/>
      </w:pPr>
    </w:p>
    <w:p w:rsidR="005624E3" w:rsidRPr="00D50F76" w:rsidRDefault="005624E3" w:rsidP="005624E3">
      <w:pPr>
        <w:pStyle w:val="Esann8ch"/>
      </w:pPr>
      <w:r w:rsidRPr="00D50F76">
        <w:t>1.2.8.</w:t>
      </w:r>
      <w:r w:rsidRPr="00D50F76">
        <w:tab/>
      </w:r>
      <w:r w:rsidRPr="00D50F76">
        <w:rPr>
          <w:i/>
        </w:rPr>
        <w:t>Veszélyes területek</w:t>
      </w:r>
      <w:r w:rsidRPr="00D50F76">
        <w:t>: az alábbi besorolás szerinti 0., 1. és 2. zóna:</w:t>
      </w:r>
    </w:p>
    <w:p w:rsidR="005624E3" w:rsidRPr="00D50F76" w:rsidRDefault="005624E3" w:rsidP="005624E3">
      <w:pPr>
        <w:adjustRightInd w:val="0"/>
        <w:spacing w:line="240" w:lineRule="atLeast"/>
        <w:ind w:left="709" w:hanging="709"/>
        <w:rPr>
          <w:rFonts w:cs="Arial"/>
          <w:color w:val="000000"/>
          <w:szCs w:val="20"/>
        </w:rPr>
      </w:pPr>
    </w:p>
    <w:p w:rsidR="005624E3" w:rsidRPr="00D50F76" w:rsidRDefault="005624E3" w:rsidP="005624E3">
      <w:pPr>
        <w:pStyle w:val="Esann8ch"/>
      </w:pPr>
      <w:r w:rsidRPr="00D50F76">
        <w:t>1.2.8.1.</w:t>
      </w:r>
      <w:r w:rsidRPr="00D50F76">
        <w:tab/>
        <w:t>0. zóna: az a terület, ahol folyamatosan, hosszabb időn keresztül vagy gyakran gáz, gőz vagy köd formájában megjelenő gyúlékony anyagok levegővel alkotott elegyét tartalmazó robbanásveszélyes légkör fordul elő.</w:t>
      </w:r>
    </w:p>
    <w:p w:rsidR="005624E3" w:rsidRPr="00D50F76" w:rsidRDefault="005624E3" w:rsidP="005624E3">
      <w:pPr>
        <w:pStyle w:val="Esann8ch"/>
      </w:pPr>
    </w:p>
    <w:p w:rsidR="005624E3" w:rsidRPr="00D50F76" w:rsidRDefault="005624E3" w:rsidP="005624E3">
      <w:pPr>
        <w:pStyle w:val="Esann8ch"/>
      </w:pPr>
      <w:r w:rsidRPr="00D50F76">
        <w:t>1.2.8.2.</w:t>
      </w:r>
      <w:r w:rsidRPr="00D50F76">
        <w:tab/>
        <w:t>1. zóna: az a terület, ahol szokásos üzemi körülmények mellett valószínű a gáz, gőz vagy köd formájában megjelenő gyúlékony anyagok levegővel alkotott elegyét tartalmazó robbanásveszélyes légkör alkalmankénti előfordulása.</w:t>
      </w:r>
    </w:p>
    <w:p w:rsidR="005624E3" w:rsidRPr="00D50F76" w:rsidRDefault="005624E3" w:rsidP="005624E3">
      <w:pPr>
        <w:pStyle w:val="Esann8ch"/>
      </w:pPr>
    </w:p>
    <w:p w:rsidR="005624E3" w:rsidRPr="00D50F76" w:rsidRDefault="005624E3" w:rsidP="005624E3">
      <w:pPr>
        <w:rPr>
          <w:rFonts w:eastAsia="Calibri" w:cs="Arial"/>
          <w:color w:val="000000"/>
          <w:szCs w:val="20"/>
        </w:rPr>
      </w:pPr>
      <w:r w:rsidRPr="00D50F76">
        <w:br w:type="page"/>
      </w:r>
    </w:p>
    <w:p w:rsidR="005624E3" w:rsidRPr="00D50F76" w:rsidRDefault="005624E3" w:rsidP="005624E3">
      <w:pPr>
        <w:pStyle w:val="Esann8ch"/>
      </w:pPr>
    </w:p>
    <w:p w:rsidR="005624E3" w:rsidRPr="00D50F76" w:rsidRDefault="005624E3" w:rsidP="005624E3">
      <w:pPr>
        <w:pStyle w:val="Esann8ch"/>
        <w:rPr>
          <w:iCs/>
        </w:rPr>
      </w:pPr>
      <w:r w:rsidRPr="00D50F76">
        <w:t>1.2.8.3.</w:t>
      </w:r>
      <w:r w:rsidRPr="00D50F76">
        <w:tab/>
        <w:t>2. zóna: az a terület, ahol szokásos üzemi körülmények mellett nem valószínű a gáz, gőz vagy köd formájában lévő gyúlékony anyagok levegővel alkotott elegyét tartalmazó robbanásveszélyes légkör előfordulása, de ha ilyen mégis előfordul, akkor csak rövid ideig áll fenn.</w:t>
      </w:r>
    </w:p>
    <w:p w:rsidR="005624E3" w:rsidRPr="00D50F76" w:rsidRDefault="005624E3" w:rsidP="005624E3">
      <w:pPr>
        <w:adjustRightInd w:val="0"/>
        <w:spacing w:line="240" w:lineRule="atLeast"/>
        <w:ind w:left="709" w:hanging="709"/>
        <w:rPr>
          <w:rFonts w:cs="Arial"/>
          <w:i/>
          <w:iCs/>
          <w:szCs w:val="20"/>
        </w:rPr>
      </w:pPr>
    </w:p>
    <w:p w:rsidR="005624E3" w:rsidRPr="00D50F76" w:rsidRDefault="005624E3" w:rsidP="005624E3">
      <w:pPr>
        <w:pStyle w:val="Esann8ch"/>
      </w:pPr>
      <w:r w:rsidRPr="00D50F76">
        <w:t>1.2.9.</w:t>
      </w:r>
      <w:r w:rsidRPr="00D50F76">
        <w:tab/>
      </w:r>
      <w:r w:rsidRPr="00D50F76">
        <w:rPr>
          <w:i/>
        </w:rPr>
        <w:t>Zárt tér</w:t>
      </w:r>
      <w:r w:rsidRPr="00D50F76">
        <w:t>: minden olyan helyiség, amelyen belül – mesterséges szellőztetés hiányában – a szellőzés korlátozott lesz, és a robbanásveszélyes légkör nem oszlik el természetes módon.</w:t>
      </w:r>
    </w:p>
    <w:p w:rsidR="005624E3" w:rsidRPr="00D50F76" w:rsidRDefault="005624E3" w:rsidP="005624E3">
      <w:pPr>
        <w:pStyle w:val="Esann8ch"/>
        <w:rPr>
          <w:i/>
        </w:rPr>
      </w:pPr>
    </w:p>
    <w:p w:rsidR="005624E3" w:rsidRPr="00D50F76" w:rsidRDefault="005624E3" w:rsidP="005624E3">
      <w:pPr>
        <w:pStyle w:val="Esann8ch"/>
      </w:pPr>
      <w:r w:rsidRPr="00D50F76">
        <w:t>1.2.10.</w:t>
      </w:r>
      <w:r w:rsidRPr="00D50F76">
        <w:tab/>
      </w:r>
      <w:r w:rsidRPr="00D50F76">
        <w:rPr>
          <w:i/>
        </w:rPr>
        <w:t>Félig zárt tér:</w:t>
      </w:r>
      <w:r w:rsidRPr="00D50F76">
        <w:t xml:space="preserve"> fedélzettel vagy válaszfallal határolt helyiség, amelyben a szellőzés természetes körülményei jelentősen eltérnek a nyitott fedélzeti körülményektől.</w:t>
      </w:r>
    </w:p>
    <w:p w:rsidR="005624E3" w:rsidRPr="00D50F76" w:rsidRDefault="005624E3" w:rsidP="005624E3">
      <w:pPr>
        <w:pStyle w:val="Esann8ch"/>
      </w:pPr>
    </w:p>
    <w:p w:rsidR="005624E3" w:rsidRPr="00D50F76" w:rsidRDefault="005624E3" w:rsidP="005624E3">
      <w:pPr>
        <w:pStyle w:val="Esann8ch"/>
      </w:pPr>
      <w:r w:rsidRPr="00D50F76">
        <w:t>1.2.11.</w:t>
      </w:r>
      <w:r w:rsidRPr="00D50F76">
        <w:tab/>
      </w:r>
      <w:r w:rsidRPr="00D50F76">
        <w:rPr>
          <w:i/>
        </w:rPr>
        <w:t>Nyomáscsökkentő szelep</w:t>
      </w:r>
      <w:r w:rsidRPr="00D50F76">
        <w:t>: olyan rugóterhelésű eszköz, amely nyomás hatására automatikusan működésbe lép, és amelynek célja a tartály vagy a vezetékek védelme a belső túlnyomás ellen.</w:t>
      </w:r>
    </w:p>
    <w:p w:rsidR="005624E3" w:rsidRPr="00D50F76" w:rsidRDefault="005624E3" w:rsidP="005624E3">
      <w:pPr>
        <w:pStyle w:val="Esann8ch"/>
      </w:pPr>
    </w:p>
    <w:p w:rsidR="005624E3" w:rsidRPr="00D50F76" w:rsidRDefault="005624E3" w:rsidP="005624E3">
      <w:pPr>
        <w:pStyle w:val="Esann8ch"/>
      </w:pPr>
      <w:r w:rsidRPr="00D50F76">
        <w:t>1.2.12.</w:t>
      </w:r>
      <w:r w:rsidRPr="00D50F76">
        <w:tab/>
      </w:r>
      <w:r w:rsidRPr="00D50F76">
        <w:rPr>
          <w:i/>
        </w:rPr>
        <w:t>Vegyes üzemű motorok</w:t>
      </w:r>
      <w:r w:rsidRPr="00D50F76">
        <w:t>: 55 °C-nál magasabb lobbanáspontú tüzelőanyaggal kombinált cseppfolyós földgázzal (LNG) üzemelő motorok.</w:t>
      </w:r>
    </w:p>
    <w:p w:rsidR="005624E3" w:rsidRPr="00D50F76" w:rsidRDefault="005624E3" w:rsidP="005624E3">
      <w:pPr>
        <w:pStyle w:val="Esann8ch"/>
      </w:pPr>
    </w:p>
    <w:p w:rsidR="005624E3" w:rsidRPr="00D50F76" w:rsidRDefault="005624E3" w:rsidP="005624E3">
      <w:pPr>
        <w:pStyle w:val="Esann8ch"/>
      </w:pPr>
      <w:r w:rsidRPr="00D50F76">
        <w:t>1.2.13.</w:t>
      </w:r>
      <w:r w:rsidRPr="00D50F76">
        <w:rPr>
          <w:i/>
        </w:rPr>
        <w:t xml:space="preserve"> </w:t>
      </w:r>
      <w:r w:rsidRPr="00D50F76">
        <w:tab/>
      </w:r>
      <w:r w:rsidRPr="00D50F76">
        <w:rPr>
          <w:i/>
        </w:rPr>
        <w:t>ESD</w:t>
      </w:r>
      <w:r w:rsidRPr="00D50F76">
        <w:t xml:space="preserve"> (</w:t>
      </w:r>
      <w:r w:rsidRPr="00D50F76">
        <w:rPr>
          <w:i/>
        </w:rPr>
        <w:t>emergency shutdown</w:t>
      </w:r>
      <w:r w:rsidRPr="00D50F76">
        <w:t>): vészhelyzeti leállás.</w:t>
      </w:r>
    </w:p>
    <w:p w:rsidR="005624E3" w:rsidRPr="00D50F76" w:rsidRDefault="005624E3" w:rsidP="005624E3">
      <w:pPr>
        <w:pStyle w:val="Esann8ch"/>
      </w:pPr>
    </w:p>
    <w:p w:rsidR="005624E3" w:rsidRPr="00D50F76" w:rsidRDefault="005624E3" w:rsidP="005624E3">
      <w:pPr>
        <w:pStyle w:val="Esann8ch"/>
      </w:pPr>
      <w:r w:rsidRPr="00D50F76">
        <w:t>1.2.14.</w:t>
      </w:r>
      <w:r w:rsidRPr="00D50F76">
        <w:tab/>
      </w:r>
      <w:r w:rsidRPr="00D50F76">
        <w:rPr>
          <w:i/>
        </w:rPr>
        <w:t>Fő gázadagoló szelep</w:t>
      </w:r>
      <w:r w:rsidRPr="00D50F76">
        <w:t>: automata zárószelep a motorokhoz vezető gázvezetéken.</w:t>
      </w:r>
    </w:p>
    <w:p w:rsidR="005624E3" w:rsidRPr="00D50F76" w:rsidRDefault="005624E3" w:rsidP="005624E3">
      <w:pPr>
        <w:pStyle w:val="Esann8ch"/>
      </w:pPr>
    </w:p>
    <w:p w:rsidR="005624E3" w:rsidRPr="00D50F76" w:rsidRDefault="005624E3" w:rsidP="005624E3">
      <w:pPr>
        <w:pStyle w:val="Esann8ch"/>
        <w:rPr>
          <w:i/>
        </w:rPr>
      </w:pPr>
      <w:r w:rsidRPr="00D50F76">
        <w:t>1.2.15.</w:t>
      </w:r>
      <w:r w:rsidRPr="00D50F76">
        <w:tab/>
      </w:r>
      <w:r w:rsidRPr="00D50F76">
        <w:rPr>
          <w:i/>
        </w:rPr>
        <w:t>Másodlagos védőréteg:</w:t>
      </w:r>
      <w:r w:rsidRPr="00D50F76">
        <w:t xml:space="preserve"> egy LNG-tároló vagy vezetékrendszer külső eleme, amelynek célja az elsődleges védőrétegen át történő esetleges szivárgás átmeneti lefojtása.</w:t>
      </w:r>
    </w:p>
    <w:p w:rsidR="005624E3" w:rsidRPr="00D50F76" w:rsidRDefault="005624E3" w:rsidP="005624E3">
      <w:pPr>
        <w:pStyle w:val="Esann8ch"/>
        <w:rPr>
          <w:i/>
        </w:rPr>
      </w:pPr>
    </w:p>
    <w:p w:rsidR="005624E3" w:rsidRPr="00D50F76" w:rsidRDefault="005624E3" w:rsidP="005624E3">
      <w:pPr>
        <w:pStyle w:val="Esann8ch"/>
        <w:rPr>
          <w:i/>
        </w:rPr>
      </w:pPr>
      <w:r w:rsidRPr="00D50F76">
        <w:t xml:space="preserve">1.2.16. </w:t>
      </w:r>
      <w:r w:rsidRPr="00D50F76">
        <w:tab/>
      </w:r>
      <w:r w:rsidRPr="00D50F76">
        <w:rPr>
          <w:i/>
        </w:rPr>
        <w:t>Legnagyobb üzemi nyomás</w:t>
      </w:r>
      <w:r w:rsidRPr="00D50F76">
        <w:t xml:space="preserve">: egy LNG-tartályban vagy -vezetékrendszerben működés közben fellépő legnagyobb elfogadható nyomás. Ez a nyomás egyenlő a nyomáscsökkentő szelepek vagy eszközök nyitási nyomásával. </w:t>
      </w:r>
    </w:p>
    <w:p w:rsidR="005624E3" w:rsidRPr="00D50F76" w:rsidRDefault="005624E3" w:rsidP="005624E3">
      <w:pPr>
        <w:pStyle w:val="Esann8ch"/>
        <w:rPr>
          <w:i/>
        </w:rPr>
      </w:pPr>
    </w:p>
    <w:p w:rsidR="005624E3" w:rsidRPr="00D50F76" w:rsidRDefault="005624E3" w:rsidP="005624E3">
      <w:pPr>
        <w:pStyle w:val="Esann8ch"/>
      </w:pPr>
      <w:r w:rsidRPr="00D50F76">
        <w:t xml:space="preserve">1.2.17. </w:t>
      </w:r>
      <w:r w:rsidRPr="00D50F76">
        <w:tab/>
      </w:r>
      <w:r w:rsidRPr="00D50F76">
        <w:rPr>
          <w:i/>
        </w:rPr>
        <w:t>Tervezési nyomás</w:t>
      </w:r>
      <w:r w:rsidRPr="00D50F76">
        <w:t>: az a nyomás, amelyre az LNG-tartályt vagy -vezetékrendszert tervezték és építették.</w:t>
      </w:r>
    </w:p>
    <w:p w:rsidR="005624E3" w:rsidRPr="00D50F76" w:rsidRDefault="005624E3" w:rsidP="005624E3">
      <w:pPr>
        <w:pStyle w:val="Esann8ch"/>
      </w:pPr>
    </w:p>
    <w:p w:rsidR="005624E3" w:rsidRPr="00D50F76" w:rsidRDefault="005624E3" w:rsidP="005624E3">
      <w:pPr>
        <w:pStyle w:val="Esann8ch"/>
      </w:pPr>
      <w:r w:rsidRPr="00D50F76">
        <w:t>1.2.18.</w:t>
      </w:r>
      <w:r w:rsidRPr="00D50F76">
        <w:tab/>
      </w:r>
      <w:r w:rsidRPr="00D50F76">
        <w:rPr>
          <w:i/>
        </w:rPr>
        <w:t>Kettős blokkszelep és csapolószelep</w:t>
      </w:r>
      <w:r w:rsidRPr="00D50F76">
        <w:t xml:space="preserve">: két, egy sorban lévő szelepből és egy harmadik, a két másik szelep közötti csőben lévő nyomás csökkentésére szolgáló szelepből álló egység. Három külön szelep helyett a berendezés állhat egy kétállású szelepből és egy zárószelepből is. </w:t>
      </w:r>
    </w:p>
    <w:p w:rsidR="005624E3" w:rsidRPr="00D50F76" w:rsidRDefault="005624E3" w:rsidP="005624E3">
      <w:pPr>
        <w:pStyle w:val="Esann8ch"/>
      </w:pPr>
    </w:p>
    <w:p w:rsidR="005624E3" w:rsidRPr="00D50F76" w:rsidRDefault="005624E3" w:rsidP="005624E3">
      <w:pPr>
        <w:pStyle w:val="Esann8ch"/>
      </w:pPr>
      <w:r w:rsidRPr="00D50F76">
        <w:t>1.2.19.</w:t>
      </w:r>
      <w:r w:rsidRPr="00D50F76">
        <w:tab/>
      </w:r>
      <w:r w:rsidRPr="00D50F76">
        <w:rPr>
          <w:i/>
        </w:rPr>
        <w:t>Légzsilip</w:t>
      </w:r>
      <w:r w:rsidRPr="00D50F76">
        <w:t>: gázzáró acél válaszfalak által körbezárt, két gázzáró ajtóval rendelkező tér, amely egy nem veszélyes területnek egy veszélyes területtől való elválasztására szolgál.</w:t>
      </w:r>
    </w:p>
    <w:p w:rsidR="005624E3" w:rsidRPr="00D50F76" w:rsidRDefault="005624E3" w:rsidP="005624E3">
      <w:pPr>
        <w:pStyle w:val="Esann8ch"/>
      </w:pPr>
    </w:p>
    <w:p w:rsidR="005624E3" w:rsidRPr="00D50F76" w:rsidRDefault="005624E3" w:rsidP="005624E3">
      <w:pPr>
        <w:pStyle w:val="Esann8ch"/>
      </w:pPr>
      <w:r w:rsidRPr="00D50F76">
        <w:t>1.2.20.</w:t>
      </w:r>
      <w:r w:rsidRPr="00D50F76">
        <w:tab/>
      </w:r>
      <w:r w:rsidRPr="00D50F76">
        <w:rPr>
          <w:i/>
        </w:rPr>
        <w:t>Duplafalú vezeték</w:t>
      </w:r>
      <w:r w:rsidRPr="00D50F76">
        <w:t>: duplafalú vezeték, amelynél a falak közötti teret nyomás alatt lévő inert gáz tölti ki, és így feltárható a két fal bármelyikén keresztül történő szivárgás.</w:t>
      </w:r>
    </w:p>
    <w:p w:rsidR="005624E3" w:rsidRPr="00D50F76" w:rsidRDefault="005624E3" w:rsidP="005624E3">
      <w:pPr>
        <w:pStyle w:val="Esann8ch"/>
      </w:pPr>
    </w:p>
    <w:p w:rsidR="005624E3" w:rsidRPr="00D50F76" w:rsidRDefault="005624E3" w:rsidP="005624E3">
      <w:pPr>
        <w:pStyle w:val="Esann8ch"/>
      </w:pPr>
      <w:r w:rsidRPr="00D50F76">
        <w:t>1.2.21.</w:t>
      </w:r>
      <w:r w:rsidRPr="00D50F76">
        <w:tab/>
      </w:r>
      <w:r w:rsidRPr="00D50F76">
        <w:rPr>
          <w:i/>
        </w:rPr>
        <w:t>Rendszerelemek</w:t>
      </w:r>
      <w:r w:rsidRPr="00D50F76">
        <w:t>: a berendezés valamennyi olyan alkotóeleme, amely cseppfolyósított földgázt (LNG) vagy földgázt tartalmazhat (tüzelőanyag-tartályok, vezetékek, szelepek, tömlők, dugattyúk, szivattyúk, szűrők, műszerek stb.).</w:t>
      </w:r>
    </w:p>
    <w:p w:rsidR="005624E3" w:rsidRPr="00D50F76" w:rsidRDefault="005624E3" w:rsidP="005624E3">
      <w:pPr>
        <w:pStyle w:val="Esann8ch"/>
      </w:pPr>
    </w:p>
    <w:p w:rsidR="005624E3" w:rsidRPr="00D50F76" w:rsidRDefault="005624E3" w:rsidP="005624E3">
      <w:pPr>
        <w:rPr>
          <w:rFonts w:eastAsia="Calibri" w:cs="Arial"/>
          <w:color w:val="000000"/>
          <w:szCs w:val="20"/>
        </w:rPr>
      </w:pPr>
      <w:r w:rsidRPr="00D50F76">
        <w:br w:type="page"/>
      </w:r>
    </w:p>
    <w:p w:rsidR="005624E3" w:rsidRPr="00D50F76" w:rsidRDefault="005624E3" w:rsidP="005624E3">
      <w:pPr>
        <w:pStyle w:val="Esann8ch"/>
      </w:pPr>
    </w:p>
    <w:p w:rsidR="005624E3" w:rsidRPr="00D50F76" w:rsidRDefault="005624E3" w:rsidP="005624E3">
      <w:pPr>
        <w:pStyle w:val="Esann8ch"/>
      </w:pPr>
      <w:r w:rsidRPr="00D50F76">
        <w:t>1.2.22.</w:t>
      </w:r>
      <w:r w:rsidRPr="00D50F76">
        <w:tab/>
      </w:r>
      <w:r w:rsidRPr="00D50F76">
        <w:rPr>
          <w:i/>
        </w:rPr>
        <w:t>Szellőztetett vezeték</w:t>
      </w:r>
      <w:r w:rsidRPr="00D50F76">
        <w:t>: mechanikus elszívóberendezéssel ellátott csőben vagy vezetékben futó gázcső.</w:t>
      </w:r>
    </w:p>
    <w:p w:rsidR="005624E3" w:rsidRPr="00D50F76" w:rsidRDefault="005624E3" w:rsidP="005624E3">
      <w:pPr>
        <w:pStyle w:val="Esann8ch"/>
      </w:pPr>
    </w:p>
    <w:p w:rsidR="005624E3" w:rsidRPr="00D50F76" w:rsidRDefault="005624E3" w:rsidP="005624E3">
      <w:pPr>
        <w:pStyle w:val="Esann8ch"/>
      </w:pPr>
      <w:r w:rsidRPr="00D50F76">
        <w:t>1.2.23.</w:t>
      </w:r>
      <w:r w:rsidRPr="00D50F76">
        <w:tab/>
      </w:r>
      <w:r w:rsidRPr="00D50F76">
        <w:rPr>
          <w:i/>
        </w:rPr>
        <w:t>Gázriasztó berendezés</w:t>
      </w:r>
      <w:r w:rsidRPr="00D50F76">
        <w:t>: személyek és vagyontárgyak veszélyes gázoktól és gáz-levegő keverékektől való védelmére szolgáló figyelmeztető berendezés, mely a gázokat azonosító gázérzékelőkből, egy jeleket feldolgozó vezérlőegységből és a státuszt mutató és figyelmeztetést adó kijelző/riasztó egységből áll.</w:t>
      </w:r>
    </w:p>
    <w:p w:rsidR="005624E3" w:rsidRPr="00D50F76" w:rsidRDefault="005624E3" w:rsidP="005624E3">
      <w:pPr>
        <w:pStyle w:val="Esann8ch"/>
      </w:pPr>
    </w:p>
    <w:p w:rsidR="005624E3" w:rsidRPr="00D50F76" w:rsidRDefault="005624E3" w:rsidP="005624E3">
      <w:pPr>
        <w:pStyle w:val="Esann8chgras"/>
      </w:pPr>
      <w:r w:rsidRPr="00D50F76">
        <w:t>1.3.</w:t>
      </w:r>
      <w:r w:rsidRPr="00D50F76">
        <w:tab/>
        <w:t>Kockázatértékelés</w:t>
      </w:r>
    </w:p>
    <w:p w:rsidR="005624E3" w:rsidRPr="00D50F76" w:rsidRDefault="005624E3" w:rsidP="005624E3">
      <w:pPr>
        <w:pStyle w:val="Esann8ch"/>
      </w:pPr>
    </w:p>
    <w:p w:rsidR="005624E3" w:rsidRPr="00D50F76" w:rsidRDefault="005624E3" w:rsidP="005624E3">
      <w:pPr>
        <w:pStyle w:val="Esann8ch"/>
      </w:pPr>
      <w:r w:rsidRPr="00D50F76">
        <w:t>1.3.1.</w:t>
      </w:r>
      <w:r w:rsidRPr="00D50F76">
        <w:tab/>
        <w:t>Minden új vagy jelentősen módosított koncepció és konfiguráció tekintetében kockázatértékelést kell végezni. A kockázatértékelésnek ki kell terjednie a cseppfolyósított földgáz (LNG) használatából eredő, a hajók fedélzetén tartózkodó személyeket, köztük az utasokat, továbbá a környezetet, a vízi jármű szerkezetének szilárdságát és integritását érintő kockázatokra is. Meghibásodás után észszerűen mérlegelni kell a fizikai elrendezéssel, az üzemeltetéssel és a karbantartással összefüggő veszélyeket.</w:t>
      </w:r>
    </w:p>
    <w:p w:rsidR="005624E3" w:rsidRPr="00D50F76" w:rsidRDefault="005624E3" w:rsidP="005624E3">
      <w:pPr>
        <w:pStyle w:val="Esann8ch"/>
      </w:pPr>
    </w:p>
    <w:p w:rsidR="005624E3" w:rsidRPr="00D50F76" w:rsidRDefault="005624E3" w:rsidP="005624E3">
      <w:pPr>
        <w:pStyle w:val="Esann8ch"/>
      </w:pPr>
      <w:r w:rsidRPr="00D50F76">
        <w:t>1.3.2.</w:t>
      </w:r>
      <w:r w:rsidRPr="00D50F76">
        <w:tab/>
        <w:t xml:space="preserve">A kockázatokat az ellenőrző szerv által elismert kockázatelemzési módszer, például az ISO 31000:2009 és az ISO 31010:2010 nemzetközi szabvány alapján kell meghatározni és értékelni. A mérlegelést legalább a következők tekintetében el kell végezni: funkcióvesztés, alkatrész-károsodás, tűz, robbanás, tartálytér-elárasztás, süllyedés és elektromos túlfeszültség. Az elemzés célja annak biztosítása, hogy a kockázatok – mindenütt, ahol csak lehetséges – kiküszöbölhetők legyenek. Azokat a kockázatokat, amelyek nem szüntethetők meg teljesen, elfogadható szintre kell csökkenteni. Vázolni kell a főbb forgatókönyveket, valamint a kockázatok kiküszöbölését vagy enyhítését célzó intézkedéseket. </w:t>
      </w:r>
    </w:p>
    <w:p w:rsidR="005624E3" w:rsidRPr="00D50F76" w:rsidRDefault="005624E3" w:rsidP="005624E3">
      <w:pPr>
        <w:pStyle w:val="Esann8ch"/>
      </w:pPr>
    </w:p>
    <w:p w:rsidR="005624E3" w:rsidRPr="00D50F76" w:rsidRDefault="005624E3" w:rsidP="005624E3">
      <w:pPr>
        <w:pStyle w:val="Esann8ch"/>
      </w:pPr>
      <w:r w:rsidRPr="00D50F76">
        <w:t>1.3.3.</w:t>
      </w:r>
      <w:r w:rsidRPr="00D50F76">
        <w:tab/>
        <w:t>A kockázatértékelésben dokumentálni kell a fedélzeten lévő, a 1.2.8. pont szerint 0., 1. és 2. zónára osztott veszélyes területek besorolását.</w:t>
      </w:r>
    </w:p>
    <w:p w:rsidR="005624E3" w:rsidRPr="00D50F76" w:rsidRDefault="005624E3" w:rsidP="005624E3">
      <w:pPr>
        <w:pStyle w:val="Esann8ch"/>
        <w:rPr>
          <w:b/>
        </w:rPr>
      </w:pPr>
    </w:p>
    <w:p w:rsidR="005624E3" w:rsidRPr="00D50F76" w:rsidRDefault="005624E3" w:rsidP="005624E3">
      <w:pPr>
        <w:pStyle w:val="Esann8chgras"/>
        <w:rPr>
          <w:rFonts w:eastAsia="Calibri"/>
        </w:rPr>
      </w:pPr>
      <w:r w:rsidRPr="00D50F76">
        <w:t>1.4.</w:t>
      </w:r>
      <w:r w:rsidRPr="00D50F76">
        <w:tab/>
        <w:t>Általános követelmények</w:t>
      </w:r>
    </w:p>
    <w:p w:rsidR="005624E3" w:rsidRPr="00D50F76" w:rsidRDefault="005624E3" w:rsidP="005624E3">
      <w:pPr>
        <w:pStyle w:val="Esann8ch"/>
      </w:pPr>
    </w:p>
    <w:p w:rsidR="005624E3" w:rsidRPr="00D50F76" w:rsidRDefault="005624E3" w:rsidP="005624E3">
      <w:pPr>
        <w:pStyle w:val="Esann8ch"/>
      </w:pPr>
      <w:r w:rsidRPr="00D50F76">
        <w:t>1.4.1.</w:t>
      </w:r>
      <w:r w:rsidRPr="00D50F76">
        <w:tab/>
        <w:t>Az LNG-rendszeren belül semmilyen meghibásodás nem eredményezhet olyan helyzetet, amely veszélyezteti a biztonságot.</w:t>
      </w:r>
    </w:p>
    <w:p w:rsidR="005624E3" w:rsidRPr="00D50F76" w:rsidRDefault="005624E3" w:rsidP="005624E3">
      <w:pPr>
        <w:pStyle w:val="Esann8ch"/>
      </w:pPr>
    </w:p>
    <w:p w:rsidR="005624E3" w:rsidRPr="00D50F76" w:rsidRDefault="005624E3" w:rsidP="005624E3">
      <w:pPr>
        <w:pStyle w:val="Esann8ch"/>
      </w:pPr>
      <w:r w:rsidRPr="00D50F76">
        <w:t>1.4.2</w:t>
      </w:r>
      <w:r w:rsidRPr="00D50F76">
        <w:tab/>
        <w:t xml:space="preserve">Az LNG-rendszert úgy kell megtervezni, megépíteni, felszerelni, karbantartani és védeni, hogy biztonságos és megbízható működést biztosítson. </w:t>
      </w:r>
    </w:p>
    <w:p w:rsidR="005624E3" w:rsidRPr="00D50F76" w:rsidRDefault="005624E3" w:rsidP="005624E3">
      <w:pPr>
        <w:pStyle w:val="Esann8ch"/>
      </w:pPr>
    </w:p>
    <w:p w:rsidR="005624E3" w:rsidRPr="00D50F76" w:rsidRDefault="005624E3" w:rsidP="005624E3">
      <w:pPr>
        <w:pStyle w:val="Esann8ch"/>
      </w:pPr>
      <w:r w:rsidRPr="00D50F76">
        <w:t>1.4.3.</w:t>
      </w:r>
      <w:r w:rsidRPr="00D50F76">
        <w:tab/>
        <w:t>Az LNG-rendszer alkatrészeit védeni kell a külső sérülésektől.</w:t>
      </w:r>
    </w:p>
    <w:p w:rsidR="005624E3" w:rsidRPr="00D50F76" w:rsidRDefault="005624E3" w:rsidP="005624E3">
      <w:pPr>
        <w:pStyle w:val="Esann8ch"/>
      </w:pPr>
    </w:p>
    <w:p w:rsidR="005624E3" w:rsidRPr="00D50F76" w:rsidRDefault="005624E3" w:rsidP="005624E3">
      <w:pPr>
        <w:pStyle w:val="Esann8ch"/>
      </w:pPr>
      <w:r w:rsidRPr="00D50F76">
        <w:t>1.4.4.</w:t>
      </w:r>
      <w:r w:rsidRPr="00D50F76">
        <w:tab/>
        <w:t>A veszélyes területek tekintetében – amennyire csak kivitelezhető – korlátozásokat kell szabni a vízi jármű, a fedélzeten tartózkodók és a berendezések biztonságát, valamint a környezetet esetlegesen veszélyeztető lehetséges kockázatok minimalizálása érdekében. Különösen fontos, hogy a veszélyes területek a hajónak a 19.06. cikk 11. bekezdése szerinti, nem utasok általi használatára szolgáló részeihez tartoznak.</w:t>
      </w:r>
    </w:p>
    <w:p w:rsidR="005624E3" w:rsidRPr="00D50F76" w:rsidRDefault="005624E3" w:rsidP="005624E3">
      <w:pPr>
        <w:pStyle w:val="Esann8ch"/>
      </w:pPr>
    </w:p>
    <w:p w:rsidR="005624E3" w:rsidRPr="00D50F76" w:rsidRDefault="005624E3" w:rsidP="005624E3">
      <w:pPr>
        <w:pStyle w:val="Esann8ch"/>
      </w:pPr>
      <w:r w:rsidRPr="00D50F76">
        <w:t xml:space="preserve">1.4.5 </w:t>
      </w:r>
      <w:r w:rsidRPr="00D50F76">
        <w:tab/>
        <w:t>Megfelelő intézkedéseket kell hozni annak érdekében, hogy az utasok távol maradjanak a veszélyes területektől.</w:t>
      </w:r>
    </w:p>
    <w:p w:rsidR="005624E3" w:rsidRPr="00D50F76" w:rsidRDefault="005624E3" w:rsidP="005624E3">
      <w:pPr>
        <w:pStyle w:val="Esann8ch"/>
      </w:pPr>
    </w:p>
    <w:p w:rsidR="005624E3" w:rsidRPr="00D50F76" w:rsidRDefault="005624E3" w:rsidP="005624E3">
      <w:pPr>
        <w:pStyle w:val="Esann8ch"/>
      </w:pPr>
      <w:r w:rsidRPr="00D50F76">
        <w:t>1.4.6</w:t>
      </w:r>
      <w:r w:rsidRPr="00D50F76">
        <w:tab/>
        <w:t>A veszélyes területeken felszerelt berendezések számát az üzemeltetéshez szükséges minimumra kell csökkenteni, és azokat megfelelő módon és elégséges mértékben hitelesíteni kell.</w:t>
      </w:r>
    </w:p>
    <w:p w:rsidR="005624E3" w:rsidRPr="00D50F76" w:rsidRDefault="005624E3" w:rsidP="005624E3">
      <w:pPr>
        <w:pStyle w:val="Esann8ch"/>
      </w:pPr>
    </w:p>
    <w:p w:rsidR="005624E3" w:rsidRPr="00D50F76" w:rsidRDefault="005624E3" w:rsidP="005624E3">
      <w:pPr>
        <w:pStyle w:val="Esann8ch"/>
      </w:pPr>
      <w:r w:rsidRPr="00D50F76">
        <w:t>1.4.7</w:t>
      </w:r>
      <w:r w:rsidRPr="00D50F76">
        <w:tab/>
        <w:t>A robbanásveszélyes vagy gyúlékony gázok szándékolatlan felhalmozódását meg kell akadályozni.</w:t>
      </w:r>
    </w:p>
    <w:p w:rsidR="005624E3" w:rsidRPr="00D50F76" w:rsidRDefault="005624E3" w:rsidP="005624E3">
      <w:pPr>
        <w:pStyle w:val="Esann8ch"/>
      </w:pPr>
    </w:p>
    <w:p w:rsidR="005624E3" w:rsidRPr="00D50F76" w:rsidRDefault="005624E3" w:rsidP="005624E3">
      <w:pPr>
        <w:pStyle w:val="Esann8ch"/>
      </w:pPr>
    </w:p>
    <w:p w:rsidR="005624E3" w:rsidRPr="00D50F76" w:rsidRDefault="005624E3" w:rsidP="005624E3">
      <w:pPr>
        <w:rPr>
          <w:rFonts w:eastAsia="Calibri" w:cs="Arial"/>
          <w:color w:val="000000"/>
          <w:szCs w:val="20"/>
        </w:rPr>
      </w:pPr>
      <w:r w:rsidRPr="00D50F76">
        <w:br w:type="page"/>
      </w:r>
    </w:p>
    <w:p w:rsidR="005624E3" w:rsidRPr="00D50F76" w:rsidRDefault="005624E3" w:rsidP="005624E3">
      <w:pPr>
        <w:pStyle w:val="Esann8ch"/>
      </w:pPr>
    </w:p>
    <w:p w:rsidR="005624E3" w:rsidRPr="00D50F76" w:rsidRDefault="005624E3" w:rsidP="005624E3">
      <w:pPr>
        <w:pStyle w:val="Esann8ch"/>
      </w:pPr>
      <w:r w:rsidRPr="00D50F76">
        <w:t>1.4.8</w:t>
      </w:r>
      <w:r w:rsidRPr="00D50F76">
        <w:tab/>
        <w:t>A robbanás valószínűségének csökkentése érdekében a veszélyes területeken ki kell zárni a gyújtóforrásokat.</w:t>
      </w:r>
    </w:p>
    <w:p w:rsidR="005624E3" w:rsidRPr="00D50F76" w:rsidRDefault="005624E3" w:rsidP="005624E3">
      <w:pPr>
        <w:pStyle w:val="Esann8ch"/>
      </w:pPr>
    </w:p>
    <w:p w:rsidR="005624E3" w:rsidRPr="00D50F76" w:rsidRDefault="005624E3" w:rsidP="005624E3">
      <w:pPr>
        <w:pStyle w:val="Esann8ch"/>
      </w:pPr>
      <w:r w:rsidRPr="00D50F76">
        <w:t>1.4.9.</w:t>
      </w:r>
      <w:r w:rsidRPr="00D50F76">
        <w:tab/>
        <w:t>A cseppfolyósított földgázt ( LNG) tüzelőanyagként használó vízi járművek fedélzetén rendelkezésre kell állnia az LNG-rendszer részletes üzemeltetési kézikönyvének, melynek legalább:</w:t>
      </w:r>
    </w:p>
    <w:p w:rsidR="005624E3" w:rsidRPr="00D50F76" w:rsidRDefault="005624E3" w:rsidP="005624E3">
      <w:pPr>
        <w:pStyle w:val="Esann8let"/>
      </w:pPr>
      <w:r w:rsidRPr="00D50F76">
        <w:t>a)</w:t>
      </w:r>
      <w:r w:rsidRPr="00D50F76">
        <w:tab/>
        <w:t>gyakorlati magyarázatokat kell tartalmaznia az LNG-feltöltő rendszerről, az LNG-tároló rendszerről, az LNG-vezetékrendszerről, a gázellátó rendszerről, a géptérről, a szellőzőrendszerről, a szivárgásmegelőzésről és -ellenőrzésről, valamint az ellenőrző és biztonsági rendszerről,</w:t>
      </w:r>
    </w:p>
    <w:p w:rsidR="005624E3" w:rsidRPr="00D50F76" w:rsidRDefault="005624E3" w:rsidP="005624E3">
      <w:pPr>
        <w:pStyle w:val="Esann8let"/>
      </w:pPr>
      <w:r w:rsidRPr="00D50F76">
        <w:t>b)</w:t>
      </w:r>
      <w:r w:rsidRPr="00D50F76">
        <w:tab/>
        <w:t>ismertetnie kell az LNG-feltöltési műveleteket, különösen a szelepek működtetését, a tisztítást, az inertizálást és a gázmentesítést,</w:t>
      </w:r>
    </w:p>
    <w:p w:rsidR="005624E3" w:rsidRPr="00D50F76" w:rsidRDefault="005624E3" w:rsidP="005624E3">
      <w:pPr>
        <w:pStyle w:val="Esann8let"/>
      </w:pPr>
      <w:r w:rsidRPr="00D50F76">
        <w:t>c)</w:t>
      </w:r>
      <w:r w:rsidRPr="00D50F76">
        <w:tab/>
        <w:t>ismertetnie kell az LNG-feltöltési műveletek során alkalmazott, az elektromos szigetelésre vonatkozó módszert,</w:t>
      </w:r>
    </w:p>
    <w:p w:rsidR="005624E3" w:rsidRPr="00D50F76" w:rsidRDefault="005624E3" w:rsidP="005624E3">
      <w:pPr>
        <w:pStyle w:val="Esann8let"/>
      </w:pPr>
      <w:r w:rsidRPr="00D50F76">
        <w:t xml:space="preserve">d) </w:t>
      </w:r>
      <w:r w:rsidRPr="00D50F76">
        <w:tab/>
        <w:t>ismertetnie kell a 1.3. pontban említett kockázatértékelés során azonosított kockázatok részleteit és azt a módszert, amellyel azok csökkenthetők.</w:t>
      </w:r>
    </w:p>
    <w:p w:rsidR="005624E3" w:rsidRPr="00D50F76" w:rsidRDefault="005624E3" w:rsidP="005624E3">
      <w:pPr>
        <w:adjustRightInd w:val="0"/>
        <w:spacing w:line="240" w:lineRule="atLeast"/>
        <w:ind w:left="709" w:hanging="709"/>
        <w:rPr>
          <w:rFonts w:eastAsia="Calibri" w:cs="Arial"/>
          <w:szCs w:val="20"/>
        </w:rPr>
      </w:pPr>
    </w:p>
    <w:p w:rsidR="005624E3" w:rsidRPr="00D50F76" w:rsidRDefault="005624E3" w:rsidP="005624E3">
      <w:pPr>
        <w:pStyle w:val="Esann8ch"/>
      </w:pPr>
      <w:r w:rsidRPr="00D50F76">
        <w:t>1.4.10.</w:t>
      </w:r>
      <w:r w:rsidRPr="00D50F76">
        <w:tab/>
        <w:t>Az LNG-tároló rendszerekben és a gépterekben kibocsátott gáz által okozott tűz vagy robbanás nem teheti működésképtelenné a más rekeszekben lévő legfontosabb gépeket vagy berendezéseket.</w:t>
      </w:r>
    </w:p>
    <w:p w:rsidR="005624E3" w:rsidRPr="00D50F76" w:rsidRDefault="005624E3" w:rsidP="005624E3">
      <w:pPr>
        <w:adjustRightInd w:val="0"/>
        <w:spacing w:line="240" w:lineRule="atLeast"/>
        <w:ind w:left="709" w:hanging="709"/>
        <w:rPr>
          <w:rFonts w:eastAsia="Calibri" w:cs="Arial"/>
          <w:szCs w:val="20"/>
        </w:rPr>
      </w:pPr>
    </w:p>
    <w:p w:rsidR="005624E3" w:rsidRPr="00D50F76" w:rsidRDefault="005624E3" w:rsidP="005624E3">
      <w:pPr>
        <w:pStyle w:val="Esann8chgras"/>
        <w:rPr>
          <w:rFonts w:eastAsia="Calibri"/>
        </w:rPr>
      </w:pPr>
      <w:r w:rsidRPr="00D50F76">
        <w:t>1.5.</w:t>
      </w:r>
      <w:r w:rsidRPr="00D50F76">
        <w:tab/>
        <w:t>A műszaki szolgálat szakértelme</w:t>
      </w:r>
    </w:p>
    <w:p w:rsidR="005624E3" w:rsidRPr="00D50F76" w:rsidRDefault="005624E3" w:rsidP="005624E3">
      <w:pPr>
        <w:spacing w:line="240" w:lineRule="atLeast"/>
        <w:rPr>
          <w:rFonts w:cs="Arial"/>
          <w:b/>
          <w:szCs w:val="20"/>
        </w:rPr>
      </w:pPr>
    </w:p>
    <w:p w:rsidR="005624E3" w:rsidRPr="00D50F76" w:rsidRDefault="005624E3" w:rsidP="005624E3">
      <w:pPr>
        <w:pStyle w:val="Esann8chpar"/>
      </w:pPr>
      <w:r w:rsidRPr="00D50F76">
        <w:t>A 30.01. cikk 4. bekezdése szerinti műszaki szolgálat szakértelmének ki kell terjednie legalább a következő területekre:</w:t>
      </w:r>
    </w:p>
    <w:p w:rsidR="005624E3" w:rsidRPr="00D50F76" w:rsidRDefault="005624E3" w:rsidP="005624E3">
      <w:pPr>
        <w:pStyle w:val="Esann8let"/>
      </w:pPr>
      <w:r w:rsidRPr="00D50F76">
        <w:t>a)</w:t>
      </w:r>
      <w:r w:rsidRPr="00D50F76">
        <w:tab/>
        <w:t xml:space="preserve">tüzelőanyag-rendszer, beleértve a tartályokat, hőcserélőket, vezetékeket, </w:t>
      </w:r>
    </w:p>
    <w:p w:rsidR="005624E3" w:rsidRPr="00D50F76" w:rsidRDefault="005624E3" w:rsidP="005624E3">
      <w:pPr>
        <w:pStyle w:val="Esann8let"/>
      </w:pPr>
      <w:r w:rsidRPr="00D50F76">
        <w:t>b)</w:t>
      </w:r>
      <w:r w:rsidRPr="00D50F76">
        <w:tab/>
        <w:t>a vízi jármű szilárdsága (hosszanti és helyi) és stabilitása,</w:t>
      </w:r>
    </w:p>
    <w:p w:rsidR="005624E3" w:rsidRPr="00D50F76" w:rsidRDefault="005624E3" w:rsidP="005624E3">
      <w:pPr>
        <w:pStyle w:val="Esann8let"/>
      </w:pPr>
      <w:r w:rsidRPr="00D50F76">
        <w:t>c)</w:t>
      </w:r>
      <w:r w:rsidRPr="00D50F76">
        <w:tab/>
        <w:t>elektromos rendszerek és vezérlő rendszerek,</w:t>
      </w:r>
    </w:p>
    <w:p w:rsidR="005624E3" w:rsidRPr="00D50F76" w:rsidRDefault="005624E3" w:rsidP="005624E3">
      <w:pPr>
        <w:pStyle w:val="Esann8let"/>
      </w:pPr>
      <w:r w:rsidRPr="00D50F76">
        <w:t>d)</w:t>
      </w:r>
      <w:r w:rsidRPr="00D50F76">
        <w:tab/>
        <w:t>szellőzőrendszer,</w:t>
      </w:r>
    </w:p>
    <w:p w:rsidR="005624E3" w:rsidRPr="00D50F76" w:rsidRDefault="005624E3" w:rsidP="005624E3">
      <w:pPr>
        <w:pStyle w:val="Esann8let"/>
      </w:pPr>
      <w:r w:rsidRPr="00D50F76">
        <w:t>e)</w:t>
      </w:r>
      <w:r w:rsidRPr="00D50F76">
        <w:tab/>
        <w:t>tűzvédelem,</w:t>
      </w:r>
    </w:p>
    <w:p w:rsidR="005624E3" w:rsidRPr="00D50F76" w:rsidRDefault="005624E3" w:rsidP="005624E3">
      <w:pPr>
        <w:pStyle w:val="Esann8let"/>
      </w:pPr>
      <w:r w:rsidRPr="00D50F76">
        <w:t>f)</w:t>
      </w:r>
      <w:r w:rsidRPr="00D50F76">
        <w:tab/>
        <w:t>gázriasztó berendezés.</w:t>
      </w:r>
    </w:p>
    <w:p w:rsidR="005624E3" w:rsidRPr="00D50F76" w:rsidRDefault="005624E3" w:rsidP="005624E3">
      <w:pPr>
        <w:adjustRightInd w:val="0"/>
        <w:spacing w:line="240" w:lineRule="atLeast"/>
        <w:ind w:left="709" w:hanging="709"/>
        <w:rPr>
          <w:rFonts w:eastAsia="Calibri" w:cs="Arial"/>
          <w:szCs w:val="20"/>
        </w:rPr>
      </w:pPr>
    </w:p>
    <w:p w:rsidR="005624E3" w:rsidRPr="00D50F76" w:rsidRDefault="005624E3" w:rsidP="005624E3">
      <w:pPr>
        <w:pStyle w:val="Esann8chgras"/>
        <w:rPr>
          <w:rFonts w:eastAsia="Calibri"/>
        </w:rPr>
      </w:pPr>
      <w:r w:rsidRPr="00D50F76">
        <w:t>1.6.</w:t>
      </w:r>
      <w:r w:rsidRPr="00D50F76">
        <w:tab/>
        <w:t>Jelölés</w:t>
      </w:r>
    </w:p>
    <w:p w:rsidR="005624E3" w:rsidRPr="00D50F76" w:rsidRDefault="005624E3" w:rsidP="005624E3">
      <w:pPr>
        <w:adjustRightInd w:val="0"/>
        <w:spacing w:line="240" w:lineRule="atLeast"/>
        <w:ind w:left="709" w:hanging="709"/>
        <w:rPr>
          <w:rFonts w:eastAsia="Calibri" w:cs="Arial"/>
          <w:b/>
          <w:szCs w:val="20"/>
        </w:rPr>
      </w:pPr>
    </w:p>
    <w:p w:rsidR="005624E3" w:rsidRPr="00D50F76" w:rsidRDefault="005624E3" w:rsidP="005624E3">
      <w:pPr>
        <w:pStyle w:val="Esann8chpar"/>
      </w:pPr>
      <w:r w:rsidRPr="00D50F76">
        <w:t>Azon helyiségek ajtajainak külső oldalára, amelyekben cseppfolyósított földgázt (LNG) használnak, el kell helyezni a 4. melléklet 11. ábrája szerinti „LNG figyelmeztető jelzés” szimbólumot, amelynek átmérője legalább 10 cm.</w:t>
      </w:r>
    </w:p>
    <w:p w:rsidR="005624E3" w:rsidRPr="00D50F76" w:rsidRDefault="005624E3" w:rsidP="005624E3">
      <w:pPr>
        <w:adjustRightInd w:val="0"/>
        <w:spacing w:line="240" w:lineRule="atLeast"/>
        <w:ind w:left="709" w:hanging="709"/>
        <w:rPr>
          <w:rFonts w:eastAsia="Calibri" w:cs="Arial"/>
          <w:szCs w:val="20"/>
        </w:rPr>
      </w:pPr>
    </w:p>
    <w:p w:rsidR="005624E3" w:rsidRPr="00D50F76" w:rsidRDefault="005624E3" w:rsidP="005624E3">
      <w:pPr>
        <w:rPr>
          <w:rFonts w:cs="Arial"/>
          <w:b/>
          <w:szCs w:val="20"/>
        </w:rPr>
      </w:pPr>
    </w:p>
    <w:p w:rsidR="005624E3" w:rsidRPr="00D50F76" w:rsidRDefault="005624E3" w:rsidP="005624E3">
      <w:pPr>
        <w:pStyle w:val="Esann8titrechap"/>
      </w:pPr>
      <w:r w:rsidRPr="00D50F76">
        <w:t xml:space="preserve">2. fejezet </w:t>
      </w:r>
    </w:p>
    <w:p w:rsidR="005624E3" w:rsidRPr="00D50F76" w:rsidRDefault="005624E3" w:rsidP="005624E3">
      <w:pPr>
        <w:pStyle w:val="Esann8titrechap"/>
      </w:pPr>
      <w:r w:rsidRPr="00D50F76">
        <w:t>A hajó tereinek elrendezése és a rendszerek kialakítása</w:t>
      </w:r>
    </w:p>
    <w:p w:rsidR="005624E3" w:rsidRPr="00C903F8" w:rsidRDefault="005624E3" w:rsidP="005624E3">
      <w:pPr>
        <w:pStyle w:val="Esannch"/>
      </w:pPr>
    </w:p>
    <w:p w:rsidR="005624E3" w:rsidRPr="00D50F76" w:rsidRDefault="005624E3" w:rsidP="005624E3">
      <w:pPr>
        <w:pStyle w:val="Esann8chgras"/>
      </w:pPr>
      <w:r w:rsidRPr="00D50F76">
        <w:t>2.1.</w:t>
      </w:r>
      <w:r w:rsidRPr="00D50F76">
        <w:tab/>
        <w:t xml:space="preserve">LNG-tároló rendszer: </w:t>
      </w:r>
    </w:p>
    <w:p w:rsidR="005624E3" w:rsidRPr="00D50F76" w:rsidRDefault="005624E3" w:rsidP="005624E3">
      <w:pPr>
        <w:adjustRightInd w:val="0"/>
        <w:spacing w:line="240" w:lineRule="atLeast"/>
        <w:ind w:left="709" w:hanging="709"/>
        <w:rPr>
          <w:rFonts w:eastAsia="Calibri" w:cs="Arial"/>
          <w:szCs w:val="20"/>
        </w:rPr>
      </w:pPr>
    </w:p>
    <w:p w:rsidR="005624E3" w:rsidRPr="00D50F76" w:rsidRDefault="005624E3" w:rsidP="005624E3">
      <w:pPr>
        <w:pStyle w:val="Esann8ch"/>
      </w:pPr>
      <w:r w:rsidRPr="00D50F76">
        <w:t>2.1.1.</w:t>
      </w:r>
      <w:r w:rsidRPr="00D50F76">
        <w:tab/>
        <w:t>Az LNG-tároló rendszert el kell különíteni a gépterektől vagy más igen tűzveszélyes területektől.</w:t>
      </w:r>
    </w:p>
    <w:p w:rsidR="005624E3" w:rsidRPr="00D50F76" w:rsidRDefault="005624E3" w:rsidP="005624E3">
      <w:pPr>
        <w:pStyle w:val="Esann8ch"/>
      </w:pPr>
    </w:p>
    <w:p w:rsidR="005624E3" w:rsidRPr="00D50F76" w:rsidRDefault="005624E3" w:rsidP="005624E3">
      <w:pPr>
        <w:pStyle w:val="Esann8ch"/>
      </w:pPr>
      <w:r w:rsidRPr="00D50F76">
        <w:t>2.1.2.</w:t>
      </w:r>
      <w:r w:rsidRPr="00D50F76">
        <w:tab/>
        <w:t>Az LNG-tartályt a hajó hossztengelyéhez a lehető legközelebb kell elhelyezni.</w:t>
      </w:r>
    </w:p>
    <w:p w:rsidR="005624E3" w:rsidRPr="00D50F76" w:rsidRDefault="005624E3" w:rsidP="005624E3">
      <w:pPr>
        <w:pStyle w:val="Esann8ch"/>
      </w:pPr>
    </w:p>
    <w:p w:rsidR="005624E3" w:rsidRPr="00D50F76" w:rsidRDefault="005624E3" w:rsidP="005624E3">
      <w:pPr>
        <w:rPr>
          <w:rFonts w:eastAsia="Calibri" w:cs="Arial"/>
          <w:color w:val="000000"/>
          <w:szCs w:val="20"/>
        </w:rPr>
      </w:pPr>
      <w:r w:rsidRPr="00D50F76">
        <w:br w:type="page"/>
      </w:r>
    </w:p>
    <w:p w:rsidR="005624E3" w:rsidRPr="00D50F76" w:rsidRDefault="005624E3" w:rsidP="005624E3">
      <w:pPr>
        <w:pStyle w:val="Esann8ch"/>
      </w:pPr>
    </w:p>
    <w:p w:rsidR="005624E3" w:rsidRPr="00D50F76" w:rsidRDefault="005624E3" w:rsidP="005624E3">
      <w:pPr>
        <w:pStyle w:val="Esann8ch"/>
      </w:pPr>
      <w:r w:rsidRPr="00D50F76">
        <w:t xml:space="preserve">2.1.3. </w:t>
      </w:r>
      <w:r w:rsidRPr="00D50F76">
        <w:tab/>
        <w:t>A hajó fala és az LNG-tüzelőanyag-tartály közötti távolságnak legalább 1,00 m-nek kell lennie. Ha az LNG-tartályok:</w:t>
      </w:r>
    </w:p>
    <w:p w:rsidR="005624E3" w:rsidRPr="00D50F76" w:rsidRDefault="005624E3" w:rsidP="005624E3">
      <w:pPr>
        <w:pStyle w:val="Esann8let"/>
      </w:pPr>
      <w:r w:rsidRPr="00D50F76">
        <w:t>a)</w:t>
      </w:r>
      <w:r w:rsidRPr="00D50F76">
        <w:tab/>
        <w:t xml:space="preserve">a fedélzet alatt találhatók, a vízi járműnek duplafallal és duplafenékkel kell rendelkeznie azon a helyen, ahol az LNG-tartályok találhatók. A külső fal és a belső fal közötti távolságnak legalább 0,60 m-nek kell lennie. A duplafenék mélységének legalább 0,60 m-nek kell lennie. </w:t>
      </w:r>
    </w:p>
    <w:p w:rsidR="005624E3" w:rsidRPr="00D50F76" w:rsidRDefault="005624E3" w:rsidP="005624E3">
      <w:pPr>
        <w:pStyle w:val="Esann8let"/>
      </w:pPr>
      <w:r w:rsidRPr="00D50F76">
        <w:t>b)</w:t>
      </w:r>
      <w:r w:rsidRPr="00D50F76">
        <w:tab/>
        <w:t xml:space="preserve">a nyitott fedélzeten találhatók, a vízi jármű külső oldalai által meghatározott függőleges síktól való távolságuknak legalább B/5-nek kell lennie. </w:t>
      </w:r>
    </w:p>
    <w:p w:rsidR="005624E3" w:rsidRPr="00D50F76" w:rsidRDefault="005624E3" w:rsidP="005624E3">
      <w:pPr>
        <w:pStyle w:val="Esann8ch"/>
      </w:pPr>
    </w:p>
    <w:p w:rsidR="005624E3" w:rsidRPr="00D50F76" w:rsidRDefault="005624E3" w:rsidP="005624E3">
      <w:pPr>
        <w:pStyle w:val="Esann8ch"/>
      </w:pPr>
      <w:r w:rsidRPr="00D50F76">
        <w:t>2.1.4.</w:t>
      </w:r>
      <w:r w:rsidRPr="00D50F76">
        <w:tab/>
        <w:t>Az LNG-tartálynak független tartálynak kell lennie, amelyet az EN 13530:2002 és az EN 13458-2:2002 európai szabvány szerint dinamikus terheléssel kombinálva vagy az IGC-kód (C típusú tartály) szerint terveztek. Az ellenőrző szerv elfogadhatja a Rajna-menti államok és Belgium más egyenértékű szabványait is.</w:t>
      </w:r>
    </w:p>
    <w:p w:rsidR="005624E3" w:rsidRPr="00D50F76" w:rsidRDefault="005624E3" w:rsidP="005624E3">
      <w:pPr>
        <w:pStyle w:val="Esann8ch"/>
      </w:pPr>
    </w:p>
    <w:p w:rsidR="005624E3" w:rsidRPr="00D50F76" w:rsidRDefault="005624E3" w:rsidP="005624E3">
      <w:pPr>
        <w:pStyle w:val="Esann8ch"/>
      </w:pPr>
      <w:r w:rsidRPr="00D50F76">
        <w:t>2.1.5.</w:t>
      </w:r>
      <w:r w:rsidRPr="00D50F76">
        <w:tab/>
        <w:t xml:space="preserve">A tartálycsatlakozásokat a tartályok legmagasabb folyadékszintje fölé kell felszerelni. Az ellenőrző szerv elfogadhatja a legmagasabb folyadékszint alatti csatlakozásokat is. </w:t>
      </w:r>
    </w:p>
    <w:p w:rsidR="005624E3" w:rsidRPr="00D50F76" w:rsidRDefault="005624E3" w:rsidP="005624E3">
      <w:pPr>
        <w:pStyle w:val="Esann8ch"/>
      </w:pPr>
    </w:p>
    <w:p w:rsidR="005624E3" w:rsidRPr="00D50F76" w:rsidRDefault="005624E3" w:rsidP="005624E3">
      <w:pPr>
        <w:pStyle w:val="Esann8ch"/>
      </w:pPr>
      <w:r w:rsidRPr="00D50F76">
        <w:t>2.1.6.</w:t>
      </w:r>
      <w:r w:rsidRPr="00D50F76">
        <w:tab/>
        <w:t>Ha a tartálycsatlakozások az LNG-tartályok legmagasabb folyadékszintje alatt vannak, a tartályok alá csepegtetőtálcákat kell helyezni, melyeknek meg kell felelniük az alábbi követelményeknek:</w:t>
      </w:r>
    </w:p>
    <w:p w:rsidR="005624E3" w:rsidRPr="00D50F76" w:rsidRDefault="005624E3" w:rsidP="005624E3">
      <w:pPr>
        <w:pStyle w:val="Esann8let"/>
      </w:pPr>
      <w:r w:rsidRPr="00D50F76">
        <w:t>a)</w:t>
      </w:r>
      <w:r w:rsidRPr="00D50F76">
        <w:tab/>
        <w:t>a csepegtetőtálca térfogatának elegendőnek kell lennie annak a mennyiségnek a felfogásához, amely kiszökhet akkor, ha a vezetékcsatlakozás meghibásodik;</w:t>
      </w:r>
    </w:p>
    <w:p w:rsidR="005624E3" w:rsidRPr="00D50F76" w:rsidRDefault="005624E3" w:rsidP="005624E3">
      <w:pPr>
        <w:pStyle w:val="Esann8let"/>
      </w:pPr>
      <w:r w:rsidRPr="00D50F76">
        <w:t>b)</w:t>
      </w:r>
      <w:r w:rsidRPr="00D50F76">
        <w:tab/>
        <w:t xml:space="preserve">a csepegtetőtálca anyagának megfelelő rozsdamentes acélnak kell lennie; </w:t>
      </w:r>
    </w:p>
    <w:p w:rsidR="005624E3" w:rsidRPr="00D50F76" w:rsidRDefault="005624E3" w:rsidP="005624E3">
      <w:pPr>
        <w:pStyle w:val="Esann8let"/>
      </w:pPr>
      <w:r w:rsidRPr="00D50F76">
        <w:t>c)</w:t>
      </w:r>
      <w:r w:rsidRPr="00D50F76">
        <w:tab/>
        <w:t>a csepegtetőtálcát megfelelően el kell különíteni vagy el kell szigetelni a hajótesttől vagy a fedélzet szerkezeteitől annak érdekében, hogy azok a cseppfolyósított földgáz (LNG) szivárgása esetén ne legyenek kitéve elfogadhatatlan mértékű lehűlésnek.</w:t>
      </w:r>
    </w:p>
    <w:p w:rsidR="005624E3" w:rsidRPr="00D50F76" w:rsidRDefault="005624E3" w:rsidP="005624E3">
      <w:pPr>
        <w:pStyle w:val="Esann8ch"/>
      </w:pPr>
    </w:p>
    <w:p w:rsidR="005624E3" w:rsidRPr="00D50F76" w:rsidRDefault="005624E3" w:rsidP="005624E3">
      <w:pPr>
        <w:pStyle w:val="Esann8ch"/>
      </w:pPr>
    </w:p>
    <w:p w:rsidR="005624E3" w:rsidRPr="00D50F76" w:rsidRDefault="005624E3" w:rsidP="005624E3">
      <w:pPr>
        <w:pStyle w:val="Esann8ch"/>
      </w:pPr>
      <w:r w:rsidRPr="00D50F76">
        <w:t>2.1.7.</w:t>
      </w:r>
      <w:r w:rsidRPr="00D50F76">
        <w:tab/>
        <w:t>Az LNG-tároló rendszert fel kell szerelni másodlagos védőréteggel. Az LNG-tároló rendszerek esetében nincs szükség másodlagos védőrétegre, ha a szerkezeti hibák és az elsődleges védőrétegen áthatoló szivárgás valószínűsége rendkívül alacsony és figyelmen kívül hagyható.</w:t>
      </w:r>
    </w:p>
    <w:p w:rsidR="005624E3" w:rsidRPr="00D50F76" w:rsidRDefault="005624E3" w:rsidP="005624E3">
      <w:pPr>
        <w:pStyle w:val="Esann8ch"/>
      </w:pPr>
    </w:p>
    <w:p w:rsidR="005624E3" w:rsidRPr="00D50F76" w:rsidRDefault="005624E3" w:rsidP="005624E3">
      <w:pPr>
        <w:pStyle w:val="Esann8ch"/>
      </w:pPr>
      <w:r w:rsidRPr="00D50F76">
        <w:t>2.1.8.</w:t>
      </w:r>
      <w:r w:rsidRPr="00D50F76">
        <w:tab/>
        <w:t>Ha az LNG-tároló rendszer másodlagos védőrétege a hajótest szerkezetének részét alkotja, e védőréteget képezheti a tartálytér olyan határa, mely a kriogén folyadék szivárgása elleni szükséges óvintézkedések hatálya alá tartozik.</w:t>
      </w:r>
    </w:p>
    <w:p w:rsidR="005624E3" w:rsidRPr="00D50F76" w:rsidRDefault="005624E3" w:rsidP="005624E3">
      <w:pPr>
        <w:pStyle w:val="Esann8ch"/>
      </w:pPr>
    </w:p>
    <w:p w:rsidR="005624E3" w:rsidRPr="00D50F76" w:rsidRDefault="005624E3" w:rsidP="005624E3">
      <w:pPr>
        <w:pStyle w:val="Esann8ch"/>
      </w:pPr>
      <w:r w:rsidRPr="00D50F76">
        <w:t>2.1.9.</w:t>
      </w:r>
      <w:r w:rsidRPr="00D50F76">
        <w:tab/>
        <w:t>Az LNG-tároló rendszert és a nyitott fedélzeten lévő egyéb berendezéseket úgy kell elhelyezni és megépíteni, hogy biztosítva legyen a megfelelő szellőzés. A kiszökött földgáz felhalmozódását meg kell akadályozni.</w:t>
      </w:r>
    </w:p>
    <w:p w:rsidR="005624E3" w:rsidRPr="00D50F76" w:rsidRDefault="005624E3" w:rsidP="005624E3">
      <w:pPr>
        <w:pStyle w:val="Esann8ch"/>
      </w:pPr>
    </w:p>
    <w:p w:rsidR="005624E3" w:rsidRPr="00D50F76" w:rsidRDefault="005624E3" w:rsidP="005624E3">
      <w:pPr>
        <w:pStyle w:val="Esann8ch"/>
      </w:pPr>
      <w:r w:rsidRPr="00D50F76">
        <w:t>2.1.10.</w:t>
      </w:r>
      <w:r w:rsidRPr="00D50F76">
        <w:tab/>
        <w:t xml:space="preserve">Ha az LNG-tartályok hideg felületein való páralecsapódás vagy jegesedés biztonsági vagy funkcionális problémákhoz vezethet, megfelelő megelőző vagy helyreállító intézkedéseket kell hozni. </w:t>
      </w:r>
    </w:p>
    <w:p w:rsidR="005624E3" w:rsidRPr="00D50F76" w:rsidRDefault="005624E3" w:rsidP="005624E3">
      <w:pPr>
        <w:pStyle w:val="Esann8ch"/>
      </w:pPr>
    </w:p>
    <w:p w:rsidR="005624E3" w:rsidRPr="00D50F76" w:rsidRDefault="005624E3" w:rsidP="005624E3">
      <w:pPr>
        <w:pStyle w:val="Esann8ch"/>
      </w:pPr>
      <w:r w:rsidRPr="00D50F76">
        <w:t>2.1.11.</w:t>
      </w:r>
      <w:r w:rsidRPr="00D50F76">
        <w:tab/>
        <w:t xml:space="preserve">Minden LNG-tartályt fel kell szerelni legalább két nyomáscsökkentő szeleppel, amelyek megakadályozzák a túlnyomás kialakulását, ha üzemzavar, szivárgás vagy karbantartás miatt az egyik szelep zárt állásba kerül. </w:t>
      </w:r>
    </w:p>
    <w:p w:rsidR="005624E3" w:rsidRPr="00D50F76" w:rsidRDefault="005624E3" w:rsidP="005624E3">
      <w:pPr>
        <w:pStyle w:val="Esann8ch"/>
      </w:pPr>
    </w:p>
    <w:p w:rsidR="005624E3" w:rsidRPr="00D50F76" w:rsidRDefault="005624E3" w:rsidP="005624E3">
      <w:pPr>
        <w:pStyle w:val="Esann8ch"/>
      </w:pPr>
      <w:r w:rsidRPr="00D50F76">
        <w:br w:type="page"/>
      </w:r>
    </w:p>
    <w:p w:rsidR="005624E3" w:rsidRPr="00D50F76" w:rsidRDefault="005624E3" w:rsidP="005624E3">
      <w:pPr>
        <w:pStyle w:val="Esann8ch"/>
      </w:pPr>
    </w:p>
    <w:p w:rsidR="005624E3" w:rsidRPr="00D50F76" w:rsidRDefault="005624E3" w:rsidP="005624E3">
      <w:pPr>
        <w:pStyle w:val="Esann8ch"/>
      </w:pPr>
      <w:r w:rsidRPr="00D50F76">
        <w:t>2.1.12.</w:t>
      </w:r>
      <w:r w:rsidRPr="00D50F76">
        <w:tab/>
        <w:t xml:space="preserve">Ha nem zárható ki, hogy a vákuumszigetelésű LNG-tartály a vákuumtérbe tüzelőanyagot bocsát ki, a vákuumteret megfelelő nyomáscsökkentő szeleppel kell védeni. Ha az LNG-tartály zárt vagy félig zárt térben található, a nyomáscsökkentő készüléket a szellőzőrendszerhez kell csatlakoztatni. </w:t>
      </w:r>
    </w:p>
    <w:p w:rsidR="005624E3" w:rsidRPr="00D50F76" w:rsidRDefault="005624E3" w:rsidP="005624E3">
      <w:pPr>
        <w:pStyle w:val="Esann8ch"/>
      </w:pPr>
    </w:p>
    <w:p w:rsidR="005624E3" w:rsidRPr="00D50F76" w:rsidRDefault="005624E3" w:rsidP="005624E3">
      <w:pPr>
        <w:pStyle w:val="Esann8ch"/>
      </w:pPr>
      <w:r w:rsidRPr="00D50F76">
        <w:t>2.1.13.</w:t>
      </w:r>
      <w:r w:rsidRPr="00D50F76">
        <w:tab/>
        <w:t>A nyomáscsökkentő szelepek kimeneti nyílásait legalább 2,00 m-rel a fedélzet felett kell elhelyezni, legalább 6,00 m távolságban a lakóterektől, az utasterektől és azoktól a munkaállomásoktól, amelyek a rakománytéren vagy a raktéren kívül helyezkednek el. Ez a magasság csökkenthető, ha a nyomáscsökkentő szelepek kimeneti nyílása körüli 1,00 m sugarú körön belül nincs berendezés, nem végeznek munkát, jelölik területet és a megfelelő intézkedéseket hoznak fedélzet védelmére.</w:t>
      </w:r>
    </w:p>
    <w:p w:rsidR="005624E3" w:rsidRPr="00D50F76" w:rsidRDefault="005624E3" w:rsidP="005624E3">
      <w:pPr>
        <w:pStyle w:val="Esann8ch"/>
      </w:pPr>
    </w:p>
    <w:p w:rsidR="005624E3" w:rsidRPr="00D50F76" w:rsidRDefault="005624E3" w:rsidP="005624E3">
      <w:pPr>
        <w:pStyle w:val="Esann8ch"/>
      </w:pPr>
      <w:r w:rsidRPr="00D50F76">
        <w:t>2.1.14.</w:t>
      </w:r>
      <w:r w:rsidRPr="00D50F76">
        <w:tab/>
        <w:t>Biztosítani kell, hogy az LNG-tartályok biztonságosan kiüríthetők legyenek, akkor is, ha az LNG-rendszert leállítják.</w:t>
      </w:r>
    </w:p>
    <w:p w:rsidR="005624E3" w:rsidRPr="00D50F76" w:rsidRDefault="005624E3" w:rsidP="005624E3">
      <w:pPr>
        <w:pStyle w:val="Esann8ch"/>
      </w:pPr>
    </w:p>
    <w:p w:rsidR="005624E3" w:rsidRPr="00D50F76" w:rsidRDefault="005624E3" w:rsidP="005624E3">
      <w:pPr>
        <w:pStyle w:val="Esann8ch"/>
      </w:pPr>
      <w:r w:rsidRPr="00D50F76">
        <w:t>2.1.15.</w:t>
      </w:r>
      <w:r w:rsidRPr="00D50F76">
        <w:tab/>
        <w:t>Biztosítani kell, hogy a gáz kiszellőztethető, az LNG-tartályok pedig, beleértve a vezetékrendszert is, kitisztíthatók legyenek. A száraz levegővel való átszellőztetés előtt inert gázzal (pl. nitrogén vagy argon) közömbösítést kell lehetővé tenni annak kizárása érdekében, hogy az LNG-tartályokban és -vezetékekben robbanásveszélyes légkör forduljon elő.</w:t>
      </w:r>
    </w:p>
    <w:p w:rsidR="005624E3" w:rsidRPr="00D50F76" w:rsidRDefault="005624E3" w:rsidP="005624E3">
      <w:pPr>
        <w:pStyle w:val="Esann8ch"/>
      </w:pPr>
    </w:p>
    <w:p w:rsidR="005624E3" w:rsidRPr="00D50F76" w:rsidRDefault="005624E3" w:rsidP="005624E3">
      <w:pPr>
        <w:pStyle w:val="Esann8ch"/>
      </w:pPr>
      <w:r w:rsidRPr="00D50F76">
        <w:t>2.1.16.</w:t>
      </w:r>
      <w:r w:rsidRPr="00D50F76">
        <w:tab/>
        <w:t xml:space="preserve">Az LNG-tartályok nyomását és hőmérsékletét mindenkor a tervezési tartományon belül kell tartani. </w:t>
      </w:r>
    </w:p>
    <w:p w:rsidR="005624E3" w:rsidRPr="00D50F76" w:rsidRDefault="005624E3" w:rsidP="005624E3">
      <w:pPr>
        <w:pStyle w:val="Esann8ch"/>
      </w:pPr>
    </w:p>
    <w:p w:rsidR="005624E3" w:rsidRPr="00D50F76" w:rsidRDefault="005624E3" w:rsidP="005624E3">
      <w:pPr>
        <w:pStyle w:val="Esann8ch"/>
      </w:pPr>
      <w:r w:rsidRPr="00D50F76">
        <w:t>2.1.17.</w:t>
      </w:r>
      <w:r w:rsidRPr="00D50F76">
        <w:tab/>
        <w:t xml:space="preserve">Ha az LNG-rendszert kikapcsolják, az LNG-tartályban lévő nyomást 15 napon át az LNG-tartály maximális üzemi nyomása alatt kell tartani. Feltételezni kell, hogy az LNG-tartályt a 2.9. pont szerinti töltési határértékeken töltötték fel, és a vízi jármű nyugalmi állapotban marad. </w:t>
      </w:r>
    </w:p>
    <w:p w:rsidR="005624E3" w:rsidRPr="00D50F76" w:rsidRDefault="005624E3" w:rsidP="005624E3">
      <w:pPr>
        <w:pStyle w:val="Esann8ch"/>
      </w:pPr>
    </w:p>
    <w:p w:rsidR="005624E3" w:rsidRPr="00D50F76" w:rsidRDefault="005624E3" w:rsidP="005624E3">
      <w:pPr>
        <w:pStyle w:val="Esann8ch"/>
      </w:pPr>
      <w:r w:rsidRPr="00D50F76">
        <w:t>2.1.18.</w:t>
      </w:r>
      <w:r w:rsidRPr="00D50F76">
        <w:tab/>
        <w:t>Az LNG-tartályokat elektromosan össze kell kötni a vízi jármű szerkezetével.</w:t>
      </w:r>
    </w:p>
    <w:p w:rsidR="005624E3" w:rsidRPr="00D50F76" w:rsidRDefault="005624E3" w:rsidP="005624E3">
      <w:pPr>
        <w:pStyle w:val="Esann8ch"/>
        <w:rPr>
          <w:b/>
          <w:bCs/>
        </w:rPr>
      </w:pPr>
    </w:p>
    <w:p w:rsidR="005624E3" w:rsidRPr="00D50F76" w:rsidRDefault="005624E3" w:rsidP="005624E3">
      <w:pPr>
        <w:pStyle w:val="Esann8chgras"/>
        <w:rPr>
          <w:i/>
        </w:rPr>
      </w:pPr>
      <w:r w:rsidRPr="00D50F76">
        <w:t>2.2.</w:t>
      </w:r>
      <w:r w:rsidRPr="00D50F76">
        <w:tab/>
        <w:t>Gépterek</w:t>
      </w:r>
    </w:p>
    <w:p w:rsidR="005624E3" w:rsidRPr="00D50F76" w:rsidRDefault="005624E3" w:rsidP="005624E3">
      <w:pPr>
        <w:pStyle w:val="Esann8ch"/>
        <w:rPr>
          <w:b/>
          <w:bCs/>
        </w:rPr>
      </w:pPr>
    </w:p>
    <w:p w:rsidR="005624E3" w:rsidRPr="00D50F76" w:rsidRDefault="005624E3" w:rsidP="005624E3">
      <w:pPr>
        <w:pStyle w:val="Esann8ch"/>
      </w:pPr>
      <w:r w:rsidRPr="00D50F76">
        <w:t>2.2.1.</w:t>
      </w:r>
      <w:r w:rsidRPr="00D50F76">
        <w:tab/>
        <w:t xml:space="preserve">A következő koncepciók egyikét kell alkalmazni gépterek esetében: </w:t>
      </w:r>
    </w:p>
    <w:p w:rsidR="005624E3" w:rsidRPr="00D50F76" w:rsidRDefault="005624E3" w:rsidP="005624E3">
      <w:pPr>
        <w:pStyle w:val="Esann8let"/>
      </w:pPr>
      <w:r w:rsidRPr="00D50F76">
        <w:t xml:space="preserve">a) </w:t>
      </w:r>
      <w:r w:rsidRPr="00D50F76">
        <w:tab/>
        <w:t xml:space="preserve">gázbiztos géptér, </w:t>
      </w:r>
    </w:p>
    <w:p w:rsidR="005624E3" w:rsidRPr="00D50F76" w:rsidRDefault="005624E3" w:rsidP="005624E3">
      <w:pPr>
        <w:pStyle w:val="Esann8let"/>
      </w:pPr>
      <w:r w:rsidRPr="00D50F76">
        <w:t xml:space="preserve">b) </w:t>
      </w:r>
      <w:r w:rsidRPr="00D50F76">
        <w:tab/>
        <w:t xml:space="preserve">robbanásbiztos géptér, vagy </w:t>
      </w:r>
    </w:p>
    <w:p w:rsidR="005624E3" w:rsidRPr="00D50F76" w:rsidRDefault="005624E3" w:rsidP="005624E3">
      <w:pPr>
        <w:pStyle w:val="Esann8let"/>
      </w:pPr>
      <w:r w:rsidRPr="00D50F76">
        <w:t xml:space="preserve">c) </w:t>
      </w:r>
      <w:r w:rsidRPr="00D50F76">
        <w:tab/>
        <w:t>ESD-védett géptér.</w:t>
      </w:r>
    </w:p>
    <w:p w:rsidR="005624E3" w:rsidRPr="00D50F76" w:rsidRDefault="005624E3" w:rsidP="005624E3">
      <w:pPr>
        <w:pStyle w:val="Esann8ch"/>
      </w:pPr>
    </w:p>
    <w:p w:rsidR="005624E3" w:rsidRPr="00D50F76" w:rsidRDefault="005624E3" w:rsidP="005624E3">
      <w:pPr>
        <w:pStyle w:val="Esann8ch"/>
      </w:pPr>
      <w:r w:rsidRPr="00D50F76">
        <w:t>2.2.2.</w:t>
      </w:r>
      <w:r w:rsidRPr="00D50F76">
        <w:tab/>
        <w:t>A gázbiztos gépterekre vonatkozó követelmények</w:t>
      </w:r>
    </w:p>
    <w:p w:rsidR="005624E3" w:rsidRPr="00D50F76" w:rsidRDefault="005624E3" w:rsidP="005624E3">
      <w:pPr>
        <w:pStyle w:val="Esann8ch"/>
      </w:pPr>
    </w:p>
    <w:p w:rsidR="005624E3" w:rsidRPr="00D50F76" w:rsidRDefault="005624E3" w:rsidP="005624E3">
      <w:pPr>
        <w:pStyle w:val="Esann8ch"/>
      </w:pPr>
      <w:r w:rsidRPr="00D50F76">
        <w:t>2.2.2.1.</w:t>
      </w:r>
      <w:r w:rsidRPr="00D50F76">
        <w:tab/>
        <w:t xml:space="preserve">A gázbiztos géptereknek minden körülmények között gázbiztosaknak („eredendően gázbiztosaknak”) kell lenniük. Az LNG-rendszeren belül semmilyen meghibásodás nem eredményezheti azt, hogy a géptérbe gáz szivárogjon. A géptér határain belül található összes gázvezetéket olyan zárt térben kell elhelyezni, amely gázzáró, például duplafalú vezetékekben vagy szellőztetett vezetékekben. </w:t>
      </w:r>
    </w:p>
    <w:p w:rsidR="005624E3" w:rsidRPr="00D50F76" w:rsidRDefault="005624E3" w:rsidP="005624E3">
      <w:pPr>
        <w:pStyle w:val="Esann8ch"/>
      </w:pPr>
    </w:p>
    <w:p w:rsidR="005624E3" w:rsidRPr="00D50F76" w:rsidRDefault="005624E3" w:rsidP="005624E3">
      <w:pPr>
        <w:pStyle w:val="Esann8ch"/>
      </w:pPr>
      <w:r w:rsidRPr="00D50F76">
        <w:t>2.2.2.2.</w:t>
      </w:r>
      <w:r w:rsidRPr="00D50F76">
        <w:tab/>
        <w:t xml:space="preserve">Amennyiben egy védőréteg meghibásodik, az LNG-rendszer megfelelő része gázellátásának automatikusan le kell állnia. </w:t>
      </w:r>
    </w:p>
    <w:p w:rsidR="005624E3" w:rsidRPr="00D50F76" w:rsidRDefault="005624E3" w:rsidP="005624E3">
      <w:pPr>
        <w:pStyle w:val="Esann8ch"/>
      </w:pPr>
    </w:p>
    <w:p w:rsidR="005624E3" w:rsidRPr="00D50F76" w:rsidRDefault="005624E3" w:rsidP="005624E3">
      <w:pPr>
        <w:rPr>
          <w:rFonts w:eastAsia="Calibri" w:cs="Arial"/>
          <w:color w:val="000000"/>
          <w:szCs w:val="20"/>
        </w:rPr>
      </w:pPr>
      <w:r w:rsidRPr="00D50F76">
        <w:br w:type="page"/>
      </w:r>
    </w:p>
    <w:p w:rsidR="005624E3" w:rsidRPr="00D50F76" w:rsidRDefault="005624E3" w:rsidP="005624E3">
      <w:pPr>
        <w:pStyle w:val="Esann8ch"/>
      </w:pPr>
    </w:p>
    <w:p w:rsidR="005624E3" w:rsidRPr="00D50F76" w:rsidRDefault="005624E3" w:rsidP="005624E3">
      <w:pPr>
        <w:pStyle w:val="Esann8ch"/>
        <w:rPr>
          <w:bCs/>
        </w:rPr>
      </w:pPr>
      <w:r w:rsidRPr="00D50F76">
        <w:t>2.2.2.3.</w:t>
      </w:r>
      <w:r w:rsidRPr="00D50F76">
        <w:tab/>
        <w:t>A szellőztetett vezetékek szellőzőrendszerének:</w:t>
      </w:r>
    </w:p>
    <w:p w:rsidR="005624E3" w:rsidRPr="00D50F76" w:rsidRDefault="005624E3" w:rsidP="005624E3">
      <w:pPr>
        <w:pStyle w:val="Esann8let"/>
      </w:pPr>
      <w:r w:rsidRPr="00D50F76">
        <w:t>a)</w:t>
      </w:r>
      <w:r w:rsidRPr="00D50F76">
        <w:tab/>
        <w:t>megfelelő kapacitással kell rendelkeznie annak biztosítására, hogy a szellőztetett vezetékeken belüli levegő bruttó térfogata óránként legalább 30 alkalommal cserélődhessen;</w:t>
      </w:r>
    </w:p>
    <w:p w:rsidR="005624E3" w:rsidRPr="00D50F76" w:rsidRDefault="005624E3" w:rsidP="005624E3">
      <w:pPr>
        <w:pStyle w:val="Esann8let"/>
      </w:pPr>
      <w:r w:rsidRPr="00D50F76">
        <w:t>b)</w:t>
      </w:r>
      <w:r w:rsidRPr="00D50F76">
        <w:tab/>
        <w:t>rendelkeznie kell olyan eszközzel, amely folyamatosan észleli a gáz jelenlétét a belső és a külső vezetékek közötti térben;</w:t>
      </w:r>
    </w:p>
    <w:p w:rsidR="005624E3" w:rsidRPr="00D50F76" w:rsidRDefault="005624E3" w:rsidP="005624E3">
      <w:pPr>
        <w:pStyle w:val="Esann8let"/>
      </w:pPr>
      <w:r w:rsidRPr="00D50F76">
        <w:t>c)</w:t>
      </w:r>
      <w:r w:rsidRPr="00D50F76">
        <w:tab/>
        <w:t>függetlennek kell lennie az összes többi szellőzőrendszertől, különösen a géptér szellőzőrendszerétől.</w:t>
      </w:r>
    </w:p>
    <w:p w:rsidR="005624E3" w:rsidRPr="00D50F76" w:rsidRDefault="005624E3" w:rsidP="005624E3">
      <w:pPr>
        <w:pStyle w:val="Esann8ch"/>
      </w:pPr>
    </w:p>
    <w:p w:rsidR="005624E3" w:rsidRPr="00D50F76" w:rsidRDefault="005624E3" w:rsidP="005624E3">
      <w:pPr>
        <w:pStyle w:val="Esann8ch"/>
      </w:pPr>
      <w:r w:rsidRPr="00D50F76">
        <w:t>2.2.2.4.</w:t>
      </w:r>
      <w:r w:rsidRPr="00D50F76">
        <w:tab/>
        <w:t>A gázbiztos géptér nem veszélyes területnek minősül, kivéve, ha a 1.3. pont szerinti kockázatértékelés ettől eltérő eredményt mutat.</w:t>
      </w:r>
    </w:p>
    <w:p w:rsidR="005624E3" w:rsidRPr="00D50F76" w:rsidRDefault="005624E3" w:rsidP="005624E3">
      <w:pPr>
        <w:pStyle w:val="Esann8ch"/>
      </w:pPr>
    </w:p>
    <w:p w:rsidR="005624E3" w:rsidRPr="00D50F76" w:rsidRDefault="005624E3" w:rsidP="005624E3">
      <w:pPr>
        <w:pStyle w:val="Esann8ch"/>
      </w:pPr>
      <w:r w:rsidRPr="00D50F76">
        <w:t>2.2.3.</w:t>
      </w:r>
      <w:r w:rsidRPr="00D50F76">
        <w:tab/>
        <w:t>A robbanásbiztos gépterekre vonatkozó követelmények</w:t>
      </w:r>
    </w:p>
    <w:p w:rsidR="005624E3" w:rsidRPr="00D50F76" w:rsidRDefault="005624E3" w:rsidP="005624E3">
      <w:pPr>
        <w:pStyle w:val="Esann8ch"/>
        <w:rPr>
          <w:i/>
        </w:rPr>
      </w:pPr>
    </w:p>
    <w:p w:rsidR="005624E3" w:rsidRPr="00D50F76" w:rsidRDefault="005624E3" w:rsidP="005624E3">
      <w:pPr>
        <w:pStyle w:val="Esann8ch"/>
      </w:pPr>
      <w:r w:rsidRPr="00D50F76">
        <w:t>2.2.3.1.</w:t>
      </w:r>
      <w:r w:rsidRPr="00D50F76">
        <w:tab/>
        <w:t xml:space="preserve">A robbanásbiztos géptereket úgy kell kialakítani, hogy szokásos körülmények között a helyiségek gázbiztosnak minősüljenek. Az LNG-rendszeren belül semmilyen meghibásodás nem eredményezheti azt, hogy a géptérben a gáz koncentrációja meghaladja alsó a robbanási határérték (LEL) 20 %-át. </w:t>
      </w:r>
    </w:p>
    <w:p w:rsidR="005624E3" w:rsidRPr="00D50F76" w:rsidRDefault="005624E3" w:rsidP="005624E3">
      <w:pPr>
        <w:pStyle w:val="Esann8ch"/>
      </w:pPr>
    </w:p>
    <w:p w:rsidR="005624E3" w:rsidRPr="00D50F76" w:rsidRDefault="005624E3" w:rsidP="005624E3">
      <w:pPr>
        <w:pStyle w:val="Esann8ch"/>
      </w:pPr>
      <w:r w:rsidRPr="00D50F76">
        <w:t>2.2.3.2.</w:t>
      </w:r>
      <w:r w:rsidRPr="00D50F76">
        <w:tab/>
        <w:t>Amennyiben gáz jelenlétét észlelik vagy a szellőzőrendszer meghibásodik, az LNG-rendszer megfelelő része gázellátásának automatikusan le kell állnia.</w:t>
      </w:r>
    </w:p>
    <w:p w:rsidR="005624E3" w:rsidRPr="00D50F76" w:rsidRDefault="005624E3" w:rsidP="005624E3">
      <w:pPr>
        <w:pStyle w:val="Esann8ch"/>
      </w:pPr>
    </w:p>
    <w:p w:rsidR="005624E3" w:rsidRPr="00D50F76" w:rsidRDefault="005624E3" w:rsidP="005624E3">
      <w:pPr>
        <w:pStyle w:val="Esann8ch"/>
      </w:pPr>
      <w:r w:rsidRPr="00D50F76">
        <w:t>2.2.3.3.</w:t>
      </w:r>
      <w:r w:rsidRPr="00D50F76">
        <w:tab/>
        <w:t>A szellőzőrendszernek:</w:t>
      </w:r>
    </w:p>
    <w:p w:rsidR="005624E3" w:rsidRPr="00D50F76" w:rsidRDefault="005624E3" w:rsidP="005624E3">
      <w:pPr>
        <w:pStyle w:val="Esann8let"/>
      </w:pPr>
      <w:r w:rsidRPr="00D50F76">
        <w:t>a)</w:t>
      </w:r>
      <w:r w:rsidRPr="00D50F76">
        <w:tab/>
        <w:t>elegendő kapacitással kell rendelkeznie ahhoz, hogy a géptérben a gáz koncentrációja az alsó robbanási határérték (LEL) 20 %-a alatt maradjon, és biztosítania kell, hogy a géptérben lévő levegő bruttó térfogata óránként legalább 30 alkalommal cserélődhessen;</w:t>
      </w:r>
    </w:p>
    <w:p w:rsidR="005624E3" w:rsidRPr="00D50F76" w:rsidRDefault="005624E3" w:rsidP="005624E3">
      <w:pPr>
        <w:pStyle w:val="Esann8let"/>
      </w:pPr>
      <w:r w:rsidRPr="00D50F76">
        <w:t>b)</w:t>
      </w:r>
      <w:r w:rsidRPr="00D50F76">
        <w:tab/>
        <w:t>függetlennek kell lennie az összes többi szellőzőrendszertől.</w:t>
      </w:r>
    </w:p>
    <w:p w:rsidR="005624E3" w:rsidRPr="00D50F76" w:rsidRDefault="005624E3" w:rsidP="005624E3">
      <w:pPr>
        <w:pStyle w:val="Esann8ch"/>
      </w:pPr>
    </w:p>
    <w:p w:rsidR="005624E3" w:rsidRPr="00D50F76" w:rsidRDefault="005624E3" w:rsidP="005624E3">
      <w:pPr>
        <w:pStyle w:val="Esann8ch"/>
      </w:pPr>
      <w:r w:rsidRPr="00D50F76">
        <w:t>2.2.3.4.</w:t>
      </w:r>
      <w:r w:rsidRPr="00D50F76">
        <w:tab/>
        <w:t xml:space="preserve">A szokásos működés során a gépteret állandóan szellőztetni kell oly módon, hogy a géptérben lévő levegő bruttó térfogata óránként legalább 15 alkalommal cserélődhessen. </w:t>
      </w:r>
    </w:p>
    <w:p w:rsidR="005624E3" w:rsidRPr="00D50F76" w:rsidRDefault="005624E3" w:rsidP="005624E3">
      <w:pPr>
        <w:pStyle w:val="Esann8ch"/>
      </w:pPr>
    </w:p>
    <w:p w:rsidR="005624E3" w:rsidRPr="00D50F76" w:rsidRDefault="005624E3" w:rsidP="005624E3">
      <w:pPr>
        <w:pStyle w:val="Esann8ch"/>
      </w:pPr>
      <w:r w:rsidRPr="00D50F76">
        <w:t>2.2.3.5.</w:t>
      </w:r>
      <w:r w:rsidRPr="00D50F76">
        <w:tab/>
        <w:t>A robbanásbiztos géptereket úgy kell kialakítani, hogy geometriai formájuk minimálisra csökkentse a gázok felgyülemlésének vagy a gázzsebek kialakulásának kockázatát. Biztosítani kell a levegő megfelelő körforgását.</w:t>
      </w:r>
    </w:p>
    <w:p w:rsidR="005624E3" w:rsidRPr="00D50F76" w:rsidRDefault="005624E3" w:rsidP="005624E3">
      <w:pPr>
        <w:pStyle w:val="Esann8ch"/>
      </w:pPr>
    </w:p>
    <w:p w:rsidR="005624E3" w:rsidRPr="00D50F76" w:rsidRDefault="005624E3" w:rsidP="005624E3">
      <w:pPr>
        <w:pStyle w:val="Esann8ch"/>
      </w:pPr>
      <w:r w:rsidRPr="00D50F76">
        <w:t>2.2.3.6.</w:t>
      </w:r>
      <w:r w:rsidRPr="00D50F76">
        <w:tab/>
        <w:t xml:space="preserve">A robbanásbiztos géptér 2. zónának minősül, kivéve, ha a 1.3. pont szerinti kockázatértékelés ettől eltérő eredményt mutat. </w:t>
      </w:r>
    </w:p>
    <w:p w:rsidR="005624E3" w:rsidRPr="00D50F76" w:rsidRDefault="005624E3" w:rsidP="005624E3">
      <w:pPr>
        <w:pStyle w:val="Esann8ch"/>
      </w:pPr>
    </w:p>
    <w:p w:rsidR="005624E3" w:rsidRPr="00D50F76" w:rsidRDefault="005624E3" w:rsidP="005624E3">
      <w:pPr>
        <w:pStyle w:val="Esann8ch"/>
      </w:pPr>
      <w:r w:rsidRPr="00D50F76">
        <w:t>2.2.4.</w:t>
      </w:r>
      <w:r w:rsidRPr="00D50F76">
        <w:tab/>
        <w:t>Az ESD-védett gépterekre vonatkozó követelmények</w:t>
      </w:r>
    </w:p>
    <w:p w:rsidR="005624E3" w:rsidRPr="00D50F76" w:rsidRDefault="005624E3" w:rsidP="005624E3">
      <w:pPr>
        <w:pStyle w:val="Esann8ch"/>
      </w:pPr>
    </w:p>
    <w:p w:rsidR="005624E3" w:rsidRPr="00D50F76" w:rsidRDefault="005624E3" w:rsidP="005624E3">
      <w:pPr>
        <w:pStyle w:val="Esann8ch"/>
      </w:pPr>
      <w:r w:rsidRPr="00D50F76">
        <w:t>2.2.4.1.</w:t>
      </w:r>
      <w:r w:rsidRPr="00D50F76">
        <w:tab/>
        <w:t xml:space="preserve">Az ESD-védett géptereket úgy kell kialakítani, hogy szokásos körülmények között a helyiségek gázbiztosnak minősüljenek; ugyanakkor bizonyos rendellenes körülmények magukban hordozhatják gázveszély kialakulásának lehetőségét. </w:t>
      </w:r>
    </w:p>
    <w:p w:rsidR="005624E3" w:rsidRPr="00D50F76" w:rsidRDefault="005624E3" w:rsidP="005624E3">
      <w:pPr>
        <w:pStyle w:val="Esann8ch"/>
      </w:pPr>
    </w:p>
    <w:p w:rsidR="005624E3" w:rsidRPr="00D50F76" w:rsidRDefault="005624E3" w:rsidP="005624E3">
      <w:pPr>
        <w:pStyle w:val="Esann8ch"/>
      </w:pPr>
      <w:r w:rsidRPr="00D50F76">
        <w:t>2.2.4.2.</w:t>
      </w:r>
      <w:r w:rsidRPr="00D50F76">
        <w:tab/>
        <w:t xml:space="preserve">A gázveszélyt is magukban foglaló rendellenes körülmények esetén a nem biztonságos berendezések (a gyújtóforrások) és a gázüzemű gépek vészhelyzeti leállásának (ESD) automatikusan be kell következnie; az említett körülmények között használatban lévő vagy aktív berendezéseknek és gépeknek hitelesített biztonsági típusúaknak kell lenniük. </w:t>
      </w:r>
    </w:p>
    <w:p w:rsidR="005624E3" w:rsidRPr="00D50F76" w:rsidRDefault="005624E3" w:rsidP="005624E3">
      <w:pPr>
        <w:pStyle w:val="Esann8ch"/>
      </w:pPr>
    </w:p>
    <w:p w:rsidR="005624E3" w:rsidRPr="00D50F76" w:rsidRDefault="005624E3" w:rsidP="005624E3">
      <w:pPr>
        <w:rPr>
          <w:rFonts w:eastAsia="Calibri" w:cs="Arial"/>
          <w:color w:val="000000"/>
          <w:szCs w:val="20"/>
        </w:rPr>
      </w:pPr>
      <w:r w:rsidRPr="00D50F76">
        <w:br w:type="page"/>
      </w:r>
    </w:p>
    <w:p w:rsidR="005624E3" w:rsidRPr="00D50F76" w:rsidRDefault="005624E3" w:rsidP="005624E3">
      <w:pPr>
        <w:pStyle w:val="Esann8ch"/>
      </w:pPr>
    </w:p>
    <w:p w:rsidR="005624E3" w:rsidRPr="00D50F76" w:rsidRDefault="005624E3" w:rsidP="005624E3">
      <w:pPr>
        <w:pStyle w:val="Esann8ch"/>
      </w:pPr>
      <w:r w:rsidRPr="00D50F76">
        <w:t>2.2.4.3.</w:t>
      </w:r>
      <w:r w:rsidRPr="00D50F76">
        <w:tab/>
        <w:t>A szellőzőrendszernek:</w:t>
      </w:r>
    </w:p>
    <w:p w:rsidR="005624E3" w:rsidRPr="00D50F76" w:rsidRDefault="005624E3" w:rsidP="005624E3">
      <w:pPr>
        <w:pStyle w:val="Esann8let"/>
      </w:pPr>
      <w:r w:rsidRPr="00D50F76">
        <w:t>a)</w:t>
      </w:r>
      <w:r w:rsidRPr="00D50F76">
        <w:tab/>
        <w:t xml:space="preserve">megfelelő kapacitással kell rendelkeznie annak biztosítására, hogy a géptérben lévő levegő bruttó térfogata óránként legalább 30 alkalommal cserélődhessen; </w:t>
      </w:r>
    </w:p>
    <w:p w:rsidR="005624E3" w:rsidRPr="00D50F76" w:rsidRDefault="005624E3" w:rsidP="005624E3">
      <w:pPr>
        <w:pStyle w:val="Esann8let"/>
      </w:pPr>
      <w:r w:rsidRPr="00D50F76">
        <w:t>b)</w:t>
      </w:r>
      <w:r w:rsidRPr="00D50F76">
        <w:tab/>
        <w:t>kialakításánál fogva képesnek kell lennie a műszaki hibákból adódó legnagyobb mértékű szivárgás kezelésére is, és</w:t>
      </w:r>
    </w:p>
    <w:p w:rsidR="005624E3" w:rsidRPr="00D50F76" w:rsidRDefault="005624E3" w:rsidP="005624E3">
      <w:pPr>
        <w:pStyle w:val="Esann8let"/>
      </w:pPr>
      <w:r w:rsidRPr="00D50F76">
        <w:t>c)</w:t>
      </w:r>
      <w:r w:rsidRPr="00D50F76">
        <w:tab/>
        <w:t>függetlennek kell lennie az összes többi szellőzőrendszertől.</w:t>
      </w:r>
    </w:p>
    <w:p w:rsidR="005624E3" w:rsidRPr="00D50F76" w:rsidRDefault="005624E3" w:rsidP="005624E3">
      <w:pPr>
        <w:pStyle w:val="Esann8ch"/>
      </w:pPr>
    </w:p>
    <w:p w:rsidR="005624E3" w:rsidRPr="00D50F76" w:rsidRDefault="005624E3" w:rsidP="005624E3">
      <w:pPr>
        <w:pStyle w:val="Esann8ch"/>
      </w:pPr>
      <w:r w:rsidRPr="00D50F76">
        <w:t>2.2.4.4.</w:t>
      </w:r>
      <w:r w:rsidRPr="00D50F76">
        <w:tab/>
        <w:t>A szokásos működés során a gépteret állandóan szellőztetni kell oly módon, hogy a géptérben lévő levegő bruttó térfogata óránként legalább 15 alkalommal cserélődhessen.</w:t>
      </w:r>
    </w:p>
    <w:p w:rsidR="005624E3" w:rsidRPr="00D50F76" w:rsidRDefault="005624E3" w:rsidP="005624E3">
      <w:pPr>
        <w:pStyle w:val="Esann8chpar"/>
      </w:pPr>
      <w:r w:rsidRPr="00D50F76">
        <w:t xml:space="preserve">Ha a géptérben gáz jelenlétét észlelik, a légcserék számát automatikusan 30 alkalomra kell növelni óránként. </w:t>
      </w:r>
    </w:p>
    <w:p w:rsidR="005624E3" w:rsidRPr="00D50F76" w:rsidRDefault="005624E3" w:rsidP="005624E3">
      <w:pPr>
        <w:pStyle w:val="Esann8ch"/>
      </w:pPr>
    </w:p>
    <w:p w:rsidR="005624E3" w:rsidRPr="00D50F76" w:rsidRDefault="005624E3" w:rsidP="005624E3">
      <w:pPr>
        <w:pStyle w:val="Esann8ch"/>
      </w:pPr>
      <w:r w:rsidRPr="00D50F76">
        <w:t>2.2.4.5.</w:t>
      </w:r>
      <w:r w:rsidRPr="00D50F76">
        <w:tab/>
        <w:t>Ha a vízi járműnek egynél több propulziós motorja van, ezeket a motorokat legalább két különálló géptérben kell elhelyezni. Ezeknek a géptereknek nem lehetnek közös térelválasztó elemeik. Elfogadhatók azonban a közös térelválasztó elemek, ha dokumentálni lehet, hogy egyazon meghibásodás következményei nem érinthetik egyszerre mindkét gépteret.</w:t>
      </w:r>
      <w:r w:rsidRPr="00D50F76">
        <w:rPr>
          <w:vertAlign w:val="superscript"/>
        </w:rPr>
        <w:t xml:space="preserve"> </w:t>
      </w:r>
    </w:p>
    <w:p w:rsidR="005624E3" w:rsidRPr="00D50F76" w:rsidRDefault="005624E3" w:rsidP="005624E3">
      <w:pPr>
        <w:pStyle w:val="Esann8ch"/>
      </w:pPr>
    </w:p>
    <w:p w:rsidR="005624E3" w:rsidRPr="00D50F76" w:rsidRDefault="005624E3" w:rsidP="005624E3">
      <w:pPr>
        <w:pStyle w:val="Esann8ch"/>
      </w:pPr>
      <w:r w:rsidRPr="00D50F76">
        <w:t>2.2.4.6.</w:t>
      </w:r>
      <w:r w:rsidRPr="00D50F76">
        <w:tab/>
        <w:t>Rögzített gázriasztó berendezést kell telepíteni az érintett géptér gázellátásának automatikus leállítása, valamint az összes nem robbanásvédett berendezés vagy rendszer lekapcsolása céljából.</w:t>
      </w:r>
    </w:p>
    <w:p w:rsidR="005624E3" w:rsidRPr="00D50F76" w:rsidRDefault="005624E3" w:rsidP="005624E3">
      <w:pPr>
        <w:pStyle w:val="Esann8ch"/>
      </w:pPr>
    </w:p>
    <w:p w:rsidR="005624E3" w:rsidRPr="00D50F76" w:rsidRDefault="005624E3" w:rsidP="005624E3">
      <w:pPr>
        <w:pStyle w:val="Esann8ch"/>
      </w:pPr>
      <w:r w:rsidRPr="00D50F76">
        <w:t>2.2.4.7.</w:t>
      </w:r>
      <w:r w:rsidRPr="00D50F76">
        <w:tab/>
        <w:t>Az ESD-védett géptereket úgy kell kialakítani, hogy geometriai formájuk minimálisra csökkentse a gázok felgyülemlésének vagy a gázzsebek kialakulásának kockázatát. Biztosítani kell a levegő megfelelő körforgását.</w:t>
      </w:r>
    </w:p>
    <w:p w:rsidR="005624E3" w:rsidRPr="00D50F76" w:rsidRDefault="005624E3" w:rsidP="005624E3">
      <w:pPr>
        <w:pStyle w:val="Esann8ch"/>
      </w:pPr>
    </w:p>
    <w:p w:rsidR="005624E3" w:rsidRPr="00D50F76" w:rsidRDefault="005624E3" w:rsidP="005624E3">
      <w:pPr>
        <w:pStyle w:val="Esann8ch"/>
      </w:pPr>
      <w:r w:rsidRPr="00D50F76">
        <w:t>2.2.4.8.</w:t>
      </w:r>
      <w:r w:rsidRPr="00D50F76">
        <w:tab/>
        <w:t>A ESD-védett géptér 1. zónának minősül, kivéve, ha a 1.3. pont szerinti kockázatértékelés ettől eltérő eredményt mutat.</w:t>
      </w:r>
    </w:p>
    <w:p w:rsidR="005624E3" w:rsidRPr="00D50F76" w:rsidRDefault="005624E3" w:rsidP="005624E3">
      <w:pPr>
        <w:pStyle w:val="Esann8ch"/>
        <w:rPr>
          <w:b/>
          <w:bCs/>
        </w:rPr>
      </w:pPr>
    </w:p>
    <w:p w:rsidR="005624E3" w:rsidRPr="00D50F76" w:rsidRDefault="005624E3" w:rsidP="005624E3">
      <w:pPr>
        <w:pStyle w:val="Esann8chgras"/>
      </w:pPr>
      <w:r w:rsidRPr="00D50F76">
        <w:t>2.3.</w:t>
      </w:r>
      <w:r w:rsidRPr="00D50F76">
        <w:tab/>
        <w:t xml:space="preserve">Cseppfolyósítottföldgáz- (LNG) és földgáz-vezetékrendszerek </w:t>
      </w:r>
    </w:p>
    <w:p w:rsidR="005624E3" w:rsidRPr="00D50F76" w:rsidRDefault="005624E3" w:rsidP="005624E3">
      <w:pPr>
        <w:pStyle w:val="Esann8ch"/>
      </w:pPr>
    </w:p>
    <w:p w:rsidR="005624E3" w:rsidRPr="00D50F76" w:rsidRDefault="005624E3" w:rsidP="005624E3">
      <w:pPr>
        <w:pStyle w:val="Esann8ch"/>
      </w:pPr>
      <w:r w:rsidRPr="00D50F76">
        <w:t>2.3.1.</w:t>
      </w:r>
      <w:r w:rsidRPr="00D50F76">
        <w:tab/>
        <w:t xml:space="preserve">A más géptereken vagy a vízi jármű nem veszélyes zárt területein keresztülhaladó cseppfolyósítottföldgáz- (LNG) és földgáz-vezetékeket duplafalú vezetékekbe vagy szellőztetett vezetékekbe kell helyezni. </w:t>
      </w:r>
    </w:p>
    <w:p w:rsidR="005624E3" w:rsidRPr="00D50F76" w:rsidRDefault="005624E3" w:rsidP="005624E3">
      <w:pPr>
        <w:pStyle w:val="Esann8ch"/>
      </w:pPr>
    </w:p>
    <w:p w:rsidR="005624E3" w:rsidRPr="00D50F76" w:rsidRDefault="005624E3" w:rsidP="005624E3">
      <w:pPr>
        <w:pStyle w:val="Esann8ch"/>
      </w:pPr>
      <w:r w:rsidRPr="00D50F76">
        <w:t>2.3.2.</w:t>
      </w:r>
      <w:r w:rsidRPr="00D50F76">
        <w:tab/>
        <w:t xml:space="preserve">A cseppfolyósítottföldgáz- (LNG) és földgáz-vezetékek nem helyezkedhetnek el 1,00 m-nél kisebb távolságra a hajó oldalától és 0,60 m-nél kisebb távolságra a fenéktől. </w:t>
      </w:r>
    </w:p>
    <w:p w:rsidR="005624E3" w:rsidRPr="00D50F76" w:rsidRDefault="005624E3" w:rsidP="005624E3">
      <w:pPr>
        <w:pStyle w:val="Esann8ch"/>
      </w:pPr>
    </w:p>
    <w:p w:rsidR="005624E3" w:rsidRPr="00D50F76" w:rsidRDefault="005624E3" w:rsidP="005624E3">
      <w:pPr>
        <w:pStyle w:val="Esann8ch"/>
      </w:pPr>
      <w:r w:rsidRPr="00D50F76">
        <w:t>2.3.3.</w:t>
      </w:r>
      <w:r w:rsidRPr="00D50F76">
        <w:tab/>
        <w:t>Minden vezetéket és alkatrészt, amely folyadékkal teli állapotban az LNG-rendszer szelepeivel teljesen leválasztható, nyomáscsökkentő szeleppel kell ellátni.</w:t>
      </w:r>
    </w:p>
    <w:p w:rsidR="005624E3" w:rsidRPr="00D50F76" w:rsidRDefault="005624E3" w:rsidP="005624E3">
      <w:pPr>
        <w:pStyle w:val="Esann8ch"/>
      </w:pPr>
    </w:p>
    <w:p w:rsidR="005624E3" w:rsidRPr="00D50F76" w:rsidRDefault="005624E3" w:rsidP="005624E3">
      <w:pPr>
        <w:pStyle w:val="Esann8ch"/>
      </w:pPr>
      <w:r w:rsidRPr="00D50F76">
        <w:t>2.3.4.</w:t>
      </w:r>
      <w:r w:rsidRPr="00D50F76">
        <w:tab/>
        <w:t>A vezetékeket elektromosan össze kell kötni a hajó szerkezetével.</w:t>
      </w:r>
    </w:p>
    <w:p w:rsidR="005624E3" w:rsidRPr="00D50F76" w:rsidRDefault="005624E3" w:rsidP="005624E3">
      <w:pPr>
        <w:pStyle w:val="Esann8ch"/>
      </w:pPr>
    </w:p>
    <w:p w:rsidR="005624E3" w:rsidRPr="00D50F76" w:rsidRDefault="005624E3" w:rsidP="005624E3">
      <w:pPr>
        <w:pStyle w:val="Esann8ch"/>
      </w:pPr>
      <w:r w:rsidRPr="00D50F76">
        <w:t>2.3.5.</w:t>
      </w:r>
      <w:r w:rsidRPr="00D50F76">
        <w:tab/>
        <w:t>Az alacsony hőmérsékletű csővezetékeket szükség esetén hőszigetelni kell a szomszédos hajótesttől. Biztosítani kell a véletlen érintkezés elleni védelmet.</w:t>
      </w:r>
    </w:p>
    <w:p w:rsidR="005624E3" w:rsidRPr="00D50F76" w:rsidRDefault="005624E3" w:rsidP="005624E3">
      <w:pPr>
        <w:pStyle w:val="Esann8ch"/>
      </w:pPr>
    </w:p>
    <w:p w:rsidR="005624E3" w:rsidRPr="00D50F76" w:rsidRDefault="005624E3" w:rsidP="005624E3">
      <w:pPr>
        <w:pStyle w:val="Esann8ch"/>
      </w:pPr>
      <w:r w:rsidRPr="00D50F76">
        <w:t>2.3.6.</w:t>
      </w:r>
      <w:r w:rsidRPr="00D50F76">
        <w:tab/>
        <w:t xml:space="preserve">A vezetékek tervezési nyomása nem lehet kisebb, mint a legnagyobb üzemi nyomás 150 %-a. A helyiségeken belüli vezetékek legnagyobb üzemi nyomása nem haladhatja meg a 1000 kPa-t. A gázvezeték-rendszer külső csöveinek vagy vezetékeinek tervezési nyomása nem lehet kisebb, mint a belső gázcsövek tervezési nyomása. </w:t>
      </w:r>
    </w:p>
    <w:p w:rsidR="005624E3" w:rsidRPr="00D50F76" w:rsidRDefault="005624E3" w:rsidP="005624E3">
      <w:pPr>
        <w:pStyle w:val="Esann8ch"/>
      </w:pPr>
    </w:p>
    <w:p w:rsidR="005624E3" w:rsidRPr="00D50F76" w:rsidRDefault="005624E3" w:rsidP="005624E3">
      <w:pPr>
        <w:rPr>
          <w:rFonts w:eastAsia="Calibri" w:cs="Arial"/>
          <w:color w:val="000000"/>
          <w:szCs w:val="20"/>
        </w:rPr>
      </w:pPr>
      <w:r w:rsidRPr="00D50F76">
        <w:br w:type="page"/>
      </w:r>
    </w:p>
    <w:p w:rsidR="005624E3" w:rsidRPr="00D50F76" w:rsidRDefault="005624E3" w:rsidP="005624E3">
      <w:pPr>
        <w:pStyle w:val="Esann8ch"/>
      </w:pPr>
    </w:p>
    <w:p w:rsidR="005624E3" w:rsidRPr="00D50F76" w:rsidRDefault="005624E3" w:rsidP="005624E3">
      <w:pPr>
        <w:pStyle w:val="Esann8ch"/>
      </w:pPr>
      <w:r w:rsidRPr="00D50F76">
        <w:t>2.3.7.</w:t>
      </w:r>
      <w:r w:rsidRPr="00D50F76">
        <w:tab/>
        <w:t>Az ESD-védett gépterekben található gázvezetékeket a lehető legtávolabb kell elhelyezni az elektromos berendezésektől és a gyúlékony folyadékokat tartalmazó tartályoktól.</w:t>
      </w:r>
    </w:p>
    <w:p w:rsidR="005624E3" w:rsidRPr="00D50F76" w:rsidRDefault="005624E3" w:rsidP="005624E3">
      <w:pPr>
        <w:pStyle w:val="Esann8ch"/>
      </w:pPr>
    </w:p>
    <w:p w:rsidR="005624E3" w:rsidRPr="00D50F76" w:rsidRDefault="005624E3" w:rsidP="005624E3">
      <w:pPr>
        <w:pStyle w:val="Esann8chgras"/>
      </w:pPr>
      <w:r w:rsidRPr="00D50F76">
        <w:t>2.4.</w:t>
      </w:r>
      <w:r w:rsidRPr="00D50F76">
        <w:tab/>
        <w:t>Folyadékelvezető rendszer</w:t>
      </w:r>
    </w:p>
    <w:p w:rsidR="005624E3" w:rsidRPr="00D50F76" w:rsidRDefault="005624E3" w:rsidP="005624E3">
      <w:pPr>
        <w:pStyle w:val="Esann8ch"/>
      </w:pPr>
    </w:p>
    <w:p w:rsidR="005624E3" w:rsidRPr="00D50F76" w:rsidRDefault="005624E3" w:rsidP="005624E3">
      <w:pPr>
        <w:pStyle w:val="Esann8ch"/>
      </w:pPr>
      <w:r w:rsidRPr="00D50F76">
        <w:t>2.4.1.</w:t>
      </w:r>
      <w:r w:rsidRPr="00D50F76">
        <w:tab/>
        <w:t>Azokon a területeken, amelyeken jelen lehet cseppfolyósított földgáz (LNG) vagy földgáz, a folyadékelvezető rendszernek:</w:t>
      </w:r>
    </w:p>
    <w:p w:rsidR="005624E3" w:rsidRPr="00D50F76" w:rsidRDefault="005624E3" w:rsidP="005624E3">
      <w:pPr>
        <w:pStyle w:val="Esann8let"/>
      </w:pPr>
      <w:r w:rsidRPr="00D50F76">
        <w:t>a)</w:t>
      </w:r>
      <w:r w:rsidRPr="00D50F76">
        <w:tab/>
        <w:t xml:space="preserve">függetlennek és elválasztottnak kell lennie azon területek folyadékelvezető rendszerétől, ahol cseppfolyósított földgáz (LNG) és földgáz nem lehet jelen, </w:t>
      </w:r>
    </w:p>
    <w:p w:rsidR="005624E3" w:rsidRPr="00D50F76" w:rsidRDefault="005624E3" w:rsidP="005624E3">
      <w:pPr>
        <w:pStyle w:val="Esann8let"/>
        <w:rPr>
          <w:b/>
        </w:rPr>
      </w:pPr>
      <w:r w:rsidRPr="00D50F76">
        <w:t>b)</w:t>
      </w:r>
      <w:r w:rsidRPr="00D50F76">
        <w:tab/>
        <w:t>nem szabad összeköttetésben lennie nem veszélyes területeken lévő szivattyúkkal.</w:t>
      </w:r>
    </w:p>
    <w:p w:rsidR="005624E3" w:rsidRPr="00D50F76" w:rsidRDefault="005624E3" w:rsidP="005624E3">
      <w:pPr>
        <w:pStyle w:val="Esann8ch"/>
      </w:pPr>
    </w:p>
    <w:p w:rsidR="005624E3" w:rsidRPr="00D50F76" w:rsidRDefault="005624E3" w:rsidP="005624E3">
      <w:pPr>
        <w:pStyle w:val="Esann8ch"/>
      </w:pPr>
      <w:r w:rsidRPr="00D50F76">
        <w:t>2.4.2.</w:t>
      </w:r>
      <w:r w:rsidRPr="00D50F76">
        <w:tab/>
        <w:t>Amennyiben az LNG-tároló rendszer nem igényel másodlagos védőréteget, a gépterekkel nem összeköttetésben lévő tartályterek részére megfelelő folyadékelvezető berendezéseknek kell rendelkezésre állniuk. Biztosítani kell olyan eszközöket, amelyek észlelik, ha a cseppfolyósított földgáz (LNG) szivárog.</w:t>
      </w:r>
    </w:p>
    <w:p w:rsidR="005624E3" w:rsidRPr="00D50F76" w:rsidRDefault="005624E3" w:rsidP="005624E3">
      <w:pPr>
        <w:pStyle w:val="Esann8ch"/>
      </w:pPr>
    </w:p>
    <w:p w:rsidR="005624E3" w:rsidRPr="00D50F76" w:rsidRDefault="005624E3" w:rsidP="005624E3">
      <w:pPr>
        <w:pStyle w:val="Esann8ch"/>
      </w:pPr>
      <w:r w:rsidRPr="00D50F76">
        <w:t>2.4.3.</w:t>
      </w:r>
      <w:r w:rsidRPr="00D50F76">
        <w:tab/>
        <w:t>Amennyiben az LNG-tároló rendszer igényel másodlagos védőréteget, megfelelő folyadékelvezető berendezéseknek kell rendelkezésre állniuk arra az esetre, ha cseppfolyósított földgáz (LNG) szivárogna a védőrétegek közötti térbe. Biztosítani kell olyan eszközöket, amelyek észlelik az ilyen szivárgást.</w:t>
      </w:r>
    </w:p>
    <w:p w:rsidR="005624E3" w:rsidRPr="00C903F8" w:rsidRDefault="005624E3" w:rsidP="005624E3">
      <w:pPr>
        <w:pStyle w:val="Esannch"/>
      </w:pPr>
    </w:p>
    <w:p w:rsidR="005624E3" w:rsidRPr="00D50F76" w:rsidRDefault="005624E3" w:rsidP="005624E3">
      <w:pPr>
        <w:pStyle w:val="Esann8chgras"/>
      </w:pPr>
      <w:r w:rsidRPr="00D50F76">
        <w:t>2.5.</w:t>
      </w:r>
      <w:r w:rsidRPr="00D50F76">
        <w:tab/>
        <w:t>Csepegtetőtálcák</w:t>
      </w:r>
    </w:p>
    <w:p w:rsidR="005624E3" w:rsidRPr="00D50F76" w:rsidRDefault="005624E3" w:rsidP="005624E3">
      <w:pPr>
        <w:pStyle w:val="Esann8ch"/>
      </w:pPr>
    </w:p>
    <w:p w:rsidR="005624E3" w:rsidRPr="00D50F76" w:rsidRDefault="005624E3" w:rsidP="005624E3">
      <w:pPr>
        <w:pStyle w:val="Esann8ch"/>
        <w:rPr>
          <w:b/>
        </w:rPr>
      </w:pPr>
      <w:r w:rsidRPr="00D50F76">
        <w:t>2.5.1.</w:t>
      </w:r>
      <w:r w:rsidRPr="00D50F76">
        <w:tab/>
        <w:t xml:space="preserve">Megfelelő csepegtetőtálcát kell felszerelni, ha a szivárgás kárt okozhat a vízi jármű szerkezetében, vagy ha szűkíteni kell a kiömlés által esetleg érintett területet. </w:t>
      </w:r>
    </w:p>
    <w:p w:rsidR="005624E3" w:rsidRPr="00D50F76" w:rsidRDefault="005624E3" w:rsidP="005624E3">
      <w:pPr>
        <w:pStyle w:val="Esann8ch"/>
        <w:rPr>
          <w:b/>
        </w:rPr>
      </w:pPr>
    </w:p>
    <w:p w:rsidR="005624E3" w:rsidRPr="00D50F76" w:rsidRDefault="005624E3" w:rsidP="005624E3">
      <w:pPr>
        <w:pStyle w:val="Esann8chgras"/>
      </w:pPr>
      <w:r w:rsidRPr="00D50F76">
        <w:t>2.6.</w:t>
      </w:r>
      <w:r w:rsidRPr="00D50F76">
        <w:tab/>
        <w:t>A bejáratok és egyéb nyílások elrendezése</w:t>
      </w:r>
    </w:p>
    <w:p w:rsidR="005624E3" w:rsidRPr="00D50F76" w:rsidRDefault="005624E3" w:rsidP="005624E3">
      <w:pPr>
        <w:pStyle w:val="Esann8ch"/>
      </w:pPr>
    </w:p>
    <w:p w:rsidR="005624E3" w:rsidRPr="00D50F76" w:rsidRDefault="005624E3" w:rsidP="005624E3">
      <w:pPr>
        <w:pStyle w:val="Esann8ch"/>
      </w:pPr>
      <w:r w:rsidRPr="00D50F76">
        <w:t>2.6.1.</w:t>
      </w:r>
      <w:r w:rsidRPr="00D50F76">
        <w:tab/>
        <w:t>A nem veszélyes területről veszélyes területre vezető bejáratok és egyéb nyílások csak az üzemeltetési okokból szükséges mértékben engedélyezhetők.</w:t>
      </w:r>
    </w:p>
    <w:p w:rsidR="005624E3" w:rsidRPr="00D50F76" w:rsidRDefault="005624E3" w:rsidP="005624E3">
      <w:pPr>
        <w:pStyle w:val="Esann8ch"/>
      </w:pPr>
    </w:p>
    <w:p w:rsidR="005624E3" w:rsidRPr="00D50F76" w:rsidRDefault="005624E3" w:rsidP="005624E3">
      <w:pPr>
        <w:pStyle w:val="Esann8ch"/>
      </w:pPr>
      <w:r w:rsidRPr="00D50F76">
        <w:t>2.6.2.</w:t>
      </w:r>
      <w:r w:rsidRPr="00D50F76">
        <w:tab/>
        <w:t xml:space="preserve">Az olyan, nem veszélyes területre vezető bejáratok és egyéb nyílások esetében, amelyek az LNG-tároló rendszertől, a gázelőkészítő rendszertől vagy a nyomáscsökkentő szelep kimenetétől 6,00 m távolságon belül találhatók, megfelelő légzsilipet kell biztosítani. </w:t>
      </w:r>
    </w:p>
    <w:p w:rsidR="005624E3" w:rsidRPr="00D50F76" w:rsidRDefault="005624E3" w:rsidP="005624E3">
      <w:pPr>
        <w:pStyle w:val="Esann8ch"/>
      </w:pPr>
    </w:p>
    <w:p w:rsidR="005624E3" w:rsidRPr="00D50F76" w:rsidRDefault="005624E3" w:rsidP="005624E3">
      <w:pPr>
        <w:pStyle w:val="Esann8ch"/>
      </w:pPr>
      <w:r w:rsidRPr="00D50F76">
        <w:t>2.6.3.</w:t>
      </w:r>
      <w:r w:rsidRPr="00D50F76">
        <w:tab/>
        <w:t>A légzsilipeket mechanikusan kell szellőztetni, a szomszédos veszélyes területen uralkodó nyomáshoz képest magasabb nyomással. Az ajtóknak önzáródó típusúaknak kell lenniük.</w:t>
      </w:r>
    </w:p>
    <w:p w:rsidR="005624E3" w:rsidRPr="00D50F76" w:rsidRDefault="005624E3" w:rsidP="005624E3">
      <w:pPr>
        <w:pStyle w:val="Esann8ch"/>
      </w:pPr>
    </w:p>
    <w:p w:rsidR="005624E3" w:rsidRPr="00D50F76" w:rsidRDefault="005624E3" w:rsidP="005624E3">
      <w:pPr>
        <w:pStyle w:val="Esann8ch"/>
      </w:pPr>
      <w:r w:rsidRPr="00D50F76">
        <w:t>2.6.4.</w:t>
      </w:r>
      <w:r w:rsidRPr="00D50F76">
        <w:tab/>
        <w:t>A légzsilipeket úgy kell kialakítani, hogy lehetetlenné váljon a gázkibocsátás a nem veszélyes területre, még akkor is, ha a légzsilip által elválasztott veszélyes területen a legkritikusabb események mennek végbe. Az eseményeket a 1.3. pont szerinti kockázatértékelés során értékelni kell.</w:t>
      </w:r>
    </w:p>
    <w:p w:rsidR="005624E3" w:rsidRPr="00D50F76" w:rsidRDefault="005624E3" w:rsidP="005624E3">
      <w:pPr>
        <w:pStyle w:val="Esann8ch"/>
      </w:pPr>
    </w:p>
    <w:p w:rsidR="005624E3" w:rsidRPr="00D50F76" w:rsidRDefault="005624E3" w:rsidP="005624E3">
      <w:pPr>
        <w:pStyle w:val="Esann8ch"/>
      </w:pPr>
      <w:r w:rsidRPr="00D50F76">
        <w:t>2.6.5.</w:t>
      </w:r>
      <w:r w:rsidRPr="00D50F76">
        <w:tab/>
        <w:t>A légzsilipeknek akadálymenteseknek és könnyen átjárhatóknak kell lenniük; a légzsilipek más célokra nem használhatók.</w:t>
      </w:r>
    </w:p>
    <w:p w:rsidR="005624E3" w:rsidRPr="00D50F76" w:rsidRDefault="005624E3" w:rsidP="005624E3">
      <w:pPr>
        <w:pStyle w:val="Esann8ch"/>
      </w:pPr>
    </w:p>
    <w:p w:rsidR="005624E3" w:rsidRPr="00D50F76" w:rsidRDefault="005624E3" w:rsidP="005624E3">
      <w:pPr>
        <w:pStyle w:val="Esann8ch"/>
      </w:pPr>
      <w:r w:rsidRPr="00D50F76">
        <w:t>2.6.6.</w:t>
      </w:r>
      <w:r w:rsidRPr="00D50F76">
        <w:tab/>
        <w:t>A légzsilipek mindkét oldalán akusztikai és optikai vészjelzést kell adni, ha egynél több ajtó kerül nyitott helyzetbe, vagy ha a légzsilipben gáz jelenlétét észlelik.</w:t>
      </w:r>
    </w:p>
    <w:p w:rsidR="005624E3" w:rsidRPr="00D50F76" w:rsidRDefault="005624E3" w:rsidP="005624E3">
      <w:pPr>
        <w:pStyle w:val="Esann8ch"/>
      </w:pPr>
    </w:p>
    <w:p w:rsidR="005624E3" w:rsidRPr="00D50F76" w:rsidRDefault="005624E3" w:rsidP="005624E3">
      <w:pPr>
        <w:pStyle w:val="Esann8chgras"/>
      </w:pPr>
      <w:r w:rsidRPr="00D50F76">
        <w:t>2.7.</w:t>
      </w:r>
      <w:r w:rsidRPr="00D50F76">
        <w:tab/>
        <w:t>Szellőzőrendszerek</w:t>
      </w:r>
    </w:p>
    <w:p w:rsidR="005624E3" w:rsidRPr="00D50F76" w:rsidRDefault="005624E3" w:rsidP="005624E3">
      <w:pPr>
        <w:pStyle w:val="Esann8ch"/>
      </w:pPr>
    </w:p>
    <w:p w:rsidR="005624E3" w:rsidRPr="00D50F76" w:rsidRDefault="005624E3" w:rsidP="005624E3">
      <w:pPr>
        <w:pStyle w:val="Esann8ch"/>
      </w:pPr>
      <w:r w:rsidRPr="00D50F76">
        <w:t>2.7.1.</w:t>
      </w:r>
      <w:r w:rsidRPr="00D50F76">
        <w:tab/>
        <w:t xml:space="preserve">A veszélyes területeken lévő ventilátoroknak hitelesített biztonsági típusúaknak kell lenniük. </w:t>
      </w:r>
    </w:p>
    <w:p w:rsidR="005624E3" w:rsidRPr="00D50F76" w:rsidRDefault="005624E3" w:rsidP="005624E3">
      <w:pPr>
        <w:pStyle w:val="Esann8ch"/>
      </w:pPr>
    </w:p>
    <w:p w:rsidR="005624E3" w:rsidRPr="00D50F76" w:rsidRDefault="005624E3" w:rsidP="005624E3">
      <w:pPr>
        <w:rPr>
          <w:rFonts w:eastAsia="Calibri" w:cs="Arial"/>
          <w:color w:val="000000"/>
          <w:szCs w:val="20"/>
        </w:rPr>
      </w:pPr>
      <w:r w:rsidRPr="00D50F76">
        <w:br w:type="page"/>
      </w:r>
    </w:p>
    <w:p w:rsidR="005624E3" w:rsidRPr="00D50F76" w:rsidRDefault="005624E3" w:rsidP="005624E3">
      <w:pPr>
        <w:pStyle w:val="Esann8ch"/>
      </w:pPr>
    </w:p>
    <w:p w:rsidR="005624E3" w:rsidRPr="00D50F76" w:rsidRDefault="005624E3" w:rsidP="005624E3">
      <w:pPr>
        <w:pStyle w:val="Esann8ch"/>
      </w:pPr>
      <w:r w:rsidRPr="00D50F76">
        <w:t xml:space="preserve">2.7.2. </w:t>
      </w:r>
      <w:r w:rsidRPr="00D50F76">
        <w:tab/>
        <w:t>Az elektromotorral üzemeltetett ventilátoroknak meg kell felelniük a telepítési területen előírt robbanásvédelmi követelményeknek.</w:t>
      </w:r>
    </w:p>
    <w:p w:rsidR="005624E3" w:rsidRPr="00D50F76" w:rsidRDefault="005624E3" w:rsidP="005624E3">
      <w:pPr>
        <w:pStyle w:val="Esann8ch"/>
      </w:pPr>
    </w:p>
    <w:p w:rsidR="005624E3" w:rsidRPr="00D50F76" w:rsidRDefault="005624E3" w:rsidP="005624E3">
      <w:pPr>
        <w:pStyle w:val="Esann8ch"/>
      </w:pPr>
      <w:r w:rsidRPr="00D50F76">
        <w:t>2.7.3.</w:t>
      </w:r>
      <w:r w:rsidRPr="00D50F76">
        <w:tab/>
        <w:t>Az előírt szellőzési kapacitás bármilyen csökkenése esetén akusztikai és optikai vészjelzést kell adni egy olyan helyen, ahol állandóan tartózkodik személyzet (pl. kormányállás).</w:t>
      </w:r>
    </w:p>
    <w:p w:rsidR="005624E3" w:rsidRPr="00D50F76" w:rsidRDefault="005624E3" w:rsidP="005624E3">
      <w:pPr>
        <w:pStyle w:val="Esann8ch"/>
      </w:pPr>
    </w:p>
    <w:p w:rsidR="005624E3" w:rsidRPr="00D50F76" w:rsidRDefault="005624E3" w:rsidP="005624E3">
      <w:pPr>
        <w:pStyle w:val="Esann8ch"/>
      </w:pPr>
      <w:r w:rsidRPr="00D50F76">
        <w:t>2.7.4.</w:t>
      </w:r>
      <w:r w:rsidRPr="00D50F76">
        <w:tab/>
        <w:t xml:space="preserve">A veszélyes területek szellőztetésére használt csatornákat el kell különíteni a nem veszélyes területek szellőztetéséhez használt csatornáktól. </w:t>
      </w:r>
    </w:p>
    <w:p w:rsidR="005624E3" w:rsidRPr="00D50F76" w:rsidRDefault="005624E3" w:rsidP="005624E3">
      <w:pPr>
        <w:pStyle w:val="Esann8ch"/>
      </w:pPr>
    </w:p>
    <w:p w:rsidR="005624E3" w:rsidRPr="00D50F76" w:rsidRDefault="005624E3" w:rsidP="005624E3">
      <w:pPr>
        <w:pStyle w:val="Esann8ch"/>
      </w:pPr>
      <w:r w:rsidRPr="00D50F76">
        <w:t>2.7.5.</w:t>
      </w:r>
      <w:r w:rsidRPr="00D50F76">
        <w:tab/>
        <w:t>Az előírt szellőzőrendszereknek a gázfelhalmozódás elkerülése érdekében legalább két, egymástól független áramforrással rendelkező ventilátorral kell rendelkezniük.</w:t>
      </w:r>
    </w:p>
    <w:p w:rsidR="005624E3" w:rsidRPr="00D50F76" w:rsidRDefault="005624E3" w:rsidP="005624E3">
      <w:pPr>
        <w:pStyle w:val="Esann8ch"/>
      </w:pPr>
    </w:p>
    <w:p w:rsidR="005624E3" w:rsidRPr="00D50F76" w:rsidRDefault="005624E3" w:rsidP="005624E3">
      <w:pPr>
        <w:pStyle w:val="Esann8ch"/>
      </w:pPr>
      <w:r w:rsidRPr="00D50F76">
        <w:t>2.7.6.</w:t>
      </w:r>
      <w:r w:rsidRPr="00D50F76">
        <w:tab/>
        <w:t xml:space="preserve">A veszélyes helyiségek levegőellátását nem veszélyes területekről kell biztosítani. </w:t>
      </w:r>
    </w:p>
    <w:p w:rsidR="005624E3" w:rsidRPr="00D50F76" w:rsidRDefault="005624E3" w:rsidP="005624E3">
      <w:pPr>
        <w:pStyle w:val="Esann8ch"/>
      </w:pPr>
    </w:p>
    <w:p w:rsidR="005624E3" w:rsidRPr="00D50F76" w:rsidRDefault="005624E3" w:rsidP="005624E3">
      <w:pPr>
        <w:pStyle w:val="Esann8ch"/>
      </w:pPr>
      <w:r w:rsidRPr="00D50F76">
        <w:t xml:space="preserve">2.7.7. </w:t>
      </w:r>
      <w:r w:rsidRPr="00D50F76">
        <w:tab/>
        <w:t xml:space="preserve">A nem veszélyes helyiségek levegőellátását olyan nem veszélyes területekről kell biztosítani, amelyek a veszélyes terület határától legalább 1,50 m távolságra helyezkednek el. </w:t>
      </w:r>
    </w:p>
    <w:p w:rsidR="005624E3" w:rsidRPr="00D50F76" w:rsidRDefault="005624E3" w:rsidP="005624E3">
      <w:pPr>
        <w:pStyle w:val="Esann8ch"/>
      </w:pPr>
    </w:p>
    <w:p w:rsidR="005624E3" w:rsidRPr="00D50F76" w:rsidRDefault="005624E3" w:rsidP="005624E3">
      <w:pPr>
        <w:pStyle w:val="Esann8ch"/>
      </w:pPr>
      <w:r w:rsidRPr="00D50F76">
        <w:t>2.7.8.</w:t>
      </w:r>
      <w:r w:rsidRPr="00D50F76">
        <w:tab/>
        <w:t xml:space="preserve">Amennyiben a bemeneti csatorna veszélyes helyiségen halad át, a csatornának magasabb nyomással kell rendelkeznie a szóban forgó helyiségben uralkodó nyomáshoz képest. Nem szükséges magasabb nyomás abban az esetben, ha a csatornára vonatkozó szerkezeti intézkedések biztosítják, hogy ne szivároghassanak gázok a csatornába. </w:t>
      </w:r>
    </w:p>
    <w:p w:rsidR="005624E3" w:rsidRPr="00D50F76" w:rsidRDefault="005624E3" w:rsidP="005624E3">
      <w:pPr>
        <w:pStyle w:val="Esann8ch"/>
      </w:pPr>
    </w:p>
    <w:p w:rsidR="005624E3" w:rsidRPr="00D50F76" w:rsidRDefault="005624E3" w:rsidP="005624E3">
      <w:pPr>
        <w:pStyle w:val="Esann8ch"/>
      </w:pPr>
      <w:r w:rsidRPr="00D50F76">
        <w:t xml:space="preserve">2.7.9. </w:t>
      </w:r>
      <w:r w:rsidRPr="00D50F76">
        <w:tab/>
        <w:t>A veszélyes helyiségekből kivezető szellőzőnyílásokat olyan nyílt területen kell elhelyezni, amelynek veszélyességi besorolása a szellőztetett helyiségével azonos vagy annál alacsonyabb.</w:t>
      </w:r>
    </w:p>
    <w:p w:rsidR="005624E3" w:rsidRPr="00D50F76" w:rsidRDefault="005624E3" w:rsidP="005624E3">
      <w:pPr>
        <w:pStyle w:val="Esann8ch"/>
      </w:pPr>
    </w:p>
    <w:p w:rsidR="005624E3" w:rsidRPr="00D50F76" w:rsidRDefault="005624E3" w:rsidP="005624E3">
      <w:pPr>
        <w:pStyle w:val="Esann8ch"/>
      </w:pPr>
      <w:r w:rsidRPr="00D50F76">
        <w:t>2.7.10.</w:t>
      </w:r>
      <w:r w:rsidRPr="00D50F76">
        <w:tab/>
        <w:t>A nem veszélyes helyiségekből kivezető szellőzőnyílásokat a veszélyes területeken kívül kell elhelyezni.</w:t>
      </w:r>
    </w:p>
    <w:p w:rsidR="005624E3" w:rsidRPr="00D50F76" w:rsidRDefault="005624E3" w:rsidP="005624E3">
      <w:pPr>
        <w:pStyle w:val="Esann8ch"/>
      </w:pPr>
    </w:p>
    <w:p w:rsidR="005624E3" w:rsidRPr="00D50F76" w:rsidRDefault="005624E3" w:rsidP="005624E3">
      <w:pPr>
        <w:pStyle w:val="Esann8ch"/>
      </w:pPr>
      <w:r w:rsidRPr="00D50F76">
        <w:t>2.7.11.</w:t>
      </w:r>
      <w:r w:rsidRPr="00D50F76">
        <w:tab/>
        <w:t>Zárt helyiségek szellőzőcsatornáit e helyiségek tetején kell elhelyezni. A levegőt bevezető nyílásoknak alul kell elhelyezkedniük.</w:t>
      </w:r>
    </w:p>
    <w:p w:rsidR="005624E3" w:rsidRPr="00D50F76" w:rsidRDefault="005624E3" w:rsidP="005624E3">
      <w:pPr>
        <w:pStyle w:val="Esann8ch"/>
        <w:rPr>
          <w:bCs/>
        </w:rPr>
      </w:pPr>
    </w:p>
    <w:p w:rsidR="005624E3" w:rsidRPr="00D50F76" w:rsidRDefault="005624E3" w:rsidP="005624E3">
      <w:pPr>
        <w:pStyle w:val="Esann8chgras"/>
      </w:pPr>
      <w:r w:rsidRPr="00D50F76">
        <w:t>2.8.</w:t>
      </w:r>
      <w:r w:rsidRPr="00D50F76">
        <w:tab/>
        <w:t>LNG-feltöltő rendszer</w:t>
      </w:r>
    </w:p>
    <w:p w:rsidR="005624E3" w:rsidRPr="00D50F76" w:rsidRDefault="005624E3" w:rsidP="005624E3">
      <w:pPr>
        <w:pStyle w:val="Esann8ch"/>
      </w:pPr>
    </w:p>
    <w:p w:rsidR="005624E3" w:rsidRPr="00D50F76" w:rsidRDefault="005624E3" w:rsidP="005624E3">
      <w:pPr>
        <w:pStyle w:val="Esann8ch"/>
      </w:pPr>
      <w:r w:rsidRPr="00D50F76">
        <w:t>2.8.1</w:t>
      </w:r>
      <w:r w:rsidRPr="00D50F76">
        <w:tab/>
        <w:t>LNG-feltöltő rendszert úgy kell kialakítani, hogy az LNG-tartályok feltöltése során ne kerülhessen gáz a légkörbe.</w:t>
      </w:r>
    </w:p>
    <w:p w:rsidR="005624E3" w:rsidRPr="00D50F76" w:rsidRDefault="005624E3" w:rsidP="005624E3">
      <w:pPr>
        <w:pStyle w:val="Esann8ch"/>
      </w:pPr>
    </w:p>
    <w:p w:rsidR="005624E3" w:rsidRPr="00D50F76" w:rsidRDefault="005624E3" w:rsidP="005624E3">
      <w:pPr>
        <w:pStyle w:val="Esann8ch"/>
      </w:pPr>
      <w:r w:rsidRPr="00D50F76">
        <w:t>2.8.2</w:t>
      </w:r>
      <w:r w:rsidRPr="00D50F76">
        <w:tab/>
        <w:t>A feltöltőállomást és a feltöltéshez használt minden szelepet a nyitott fedélzeten kell elhelyezni annak érdekében, hogy megfelelő természetes szellőzés álljon rendelkezésre.</w:t>
      </w:r>
    </w:p>
    <w:p w:rsidR="005624E3" w:rsidRPr="00D50F76" w:rsidRDefault="005624E3" w:rsidP="005624E3">
      <w:pPr>
        <w:pStyle w:val="Esann8ch"/>
      </w:pPr>
    </w:p>
    <w:p w:rsidR="005624E3" w:rsidRPr="00D50F76" w:rsidRDefault="005624E3" w:rsidP="005624E3">
      <w:pPr>
        <w:pStyle w:val="Esann8ch"/>
      </w:pPr>
      <w:r w:rsidRPr="00D50F76">
        <w:t>2.8.3.</w:t>
      </w:r>
      <w:r w:rsidRPr="00D50F76">
        <w:tab/>
        <w:t>A feltöltőállomást úgy kell elhelyezni és kialakítani, hogy a gázvezetékek semmilyen károsodása ne okozhassa a vízi jármű LNG-tároló rendszerének károsodását.</w:t>
      </w:r>
    </w:p>
    <w:p w:rsidR="005624E3" w:rsidRPr="00D50F76" w:rsidRDefault="005624E3" w:rsidP="005624E3">
      <w:pPr>
        <w:pStyle w:val="Esann8ch"/>
      </w:pPr>
    </w:p>
    <w:p w:rsidR="005624E3" w:rsidRPr="00D50F76" w:rsidRDefault="005624E3" w:rsidP="005624E3">
      <w:pPr>
        <w:pStyle w:val="Esann8ch"/>
      </w:pPr>
      <w:r w:rsidRPr="00D50F76">
        <w:t>2.8.4.</w:t>
      </w:r>
      <w:r w:rsidRPr="00D50F76">
        <w:tab/>
        <w:t>Megfelelő eszközöket kell biztosítani a nyomáscsökkentésre és a folyadéktartalomnak a szivattyú szívócsöveiből és a tartálycsövekből való eltávolítására.</w:t>
      </w:r>
    </w:p>
    <w:p w:rsidR="005624E3" w:rsidRPr="00D50F76" w:rsidRDefault="005624E3" w:rsidP="005624E3">
      <w:pPr>
        <w:pStyle w:val="Esann8ch"/>
      </w:pPr>
    </w:p>
    <w:p w:rsidR="005624E3" w:rsidRPr="00D50F76" w:rsidRDefault="005624E3" w:rsidP="005624E3">
      <w:pPr>
        <w:pStyle w:val="Esann8ch"/>
      </w:pPr>
      <w:r w:rsidRPr="00D50F76">
        <w:t>2.8.5.</w:t>
      </w:r>
      <w:r w:rsidRPr="00D50F76">
        <w:tab/>
        <w:t>A cseppfolyósított földgázzal (LNG) való feltöltéséhez használt tömlőknek:</w:t>
      </w:r>
    </w:p>
    <w:p w:rsidR="005624E3" w:rsidRPr="00D50F76" w:rsidRDefault="005624E3" w:rsidP="005624E3">
      <w:pPr>
        <w:pStyle w:val="Esann8let"/>
      </w:pPr>
      <w:r w:rsidRPr="00D50F76">
        <w:t>a)</w:t>
      </w:r>
      <w:r w:rsidRPr="00D50F76">
        <w:tab/>
        <w:t>kompatibiliseknek kell lenniük a cseppfolyósított földgázzal (LNG), különösen annak hőmérséklete szempontjából,</w:t>
      </w:r>
    </w:p>
    <w:p w:rsidR="005624E3" w:rsidRPr="00D50F76" w:rsidRDefault="005624E3" w:rsidP="005624E3">
      <w:pPr>
        <w:pStyle w:val="Esann8let"/>
      </w:pPr>
      <w:r w:rsidRPr="00D50F76">
        <w:t>b)</w:t>
      </w:r>
      <w:r w:rsidRPr="00D50F76">
        <w:tab/>
        <w:t>olyan felszakítási nyomásra tervezetteknek kell lenniük, amely legalább ötször akkora, mint az a legnagyobb nyomás, amelynek a tömlők a feltöltés során ki lehetnek téve.</w:t>
      </w:r>
    </w:p>
    <w:p w:rsidR="005624E3" w:rsidRPr="00D50F76" w:rsidRDefault="005624E3" w:rsidP="005624E3">
      <w:pPr>
        <w:rPr>
          <w:rFonts w:eastAsia="Calibri" w:cs="Arial"/>
          <w:color w:val="000000"/>
          <w:szCs w:val="20"/>
        </w:rPr>
      </w:pPr>
      <w:r w:rsidRPr="00D50F76">
        <w:br w:type="page"/>
      </w:r>
    </w:p>
    <w:p w:rsidR="005624E3" w:rsidRPr="00D50F76" w:rsidRDefault="005624E3" w:rsidP="005624E3">
      <w:pPr>
        <w:pStyle w:val="Esann8ch"/>
      </w:pPr>
    </w:p>
    <w:p w:rsidR="005624E3" w:rsidRPr="00D50F76" w:rsidRDefault="005624E3" w:rsidP="005624E3">
      <w:pPr>
        <w:pStyle w:val="Esann8ch"/>
      </w:pPr>
      <w:r w:rsidRPr="00D50F76">
        <w:t>2.8.6.</w:t>
      </w:r>
      <w:r w:rsidRPr="00D50F76">
        <w:tab/>
        <w:t xml:space="preserve">A feltöltő-elosztóvezetéket úgy kell megtervezni, hogy az a feltöltés során ellenálljon a szokásos mechanikai terheléseknek. A csatlakozásoknak az EN 1474 európai szabványnak megfelelően szárazon elzáró típusúaknak kell lenniük, ellátva megfelelő kiegészítő biztonsági szárazon kioldó kapcsolódásokkal. </w:t>
      </w:r>
    </w:p>
    <w:p w:rsidR="005624E3" w:rsidRPr="00D50F76" w:rsidRDefault="005624E3" w:rsidP="005624E3">
      <w:pPr>
        <w:pStyle w:val="Esann8ch"/>
      </w:pPr>
    </w:p>
    <w:p w:rsidR="005624E3" w:rsidRPr="00D50F76" w:rsidRDefault="005624E3" w:rsidP="005624E3">
      <w:pPr>
        <w:pStyle w:val="Esann8ch"/>
      </w:pPr>
      <w:r w:rsidRPr="00D50F76">
        <w:t>2.8.7.</w:t>
      </w:r>
      <w:r w:rsidRPr="00D50F76">
        <w:tab/>
        <w:t xml:space="preserve">Biztosítani kell, hogy a feltöltési művelet során biztonságos fedélzeti vezérlőállásból lehessen működtetni a fő LNG-feltöltő szelepet. </w:t>
      </w:r>
    </w:p>
    <w:p w:rsidR="005624E3" w:rsidRPr="00D50F76" w:rsidRDefault="005624E3" w:rsidP="005624E3">
      <w:pPr>
        <w:pStyle w:val="Esann8ch"/>
      </w:pPr>
    </w:p>
    <w:p w:rsidR="005624E3" w:rsidRPr="00D50F76" w:rsidRDefault="005624E3" w:rsidP="005624E3">
      <w:pPr>
        <w:pStyle w:val="Esann8ch"/>
      </w:pPr>
      <w:r w:rsidRPr="00D50F76">
        <w:t xml:space="preserve">2.8.8. </w:t>
      </w:r>
      <w:r w:rsidRPr="00D50F76">
        <w:tab/>
        <w:t>A feltöltővezetékeket alkalmassá kell tenni közömbösítésre és gázmentesítésre.</w:t>
      </w:r>
    </w:p>
    <w:p w:rsidR="005624E3" w:rsidRPr="00D50F76" w:rsidRDefault="005624E3" w:rsidP="005624E3">
      <w:pPr>
        <w:pStyle w:val="Esann8ch"/>
        <w:rPr>
          <w:b/>
          <w:bCs/>
        </w:rPr>
      </w:pPr>
    </w:p>
    <w:p w:rsidR="005624E3" w:rsidRPr="00D50F76" w:rsidRDefault="005624E3" w:rsidP="005624E3">
      <w:pPr>
        <w:pStyle w:val="Esann8chgras"/>
      </w:pPr>
      <w:r w:rsidRPr="00D50F76">
        <w:t>2.9.</w:t>
      </w:r>
      <w:r w:rsidRPr="00D50F76">
        <w:tab/>
        <w:t>Az LNG-tartályok töltési határértékei</w:t>
      </w:r>
    </w:p>
    <w:p w:rsidR="005624E3" w:rsidRPr="00D50F76" w:rsidRDefault="005624E3" w:rsidP="005624E3">
      <w:pPr>
        <w:pStyle w:val="Esann8ch"/>
      </w:pPr>
    </w:p>
    <w:p w:rsidR="005624E3" w:rsidRPr="00D50F76" w:rsidRDefault="005624E3" w:rsidP="005624E3">
      <w:pPr>
        <w:pStyle w:val="Esann8ch"/>
      </w:pPr>
      <w:r w:rsidRPr="00D50F76">
        <w:t>2.9.1.</w:t>
      </w:r>
      <w:r w:rsidRPr="00D50F76">
        <w:tab/>
        <w:t xml:space="preserve">Az LNG-tartályban lévő cseppfolyósított földgáz (LNG) szintje referencia-hőmérsékleten nem haladhatja meg 95 %-os töltési határértéket. A referencia-hőmérséklet a tüzelőanyag gőznyomásának megfelelő hőmérsékletet jelenti a nyomáscsökkentő szelepek nyitási nyomása mellett. </w:t>
      </w:r>
    </w:p>
    <w:p w:rsidR="005624E3" w:rsidRPr="00D50F76" w:rsidRDefault="005624E3" w:rsidP="005624E3">
      <w:pPr>
        <w:pStyle w:val="Esann8ch"/>
      </w:pPr>
    </w:p>
    <w:p w:rsidR="005624E3" w:rsidRPr="00D50F76" w:rsidRDefault="005624E3" w:rsidP="005624E3">
      <w:pPr>
        <w:pStyle w:val="Esann8ch"/>
      </w:pPr>
      <w:r w:rsidRPr="00D50F76">
        <w:t>2.9.2.</w:t>
      </w:r>
      <w:r w:rsidRPr="00D50F76">
        <w:tab/>
        <w:t>A cseppfolyósított földgáz (LNG) töltési hőmérsékleteihez tartozó töltési határértékek görbéje a következő képletből alkotható meg:</w:t>
      </w:r>
    </w:p>
    <w:p w:rsidR="005624E3" w:rsidRPr="00C903F8" w:rsidRDefault="005624E3" w:rsidP="005624E3">
      <w:pPr>
        <w:spacing w:line="240" w:lineRule="atLeast"/>
        <w:ind w:left="851" w:hanging="851"/>
        <w:jc w:val="center"/>
        <w:rPr>
          <w:rFonts w:eastAsia="Calibri" w:cs="Arial"/>
          <w:color w:val="000000"/>
          <w:szCs w:val="20"/>
        </w:rPr>
      </w:pPr>
      <m:oMathPara>
        <m:oMath>
          <m:r>
            <w:rPr>
              <w:rFonts w:ascii="Cambria Math" w:eastAsia="Calibri" w:hAnsi="Cambria Math" w:cs="Arial"/>
              <w:color w:val="000000"/>
              <w:szCs w:val="20"/>
            </w:rPr>
            <m:t xml:space="preserve">LL=FL ∙ </m:t>
          </m:r>
          <m:sSub>
            <m:sSubPr>
              <m:ctrlPr>
                <w:rPr>
                  <w:rFonts w:ascii="Cambria Math" w:eastAsia="Calibri" w:hAnsi="Cambria Math" w:cs="Arial"/>
                  <w:i/>
                  <w:color w:val="000000"/>
                  <w:szCs w:val="20"/>
                </w:rPr>
              </m:ctrlPr>
            </m:sSubPr>
            <m:e>
              <m:r>
                <w:rPr>
                  <w:rFonts w:ascii="Cambria Math" w:eastAsia="Calibri" w:hAnsi="Cambria Math" w:cs="Arial"/>
                  <w:color w:val="000000"/>
                  <w:szCs w:val="20"/>
                </w:rPr>
                <m:t>ρ</m:t>
              </m:r>
            </m:e>
            <m:sub>
              <m:r>
                <w:rPr>
                  <w:rFonts w:ascii="Cambria Math" w:eastAsia="Calibri" w:hAnsi="Cambria Math" w:cs="Arial"/>
                  <w:color w:val="000000"/>
                  <w:szCs w:val="20"/>
                </w:rPr>
                <m:t>R</m:t>
              </m:r>
            </m:sub>
          </m:sSub>
          <m:r>
            <w:rPr>
              <w:rFonts w:ascii="Cambria Math" w:eastAsia="Calibri" w:hAnsi="Cambria Math" w:cs="Arial"/>
              <w:color w:val="000000"/>
              <w:szCs w:val="20"/>
            </w:rPr>
            <m:t>/</m:t>
          </m:r>
          <m:sSub>
            <m:sSubPr>
              <m:ctrlPr>
                <w:rPr>
                  <w:rFonts w:ascii="Cambria Math" w:eastAsia="Calibri" w:hAnsi="Cambria Math" w:cs="Arial"/>
                  <w:i/>
                  <w:color w:val="000000"/>
                  <w:szCs w:val="20"/>
                </w:rPr>
              </m:ctrlPr>
            </m:sSubPr>
            <m:e>
              <m:r>
                <w:rPr>
                  <w:rFonts w:ascii="Cambria Math" w:eastAsia="Calibri" w:hAnsi="Cambria Math" w:cs="Arial"/>
                  <w:color w:val="000000"/>
                  <w:szCs w:val="20"/>
                </w:rPr>
                <m:t>ρ</m:t>
              </m:r>
            </m:e>
            <m:sub>
              <m:r>
                <w:rPr>
                  <w:rFonts w:ascii="Cambria Math" w:eastAsia="Calibri" w:hAnsi="Cambria Math" w:cs="Arial"/>
                  <w:color w:val="000000"/>
                  <w:szCs w:val="20"/>
                </w:rPr>
                <m:t>L</m:t>
              </m:r>
            </m:sub>
          </m:sSub>
        </m:oMath>
      </m:oMathPara>
    </w:p>
    <w:p w:rsidR="005624E3" w:rsidRPr="00C903F8" w:rsidRDefault="005624E3" w:rsidP="005624E3">
      <w:pPr>
        <w:pStyle w:val="Esann8chpar"/>
      </w:pPr>
      <w:r>
        <w:t>ahol:</w:t>
      </w:r>
    </w:p>
    <w:p w:rsidR="005624E3" w:rsidRPr="00C903F8" w:rsidRDefault="005624E3" w:rsidP="005624E3">
      <w:pPr>
        <w:pStyle w:val="Esann8chpar"/>
        <w:tabs>
          <w:tab w:val="left" w:pos="1418"/>
        </w:tabs>
        <w:spacing w:before="60"/>
        <w:ind w:left="1843" w:hanging="992"/>
      </w:pPr>
      <m:oMath>
        <m:r>
          <w:rPr>
            <w:rFonts w:ascii="Cambria Math" w:hAnsi="Cambria Math"/>
          </w:rPr>
          <m:t>LL</m:t>
        </m:r>
      </m:oMath>
      <w:r>
        <w:tab/>
        <w:t>=</w:t>
      </w:r>
      <w:r>
        <w:tab/>
        <w:t>terhelési határérték, az LNG-tartály térfogatához viszonyított azon megengedett legnagyobb folyadéktérfogat, ameddig a tartály feltölthető, százalékban kifejezve,</w:t>
      </w:r>
    </w:p>
    <w:p w:rsidR="005624E3" w:rsidRPr="00C903F8" w:rsidRDefault="005624E3" w:rsidP="005624E3">
      <w:pPr>
        <w:pStyle w:val="Esann8chpar"/>
        <w:tabs>
          <w:tab w:val="left" w:pos="1418"/>
        </w:tabs>
        <w:spacing w:before="60"/>
        <w:ind w:left="1843" w:hanging="992"/>
      </w:pPr>
      <m:oMath>
        <m:r>
          <w:rPr>
            <w:rFonts w:ascii="Cambria Math" w:hAnsi="Cambria Math"/>
          </w:rPr>
          <m:t>FL</m:t>
        </m:r>
      </m:oMath>
      <w:r>
        <w:tab/>
        <w:t>=</w:t>
      </w:r>
      <w:r>
        <w:tab/>
        <w:t>= töltési határérték százalékban kifejezve, itt 95 %,</w:t>
      </w:r>
    </w:p>
    <w:p w:rsidR="005624E3" w:rsidRPr="00C903F8" w:rsidRDefault="003142CA" w:rsidP="005624E3">
      <w:pPr>
        <w:pStyle w:val="Esann8chpar"/>
        <w:tabs>
          <w:tab w:val="left" w:pos="1418"/>
        </w:tabs>
        <w:spacing w:before="60"/>
        <w:ind w:left="1843" w:hanging="992"/>
      </w:pPr>
      <m:oMath>
        <m:sSub>
          <m:sSubPr>
            <m:ctrlPr>
              <w:rPr>
                <w:rFonts w:ascii="Cambria Math" w:hAnsi="Cambria Math"/>
                <w:i/>
              </w:rPr>
            </m:ctrlPr>
          </m:sSubPr>
          <m:e>
            <m:r>
              <w:rPr>
                <w:rFonts w:ascii="Cambria Math" w:hAnsi="Cambria Math"/>
              </w:rPr>
              <m:t>ρ</m:t>
            </m:r>
          </m:e>
          <m:sub>
            <m:r>
              <w:rPr>
                <w:rFonts w:ascii="Cambria Math" w:hAnsi="Cambria Math"/>
              </w:rPr>
              <m:t>R</m:t>
            </m:r>
          </m:sub>
        </m:sSub>
      </m:oMath>
      <w:r w:rsidR="005624E3">
        <w:tab/>
        <w:t>=</w:t>
      </w:r>
      <w:r w:rsidR="005624E3">
        <w:tab/>
        <w:t xml:space="preserve">= a tüzelőanyag relatív sűrűsége a referencia-hőmérsékleten, </w:t>
      </w:r>
    </w:p>
    <w:p w:rsidR="005624E3" w:rsidRPr="00C903F8" w:rsidRDefault="003142CA" w:rsidP="005624E3">
      <w:pPr>
        <w:pStyle w:val="Esann8chpar"/>
        <w:tabs>
          <w:tab w:val="left" w:pos="1418"/>
        </w:tabs>
        <w:spacing w:before="60"/>
        <w:ind w:left="1843" w:hanging="992"/>
      </w:pPr>
      <m:oMath>
        <m:sSub>
          <m:sSubPr>
            <m:ctrlPr>
              <w:rPr>
                <w:rFonts w:ascii="Cambria Math" w:hAnsi="Cambria Math"/>
                <w:i/>
              </w:rPr>
            </m:ctrlPr>
          </m:sSubPr>
          <m:e>
            <m:r>
              <w:rPr>
                <w:rFonts w:ascii="Cambria Math" w:hAnsi="Cambria Math"/>
              </w:rPr>
              <m:t>ρ</m:t>
            </m:r>
          </m:e>
          <m:sub>
            <m:r>
              <w:rPr>
                <w:rFonts w:ascii="Cambria Math" w:hAnsi="Cambria Math"/>
              </w:rPr>
              <m:t>L</m:t>
            </m:r>
          </m:sub>
        </m:sSub>
      </m:oMath>
      <w:r w:rsidR="005624E3">
        <w:tab/>
        <w:t>=</w:t>
      </w:r>
      <w:r w:rsidR="005624E3">
        <w:tab/>
        <w:t>= a tüzelőanyag relatív sűrűsége a töltési hőmérsékleten.</w:t>
      </w:r>
    </w:p>
    <w:p w:rsidR="005624E3" w:rsidRPr="00C903F8" w:rsidRDefault="005624E3" w:rsidP="005624E3">
      <w:pPr>
        <w:pStyle w:val="Esann8ch"/>
      </w:pPr>
    </w:p>
    <w:p w:rsidR="005624E3" w:rsidRPr="00C903F8" w:rsidRDefault="005624E3" w:rsidP="005624E3">
      <w:pPr>
        <w:pStyle w:val="Esann8ch"/>
      </w:pPr>
      <w:r>
        <w:t>2.9.3.</w:t>
      </w:r>
      <w:r>
        <w:tab/>
        <w:t>A jelentős hullámmagasságoknak vagy a műveletek következtében jelentős mozgásnak kitett vízi járművek esetében a töltési határérték görbéjét ennek megfelelően kell kiigazítani a 1.3. pont szerinti kockázatértékelés alapján.</w:t>
      </w:r>
    </w:p>
    <w:p w:rsidR="005624E3" w:rsidRPr="00C903F8" w:rsidRDefault="005624E3" w:rsidP="005624E3">
      <w:pPr>
        <w:pStyle w:val="Esann8ch"/>
      </w:pPr>
    </w:p>
    <w:p w:rsidR="005624E3" w:rsidRPr="00C903F8" w:rsidRDefault="005624E3" w:rsidP="005624E3">
      <w:pPr>
        <w:pStyle w:val="Esann8chgras"/>
      </w:pPr>
      <w:r>
        <w:t>2.10.</w:t>
      </w:r>
      <w:r>
        <w:tab/>
        <w:t>Gázellátó rendszer</w:t>
      </w:r>
    </w:p>
    <w:p w:rsidR="005624E3" w:rsidRPr="00C903F8" w:rsidRDefault="005624E3" w:rsidP="005624E3">
      <w:pPr>
        <w:pStyle w:val="Esann8ch"/>
      </w:pPr>
    </w:p>
    <w:p w:rsidR="005624E3" w:rsidRPr="00C903F8" w:rsidRDefault="005624E3" w:rsidP="005624E3">
      <w:pPr>
        <w:pStyle w:val="Esann8ch"/>
      </w:pPr>
      <w:r>
        <w:t>2.10.1.</w:t>
      </w:r>
      <w:r>
        <w:tab/>
        <w:t>A gázellátó rendszert úgy kell kialakítani, hogy az esetleges gázkibocsátás következményeit minimálisra csökkentse, miközben biztonságos hozzáférést biztosítson üzemi és vizsgálati célokból.</w:t>
      </w:r>
    </w:p>
    <w:p w:rsidR="005624E3" w:rsidRPr="00C903F8" w:rsidRDefault="005624E3" w:rsidP="005624E3">
      <w:pPr>
        <w:pStyle w:val="Esann8ch"/>
      </w:pPr>
    </w:p>
    <w:p w:rsidR="005624E3" w:rsidRPr="00C903F8" w:rsidRDefault="005624E3" w:rsidP="005624E3">
      <w:pPr>
        <w:pStyle w:val="Esann8ch"/>
      </w:pPr>
      <w:r>
        <w:t>2.10.2.</w:t>
      </w:r>
      <w:r>
        <w:tab/>
        <w:t>A gázellátó rendszer géptéren kívül található részeit úgy kell megtervezni, hogy az egyik védőréteg meghibásodása ne okozhasson olyan szivárgást a rendszerből a környező területre, amely közvetlen veszélyt jelent a fedélzeten tartózkodó személyekre, a környezetre vagy a vízi járműre.</w:t>
      </w:r>
    </w:p>
    <w:p w:rsidR="005624E3" w:rsidRPr="00C903F8" w:rsidRDefault="005624E3" w:rsidP="005624E3">
      <w:pPr>
        <w:pStyle w:val="Esann8ch"/>
      </w:pPr>
    </w:p>
    <w:p w:rsidR="005624E3" w:rsidRPr="00C903F8" w:rsidRDefault="005624E3" w:rsidP="005624E3">
      <w:pPr>
        <w:pStyle w:val="Esann8ch"/>
      </w:pPr>
      <w:r>
        <w:t>2.10.3.</w:t>
      </w:r>
      <w:r>
        <w:tab/>
        <w:t xml:space="preserve">Az LNG-tartály bemeneteit és kimeneteit olyan szelepekkel kell felszerelni, amelyek a tartályhoz a lehető legközelebb elhelyezkednek el. </w:t>
      </w:r>
    </w:p>
    <w:p w:rsidR="005624E3" w:rsidRPr="00C903F8" w:rsidRDefault="005624E3" w:rsidP="005624E3">
      <w:pPr>
        <w:pStyle w:val="Esann8ch"/>
      </w:pPr>
    </w:p>
    <w:p w:rsidR="005624E3" w:rsidRPr="00C903F8" w:rsidRDefault="005624E3" w:rsidP="005624E3">
      <w:pPr>
        <w:pStyle w:val="Esann8ch"/>
      </w:pPr>
      <w:r>
        <w:t>2.10.4.</w:t>
      </w:r>
      <w:r>
        <w:tab/>
        <w:t>A gázellátó rendszernek minden motor vagy motoregyüttes esetében rendelkeznie kell egy fő gázadagoló szeleppel. A szelepeket mindig a géptéren kívül, de a gázelőkészítő rendszerhez a lehető legközelebb kell elhelyezni.</w:t>
      </w:r>
    </w:p>
    <w:p w:rsidR="005624E3" w:rsidRPr="00C903F8" w:rsidRDefault="005624E3" w:rsidP="005624E3">
      <w:pPr>
        <w:pStyle w:val="Esann8ch"/>
      </w:pPr>
    </w:p>
    <w:p w:rsidR="005624E3" w:rsidRPr="00C903F8" w:rsidRDefault="005624E3" w:rsidP="005624E3">
      <w:pPr>
        <w:rPr>
          <w:rFonts w:eastAsia="Calibri" w:cs="Arial"/>
          <w:color w:val="000000"/>
          <w:szCs w:val="20"/>
        </w:rPr>
      </w:pPr>
      <w:r>
        <w:br w:type="page"/>
      </w:r>
    </w:p>
    <w:p w:rsidR="005624E3" w:rsidRPr="00C903F8" w:rsidRDefault="005624E3" w:rsidP="005624E3">
      <w:pPr>
        <w:pStyle w:val="Esann8ch"/>
      </w:pPr>
    </w:p>
    <w:p w:rsidR="005624E3" w:rsidRPr="00C903F8" w:rsidRDefault="005624E3" w:rsidP="005624E3">
      <w:pPr>
        <w:pStyle w:val="Esann8ch"/>
      </w:pPr>
      <w:r>
        <w:t>2.10.5.</w:t>
      </w:r>
      <w:r>
        <w:tab/>
        <w:t xml:space="preserve">A fő gázadagoló szelepnek működtethetőnek kell lennie: </w:t>
      </w:r>
    </w:p>
    <w:p w:rsidR="005624E3" w:rsidRPr="00D50F76" w:rsidRDefault="005624E3" w:rsidP="005624E3">
      <w:pPr>
        <w:pStyle w:val="Esann8let"/>
        <w:rPr>
          <w:lang w:val="fr-FR"/>
        </w:rPr>
      </w:pPr>
      <w:r w:rsidRPr="00D50F76">
        <w:rPr>
          <w:lang w:val="fr-FR"/>
        </w:rPr>
        <w:t>a)</w:t>
      </w:r>
      <w:r w:rsidRPr="00D50F76">
        <w:rPr>
          <w:lang w:val="fr-FR"/>
        </w:rPr>
        <w:tab/>
        <w:t xml:space="preserve">a géptéren belülről és kívülről, </w:t>
      </w:r>
    </w:p>
    <w:p w:rsidR="005624E3" w:rsidRPr="00D50F76" w:rsidRDefault="005624E3" w:rsidP="005624E3">
      <w:pPr>
        <w:pStyle w:val="Esann8let"/>
        <w:rPr>
          <w:lang w:val="fr-FR"/>
        </w:rPr>
      </w:pPr>
      <w:r w:rsidRPr="00D50F76">
        <w:rPr>
          <w:lang w:val="fr-FR"/>
        </w:rPr>
        <w:t>b)</w:t>
      </w:r>
      <w:r w:rsidRPr="00D50F76">
        <w:rPr>
          <w:lang w:val="fr-FR"/>
        </w:rPr>
        <w:tab/>
        <w:t>a kormányállásból.</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2.10.6.</w:t>
      </w:r>
      <w:r w:rsidRPr="00D50F76">
        <w:rPr>
          <w:lang w:val="fr-FR"/>
        </w:rPr>
        <w:tab/>
        <w:t>Minden gázfogyasztó berendezést kettős blokkszeleppel és csapolószeleppel kell felszerelni, amelyek biztosítják a tüzelőanyag-ellátó rendszer biztonságos leválasztását. A két blokkszelepnek „hiba esetén záró” típusúnak, míg a szellőzőszelepnek „hiba esetén nyitó” típusúnak kell lennie.</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2.10.7.</w:t>
      </w:r>
      <w:r w:rsidRPr="00D50F76">
        <w:rPr>
          <w:lang w:val="fr-FR"/>
        </w:rPr>
        <w:tab/>
        <w:t>Olyan többmotoros berendezések esetében, ahol az egyes motorok külön fő gázadagoló szeleppel rendelkeznek, valamint az egymotoros berendezések esetében a fő gázadagoló szelep, illetve a kettős blokkszelep és csapolószelep funkciói kombinálhatók. A kettős blokkszelep és csapolószelep egyik elzárószelepének manuálisan is működtethetőnek kell lennie.</w:t>
      </w:r>
    </w:p>
    <w:p w:rsidR="005624E3" w:rsidRPr="00D50F76" w:rsidRDefault="005624E3" w:rsidP="005624E3">
      <w:pPr>
        <w:pStyle w:val="Esann8ch"/>
        <w:rPr>
          <w:lang w:val="fr-FR"/>
        </w:rPr>
      </w:pPr>
    </w:p>
    <w:p w:rsidR="005624E3" w:rsidRPr="00D50F76" w:rsidRDefault="005624E3" w:rsidP="005624E3">
      <w:pPr>
        <w:pStyle w:val="Esann8chgras"/>
        <w:rPr>
          <w:lang w:val="fr-FR"/>
        </w:rPr>
      </w:pPr>
      <w:r w:rsidRPr="00D50F76">
        <w:rPr>
          <w:lang w:val="fr-FR"/>
        </w:rPr>
        <w:t>2.11.</w:t>
      </w:r>
      <w:r w:rsidRPr="00D50F76">
        <w:rPr>
          <w:lang w:val="fr-FR"/>
        </w:rPr>
        <w:tab/>
        <w:t>Kipufogórendszer és a gázellátás leállítása</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2.11.1.</w:t>
      </w:r>
      <w:r w:rsidRPr="00D50F76">
        <w:rPr>
          <w:lang w:val="fr-FR"/>
        </w:rPr>
        <w:tab/>
        <w:t>A kipufogórendszert úgy kell konfigurálni, hogy a lehető legalacsonyabb szinten tartsa az el nem égett gáz-halmazállapotú tüzelőanyag mennyiségét.</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2.11.2.</w:t>
      </w:r>
      <w:r w:rsidRPr="00D50F76">
        <w:rPr>
          <w:lang w:val="fr-FR"/>
        </w:rPr>
        <w:tab/>
        <w:t>A gyúlékony gázt és levegőkeveréket potenciálisan tartalmazó motoralkatrészeket vagy -rendszereket megfelelő nyomáscsökkentő berendezéssel kell felszerelni, kivéve, ha azokat olyan szilárdnak tervezték, hogy ellenállhassanak a gyúlékonygáz-szivárgás okozta elképzelhető legnagyobb túlnyomásnak.</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2.11.3.</w:t>
      </w:r>
      <w:r w:rsidRPr="00D50F76">
        <w:rPr>
          <w:lang w:val="fr-FR"/>
        </w:rPr>
        <w:tab/>
        <w:t>Ha a gázellátás nem váltott át gázolajra a leállás előtt, a gázellátó rendszernek a fő gázadagoló szeleptől a motorig tartó szakaszát, valamint a kipufogórendszert ki kell szellőztetni annak érdekében, hogy az esetleg visszamaradó gáz kiürüljön.</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2.11.4.</w:t>
      </w:r>
      <w:r w:rsidRPr="00D50F76">
        <w:rPr>
          <w:lang w:val="fr-FR"/>
        </w:rPr>
        <w:tab/>
        <w:t xml:space="preserve">Biztosítani kell olyan eszközt, amely ellenőrzi és észleli a gyújtásrendszer helytelen működését, a rossz hatásfokú égést vagy a hibás gyújtást, ami az üzem során elégetetlen gáz-halmazállapotú tüzelőanyag előfordulását eredményezheti a kipufogórendszerben. </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2.11.5.</w:t>
      </w:r>
      <w:r w:rsidRPr="00D50F76">
        <w:rPr>
          <w:lang w:val="fr-FR"/>
        </w:rPr>
        <w:tab/>
        <w:t>Ha a gyújtásrendszer helytelen működése, rossz hatásfokú égés vagy hibás gyújtás észlelhető, a gázellátó rendszernek automatikusan le kell állnia.</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2.11.6.</w:t>
      </w:r>
      <w:r w:rsidRPr="00D50F76">
        <w:rPr>
          <w:lang w:val="fr-FR"/>
        </w:rPr>
        <w:tab/>
        <w:t>A vegyes üzemű motorok kipufogócsöveit nem lehet más motorok vagy rendszerek kipufogócsöveihez csatlakoztatni.</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2.11.7.</w:t>
      </w:r>
      <w:r w:rsidRPr="00D50F76">
        <w:rPr>
          <w:lang w:val="fr-FR"/>
        </w:rPr>
        <w:tab/>
        <w:t>Szokásos megállás vagy ESD esetén a gázellátó rendszer nem állhat le később, mint a gyújtóforrás. Nem állhat le a gyújtóforrás anélkül, hogy előbb vagy egyidejűleg ne került volna leállításra az egyes hengerek vagy a teljes motor gázellátása is.</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2.11.8.</w:t>
      </w:r>
      <w:r w:rsidRPr="00D50F76">
        <w:rPr>
          <w:lang w:val="fr-FR"/>
        </w:rPr>
        <w:tab/>
        <w:t>A vegyes üzemű motor gázellátó rendszerének leállása esetén a motornak képesnek kell lennie a csak gázolajjal történő, megszakítás nélküli folyamatos működésre.</w:t>
      </w:r>
    </w:p>
    <w:p w:rsidR="005624E3" w:rsidRPr="00D50F76" w:rsidRDefault="005624E3" w:rsidP="005624E3">
      <w:pPr>
        <w:pStyle w:val="Esann8ch"/>
        <w:rPr>
          <w:lang w:val="fr-FR"/>
        </w:rPr>
      </w:pPr>
    </w:p>
    <w:p w:rsidR="005624E3" w:rsidRPr="00D50F76" w:rsidRDefault="005624E3" w:rsidP="005624E3">
      <w:pPr>
        <w:pStyle w:val="Esann8ch"/>
        <w:rPr>
          <w:lang w:val="fr-FR"/>
        </w:rPr>
      </w:pPr>
    </w:p>
    <w:p w:rsidR="005624E3" w:rsidRPr="00D50F76" w:rsidRDefault="005624E3" w:rsidP="005624E3">
      <w:pPr>
        <w:rPr>
          <w:rFonts w:eastAsia="Calibri" w:cs="Arial"/>
          <w:color w:val="000000"/>
          <w:szCs w:val="20"/>
          <w:lang w:val="fr-FR"/>
        </w:rPr>
      </w:pPr>
      <w:r w:rsidRPr="00D50F76">
        <w:rPr>
          <w:lang w:val="fr-FR"/>
        </w:rPr>
        <w:br w:type="page"/>
      </w:r>
    </w:p>
    <w:p w:rsidR="005624E3" w:rsidRPr="00D50F76" w:rsidRDefault="005624E3" w:rsidP="005624E3">
      <w:pPr>
        <w:pStyle w:val="Esann8ch"/>
        <w:rPr>
          <w:lang w:val="fr-FR"/>
        </w:rPr>
      </w:pPr>
    </w:p>
    <w:p w:rsidR="005624E3" w:rsidRPr="00D50F76" w:rsidRDefault="005624E3" w:rsidP="005624E3">
      <w:pPr>
        <w:pStyle w:val="Esann8titrechap"/>
        <w:rPr>
          <w:lang w:val="fr-FR"/>
        </w:rPr>
      </w:pPr>
      <w:r w:rsidRPr="00D50F76">
        <w:rPr>
          <w:lang w:val="fr-FR"/>
        </w:rPr>
        <w:t>3. fejezet</w:t>
      </w:r>
    </w:p>
    <w:p w:rsidR="005624E3" w:rsidRPr="00D50F76" w:rsidRDefault="005624E3" w:rsidP="005624E3">
      <w:pPr>
        <w:pStyle w:val="Esann8titrechap"/>
        <w:rPr>
          <w:lang w:val="fr-FR"/>
        </w:rPr>
      </w:pPr>
      <w:r w:rsidRPr="00D50F76">
        <w:rPr>
          <w:lang w:val="fr-FR"/>
        </w:rPr>
        <w:t>Tűzvédelem</w:t>
      </w:r>
    </w:p>
    <w:p w:rsidR="005624E3" w:rsidRPr="00166EA9" w:rsidRDefault="005624E3" w:rsidP="005624E3">
      <w:pPr>
        <w:pStyle w:val="Esannch"/>
        <w:rPr>
          <w:lang w:val="fr-FR"/>
        </w:rPr>
      </w:pPr>
    </w:p>
    <w:p w:rsidR="005624E3" w:rsidRPr="00D50F76" w:rsidRDefault="005624E3" w:rsidP="005624E3">
      <w:pPr>
        <w:pStyle w:val="Esann8chgras"/>
        <w:rPr>
          <w:rFonts w:eastAsia="Calibri"/>
          <w:lang w:val="fr-FR"/>
        </w:rPr>
      </w:pPr>
      <w:r w:rsidRPr="00D50F76">
        <w:rPr>
          <w:lang w:val="fr-FR"/>
        </w:rPr>
        <w:t>3.1.</w:t>
      </w:r>
      <w:r w:rsidRPr="00D50F76">
        <w:rPr>
          <w:lang w:val="fr-FR"/>
        </w:rPr>
        <w:tab/>
        <w:t>Általános rendelkezések</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3.1.1.</w:t>
      </w:r>
      <w:r w:rsidRPr="00D50F76">
        <w:rPr>
          <w:lang w:val="fr-FR"/>
        </w:rPr>
        <w:tab/>
        <w:t>Biztosítani kell az adott veszélynek megfelelő tűzérzékelési, tűzvédelmi és tűzoltási intézkedéseket.</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3.1.2.</w:t>
      </w:r>
      <w:r w:rsidRPr="00D50F76">
        <w:rPr>
          <w:lang w:val="fr-FR"/>
        </w:rPr>
        <w:tab/>
        <w:t>A gázelőkészítő rendszert tűzvédelmi célú géptérnek kell tekinteni.</w:t>
      </w:r>
    </w:p>
    <w:p w:rsidR="005624E3" w:rsidRPr="00D50F76" w:rsidRDefault="005624E3" w:rsidP="005624E3">
      <w:pPr>
        <w:pStyle w:val="Esann8ch"/>
        <w:rPr>
          <w:lang w:val="fr-FR"/>
        </w:rPr>
      </w:pPr>
    </w:p>
    <w:p w:rsidR="005624E3" w:rsidRPr="00D50F76" w:rsidRDefault="005624E3" w:rsidP="005624E3">
      <w:pPr>
        <w:pStyle w:val="Esann8chgras"/>
        <w:rPr>
          <w:lang w:val="fr-FR"/>
        </w:rPr>
      </w:pPr>
      <w:r w:rsidRPr="00D50F76">
        <w:rPr>
          <w:lang w:val="fr-FR"/>
        </w:rPr>
        <w:t>3.2.</w:t>
      </w:r>
      <w:r w:rsidRPr="00D50F76">
        <w:rPr>
          <w:lang w:val="fr-FR"/>
        </w:rPr>
        <w:tab/>
        <w:t>Tűzriasztó rendszer</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3.2.1.</w:t>
      </w:r>
      <w:r w:rsidRPr="00D50F76">
        <w:rPr>
          <w:lang w:val="fr-FR"/>
        </w:rPr>
        <w:tab/>
        <w:t xml:space="preserve">Megfelelő tűzriasztó rendszert kell felszerelni az LNG-rendszer minden olyan helyiségére, ahol nem zárható ki tűz keletkezése. </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3.2.2.</w:t>
      </w:r>
      <w:r w:rsidRPr="00D50F76">
        <w:rPr>
          <w:lang w:val="fr-FR"/>
        </w:rPr>
        <w:tab/>
        <w:t>A füstérzékelők önmagukban nem elegendőek a tűz gyors észleléséhez.</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3.2.3.</w:t>
      </w:r>
      <w:r w:rsidRPr="00D50F76">
        <w:rPr>
          <w:lang w:val="fr-FR"/>
        </w:rPr>
        <w:tab/>
        <w:t>A tűzérzékelő rendszernek rendelkeznie kell az érzékelők külön-külön történő azonosítására szolgáló eszközökkel.</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3.2.4.</w:t>
      </w:r>
      <w:r w:rsidRPr="00D50F76">
        <w:rPr>
          <w:lang w:val="fr-FR"/>
        </w:rPr>
        <w:tab/>
        <w:t>Tűz érzékelése esetén a gázbiztonsági rendszernek automatikusan le kell állítania a gázellátó rendszer megfelelő részeit a gázberendezéseknek helyet adó terekben.</w:t>
      </w:r>
    </w:p>
    <w:p w:rsidR="005624E3" w:rsidRPr="00D50F76" w:rsidRDefault="005624E3" w:rsidP="005624E3">
      <w:pPr>
        <w:pStyle w:val="Esann8ch"/>
        <w:rPr>
          <w:lang w:val="fr-FR"/>
        </w:rPr>
      </w:pPr>
    </w:p>
    <w:p w:rsidR="005624E3" w:rsidRPr="00D50F76" w:rsidRDefault="005624E3" w:rsidP="005624E3">
      <w:pPr>
        <w:pStyle w:val="Esann8chgras"/>
        <w:rPr>
          <w:lang w:val="fr-FR"/>
        </w:rPr>
      </w:pPr>
      <w:r w:rsidRPr="00D50F76">
        <w:rPr>
          <w:lang w:val="fr-FR"/>
        </w:rPr>
        <w:t>3.3.</w:t>
      </w:r>
      <w:r w:rsidRPr="00D50F76">
        <w:rPr>
          <w:lang w:val="fr-FR"/>
        </w:rPr>
        <w:tab/>
        <w:t xml:space="preserve">Tűzvédelmi intézkedések </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3.3.1.</w:t>
      </w:r>
      <w:r w:rsidRPr="00D50F76">
        <w:rPr>
          <w:lang w:val="fr-FR"/>
        </w:rPr>
        <w:tab/>
        <w:t>A lakóteret, az utastereket, a géptereket és a menekülési útvonalakat A60 típusú térelválasztó elemekkel kell védeni, ahol az LNG-tartályoktól és a fedélzeti feltöltőállomásoktól való távolság kevesebb, mint 3,00 m.</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3.3.2.</w:t>
      </w:r>
      <w:r w:rsidRPr="00D50F76">
        <w:rPr>
          <w:lang w:val="fr-FR"/>
        </w:rPr>
        <w:tab/>
        <w:t>Ha a válaszfalfedélzet alatti ilyen helyiségek vannak, és azok határosak az LNG-tartályterekkel és -szellőzőcsatornákkal, a határoló elemeknek meg kell felelniük az A60 típusnak. Ha azonban az LNG-tartálytér tartályokkal, oldalüregekkel, mérsékelten vagy egyáltalán nem tűzveszélyes segédgépterekkel, valamint szaniter és hasonló helyiségekkel határos, a szigetelő elemek megfelelhetnek az A0 típusnak.</w:t>
      </w:r>
    </w:p>
    <w:p w:rsidR="005624E3" w:rsidRPr="00D50F76" w:rsidRDefault="005624E3" w:rsidP="005624E3">
      <w:pPr>
        <w:pStyle w:val="Esann8ch"/>
        <w:rPr>
          <w:lang w:val="fr-FR"/>
        </w:rPr>
      </w:pPr>
    </w:p>
    <w:p w:rsidR="005624E3" w:rsidRPr="00D50F76" w:rsidRDefault="005624E3" w:rsidP="005624E3">
      <w:pPr>
        <w:pStyle w:val="Esann8chgras"/>
        <w:rPr>
          <w:lang w:val="fr-FR"/>
        </w:rPr>
      </w:pPr>
      <w:r w:rsidRPr="00D50F76">
        <w:rPr>
          <w:lang w:val="fr-FR"/>
        </w:rPr>
        <w:t>3.4.</w:t>
      </w:r>
      <w:r w:rsidRPr="00D50F76">
        <w:rPr>
          <w:lang w:val="fr-FR"/>
        </w:rPr>
        <w:tab/>
        <w:t>Tűzmegelőzés és hűtés</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3.4.1.</w:t>
      </w:r>
      <w:r w:rsidRPr="00D50F76">
        <w:rPr>
          <w:lang w:val="fr-FR"/>
        </w:rPr>
        <w:tab/>
        <w:t xml:space="preserve">A hűtésre és a tűzmegelőzésre vízpermetező rendszert kell beépíteni a nyitott fedélzeten található LNG-tartály(ok) kitett részeinek védelmére. </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3.4.2.</w:t>
      </w:r>
      <w:r w:rsidRPr="00D50F76">
        <w:rPr>
          <w:lang w:val="fr-FR"/>
        </w:rPr>
        <w:tab/>
        <w:t>Ha a vízpermetező rendszer a 13.04. vagy 13.05. cikkben említett tűzvédelmi rendszerek részét képezi, az előírt tűzoltó szivattyú kapacitásának és üzemi nyomásának elegendőnek kell lennie a tűzcsapok és tömlők, valamint a vízpermetező rendszer egyidejű működtetéséhez. A vízpermetező rendszer és a 13.04. vagy 13.05. cikkben említett tűzvédelmi rendszerek közötti kapcsolatot egy visszacsapó elzárószelepen keresztül kell biztosítani.</w:t>
      </w:r>
    </w:p>
    <w:p w:rsidR="005624E3" w:rsidRPr="00D50F76" w:rsidRDefault="005624E3" w:rsidP="005624E3">
      <w:pPr>
        <w:pStyle w:val="Esann8ch"/>
        <w:rPr>
          <w:lang w:val="fr-FR"/>
        </w:rPr>
      </w:pPr>
    </w:p>
    <w:p w:rsidR="005624E3" w:rsidRPr="00D50F76" w:rsidRDefault="005624E3" w:rsidP="005624E3">
      <w:pPr>
        <w:rPr>
          <w:rFonts w:eastAsia="Calibri" w:cs="Arial"/>
          <w:color w:val="000000"/>
          <w:szCs w:val="20"/>
          <w:lang w:val="fr-FR"/>
        </w:rPr>
      </w:pPr>
      <w:r w:rsidRPr="00D50F76">
        <w:rPr>
          <w:lang w:val="fr-FR"/>
        </w:rPr>
        <w:br w:type="page"/>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3.4.3.</w:t>
      </w:r>
      <w:r w:rsidRPr="00D50F76">
        <w:rPr>
          <w:lang w:val="fr-FR"/>
        </w:rPr>
        <w:tab/>
        <w:t>Ha a 13.04. vagy 13.05. cikkben említett tűzvédelmi rendszereket olyan vízi járművön szerelték fel, ahol az LNG-tartály a nyitott fedélzeten van, a tűzvédelmi rendszereket leválasztószelepekkel kell felszerelni a tűzvédelmi rendszerek sérült részeinek izolálása érdekében. A tűzvédelmi rendszerek egy részének izolálása nem szakíthatja meg az elszigetelt szakasz előtt elhelyezkedő tűzvonal vízellátását.</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3.4.4.</w:t>
      </w:r>
      <w:r w:rsidRPr="00D50F76">
        <w:rPr>
          <w:lang w:val="fr-FR"/>
        </w:rPr>
        <w:tab/>
        <w:t xml:space="preserve">A vízpermetező rendszer hatósugarának a felépítményeket határoló elemekig is el kell érnie, kivéve, ha a tartály a határoló elemektől 3,00 m vagy annál nagyobb távolságra helyezkedik el. </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3.4.5.</w:t>
      </w:r>
      <w:r w:rsidRPr="00D50F76">
        <w:rPr>
          <w:lang w:val="fr-FR"/>
        </w:rPr>
        <w:tab/>
        <w:t>A vízpermetező rendszert úgy kell kialakítani, hogy a fent meghatározott valamennyi területet lefedje a következő kijuttatási arányban: a vízszintes felületek esetében 10 l/min/m</w:t>
      </w:r>
      <w:r w:rsidRPr="00D50F76">
        <w:rPr>
          <w:vertAlign w:val="superscript"/>
          <w:lang w:val="fr-FR"/>
        </w:rPr>
        <w:t>2</w:t>
      </w:r>
      <w:r w:rsidRPr="00D50F76">
        <w:rPr>
          <w:lang w:val="fr-FR"/>
        </w:rPr>
        <w:t>, a függőleges felületek esetében pedig 4 l/min/m</w:t>
      </w:r>
      <w:r w:rsidRPr="00D50F76">
        <w:rPr>
          <w:vertAlign w:val="superscript"/>
          <w:lang w:val="fr-FR"/>
        </w:rPr>
        <w:t>2</w:t>
      </w:r>
      <w:r w:rsidRPr="00D50F76">
        <w:rPr>
          <w:lang w:val="fr-FR"/>
        </w:rPr>
        <w:t>.</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3.4.6.</w:t>
      </w:r>
      <w:r w:rsidRPr="00D50F76">
        <w:rPr>
          <w:lang w:val="fr-FR"/>
        </w:rPr>
        <w:tab/>
        <w:t xml:space="preserve">Biztosítani kell, hogy a vízpermetező rendszer a kormányállásból és a fedélzetről is beindítható legyen. </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3.4.7.</w:t>
      </w:r>
      <w:r w:rsidRPr="00D50F76">
        <w:rPr>
          <w:lang w:val="fr-FR"/>
        </w:rPr>
        <w:tab/>
        <w:t>A permetező fúvókákat úgy kell elhelyezni, hogy a víz a védendő terület egészén szétoszoljon.</w:t>
      </w:r>
    </w:p>
    <w:p w:rsidR="005624E3" w:rsidRPr="00D50F76" w:rsidRDefault="005624E3" w:rsidP="005624E3">
      <w:pPr>
        <w:pStyle w:val="Esann8ch"/>
        <w:rPr>
          <w:lang w:val="fr-FR"/>
        </w:rPr>
      </w:pPr>
    </w:p>
    <w:p w:rsidR="005624E3" w:rsidRPr="00D50F76" w:rsidRDefault="005624E3" w:rsidP="005624E3">
      <w:pPr>
        <w:pStyle w:val="Esann8chgras"/>
        <w:rPr>
          <w:lang w:val="fr-FR"/>
        </w:rPr>
      </w:pPr>
      <w:r w:rsidRPr="00D50F76">
        <w:rPr>
          <w:lang w:val="fr-FR"/>
        </w:rPr>
        <w:t>3.5.</w:t>
      </w:r>
      <w:r w:rsidRPr="00D50F76">
        <w:rPr>
          <w:lang w:val="fr-FR"/>
        </w:rPr>
        <w:tab/>
        <w:t>Tűzoltás</w:t>
      </w:r>
    </w:p>
    <w:p w:rsidR="005624E3" w:rsidRPr="00D50F76" w:rsidRDefault="005624E3" w:rsidP="005624E3">
      <w:pPr>
        <w:pStyle w:val="Esann8ch"/>
        <w:rPr>
          <w:lang w:val="fr-FR"/>
        </w:rPr>
      </w:pPr>
    </w:p>
    <w:p w:rsidR="005624E3" w:rsidRPr="00D50F76" w:rsidRDefault="005624E3" w:rsidP="005624E3">
      <w:pPr>
        <w:pStyle w:val="Esann8chpar"/>
        <w:rPr>
          <w:lang w:val="fr-FR"/>
        </w:rPr>
      </w:pPr>
      <w:r w:rsidRPr="00D50F76">
        <w:rPr>
          <w:lang w:val="fr-FR"/>
        </w:rPr>
        <w:t>A 13.03. cikkben foglalt követelményeken túlmenően, a feltöltőállomás közelében két további, legalább 12 kg kapacitású hordozható, porral oltó készüléket kell elhelyezni. Ezeknek alkalmasaknak kell lenniük C osztályú tüzek oltására.</w:t>
      </w:r>
    </w:p>
    <w:p w:rsidR="005624E3" w:rsidRPr="00D50F76" w:rsidRDefault="005624E3" w:rsidP="005624E3">
      <w:pPr>
        <w:pStyle w:val="Esann8ch"/>
        <w:rPr>
          <w:lang w:val="fr-FR"/>
        </w:rPr>
      </w:pPr>
    </w:p>
    <w:p w:rsidR="005624E3" w:rsidRPr="00D50F76" w:rsidRDefault="005624E3" w:rsidP="005624E3">
      <w:pPr>
        <w:pStyle w:val="Esann8ch"/>
        <w:rPr>
          <w:lang w:val="fr-FR"/>
        </w:rPr>
      </w:pPr>
    </w:p>
    <w:p w:rsidR="005624E3" w:rsidRPr="00D50F76" w:rsidRDefault="005624E3" w:rsidP="005624E3">
      <w:pPr>
        <w:pStyle w:val="Esann8titrechap"/>
        <w:rPr>
          <w:rFonts w:eastAsia="Calibri"/>
          <w:lang w:val="fr-FR"/>
        </w:rPr>
      </w:pPr>
      <w:r w:rsidRPr="00D50F76">
        <w:rPr>
          <w:lang w:val="fr-FR"/>
        </w:rPr>
        <w:t>4. fejezet</w:t>
      </w:r>
    </w:p>
    <w:p w:rsidR="005624E3" w:rsidRPr="00D50F76" w:rsidRDefault="005624E3" w:rsidP="005624E3">
      <w:pPr>
        <w:pStyle w:val="Esann8titrechap"/>
        <w:rPr>
          <w:lang w:val="fr-FR"/>
        </w:rPr>
      </w:pPr>
      <w:r w:rsidRPr="00D50F76">
        <w:rPr>
          <w:lang w:val="fr-FR"/>
        </w:rPr>
        <w:t>Elektromos rendszerek</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4.1.</w:t>
      </w:r>
      <w:r w:rsidRPr="00D50F76">
        <w:rPr>
          <w:lang w:val="fr-FR"/>
        </w:rPr>
        <w:tab/>
        <w:t>A veszélyes területek berendezéseinek megfelelő típusúaknak kell lenniük, összhangban azokkal a zónákkal, ahová az ilyen berendezéseket telepítették.</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4.2.</w:t>
      </w:r>
      <w:r w:rsidRPr="00D50F76">
        <w:rPr>
          <w:lang w:val="fr-FR"/>
        </w:rPr>
        <w:tab/>
        <w:t xml:space="preserve">Az elektromos generátor- és elosztórendszereket és a kapcsolódó vezérlőrendszereket úgy kell megtervezni, hogy semmilyen meghibásodás ne eredményezhessen gázkibocsátást. </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4.3.</w:t>
      </w:r>
      <w:r w:rsidRPr="00D50F76">
        <w:rPr>
          <w:lang w:val="fr-FR"/>
        </w:rPr>
        <w:tab/>
        <w:t>A veszélyes területeken lévő világítást legalább két áramkör között kell felosztani. Minden kapcsolót és védőberendezést nem veszélyes területen kell elhelyezni, és képeseknek kell lenniük valamennyi pólus és fázis megszakítására.</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4.4.</w:t>
      </w:r>
      <w:r w:rsidRPr="00D50F76">
        <w:rPr>
          <w:lang w:val="fr-FR"/>
        </w:rPr>
        <w:tab/>
        <w:t>Az LNG-tároló rendszerekben felszerelhetők merülőgázszivattyú-motorok és -tápkábelek. Intézkedéseket kell hozni az alacsony folyadékszinttel kapcsolatos riasztásra, és a motorok automatikus leállítására alacsony folyadékszint esetében. Az automatikus leállítást kiválthatja a szivattyú alacsony kimeneti nyomásának, az alacsony motoráramnak vagy az alacsony folyadékszintnek az érzékelése. A leállásnak akusztikai és optikai vészjelzést kell kiváltania a kormányállásban. Biztosítani kell, hogy a gázmentesítési műveletek során a gázszivattyú-motorok el legyenek választva áramforrásuktól.</w:t>
      </w:r>
    </w:p>
    <w:p w:rsidR="005624E3" w:rsidRPr="00D50F76" w:rsidRDefault="005624E3" w:rsidP="005624E3">
      <w:pPr>
        <w:pStyle w:val="Esann8ch"/>
        <w:rPr>
          <w:bCs/>
          <w:lang w:val="fr-FR"/>
        </w:rPr>
      </w:pPr>
    </w:p>
    <w:p w:rsidR="005624E3" w:rsidRPr="00D50F76" w:rsidRDefault="005624E3" w:rsidP="005624E3">
      <w:pPr>
        <w:pStyle w:val="Esann8ch"/>
        <w:rPr>
          <w:bCs/>
          <w:lang w:val="fr-FR"/>
        </w:rPr>
      </w:pPr>
    </w:p>
    <w:p w:rsidR="005624E3" w:rsidRPr="00D50F76" w:rsidRDefault="005624E3" w:rsidP="005624E3">
      <w:pPr>
        <w:rPr>
          <w:rFonts w:eastAsia="Calibri" w:cs="Arial"/>
          <w:bCs/>
          <w:color w:val="000000"/>
          <w:szCs w:val="20"/>
          <w:lang w:val="fr-FR"/>
        </w:rPr>
      </w:pPr>
      <w:r w:rsidRPr="00D50F76">
        <w:rPr>
          <w:lang w:val="fr-FR"/>
        </w:rPr>
        <w:br w:type="page"/>
      </w:r>
    </w:p>
    <w:p w:rsidR="005624E3" w:rsidRPr="00D50F76" w:rsidRDefault="005624E3" w:rsidP="005624E3">
      <w:pPr>
        <w:pStyle w:val="Esann8ch"/>
        <w:rPr>
          <w:bCs/>
          <w:lang w:val="fr-FR"/>
        </w:rPr>
      </w:pPr>
    </w:p>
    <w:p w:rsidR="005624E3" w:rsidRPr="00D50F76" w:rsidRDefault="005624E3" w:rsidP="005624E3">
      <w:pPr>
        <w:pStyle w:val="Esann8titrechap"/>
        <w:rPr>
          <w:lang w:val="fr-FR"/>
        </w:rPr>
      </w:pPr>
      <w:r w:rsidRPr="00D50F76">
        <w:rPr>
          <w:lang w:val="fr-FR"/>
        </w:rPr>
        <w:t>5. fejezet</w:t>
      </w:r>
    </w:p>
    <w:p w:rsidR="005624E3" w:rsidRPr="00D50F76" w:rsidRDefault="005624E3" w:rsidP="005624E3">
      <w:pPr>
        <w:pStyle w:val="Esann8titrechap"/>
        <w:rPr>
          <w:lang w:val="fr-FR"/>
        </w:rPr>
      </w:pPr>
      <w:r w:rsidRPr="00D50F76">
        <w:rPr>
          <w:lang w:val="fr-FR"/>
        </w:rPr>
        <w:t>Vezérlő, ellenőrző és biztonsági rendszerek</w:t>
      </w:r>
    </w:p>
    <w:p w:rsidR="005624E3" w:rsidRPr="00D50F76" w:rsidRDefault="005624E3" w:rsidP="005624E3">
      <w:pPr>
        <w:pStyle w:val="Esann8ch"/>
        <w:rPr>
          <w:lang w:val="fr-FR"/>
        </w:rPr>
      </w:pPr>
    </w:p>
    <w:p w:rsidR="005624E3" w:rsidRPr="00D50F76" w:rsidRDefault="005624E3" w:rsidP="005624E3">
      <w:pPr>
        <w:pStyle w:val="Esann8chgras"/>
        <w:rPr>
          <w:lang w:val="fr-FR"/>
        </w:rPr>
      </w:pPr>
      <w:r w:rsidRPr="00D50F76">
        <w:rPr>
          <w:lang w:val="fr-FR"/>
        </w:rPr>
        <w:t>5.1.</w:t>
      </w:r>
      <w:r w:rsidRPr="00D50F76">
        <w:rPr>
          <w:lang w:val="fr-FR"/>
        </w:rPr>
        <w:tab/>
        <w:t>Általános rendelkezések</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5.1.1.</w:t>
      </w:r>
      <w:r w:rsidRPr="00D50F76">
        <w:rPr>
          <w:lang w:val="fr-FR"/>
        </w:rPr>
        <w:tab/>
        <w:t>A biztonságos és megbízható működés érdekében megfelelő vezérlő, riasztó, ellenőrző és leállító rendszereknek kell rendelkezésre állniuk.</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5.1.2.</w:t>
      </w:r>
      <w:r w:rsidRPr="00D50F76">
        <w:rPr>
          <w:lang w:val="fr-FR"/>
        </w:rPr>
        <w:tab/>
        <w:t>A gázellátó rendszert fel kell szerelni független gázvezérlő, gázellenőrző és gázbiztonsági rendszerekkel. E rendszerek valamennyi elemének funkcionális szempontból ellenőrizhetőnek kell lennie.</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5.1.3.</w:t>
      </w:r>
      <w:r w:rsidRPr="00D50F76">
        <w:rPr>
          <w:lang w:val="fr-FR"/>
        </w:rPr>
        <w:tab/>
        <w:t>A gázbiztonsági rendszernek automatikusan le kell állítania a gázellátó rendszert, ha a biztonság szempontjából lényeges rendszerek meghibásodnak, valamint olyan hibakörülmények esetén, amelyek adott esetben túl gyorsan alakulnak ki ahhoz, hogy manuális beavatkozással kezelhetők lennének.</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5.1.4.</w:t>
      </w:r>
      <w:r w:rsidRPr="00D50F76">
        <w:rPr>
          <w:lang w:val="fr-FR"/>
        </w:rPr>
        <w:tab/>
        <w:t xml:space="preserve">A biztonsági funkciókat a gázvezérlő rendszertől független külön gázbiztonsági rendszerhez kell rendelni. </w:t>
      </w:r>
    </w:p>
    <w:p w:rsidR="005624E3" w:rsidRPr="00D50F76" w:rsidRDefault="005624E3" w:rsidP="005624E3">
      <w:pPr>
        <w:pStyle w:val="Esann8ch"/>
        <w:rPr>
          <w:lang w:val="fr-FR"/>
        </w:rPr>
      </w:pPr>
    </w:p>
    <w:p w:rsidR="005624E3" w:rsidRPr="00D50F76" w:rsidRDefault="005624E3" w:rsidP="005624E3">
      <w:pPr>
        <w:pStyle w:val="Esann8ch"/>
        <w:rPr>
          <w:lang w:val="fr-FR"/>
        </w:rPr>
      </w:pPr>
      <w:r w:rsidRPr="00D50F76">
        <w:rPr>
          <w:lang w:val="fr-FR"/>
        </w:rPr>
        <w:t>5.1.5.</w:t>
      </w:r>
      <w:r w:rsidRPr="00D50F76">
        <w:rPr>
          <w:lang w:val="fr-FR"/>
        </w:rPr>
        <w:tab/>
        <w:t xml:space="preserve">Műszeres eszközöket kell felszerelni az alapvető paraméterek helyi és távleolvasására, amennyiben ezek szükségesek az egész LNG-rendszer biztonságos működésének biztosításához, beleértve a feltöltést is. </w:t>
      </w:r>
    </w:p>
    <w:p w:rsidR="005624E3" w:rsidRPr="00D50F76" w:rsidRDefault="005624E3" w:rsidP="005624E3">
      <w:pPr>
        <w:pStyle w:val="Esann8ch"/>
        <w:rPr>
          <w:b/>
          <w:bCs/>
          <w:lang w:val="fr-FR"/>
        </w:rPr>
      </w:pPr>
    </w:p>
    <w:p w:rsidR="005624E3" w:rsidRPr="00D50F76" w:rsidRDefault="005624E3" w:rsidP="005624E3">
      <w:pPr>
        <w:pStyle w:val="Esann8chgras"/>
        <w:rPr>
          <w:lang w:val="fr-FR"/>
        </w:rPr>
      </w:pPr>
      <w:r w:rsidRPr="00D50F76">
        <w:rPr>
          <w:lang w:val="fr-FR"/>
        </w:rPr>
        <w:t>5.2.</w:t>
      </w:r>
      <w:r w:rsidRPr="00D50F76">
        <w:rPr>
          <w:lang w:val="fr-FR"/>
        </w:rPr>
        <w:tab/>
        <w:t>Az LNG-feltöltő rendszer és az LNG-tároló rendszer ellenőrzése</w:t>
      </w:r>
    </w:p>
    <w:p w:rsidR="005624E3" w:rsidRPr="00D50F76" w:rsidRDefault="005624E3" w:rsidP="005624E3">
      <w:pPr>
        <w:pStyle w:val="Esann8ch"/>
        <w:rPr>
          <w:lang w:val="fr-FR"/>
        </w:rPr>
      </w:pPr>
    </w:p>
    <w:p w:rsidR="005624E3" w:rsidRPr="00D50F76" w:rsidRDefault="005624E3" w:rsidP="005624E3">
      <w:pPr>
        <w:pStyle w:val="Esann8ch"/>
        <w:rPr>
          <w:lang w:val="sv-SE"/>
        </w:rPr>
      </w:pPr>
      <w:r w:rsidRPr="00D50F76">
        <w:rPr>
          <w:lang w:val="sv-SE"/>
        </w:rPr>
        <w:t>5.2.1.</w:t>
      </w:r>
      <w:r w:rsidRPr="00D50F76">
        <w:rPr>
          <w:lang w:val="sv-SE"/>
        </w:rPr>
        <w:tab/>
        <w:t>Minden LNG-tartályt fel kell szerelni:</w:t>
      </w:r>
    </w:p>
    <w:p w:rsidR="005624E3" w:rsidRPr="00D50F76" w:rsidRDefault="005624E3" w:rsidP="005624E3">
      <w:pPr>
        <w:pStyle w:val="Esann8let"/>
        <w:rPr>
          <w:lang w:val="sv-SE"/>
        </w:rPr>
      </w:pPr>
      <w:r w:rsidRPr="00D50F76">
        <w:rPr>
          <w:lang w:val="sv-SE"/>
        </w:rPr>
        <w:t>a)</w:t>
      </w:r>
      <w:r w:rsidRPr="00D50F76">
        <w:rPr>
          <w:lang w:val="sv-SE"/>
        </w:rPr>
        <w:tab/>
        <w:t>legalább két folyadékszint-mutatóval, amelyeket úgy kell elrendezni, hogy működőképes állapotuk fenntartható legyen,</w:t>
      </w:r>
    </w:p>
    <w:p w:rsidR="005624E3" w:rsidRPr="00D50F76" w:rsidRDefault="005624E3" w:rsidP="005624E3">
      <w:pPr>
        <w:pStyle w:val="Esann8let"/>
        <w:rPr>
          <w:lang w:val="sv-SE"/>
        </w:rPr>
      </w:pPr>
      <w:r w:rsidRPr="00D50F76">
        <w:rPr>
          <w:lang w:val="sv-SE"/>
        </w:rPr>
        <w:t>b)</w:t>
      </w:r>
      <w:r w:rsidRPr="00D50F76">
        <w:rPr>
          <w:lang w:val="sv-SE"/>
        </w:rPr>
        <w:tab/>
        <w:t>olyan nyomásjelzővel, amely képes a teljes üzemi nyomástartomány értékeit mutatni, és amelyen egyértelműen jelölik az LNG-tartály legnagyobb üzemi nyomását,</w:t>
      </w:r>
    </w:p>
    <w:p w:rsidR="005624E3" w:rsidRPr="00D50F76" w:rsidRDefault="005624E3" w:rsidP="005624E3">
      <w:pPr>
        <w:pStyle w:val="Esann8let"/>
        <w:rPr>
          <w:lang w:val="sv-SE"/>
        </w:rPr>
      </w:pPr>
      <w:r w:rsidRPr="00D50F76">
        <w:rPr>
          <w:lang w:val="sv-SE"/>
        </w:rPr>
        <w:t>c)</w:t>
      </w:r>
      <w:r w:rsidRPr="00D50F76">
        <w:rPr>
          <w:lang w:val="sv-SE"/>
        </w:rPr>
        <w:tab/>
        <w:t>magasfolyadékszint-riasztóval, amelynek működése független más folyadékszint-mutatóktól, és aktivált állapotban akusztikai és optikai vészjelzést ad,</w:t>
      </w:r>
    </w:p>
    <w:p w:rsidR="005624E3" w:rsidRPr="00D50F76" w:rsidRDefault="005624E3" w:rsidP="005624E3">
      <w:pPr>
        <w:pStyle w:val="Esann8let"/>
        <w:rPr>
          <w:lang w:val="sv-SE"/>
        </w:rPr>
      </w:pPr>
      <w:r w:rsidRPr="00D50F76">
        <w:rPr>
          <w:lang w:val="sv-SE"/>
        </w:rPr>
        <w:t>d)</w:t>
      </w:r>
      <w:r w:rsidRPr="00D50F76">
        <w:rPr>
          <w:lang w:val="sv-SE"/>
        </w:rPr>
        <w:tab/>
        <w:t>egy kiegészítő érzékelővel, amelynek működése független a magasfolyadékszint-riasztótól, és önműködően működésbe hozza a fő LNG-feltöltő szelepet oly módon, hogy az ne okozzon túlzott folyadéknyomást a feltöltővezetékekben, és megakadályozza, hogy a tartály teljesen fel legyen töltve folyadékkal.</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5.2.2.</w:t>
      </w:r>
      <w:r w:rsidRPr="00D50F76">
        <w:rPr>
          <w:lang w:val="sv-SE"/>
        </w:rPr>
        <w:tab/>
        <w:t>A szivattyúk valamennyi kimeneti vezetékét és a cseppfolyós és légnemű gáz vezetékeinek valamennyi parti csatlakozóját legalább egy helyi nyomásjelzővel kell ellátni. A szivattyúk kimeneti vezetékén a nyomásjelzőt a szivattyú és az első szelep közé kell illeszteni. Minden kijelzőn fel kell tüntetni a megengedett legnagyobb nyomás- vagy vákuumértéket.</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5.2.3.</w:t>
      </w:r>
      <w:r w:rsidRPr="00D50F76">
        <w:rPr>
          <w:lang w:val="sv-SE"/>
        </w:rPr>
        <w:tab/>
        <w:t>Az LNG-tároló rendszert és a szivattyút magasnyomás-riasztóval kell felszerelni. Amennyiben szükség van vákuumvédelemre, alacsonynyomás-riasztót kell felszerelni.</w:t>
      </w:r>
    </w:p>
    <w:p w:rsidR="005624E3" w:rsidRPr="00D50F76" w:rsidRDefault="005624E3" w:rsidP="005624E3">
      <w:pPr>
        <w:pStyle w:val="Esann8ch"/>
        <w:rPr>
          <w:lang w:val="sv-SE"/>
        </w:rPr>
      </w:pPr>
    </w:p>
    <w:p w:rsidR="005624E3" w:rsidRPr="00D50F76" w:rsidRDefault="005624E3" w:rsidP="005624E3">
      <w:pPr>
        <w:rPr>
          <w:rFonts w:eastAsia="Calibri" w:cs="Arial"/>
          <w:color w:val="000000"/>
          <w:szCs w:val="20"/>
          <w:lang w:val="sv-SE"/>
        </w:rPr>
      </w:pPr>
      <w:r w:rsidRPr="00D50F76">
        <w:rPr>
          <w:lang w:val="sv-SE"/>
        </w:rPr>
        <w:br w:type="page"/>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5.2.4.</w:t>
      </w:r>
      <w:r w:rsidRPr="00D50F76">
        <w:rPr>
          <w:lang w:val="sv-SE"/>
        </w:rPr>
        <w:tab/>
        <w:t>Biztosítani kell, hogy a feltöltést biztonságos, az LNG-feltöltő állomástól távol eső fedélzeti vezérlőállásból lehessen vezérelni. A vezérlőállásban ellenőrizni kell az LNG-tartály nyomását és szintjét. A túltöltés-riasztás, a magas- és alacsonynyomás-riasztás és az automatikus leállás tényét ki kell jelezni a szóban forgó a vezérlőállásban.</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5.2.5.</w:t>
      </w:r>
      <w:r w:rsidRPr="00D50F76">
        <w:rPr>
          <w:lang w:val="sv-SE"/>
        </w:rPr>
        <w:tab/>
        <w:t>Ha a feltöltővezetékeket körülvevő csatornákban leáll a szellőztetés, a vezérlőállásban működésbe kell hozni az akusztikai és optikai vészjelzést.</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5.2.6.</w:t>
      </w:r>
      <w:r w:rsidRPr="00D50F76">
        <w:rPr>
          <w:lang w:val="sv-SE"/>
        </w:rPr>
        <w:tab/>
        <w:t>Ha a feltöltővezetékeket körülvevő csatornákban gáz jelenlétét észlelik, a vezérlőállásban működésbe kell hozni az akusztikai és optikai vészjelzést, valamint aktiválni kell a vészhelyzeti leállást.</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 xml:space="preserve">5.2.7. </w:t>
      </w:r>
      <w:r w:rsidRPr="00D50F76">
        <w:rPr>
          <w:lang w:val="sv-SE"/>
        </w:rPr>
        <w:tab/>
        <w:t>A feltöltési műveletek céljára megfelelő és elegendő védőruházatot és felszerelést kell a fedélzeten készenlétben tartani, összhangban az üzemeltetési kézikönyvvel.</w:t>
      </w:r>
    </w:p>
    <w:p w:rsidR="005624E3" w:rsidRPr="00D50F76" w:rsidRDefault="005624E3" w:rsidP="005624E3">
      <w:pPr>
        <w:pStyle w:val="Esann8ch"/>
        <w:rPr>
          <w:lang w:val="sv-SE"/>
        </w:rPr>
      </w:pPr>
    </w:p>
    <w:p w:rsidR="005624E3" w:rsidRPr="00D50F76" w:rsidRDefault="005624E3" w:rsidP="005624E3">
      <w:pPr>
        <w:pStyle w:val="Esann8ch"/>
        <w:rPr>
          <w:b/>
          <w:bCs/>
          <w:lang w:val="sv-SE"/>
        </w:rPr>
      </w:pPr>
      <w:r w:rsidRPr="00D50F76">
        <w:rPr>
          <w:b/>
          <w:lang w:val="sv-SE"/>
        </w:rPr>
        <w:t>5.3.</w:t>
      </w:r>
      <w:r w:rsidRPr="00D50F76">
        <w:rPr>
          <w:lang w:val="sv-SE"/>
        </w:rPr>
        <w:tab/>
      </w:r>
      <w:r w:rsidRPr="00D50F76">
        <w:rPr>
          <w:b/>
          <w:lang w:val="sv-SE"/>
        </w:rPr>
        <w:t>A motor működésének ellenőrzése</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5.3.1.</w:t>
      </w:r>
      <w:r w:rsidRPr="00D50F76">
        <w:rPr>
          <w:lang w:val="sv-SE"/>
        </w:rPr>
        <w:tab/>
        <w:t>A kormányállásban és a géptérben kijelzőt kell felszerelni az alábbiak ellenőrzésére:</w:t>
      </w:r>
    </w:p>
    <w:p w:rsidR="005624E3" w:rsidRPr="00D50F76" w:rsidRDefault="005624E3" w:rsidP="005624E3">
      <w:pPr>
        <w:pStyle w:val="Esann8let"/>
        <w:rPr>
          <w:lang w:val="sv-SE"/>
        </w:rPr>
      </w:pPr>
      <w:r w:rsidRPr="00D50F76">
        <w:rPr>
          <w:lang w:val="sv-SE"/>
        </w:rPr>
        <w:t>a)</w:t>
      </w:r>
      <w:r w:rsidRPr="00D50F76">
        <w:rPr>
          <w:lang w:val="sv-SE"/>
        </w:rPr>
        <w:tab/>
        <w:t>a motor üzeme csak gázüzemű motor esetében, vagy</w:t>
      </w:r>
    </w:p>
    <w:p w:rsidR="005624E3" w:rsidRPr="00D50F76" w:rsidRDefault="005624E3" w:rsidP="005624E3">
      <w:pPr>
        <w:pStyle w:val="Esann8let"/>
        <w:rPr>
          <w:lang w:val="sv-SE"/>
        </w:rPr>
      </w:pPr>
      <w:r w:rsidRPr="00D50F76">
        <w:rPr>
          <w:lang w:val="sv-SE"/>
        </w:rPr>
        <w:t>b)</w:t>
      </w:r>
      <w:r w:rsidRPr="00D50F76">
        <w:rPr>
          <w:lang w:val="sv-SE"/>
        </w:rPr>
        <w:tab/>
        <w:t>a motor üzeme és üzemmódja vegyes üzemű motor esetében.</w:t>
      </w:r>
    </w:p>
    <w:p w:rsidR="005624E3" w:rsidRPr="00D50F76" w:rsidRDefault="005624E3" w:rsidP="005624E3">
      <w:pPr>
        <w:pStyle w:val="Esann8ch"/>
        <w:rPr>
          <w:lang w:val="sv-SE"/>
        </w:rPr>
      </w:pPr>
    </w:p>
    <w:p w:rsidR="005624E3" w:rsidRPr="00D50F76" w:rsidRDefault="005624E3" w:rsidP="005624E3">
      <w:pPr>
        <w:pStyle w:val="Esann8chgras"/>
        <w:rPr>
          <w:lang w:val="sv-SE"/>
        </w:rPr>
      </w:pPr>
      <w:r w:rsidRPr="00D50F76">
        <w:rPr>
          <w:lang w:val="sv-SE"/>
        </w:rPr>
        <w:t>5.4.</w:t>
      </w:r>
      <w:r w:rsidRPr="00D50F76">
        <w:rPr>
          <w:lang w:val="sv-SE"/>
        </w:rPr>
        <w:tab/>
        <w:t>Gázriasztó berendezés</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5.4.1.</w:t>
      </w:r>
      <w:r w:rsidRPr="00D50F76">
        <w:rPr>
          <w:lang w:val="sv-SE"/>
        </w:rPr>
        <w:tab/>
        <w:t>A gázriasztó berendezéseket egy elismert szabványnak, például az EN 60079-29-1:2007 európai szabványnak megfelelően kell megtervezni, beszerelni és tesztelni.</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5.4.2.</w:t>
      </w:r>
      <w:r w:rsidRPr="00D50F76">
        <w:rPr>
          <w:lang w:val="sv-SE"/>
        </w:rPr>
        <w:tab/>
        <w:t>A tartósan rögzített gázérzékelőket az alábbi helyeken kell felszerelni:</w:t>
      </w:r>
    </w:p>
    <w:p w:rsidR="005624E3" w:rsidRPr="00D50F76" w:rsidRDefault="005624E3" w:rsidP="005624E3">
      <w:pPr>
        <w:pStyle w:val="Esann8let"/>
        <w:rPr>
          <w:lang w:val="sv-SE"/>
        </w:rPr>
      </w:pPr>
      <w:r w:rsidRPr="00D50F76">
        <w:rPr>
          <w:lang w:val="sv-SE"/>
        </w:rPr>
        <w:t>a)</w:t>
      </w:r>
      <w:r w:rsidRPr="00D50F76">
        <w:rPr>
          <w:lang w:val="sv-SE"/>
        </w:rPr>
        <w:tab/>
        <w:t>tartályok kapcsolódásai, ideértve a tüzelőanyag-tartályokat, a csőcsatlakozásokat és az első szelepeket,</w:t>
      </w:r>
    </w:p>
    <w:p w:rsidR="005624E3" w:rsidRPr="00D50F76" w:rsidRDefault="005624E3" w:rsidP="005624E3">
      <w:pPr>
        <w:pStyle w:val="Esann8let"/>
        <w:rPr>
          <w:lang w:val="sv-SE"/>
        </w:rPr>
      </w:pPr>
      <w:r w:rsidRPr="00D50F76">
        <w:rPr>
          <w:lang w:val="sv-SE"/>
        </w:rPr>
        <w:t>b)</w:t>
      </w:r>
      <w:r w:rsidRPr="00D50F76">
        <w:rPr>
          <w:lang w:val="sv-SE"/>
        </w:rPr>
        <w:tab/>
        <w:t>gázcsöveket körülvevő csatornák,</w:t>
      </w:r>
    </w:p>
    <w:p w:rsidR="005624E3" w:rsidRPr="00D50F76" w:rsidRDefault="005624E3" w:rsidP="005624E3">
      <w:pPr>
        <w:pStyle w:val="Esann8let"/>
        <w:rPr>
          <w:lang w:val="sv-SE"/>
        </w:rPr>
      </w:pPr>
      <w:r w:rsidRPr="00D50F76">
        <w:rPr>
          <w:lang w:val="sv-SE"/>
        </w:rPr>
        <w:t>c)</w:t>
      </w:r>
      <w:r w:rsidRPr="00D50F76">
        <w:rPr>
          <w:lang w:val="sv-SE"/>
        </w:rPr>
        <w:tab/>
        <w:t>gázvezetékeknek, gázberendezéseknek vagy gázfogyasztó berendezéseknek helyet adó gépterek,</w:t>
      </w:r>
    </w:p>
    <w:p w:rsidR="005624E3" w:rsidRPr="00D50F76" w:rsidRDefault="005624E3" w:rsidP="005624E3">
      <w:pPr>
        <w:pStyle w:val="Esann8let"/>
        <w:rPr>
          <w:lang w:val="sv-SE"/>
        </w:rPr>
      </w:pPr>
      <w:r w:rsidRPr="00D50F76">
        <w:rPr>
          <w:lang w:val="sv-SE"/>
        </w:rPr>
        <w:t>d)</w:t>
      </w:r>
      <w:r w:rsidRPr="00D50F76">
        <w:rPr>
          <w:lang w:val="sv-SE"/>
        </w:rPr>
        <w:tab/>
        <w:t>a gázelőkészítő rendszer helyisége,</w:t>
      </w:r>
    </w:p>
    <w:p w:rsidR="005624E3" w:rsidRPr="00D50F76" w:rsidRDefault="005624E3" w:rsidP="005624E3">
      <w:pPr>
        <w:pStyle w:val="Esann8let"/>
        <w:rPr>
          <w:lang w:val="sv-SE"/>
        </w:rPr>
      </w:pPr>
      <w:r w:rsidRPr="00D50F76">
        <w:rPr>
          <w:lang w:val="sv-SE"/>
        </w:rPr>
        <w:t>e)</w:t>
      </w:r>
      <w:r w:rsidRPr="00D50F76">
        <w:rPr>
          <w:lang w:val="sv-SE"/>
        </w:rPr>
        <w:tab/>
        <w:t>csatorna nélküli gázvezetékeknek vagy más gázberendezéseknek helyet adó egyéb zárt terek,</w:t>
      </w:r>
    </w:p>
    <w:p w:rsidR="005624E3" w:rsidRPr="00D50F76" w:rsidRDefault="005624E3" w:rsidP="005624E3">
      <w:pPr>
        <w:pStyle w:val="Esann8let"/>
        <w:rPr>
          <w:lang w:val="sv-SE"/>
        </w:rPr>
      </w:pPr>
      <w:r w:rsidRPr="00D50F76">
        <w:rPr>
          <w:lang w:val="sv-SE"/>
        </w:rPr>
        <w:t>f)</w:t>
      </w:r>
      <w:r w:rsidRPr="00D50F76">
        <w:rPr>
          <w:lang w:val="sv-SE"/>
        </w:rPr>
        <w:tab/>
        <w:t>egyéb zárt vagy félig zárt terek, amelyekben légnemű gáz halmozódhat fel, ideértve a védőrétegek közötti teret és a C típustól eltérő, független LNG-tartályok helyiségeit,</w:t>
      </w:r>
    </w:p>
    <w:p w:rsidR="005624E3" w:rsidRPr="00D50F76" w:rsidRDefault="005624E3" w:rsidP="005624E3">
      <w:pPr>
        <w:pStyle w:val="Esann8let"/>
        <w:rPr>
          <w:lang w:val="sv-SE"/>
        </w:rPr>
      </w:pPr>
      <w:r w:rsidRPr="00D50F76">
        <w:rPr>
          <w:lang w:val="sv-SE"/>
        </w:rPr>
        <w:t>g)</w:t>
      </w:r>
      <w:r w:rsidRPr="00D50F76">
        <w:rPr>
          <w:lang w:val="sv-SE"/>
        </w:rPr>
        <w:tab/>
        <w:t>légzsilipek, és</w:t>
      </w:r>
    </w:p>
    <w:p w:rsidR="005624E3" w:rsidRPr="00D50F76" w:rsidRDefault="005624E3" w:rsidP="005624E3">
      <w:pPr>
        <w:pStyle w:val="Esann8let"/>
        <w:rPr>
          <w:lang w:val="sv-SE"/>
        </w:rPr>
      </w:pPr>
      <w:r w:rsidRPr="00D50F76">
        <w:rPr>
          <w:lang w:val="sv-SE"/>
        </w:rPr>
        <w:t>h)</w:t>
      </w:r>
      <w:r w:rsidRPr="00D50F76">
        <w:rPr>
          <w:lang w:val="sv-SE"/>
        </w:rPr>
        <w:tab/>
        <w:t>olyan terek szellőztetésére szolgáló nyílások, amelyekben légnemű gáz halmozódhat fel.</w:t>
      </w:r>
    </w:p>
    <w:p w:rsidR="005624E3" w:rsidRPr="00D50F76" w:rsidRDefault="005624E3" w:rsidP="005624E3">
      <w:pPr>
        <w:pStyle w:val="Esann8ch"/>
        <w:rPr>
          <w:lang w:val="sv-SE"/>
        </w:rPr>
      </w:pPr>
    </w:p>
    <w:p w:rsidR="005624E3" w:rsidRPr="00D50F76" w:rsidRDefault="005624E3" w:rsidP="005624E3">
      <w:pPr>
        <w:rPr>
          <w:rFonts w:eastAsia="Calibri" w:cs="Arial"/>
          <w:color w:val="000000"/>
          <w:szCs w:val="20"/>
          <w:lang w:val="sv-SE"/>
        </w:rPr>
      </w:pPr>
      <w:r w:rsidRPr="00D50F76">
        <w:rPr>
          <w:lang w:val="sv-SE"/>
        </w:rPr>
        <w:br w:type="page"/>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 xml:space="preserve">5.4.3. </w:t>
      </w:r>
      <w:r w:rsidRPr="00D50F76">
        <w:rPr>
          <w:lang w:val="sv-SE"/>
        </w:rPr>
        <w:tab/>
        <w:t>A 5.4.2. ponttól eltérve, tartósan rögzített, nyomáskülönbségen alapuló gázérzékelők a duplafalú vezetékek védőrétegei közötti térben is alkalmazhatók.</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5.4.4.</w:t>
      </w:r>
      <w:r w:rsidRPr="00D50F76">
        <w:rPr>
          <w:lang w:val="sv-SE"/>
        </w:rPr>
        <w:tab/>
        <w:t>Minden helyiség tekintetében meg kell határozni a gázérzékelők számát és sűrűségét az adott helyiség méretének, elrendezésének és szellőzésének figyelembevételével.</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5.4.5.</w:t>
      </w:r>
      <w:r w:rsidRPr="00D50F76">
        <w:rPr>
          <w:lang w:val="sv-SE"/>
        </w:rPr>
        <w:tab/>
        <w:t xml:space="preserve">A tartósan rögzített gázérzékelőket olyan terekben kell elhelyezni, ahol a gáz felhalmozódhat, valamint e terekből kivezető szellőzőnyílásokban. </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 xml:space="preserve">5.4.6. </w:t>
      </w:r>
      <w:r w:rsidRPr="00D50F76">
        <w:rPr>
          <w:lang w:val="sv-SE"/>
        </w:rPr>
        <w:tab/>
        <w:t>Az akusztikai és optikai vészjelzésnek működésbe kell lépnie, mielőtt a gáz koncentrációja eléri az alsó robbanási határérték 20 %-át. A gázbiztonsági rendszernek az alsó robbanási határérték 40 %-ánál működésbe kell lépnie.</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5.4.7.</w:t>
      </w:r>
      <w:r w:rsidRPr="00D50F76">
        <w:rPr>
          <w:lang w:val="sv-SE"/>
        </w:rPr>
        <w:tab/>
        <w:t>A gázriasztó berendezés akusztikai és optikai vészjelzését a kormányállásban kell működésbe hozni.</w:t>
      </w:r>
    </w:p>
    <w:p w:rsidR="005624E3" w:rsidRPr="00D50F76" w:rsidRDefault="005624E3" w:rsidP="005624E3">
      <w:pPr>
        <w:pStyle w:val="Esann8ch"/>
        <w:rPr>
          <w:lang w:val="sv-SE"/>
        </w:rPr>
      </w:pPr>
    </w:p>
    <w:p w:rsidR="005624E3" w:rsidRPr="00D50F76" w:rsidRDefault="005624E3" w:rsidP="005624E3">
      <w:pPr>
        <w:pStyle w:val="Esann8chgras"/>
        <w:rPr>
          <w:lang w:val="sv-SE"/>
        </w:rPr>
      </w:pPr>
      <w:r w:rsidRPr="00D50F76">
        <w:rPr>
          <w:lang w:val="sv-SE"/>
        </w:rPr>
        <w:t>5.5.</w:t>
      </w:r>
      <w:r w:rsidRPr="00D50F76">
        <w:rPr>
          <w:lang w:val="sv-SE"/>
        </w:rPr>
        <w:tab/>
        <w:t>A gázellátó rendszerek biztonsági funkciói</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5.5.1.</w:t>
      </w:r>
      <w:r w:rsidRPr="00D50F76">
        <w:rPr>
          <w:lang w:val="sv-SE"/>
        </w:rPr>
        <w:tab/>
        <w:t>Ha egy önműködő szelep aktiválódása miatt a gázellátó rendszer leáll, nem indítható el mindaddig, amíg a lekapcsolás okát meg nem állapították, és a szükséges intézkedéseket meg nem hozták. Az erre vonatkozó utasításokat a gázvezetékek elzárószelepeihez tartozó vezérlőállásban egy jól látható helyen kell tartani.</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5.5.2.</w:t>
      </w:r>
      <w:r w:rsidRPr="00D50F76">
        <w:rPr>
          <w:lang w:val="sv-SE"/>
        </w:rPr>
        <w:tab/>
        <w:t>Ha gázszivárgás miatt a gázellátó rendszer leáll, nem indítható el mindaddig, amíg a szivárgás helyét meg nem találták, és a szükséges intézkedéseket meg nem hozták. Az erre vonatkozó utasításokat a géptérben egy jól látható helyen kell tartani.</w:t>
      </w:r>
    </w:p>
    <w:p w:rsidR="005624E3" w:rsidRPr="00D50F76" w:rsidRDefault="005624E3" w:rsidP="005624E3">
      <w:pPr>
        <w:pStyle w:val="Esann8ch"/>
        <w:rPr>
          <w:lang w:val="sv-SE"/>
        </w:rPr>
      </w:pPr>
    </w:p>
    <w:p w:rsidR="005624E3" w:rsidRPr="00D50F76" w:rsidRDefault="005624E3" w:rsidP="005624E3">
      <w:pPr>
        <w:pStyle w:val="Esann8ch"/>
        <w:rPr>
          <w:lang w:val="sv-SE"/>
        </w:rPr>
      </w:pPr>
      <w:r w:rsidRPr="00D50F76">
        <w:rPr>
          <w:lang w:val="sv-SE"/>
        </w:rPr>
        <w:t>5.5.3.</w:t>
      </w:r>
      <w:r w:rsidRPr="00D50F76">
        <w:rPr>
          <w:lang w:val="sv-SE"/>
        </w:rPr>
        <w:tab/>
        <w:t>A gázellátó rendszert távműködtetésű vészleállítóval kell felszerelni, amely kézi vezérlést tesz lehetővé a következő helyekről (esettől függően):</w:t>
      </w:r>
    </w:p>
    <w:p w:rsidR="005624E3" w:rsidRPr="00D50F76" w:rsidRDefault="005624E3" w:rsidP="005624E3">
      <w:pPr>
        <w:pStyle w:val="Esann8let"/>
        <w:rPr>
          <w:lang w:val="sv-SE"/>
        </w:rPr>
      </w:pPr>
      <w:r w:rsidRPr="00D50F76">
        <w:rPr>
          <w:lang w:val="sv-SE"/>
        </w:rPr>
        <w:t>a)</w:t>
      </w:r>
      <w:r w:rsidRPr="00D50F76">
        <w:rPr>
          <w:lang w:val="sv-SE"/>
        </w:rPr>
        <w:tab/>
        <w:t>kormányállás,</w:t>
      </w:r>
    </w:p>
    <w:p w:rsidR="005624E3" w:rsidRPr="00D50F76" w:rsidRDefault="005624E3" w:rsidP="005624E3">
      <w:pPr>
        <w:pStyle w:val="Esann8let"/>
        <w:rPr>
          <w:lang w:val="sv-SE"/>
        </w:rPr>
      </w:pPr>
      <w:r w:rsidRPr="00D50F76">
        <w:rPr>
          <w:lang w:val="sv-SE"/>
        </w:rPr>
        <w:t>b)</w:t>
      </w:r>
      <w:r w:rsidRPr="00D50F76">
        <w:rPr>
          <w:lang w:val="sv-SE"/>
        </w:rPr>
        <w:tab/>
        <w:t>a feltöltőállomás vezérlőállása,</w:t>
      </w:r>
    </w:p>
    <w:p w:rsidR="005624E3" w:rsidRPr="00D50F76" w:rsidRDefault="005624E3" w:rsidP="005624E3">
      <w:pPr>
        <w:pStyle w:val="Esann8let"/>
        <w:rPr>
          <w:lang w:val="sv-SE"/>
        </w:rPr>
      </w:pPr>
      <w:r w:rsidRPr="00D50F76">
        <w:rPr>
          <w:lang w:val="sv-SE"/>
        </w:rPr>
        <w:t>c)</w:t>
      </w:r>
      <w:r w:rsidRPr="00D50F76">
        <w:rPr>
          <w:lang w:val="sv-SE"/>
        </w:rPr>
        <w:tab/>
        <w:t>bármely olyan hely, ahol állandóan tartózkodik személyzet.</w:t>
      </w:r>
    </w:p>
    <w:p w:rsidR="005624E3" w:rsidRPr="00D50F76" w:rsidRDefault="005624E3" w:rsidP="005624E3">
      <w:pPr>
        <w:pStyle w:val="Esann8ch"/>
        <w:rPr>
          <w:lang w:val="sv-SE"/>
        </w:rPr>
      </w:pPr>
    </w:p>
    <w:p w:rsidR="005624E3" w:rsidRPr="00D50F76" w:rsidRDefault="005624E3" w:rsidP="005624E3">
      <w:pPr>
        <w:spacing w:line="240" w:lineRule="atLeast"/>
        <w:rPr>
          <w:rFonts w:cs="Arial"/>
          <w:noProof/>
          <w:szCs w:val="20"/>
          <w:lang w:val="sv-SE"/>
        </w:rPr>
      </w:pPr>
    </w:p>
    <w:p w:rsidR="005624E3" w:rsidRPr="00D50F76" w:rsidRDefault="005624E3" w:rsidP="005624E3">
      <w:pPr>
        <w:spacing w:line="240" w:lineRule="atLeast"/>
        <w:rPr>
          <w:rFonts w:cs="Arial"/>
          <w:noProof/>
          <w:szCs w:val="20"/>
          <w:lang w:val="sv-SE"/>
        </w:rPr>
      </w:pPr>
    </w:p>
    <w:p w:rsidR="005624E3" w:rsidRPr="00D50F76" w:rsidRDefault="005624E3" w:rsidP="005624E3">
      <w:pPr>
        <w:spacing w:line="240" w:lineRule="atLeast"/>
        <w:rPr>
          <w:rFonts w:cs="Arial"/>
          <w:noProof/>
          <w:szCs w:val="20"/>
          <w:lang w:val="sv-SE"/>
        </w:rPr>
        <w:sectPr w:rsidR="005624E3" w:rsidRPr="00D50F76" w:rsidSect="00AC5CC1">
          <w:headerReference w:type="first" r:id="rId106"/>
          <w:footnotePr>
            <w:numRestart w:val="eachPage"/>
          </w:footnotePr>
          <w:pgSz w:w="11906" w:h="16838" w:code="9"/>
          <w:pgMar w:top="1418" w:right="1418" w:bottom="1418" w:left="1418" w:header="709" w:footer="709" w:gutter="0"/>
          <w:cols w:space="709"/>
          <w:titlePg/>
          <w:docGrid w:linePitch="272"/>
        </w:sectPr>
      </w:pPr>
    </w:p>
    <w:p w:rsidR="005624E3" w:rsidRPr="00D50F76" w:rsidRDefault="005624E3" w:rsidP="005624E3">
      <w:pPr>
        <w:spacing w:line="240" w:lineRule="atLeast"/>
        <w:rPr>
          <w:rFonts w:cs="Arial"/>
          <w:noProof/>
          <w:szCs w:val="20"/>
          <w:lang w:val="sv-SE"/>
        </w:rPr>
      </w:pPr>
    </w:p>
    <w:p w:rsidR="005624E3" w:rsidRPr="00D50F76" w:rsidRDefault="005624E3" w:rsidP="005624E3">
      <w:pPr>
        <w:spacing w:line="240" w:lineRule="atLeast"/>
        <w:rPr>
          <w:rFonts w:cs="Arial"/>
          <w:noProof/>
          <w:szCs w:val="20"/>
          <w:lang w:val="sv-SE"/>
        </w:rPr>
      </w:pPr>
    </w:p>
    <w:p w:rsidR="005624E3" w:rsidRPr="00D50F76" w:rsidRDefault="005624E3" w:rsidP="005624E3">
      <w:pPr>
        <w:pStyle w:val="ESch"/>
        <w:rPr>
          <w:lang w:val="sv-SE"/>
        </w:rPr>
      </w:pPr>
    </w:p>
    <w:p w:rsidR="005624E3" w:rsidRPr="00D50F76" w:rsidRDefault="005624E3" w:rsidP="005624E3">
      <w:pPr>
        <w:pStyle w:val="ESch"/>
        <w:rPr>
          <w:lang w:val="sv-SE"/>
        </w:rPr>
      </w:pPr>
    </w:p>
    <w:p w:rsidR="005624E3" w:rsidRPr="00D50F76" w:rsidRDefault="005624E3" w:rsidP="005624E3">
      <w:pPr>
        <w:pStyle w:val="ESgauche"/>
        <w:rPr>
          <w:lang w:val="sv-SE"/>
        </w:rPr>
        <w:sectPr w:rsidR="005624E3" w:rsidRPr="00D50F76" w:rsidSect="00AC5CC1">
          <w:footnotePr>
            <w:numRestart w:val="eachPage"/>
          </w:footnotePr>
          <w:pgSz w:w="11906" w:h="16838" w:code="9"/>
          <w:pgMar w:top="1418" w:right="1418" w:bottom="1418" w:left="1418" w:header="709" w:footer="709" w:gutter="0"/>
          <w:cols w:space="709"/>
          <w:titlePg/>
          <w:docGrid w:linePitch="272"/>
        </w:sectPr>
      </w:pPr>
    </w:p>
    <w:p w:rsidR="005624E3" w:rsidRPr="00166EA9" w:rsidRDefault="005624E3" w:rsidP="005624E3">
      <w:pPr>
        <w:pStyle w:val="Es-Titreannexes"/>
        <w:rPr>
          <w:lang w:val="sv-SE"/>
        </w:rPr>
      </w:pPr>
      <w:bookmarkStart w:id="726" w:name="_Toc491854345"/>
      <w:bookmarkStart w:id="727" w:name="_Toc535854126"/>
      <w:r w:rsidRPr="00166EA9">
        <w:rPr>
          <w:lang w:val="sv-SE"/>
        </w:rPr>
        <w:t>A műszaki szabvány alkalmazására vonatkozó utasítások</w:t>
      </w:r>
      <w:bookmarkEnd w:id="726"/>
      <w:bookmarkEnd w:id="727"/>
      <w:r w:rsidRPr="00166EA9">
        <w:rPr>
          <w:lang w:val="sv-SE"/>
        </w:rPr>
        <w:t xml:space="preserve"> </w:t>
      </w:r>
    </w:p>
    <w:p w:rsidR="005624E3" w:rsidRPr="00166EA9" w:rsidRDefault="005624E3" w:rsidP="005624E3">
      <w:pPr>
        <w:overflowPunct w:val="0"/>
        <w:adjustRightInd w:val="0"/>
        <w:spacing w:line="240" w:lineRule="exact"/>
        <w:jc w:val="center"/>
        <w:textAlignment w:val="baseline"/>
        <w:rPr>
          <w:rFonts w:eastAsia="Calibri"/>
          <w:b/>
          <w:i/>
          <w:lang w:val="sv-SE"/>
        </w:rPr>
      </w:pPr>
    </w:p>
    <w:p w:rsidR="005624E3" w:rsidRPr="00166EA9" w:rsidRDefault="005624E3" w:rsidP="005624E3">
      <w:pPr>
        <w:overflowPunct w:val="0"/>
        <w:adjustRightInd w:val="0"/>
        <w:spacing w:line="240" w:lineRule="exact"/>
        <w:jc w:val="center"/>
        <w:textAlignment w:val="baseline"/>
        <w:rPr>
          <w:rFonts w:eastAsia="Calibri"/>
          <w:b/>
          <w:i/>
          <w:lang w:val="sv-SE"/>
        </w:rPr>
      </w:pPr>
    </w:p>
    <w:p w:rsidR="005624E3" w:rsidRPr="00166EA9" w:rsidRDefault="005624E3" w:rsidP="005624E3">
      <w:pPr>
        <w:overflowPunct w:val="0"/>
        <w:adjustRightInd w:val="0"/>
        <w:spacing w:line="240" w:lineRule="exact"/>
        <w:jc w:val="center"/>
        <w:textAlignment w:val="baseline"/>
        <w:rPr>
          <w:rFonts w:eastAsia="Calibri"/>
          <w:b/>
          <w:i/>
          <w:lang w:val="sv-SE"/>
        </w:rPr>
      </w:pPr>
    </w:p>
    <w:p w:rsidR="005624E3" w:rsidRPr="00166EA9" w:rsidRDefault="005624E3" w:rsidP="005624E3">
      <w:pPr>
        <w:spacing w:line="240" w:lineRule="atLeast"/>
        <w:ind w:left="567" w:hanging="567"/>
        <w:rPr>
          <w:lang w:val="sv-SE"/>
        </w:rPr>
      </w:pPr>
    </w:p>
    <w:p w:rsidR="005624E3" w:rsidRPr="00166EA9" w:rsidRDefault="005624E3" w:rsidP="005624E3">
      <w:pPr>
        <w:spacing w:line="240" w:lineRule="atLeast"/>
        <w:rPr>
          <w:lang w:val="sv-SE"/>
        </w:rPr>
      </w:pPr>
      <w:r w:rsidRPr="00166EA9">
        <w:rPr>
          <w:lang w:val="sv-SE"/>
        </w:rPr>
        <w:br w:type="page"/>
      </w:r>
    </w:p>
    <w:p w:rsidR="005624E3" w:rsidRPr="00166EA9" w:rsidRDefault="005624E3" w:rsidP="005624E3">
      <w:pPr>
        <w:spacing w:line="240" w:lineRule="atLeast"/>
        <w:rPr>
          <w:lang w:val="sv-SE"/>
        </w:rPr>
      </w:pPr>
    </w:p>
    <w:p w:rsidR="005624E3" w:rsidRPr="00166EA9" w:rsidRDefault="005624E3" w:rsidP="005624E3">
      <w:pPr>
        <w:spacing w:line="240" w:lineRule="atLeast"/>
        <w:rPr>
          <w:lang w:val="sv-SE"/>
        </w:rPr>
      </w:pPr>
    </w:p>
    <w:p w:rsidR="005624E3" w:rsidRPr="00166EA9" w:rsidRDefault="005624E3" w:rsidP="005624E3">
      <w:pPr>
        <w:spacing w:line="240" w:lineRule="atLeast"/>
        <w:rPr>
          <w:lang w:val="sv-SE"/>
        </w:rPr>
        <w:sectPr w:rsidR="005624E3" w:rsidRPr="00166EA9" w:rsidSect="00D45887">
          <w:headerReference w:type="even" r:id="rId107"/>
          <w:headerReference w:type="default" r:id="rId108"/>
          <w:footerReference w:type="even" r:id="rId109"/>
          <w:footerReference w:type="default" r:id="rId110"/>
          <w:headerReference w:type="first" r:id="rId111"/>
          <w:footerReference w:type="first" r:id="rId112"/>
          <w:pgSz w:w="11907" w:h="16840" w:code="9"/>
          <w:pgMar w:top="1418" w:right="1418" w:bottom="1418" w:left="1418" w:header="680" w:footer="680" w:gutter="0"/>
          <w:pgNumType w:start="397"/>
          <w:cols w:space="720"/>
          <w:noEndnote/>
          <w:titlePg/>
        </w:sectPr>
      </w:pPr>
    </w:p>
    <w:p w:rsidR="005624E3" w:rsidRPr="00166EA9" w:rsidRDefault="005624E3" w:rsidP="005624E3">
      <w:pPr>
        <w:pStyle w:val="ES-Titre1"/>
        <w:rPr>
          <w:lang w:val="sv-SE"/>
        </w:rPr>
      </w:pPr>
      <w:bookmarkStart w:id="728" w:name="_Toc405451503"/>
      <w:bookmarkStart w:id="729" w:name="_Toc491854346"/>
      <w:bookmarkStart w:id="730" w:name="_Toc535854127"/>
      <w:r w:rsidRPr="00166EA9">
        <w:rPr>
          <w:lang w:val="sv-SE"/>
        </w:rPr>
        <w:t>I. RÉSZ</w:t>
      </w:r>
      <w:r w:rsidRPr="00166EA9">
        <w:rPr>
          <w:lang w:val="sv-SE"/>
        </w:rPr>
        <w:br/>
      </w:r>
      <w:bookmarkEnd w:id="728"/>
      <w:r w:rsidRPr="00166EA9">
        <w:rPr>
          <w:lang w:val="sv-SE"/>
        </w:rPr>
        <w:t>ÁLTALÁNOS RÉSZ</w:t>
      </w:r>
      <w:bookmarkEnd w:id="729"/>
      <w:bookmarkEnd w:id="730"/>
    </w:p>
    <w:p w:rsidR="005624E3" w:rsidRPr="00166EA9" w:rsidRDefault="005624E3" w:rsidP="005624E3">
      <w:pPr>
        <w:tabs>
          <w:tab w:val="left" w:pos="425"/>
        </w:tabs>
        <w:rPr>
          <w:lang w:val="sv-SE"/>
        </w:rPr>
      </w:pPr>
    </w:p>
    <w:p w:rsidR="005624E3" w:rsidRPr="00166EA9" w:rsidRDefault="005624E3" w:rsidP="005624E3">
      <w:pPr>
        <w:pStyle w:val="ES-Titre2ESI"/>
        <w:rPr>
          <w:lang w:val="sv-SE"/>
        </w:rPr>
      </w:pPr>
      <w:bookmarkStart w:id="731" w:name="_Toc491854347"/>
      <w:bookmarkStart w:id="732" w:name="_Toc535854128"/>
      <w:r w:rsidRPr="00166EA9">
        <w:rPr>
          <w:lang w:val="sv-SE"/>
        </w:rPr>
        <w:t>ESI-I-1</w:t>
      </w:r>
      <w:r w:rsidRPr="00166EA9">
        <w:rPr>
          <w:lang w:val="sv-SE"/>
        </w:rPr>
        <w:br/>
        <w:t>A belvízi hajóbizonyítvány kitöltése</w:t>
      </w:r>
      <w:bookmarkEnd w:id="731"/>
      <w:bookmarkEnd w:id="732"/>
    </w:p>
    <w:p w:rsidR="005624E3" w:rsidRPr="00166EA9" w:rsidRDefault="005624E3" w:rsidP="005624E3">
      <w:pPr>
        <w:tabs>
          <w:tab w:val="left" w:pos="284"/>
          <w:tab w:val="left" w:pos="567"/>
        </w:tabs>
        <w:ind w:left="284" w:hanging="284"/>
        <w:rPr>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1.</w:t>
      </w:r>
      <w:r w:rsidRPr="00166EA9">
        <w:rPr>
          <w:lang w:val="sv-SE"/>
        </w:rPr>
        <w:tab/>
      </w:r>
      <w:r w:rsidRPr="00166EA9">
        <w:rPr>
          <w:b/>
          <w:noProof/>
          <w:color w:val="000000"/>
          <w:lang w:val="sv-SE"/>
        </w:rPr>
        <w:t>Általános rendelkezések</w:t>
      </w:r>
    </w:p>
    <w:p w:rsidR="005624E3" w:rsidRPr="00166EA9" w:rsidRDefault="005624E3" w:rsidP="005624E3">
      <w:pPr>
        <w:spacing w:line="240" w:lineRule="atLeast"/>
        <w:ind w:left="567" w:hanging="567"/>
        <w:rPr>
          <w:rFonts w:cs="Arial"/>
          <w:b/>
          <w:noProof/>
          <w:color w:val="000000"/>
          <w:szCs w:val="20"/>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1.1.</w:t>
      </w:r>
      <w:r w:rsidRPr="00166EA9">
        <w:rPr>
          <w:lang w:val="sv-SE"/>
        </w:rPr>
        <w:tab/>
      </w:r>
      <w:r w:rsidRPr="00166EA9">
        <w:rPr>
          <w:b/>
          <w:noProof/>
          <w:color w:val="000000"/>
          <w:lang w:val="sv-SE"/>
        </w:rPr>
        <w:t>Nyomtatványok</w:t>
      </w:r>
    </w:p>
    <w:p w:rsidR="005624E3" w:rsidRPr="00166EA9" w:rsidRDefault="005624E3" w:rsidP="005624E3">
      <w:pPr>
        <w:spacing w:line="240" w:lineRule="atLeast"/>
        <w:ind w:left="567" w:hanging="567"/>
        <w:rPr>
          <w:rFonts w:cs="Arial"/>
          <w:b/>
          <w:noProof/>
          <w:color w:val="000000"/>
          <w:szCs w:val="20"/>
          <w:lang w:val="sv-SE"/>
        </w:rPr>
      </w:pPr>
    </w:p>
    <w:p w:rsidR="005624E3" w:rsidRPr="00166EA9" w:rsidRDefault="005624E3" w:rsidP="005624E3">
      <w:pPr>
        <w:spacing w:line="240" w:lineRule="atLeast"/>
        <w:ind w:left="567"/>
        <w:rPr>
          <w:noProof/>
          <w:lang w:val="sv-SE"/>
        </w:rPr>
      </w:pPr>
      <w:r w:rsidRPr="00166EA9">
        <w:rPr>
          <w:lang w:val="sv-SE"/>
        </w:rPr>
        <w:t>A belvízi hajóbizonyítványok kitöltéséhez kizárólag az illetékes hatóság által engedélyezett nyomtatványok használhatók. A nyomtatványoknak csak az egyik oldala töltendő ki.</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t>Új belvízi hajóbizonyítvány kibocsátása esetén hiánytalanul csatolni kell az 1-től 13-ig számozott oldalakat, abban az esetben is, ha egyes oldalakon nincs bejegyzés.</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1.2.</w:t>
      </w:r>
      <w:r w:rsidRPr="00166EA9">
        <w:rPr>
          <w:lang w:val="sv-SE"/>
        </w:rPr>
        <w:tab/>
      </w:r>
      <w:r w:rsidRPr="00166EA9">
        <w:rPr>
          <w:b/>
          <w:noProof/>
          <w:color w:val="000000"/>
          <w:lang w:val="sv-SE"/>
        </w:rPr>
        <w:t>A bejegyzés módszere</w:t>
      </w:r>
    </w:p>
    <w:p w:rsidR="005624E3" w:rsidRPr="00166EA9" w:rsidRDefault="005624E3" w:rsidP="005624E3">
      <w:pPr>
        <w:spacing w:line="240" w:lineRule="atLeast"/>
        <w:ind w:left="567" w:hanging="567"/>
        <w:rPr>
          <w:rFonts w:cs="Arial"/>
          <w:b/>
          <w:noProof/>
          <w:color w:val="000000"/>
          <w:szCs w:val="20"/>
          <w:lang w:val="sv-SE"/>
        </w:rPr>
      </w:pPr>
    </w:p>
    <w:p w:rsidR="005624E3" w:rsidRPr="00166EA9" w:rsidRDefault="005624E3" w:rsidP="005624E3">
      <w:pPr>
        <w:spacing w:line="240" w:lineRule="atLeast"/>
        <w:ind w:left="567"/>
        <w:rPr>
          <w:noProof/>
          <w:lang w:val="sv-SE"/>
        </w:rPr>
      </w:pPr>
      <w:r w:rsidRPr="00166EA9">
        <w:rPr>
          <w:lang w:val="sv-SE"/>
        </w:rPr>
        <w:t>A belvízi hajóbizonyítványba a bejegyzéseket írógéppel vagy nyomtató segítségével kell beírni. Kézzel írt bejegyzések csak kivételes esetekben fogadhatók el. A bejegyzéseknek kitörölhetetleneknek kell lenniük. A betűk színe csak fekete vagy kék lehet. A törléseket piros színnel kell végrehajtani.</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2.</w:t>
      </w:r>
      <w:r w:rsidRPr="00166EA9">
        <w:rPr>
          <w:lang w:val="sv-SE"/>
        </w:rPr>
        <w:tab/>
      </w:r>
      <w:r w:rsidRPr="00166EA9">
        <w:rPr>
          <w:b/>
          <w:noProof/>
          <w:color w:val="000000"/>
          <w:lang w:val="sv-SE"/>
        </w:rPr>
        <w:t>Bejegyzések</w:t>
      </w:r>
    </w:p>
    <w:p w:rsidR="005624E3" w:rsidRPr="00166EA9" w:rsidRDefault="005624E3" w:rsidP="005624E3">
      <w:pPr>
        <w:spacing w:line="240" w:lineRule="atLeast"/>
        <w:ind w:left="567" w:hanging="567"/>
        <w:rPr>
          <w:rFonts w:cs="Arial"/>
          <w:b/>
          <w:noProof/>
          <w:color w:val="000000"/>
          <w:szCs w:val="20"/>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2.1.</w:t>
      </w:r>
      <w:r w:rsidRPr="00166EA9">
        <w:rPr>
          <w:lang w:val="sv-SE"/>
        </w:rPr>
        <w:tab/>
      </w:r>
      <w:r w:rsidRPr="00166EA9">
        <w:rPr>
          <w:b/>
          <w:noProof/>
          <w:color w:val="000000"/>
          <w:lang w:val="sv-SE"/>
        </w:rPr>
        <w:t>Az alternatívák törlése</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t xml:space="preserve">A </w:t>
      </w:r>
      <w:r w:rsidRPr="00166EA9">
        <w:rPr>
          <w:noProof/>
          <w:vertAlign w:val="superscript"/>
          <w:lang w:val="sv-SE"/>
        </w:rPr>
        <w:t>(*)</w:t>
      </w:r>
      <w:r w:rsidRPr="00166EA9">
        <w:rPr>
          <w:lang w:val="sv-SE"/>
        </w:rPr>
        <w:t xml:space="preserve"> jelöléssel ellátott bejegyzéseknél a nem kívánt rész törlendő.</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2.2.</w:t>
      </w:r>
      <w:r w:rsidRPr="00166EA9">
        <w:rPr>
          <w:lang w:val="sv-SE"/>
        </w:rPr>
        <w:tab/>
      </w:r>
      <w:r w:rsidRPr="00166EA9">
        <w:rPr>
          <w:b/>
          <w:noProof/>
          <w:color w:val="000000"/>
          <w:lang w:val="sv-SE"/>
        </w:rPr>
        <w:t>Bejegyzés nélküli pontok</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t>Ha az 1–48. rovatok valamelyikénél nincs szükség vagy lehetőség bejegyzésre, a teljes mezőt vonallal át kell húzni.</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2.3.</w:t>
      </w:r>
      <w:r w:rsidRPr="00166EA9">
        <w:rPr>
          <w:lang w:val="sv-SE"/>
        </w:rPr>
        <w:tab/>
      </w:r>
      <w:r w:rsidRPr="00166EA9">
        <w:rPr>
          <w:b/>
          <w:noProof/>
          <w:color w:val="000000"/>
          <w:lang w:val="sv-SE"/>
        </w:rPr>
        <w:t>A belvízi hajóbizonyítvány utolsó oldala</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t xml:space="preserve">Ha a 13. oldal után nincs szükség további oldalra (lásd a 3.2.3. pontot), akkor a „folytatás a(z) </w:t>
      </w:r>
      <w:r w:rsidRPr="00166EA9">
        <w:rPr>
          <w:noProof/>
          <w:vertAlign w:val="superscript"/>
          <w:lang w:val="sv-SE"/>
        </w:rPr>
        <w:footnoteReference w:customMarkFollows="1" w:id="77"/>
        <w:t>(*)</w:t>
      </w:r>
      <w:r w:rsidRPr="00166EA9">
        <w:rPr>
          <w:lang w:val="sv-SE"/>
        </w:rPr>
        <w:t xml:space="preserve"> oldalon” szavakat a 13. oldal alján át kell húzni.</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2.4.</w:t>
      </w:r>
      <w:r w:rsidRPr="00166EA9">
        <w:rPr>
          <w:lang w:val="sv-SE"/>
        </w:rPr>
        <w:tab/>
      </w:r>
      <w:r w:rsidRPr="00166EA9">
        <w:rPr>
          <w:b/>
          <w:noProof/>
          <w:color w:val="000000"/>
          <w:lang w:val="sv-SE"/>
        </w:rPr>
        <w:t>Módosítások</w:t>
      </w:r>
    </w:p>
    <w:p w:rsidR="005624E3" w:rsidRPr="00166EA9" w:rsidRDefault="005624E3" w:rsidP="005624E3">
      <w:pPr>
        <w:spacing w:line="240" w:lineRule="atLeast"/>
        <w:ind w:left="567" w:hanging="567"/>
        <w:rPr>
          <w:rFonts w:cs="Arial"/>
          <w:b/>
          <w:noProof/>
          <w:color w:val="000000"/>
          <w:szCs w:val="20"/>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2.4.1.</w:t>
      </w:r>
      <w:r w:rsidRPr="00166EA9">
        <w:rPr>
          <w:lang w:val="sv-SE"/>
        </w:rPr>
        <w:tab/>
      </w:r>
      <w:r w:rsidRPr="00166EA9">
        <w:rPr>
          <w:b/>
          <w:noProof/>
          <w:color w:val="000000"/>
          <w:lang w:val="sv-SE"/>
        </w:rPr>
        <w:t>Első kézzel írt módosítás egy adott oldalon</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t>Egy oldal csak egyszer módosítható, ekkor azonban egyszerre több módosítás is végrehajtható. A módosítandó rovatokat piros vonallal át kell húzni. A korábban törölt alternatívát (lásd a 2.1. pontot) vagy a korábban bejegyzés nélkül hagyott rovatot (lásd a 2.3. pontot) pirossal alá kell húzni. Az új adatokat nem a módosított mezőbe, hanem ugyanazon az oldalon a „Módosítások” címszó alatt kell beírni, az „Ez az oldal lecserélésre került” sort ki kell húzni.</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br w:type="page"/>
      </w: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2.4.2.</w:t>
      </w:r>
      <w:r w:rsidRPr="00166EA9">
        <w:rPr>
          <w:lang w:val="sv-SE"/>
        </w:rPr>
        <w:tab/>
      </w:r>
      <w:r w:rsidRPr="00166EA9">
        <w:rPr>
          <w:b/>
          <w:noProof/>
          <w:color w:val="000000"/>
          <w:lang w:val="sv-SE"/>
        </w:rPr>
        <w:t>További kézzel írt módosítások egy oldalon belül</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t>További módosítások esetén az érintett oldalt ki kell cserélni, és a szükséges módosításokat, valamint az összes korábbi módosítást közvetlenül a megfelelő pontok alatt kell bevezetni. A „Módosítások” címszó alatt a „Módosított tétel/tételek” sort ki kell húzni.</w:t>
      </w:r>
    </w:p>
    <w:p w:rsidR="005624E3" w:rsidRPr="00166EA9" w:rsidRDefault="005624E3" w:rsidP="005624E3">
      <w:pPr>
        <w:spacing w:line="240" w:lineRule="atLeast"/>
        <w:ind w:left="567"/>
        <w:rPr>
          <w:noProof/>
          <w:lang w:val="sv-SE"/>
        </w:rPr>
      </w:pPr>
      <w:r w:rsidRPr="00166EA9">
        <w:rPr>
          <w:lang w:val="sv-SE"/>
        </w:rPr>
        <w:t xml:space="preserve">A korábbi lapot az az </w:t>
      </w:r>
      <w:r w:rsidR="00EA3F15">
        <w:rPr>
          <w:lang w:val="sv-SE"/>
        </w:rPr>
        <w:t>ellenőrző szerv</w:t>
      </w:r>
      <w:r w:rsidRPr="00166EA9">
        <w:rPr>
          <w:lang w:val="sv-SE"/>
        </w:rPr>
        <w:t>, amely a belvízi hajóbizonyítványt eredetileg kibocsátotta, megőrzi.</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2.4.3.</w:t>
      </w:r>
      <w:r w:rsidRPr="00166EA9">
        <w:rPr>
          <w:lang w:val="sv-SE"/>
        </w:rPr>
        <w:tab/>
      </w:r>
      <w:r w:rsidRPr="00166EA9">
        <w:rPr>
          <w:b/>
          <w:noProof/>
          <w:color w:val="000000"/>
          <w:lang w:val="sv-SE"/>
        </w:rPr>
        <w:t>Elektronikus adatfeldolgozással végrehajtott módosítások</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t>Elektronikus adatfeldolgozással végrehajtott módosítások esetén az érintett oldalt ki kell cserélni, és a szükséges módosításokat, valamint az összes korábbi módosítást a megfelelő rovatokba kell közvetlenül bejegyezni. A „Módosítások” címszó alatt a „Módosított tétel/tételek” sort ki kell húzni.</w:t>
      </w:r>
    </w:p>
    <w:p w:rsidR="005624E3" w:rsidRPr="00166EA9" w:rsidRDefault="005624E3" w:rsidP="005624E3">
      <w:pPr>
        <w:spacing w:line="240" w:lineRule="atLeast"/>
        <w:ind w:left="567"/>
        <w:rPr>
          <w:noProof/>
          <w:lang w:val="sv-SE"/>
        </w:rPr>
      </w:pPr>
      <w:r w:rsidRPr="00166EA9">
        <w:rPr>
          <w:lang w:val="sv-SE"/>
        </w:rPr>
        <w:t xml:space="preserve">A korábbi lapot az az </w:t>
      </w:r>
      <w:r w:rsidR="00EA3F15">
        <w:rPr>
          <w:lang w:val="sv-SE"/>
        </w:rPr>
        <w:t>ellenőrző szerv</w:t>
      </w:r>
      <w:r w:rsidRPr="00166EA9">
        <w:rPr>
          <w:lang w:val="sv-SE"/>
        </w:rPr>
        <w:t>, amely a belvízi hajóbizonyítványt eredetileg kibocsátotta, megőrzi.</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2.5.</w:t>
      </w:r>
      <w:r w:rsidRPr="00166EA9">
        <w:rPr>
          <w:lang w:val="sv-SE"/>
        </w:rPr>
        <w:tab/>
      </w:r>
      <w:r w:rsidRPr="00166EA9">
        <w:rPr>
          <w:b/>
          <w:noProof/>
          <w:color w:val="000000"/>
          <w:lang w:val="sv-SE"/>
        </w:rPr>
        <w:t>Felülírásos javítások</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t>A rovatok bejegyzéseit sem felülírni, sem utólagosan kiegészíteni nem szabad.</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3.</w:t>
      </w:r>
      <w:r w:rsidRPr="00166EA9">
        <w:rPr>
          <w:lang w:val="sv-SE"/>
        </w:rPr>
        <w:tab/>
      </w:r>
      <w:r w:rsidRPr="00166EA9">
        <w:rPr>
          <w:b/>
          <w:noProof/>
          <w:color w:val="000000"/>
          <w:lang w:val="sv-SE"/>
        </w:rPr>
        <w:t>Oldalak kicserélése és hozzáadása</w:t>
      </w:r>
    </w:p>
    <w:p w:rsidR="005624E3" w:rsidRPr="00166EA9" w:rsidRDefault="005624E3" w:rsidP="005624E3">
      <w:pPr>
        <w:spacing w:line="240" w:lineRule="atLeast"/>
        <w:ind w:left="567" w:hanging="567"/>
        <w:rPr>
          <w:rFonts w:cs="Arial"/>
          <w:b/>
          <w:noProof/>
          <w:color w:val="000000"/>
          <w:szCs w:val="20"/>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3.1.</w:t>
      </w:r>
      <w:r w:rsidRPr="00166EA9">
        <w:rPr>
          <w:lang w:val="sv-SE"/>
        </w:rPr>
        <w:tab/>
      </w:r>
      <w:r w:rsidRPr="00166EA9">
        <w:rPr>
          <w:b/>
          <w:noProof/>
          <w:color w:val="000000"/>
          <w:lang w:val="sv-SE"/>
        </w:rPr>
        <w:t>Oldalak kicserélése</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t>A belvízi hajóbizonyítvány 1. oldalát soha nem szabad kicserélni. A többi oldal cseréje esetén a 2.4.2. vagy 2.4.3. pontban leírt eljárást kell alkalmazni.</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3.2.</w:t>
      </w:r>
      <w:r w:rsidRPr="00166EA9">
        <w:rPr>
          <w:lang w:val="sv-SE"/>
        </w:rPr>
        <w:tab/>
      </w:r>
      <w:r w:rsidRPr="00166EA9">
        <w:rPr>
          <w:b/>
          <w:noProof/>
          <w:color w:val="000000"/>
          <w:lang w:val="sv-SE"/>
        </w:rPr>
        <w:t>Oldalak hozzáadása</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sv-SE"/>
        </w:rPr>
      </w:pPr>
      <w:r w:rsidRPr="00166EA9">
        <w:rPr>
          <w:lang w:val="sv-SE"/>
        </w:rPr>
        <w:t>Ha nincs elegendő hely további bejegyzések beírásához a belvízi hajóbizonyítvány 10., 12. vagy 13. oldalán, akkor beilleszthetők további oldalak.</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hanging="567"/>
        <w:rPr>
          <w:rFonts w:cs="Arial"/>
          <w:b/>
          <w:noProof/>
          <w:color w:val="000000"/>
          <w:szCs w:val="20"/>
          <w:lang w:val="sv-SE"/>
        </w:rPr>
      </w:pPr>
      <w:r w:rsidRPr="00166EA9">
        <w:rPr>
          <w:b/>
          <w:noProof/>
          <w:color w:val="000000"/>
          <w:lang w:val="sv-SE"/>
        </w:rPr>
        <w:t>3.2.1.</w:t>
      </w:r>
      <w:r w:rsidRPr="00166EA9">
        <w:rPr>
          <w:lang w:val="sv-SE"/>
        </w:rPr>
        <w:tab/>
      </w:r>
      <w:r w:rsidRPr="00166EA9">
        <w:rPr>
          <w:b/>
          <w:noProof/>
          <w:color w:val="000000"/>
          <w:lang w:val="sv-SE"/>
        </w:rPr>
        <w:t>Az érvényesség meghosszabbítása/megerősítése</w:t>
      </w:r>
    </w:p>
    <w:p w:rsidR="005624E3" w:rsidRPr="00166EA9" w:rsidRDefault="005624E3" w:rsidP="005624E3">
      <w:pPr>
        <w:spacing w:line="240" w:lineRule="atLeast"/>
        <w:ind w:left="567"/>
        <w:rPr>
          <w:noProof/>
          <w:lang w:val="sv-SE"/>
        </w:rPr>
      </w:pPr>
    </w:p>
    <w:p w:rsidR="005624E3" w:rsidRPr="00166EA9" w:rsidRDefault="005624E3" w:rsidP="005624E3">
      <w:pPr>
        <w:spacing w:line="240" w:lineRule="atLeast"/>
        <w:ind w:left="567"/>
        <w:rPr>
          <w:noProof/>
          <w:lang w:val="es-ES"/>
        </w:rPr>
      </w:pPr>
      <w:r w:rsidRPr="00166EA9">
        <w:rPr>
          <w:lang w:val="sv-SE"/>
        </w:rPr>
        <w:t xml:space="preserve">Ha a bizonyítvány már hatszor lejárt és további hosszabbítás szükséges, a 10. oldal aljára be kell írni a „Folytatás a 10a. oldalon” szavakat, és a 10. oldal után a nyomtatvány 10. oldalának újabb példányát kell beilleszteni 10a. számozással. A megfelelő bejegyzéseket ezután a 10a. oldal tetején a 49. rovatba kell bejegyezni. </w:t>
      </w:r>
      <w:r w:rsidRPr="00166EA9">
        <w:rPr>
          <w:lang w:val="es-ES"/>
        </w:rPr>
        <w:t>A 10a. oldal aljára rá kell írni a „Folytatás a 11. oldalon” bejegyzést.</w:t>
      </w:r>
    </w:p>
    <w:p w:rsidR="005624E3" w:rsidRPr="00166EA9" w:rsidRDefault="005624E3" w:rsidP="005624E3">
      <w:pPr>
        <w:spacing w:line="240" w:lineRule="atLeast"/>
        <w:ind w:left="567"/>
        <w:rPr>
          <w:noProof/>
          <w:lang w:val="es-ES"/>
        </w:rPr>
      </w:pPr>
    </w:p>
    <w:p w:rsidR="005624E3" w:rsidRPr="00166EA9" w:rsidRDefault="005624E3" w:rsidP="005624E3">
      <w:pPr>
        <w:spacing w:line="240" w:lineRule="atLeast"/>
        <w:ind w:left="567" w:hanging="567"/>
        <w:rPr>
          <w:rFonts w:cs="Arial"/>
          <w:b/>
          <w:noProof/>
          <w:color w:val="000000"/>
          <w:szCs w:val="20"/>
          <w:lang w:val="es-ES"/>
        </w:rPr>
      </w:pPr>
      <w:r w:rsidRPr="00166EA9">
        <w:rPr>
          <w:b/>
          <w:noProof/>
          <w:color w:val="000000"/>
          <w:lang w:val="es-ES"/>
        </w:rPr>
        <w:t>3.2.2.</w:t>
      </w:r>
      <w:r w:rsidRPr="00166EA9">
        <w:rPr>
          <w:lang w:val="es-ES"/>
        </w:rPr>
        <w:tab/>
      </w:r>
      <w:r w:rsidRPr="00166EA9">
        <w:rPr>
          <w:b/>
          <w:noProof/>
          <w:color w:val="000000"/>
          <w:lang w:val="es-ES"/>
        </w:rPr>
        <w:t>A cseppfolyósított gázzal üzemelő berendezések bizonyítványának meghosszabbítása</w:t>
      </w:r>
    </w:p>
    <w:p w:rsidR="005624E3" w:rsidRPr="00166EA9" w:rsidRDefault="005624E3" w:rsidP="005624E3">
      <w:pPr>
        <w:spacing w:line="240" w:lineRule="atLeast"/>
        <w:ind w:left="567"/>
        <w:rPr>
          <w:noProof/>
          <w:lang w:val="es-ES"/>
        </w:rPr>
      </w:pPr>
    </w:p>
    <w:p w:rsidR="005624E3" w:rsidRPr="00166EA9" w:rsidRDefault="005624E3" w:rsidP="005624E3">
      <w:pPr>
        <w:spacing w:line="240" w:lineRule="atLeast"/>
        <w:ind w:left="567"/>
        <w:rPr>
          <w:noProof/>
          <w:lang w:val="es-ES"/>
        </w:rPr>
      </w:pPr>
      <w:r w:rsidRPr="00166EA9">
        <w:rPr>
          <w:lang w:val="es-ES"/>
        </w:rPr>
        <w:t>A 3.2.1. pontban leírthoz hasonló eljárást kell alkalmazni, vagyis a 12. oldal után 12a. számozású oldalt kell beilleszteni.</w:t>
      </w:r>
    </w:p>
    <w:p w:rsidR="005624E3" w:rsidRPr="00166EA9" w:rsidRDefault="005624E3" w:rsidP="005624E3">
      <w:pPr>
        <w:spacing w:line="240" w:lineRule="atLeast"/>
        <w:ind w:left="567"/>
        <w:rPr>
          <w:noProof/>
          <w:lang w:val="es-ES"/>
        </w:rPr>
      </w:pPr>
    </w:p>
    <w:p w:rsidR="005624E3" w:rsidRPr="00166EA9" w:rsidRDefault="005624E3" w:rsidP="005624E3">
      <w:pPr>
        <w:spacing w:line="240" w:lineRule="atLeast"/>
        <w:ind w:left="567" w:hanging="567"/>
        <w:rPr>
          <w:rFonts w:cs="Arial"/>
          <w:b/>
          <w:noProof/>
          <w:color w:val="000000"/>
          <w:szCs w:val="20"/>
          <w:lang w:val="es-ES"/>
        </w:rPr>
      </w:pPr>
      <w:r w:rsidRPr="00166EA9">
        <w:rPr>
          <w:b/>
          <w:noProof/>
          <w:color w:val="000000"/>
          <w:lang w:val="es-ES"/>
        </w:rPr>
        <w:t>3.2.3.</w:t>
      </w:r>
      <w:r w:rsidRPr="00166EA9">
        <w:rPr>
          <w:lang w:val="es-ES"/>
        </w:rPr>
        <w:tab/>
      </w:r>
      <w:r w:rsidRPr="00166EA9">
        <w:rPr>
          <w:b/>
          <w:noProof/>
          <w:color w:val="000000"/>
          <w:lang w:val="es-ES"/>
        </w:rPr>
        <w:t>Melléklet a belvízi hajóbizonyítványhoz</w:t>
      </w:r>
    </w:p>
    <w:p w:rsidR="005624E3" w:rsidRPr="00166EA9" w:rsidRDefault="005624E3" w:rsidP="005624E3">
      <w:pPr>
        <w:spacing w:line="240" w:lineRule="atLeast"/>
        <w:ind w:left="567"/>
        <w:rPr>
          <w:noProof/>
          <w:lang w:val="es-ES"/>
        </w:rPr>
      </w:pPr>
    </w:p>
    <w:p w:rsidR="005624E3" w:rsidRPr="00166EA9" w:rsidRDefault="005624E3" w:rsidP="005624E3">
      <w:pPr>
        <w:spacing w:line="240" w:lineRule="atLeast"/>
        <w:ind w:left="567"/>
        <w:rPr>
          <w:noProof/>
          <w:lang w:val="es-ES"/>
        </w:rPr>
      </w:pPr>
      <w:r w:rsidRPr="00166EA9">
        <w:rPr>
          <w:lang w:val="es-ES"/>
        </w:rPr>
        <w:t xml:space="preserve">A 13. oldal alján piros tintával ki kell húzni „A belvízi hajóbizonyítvány vége” szavakat, a kihúzott „Folytatás a(z) </w:t>
      </w:r>
      <w:r w:rsidRPr="00921ED0">
        <w:rPr>
          <w:noProof/>
          <w:vertAlign w:val="superscript"/>
        </w:rPr>
        <w:footnoteReference w:id="78"/>
      </w:r>
      <w:r w:rsidRPr="00166EA9">
        <w:rPr>
          <w:lang w:val="es-ES"/>
        </w:rPr>
        <w:t xml:space="preserve"> oldalon” szavakat piros tintával alá kell húzni, és utána be kell illeszteni egy 13a. számozással ellátott oldalt. Ezt a módosítást hivatalos bélyegzővel le kell bélyegezni. Az újabb 13. oldalt 13a. számozással kell ellátni és be kell illeszteni a 13. oldal után. A 2.2. és a 2.3. pont rendelkezései értelemszerűen alkalmazandók a 13a. oldalra.</w:t>
      </w:r>
    </w:p>
    <w:p w:rsidR="005624E3" w:rsidRPr="00166EA9" w:rsidRDefault="005624E3" w:rsidP="005624E3">
      <w:pPr>
        <w:spacing w:line="240" w:lineRule="atLeast"/>
        <w:ind w:left="567"/>
        <w:rPr>
          <w:noProof/>
          <w:lang w:val="es-ES"/>
        </w:rPr>
      </w:pPr>
      <w:r w:rsidRPr="00166EA9">
        <w:rPr>
          <w:lang w:val="es-ES"/>
        </w:rPr>
        <w:t>Ugyanezt az eljárást kell alkalmazni minden további melléklet esetében is (13b., 13c. stb. oldal).</w:t>
      </w:r>
    </w:p>
    <w:p w:rsidR="005624E3" w:rsidRPr="00166EA9" w:rsidRDefault="005624E3" w:rsidP="005624E3">
      <w:pPr>
        <w:spacing w:line="240" w:lineRule="atLeast"/>
        <w:ind w:left="567"/>
        <w:rPr>
          <w:noProof/>
          <w:lang w:val="es-ES"/>
        </w:rPr>
      </w:pPr>
      <w:r w:rsidRPr="00166EA9">
        <w:rPr>
          <w:lang w:val="es-ES"/>
        </w:rPr>
        <w:br w:type="page"/>
      </w:r>
    </w:p>
    <w:p w:rsidR="005624E3" w:rsidRPr="00166EA9" w:rsidRDefault="005624E3" w:rsidP="005624E3">
      <w:pPr>
        <w:spacing w:line="240" w:lineRule="atLeast"/>
        <w:ind w:left="567" w:hanging="567"/>
        <w:rPr>
          <w:rFonts w:cs="Arial"/>
          <w:b/>
          <w:noProof/>
          <w:color w:val="000000"/>
          <w:szCs w:val="20"/>
          <w:lang w:val="es-ES"/>
        </w:rPr>
      </w:pPr>
      <w:r w:rsidRPr="00166EA9">
        <w:rPr>
          <w:b/>
          <w:noProof/>
          <w:color w:val="000000"/>
          <w:lang w:val="es-ES"/>
        </w:rPr>
        <w:t>4.</w:t>
      </w:r>
      <w:r w:rsidRPr="00166EA9">
        <w:rPr>
          <w:lang w:val="es-ES"/>
        </w:rPr>
        <w:tab/>
      </w:r>
      <w:r w:rsidRPr="00166EA9">
        <w:rPr>
          <w:b/>
          <w:noProof/>
          <w:color w:val="000000"/>
          <w:lang w:val="es-ES"/>
        </w:rPr>
        <w:t>Az egyes rovatok magyarázata</w:t>
      </w:r>
    </w:p>
    <w:p w:rsidR="005624E3" w:rsidRPr="00166EA9" w:rsidRDefault="005624E3" w:rsidP="005624E3">
      <w:pPr>
        <w:spacing w:line="240" w:lineRule="atLeast"/>
        <w:ind w:left="567"/>
        <w:rPr>
          <w:noProof/>
          <w:lang w:val="es-ES"/>
        </w:rPr>
      </w:pPr>
    </w:p>
    <w:p w:rsidR="005624E3" w:rsidRPr="00166EA9" w:rsidRDefault="005624E3" w:rsidP="005624E3">
      <w:pPr>
        <w:spacing w:line="240" w:lineRule="atLeast"/>
        <w:ind w:left="567"/>
        <w:rPr>
          <w:noProof/>
          <w:lang w:val="es-ES"/>
        </w:rPr>
      </w:pPr>
      <w:r w:rsidRPr="00166EA9">
        <w:rPr>
          <w:lang w:val="es-ES"/>
        </w:rPr>
        <w:t>A magától értetődően kitöltendő rovatokra az alábbiakban nem térünk ki.</w:t>
      </w:r>
    </w:p>
    <w:p w:rsidR="005624E3" w:rsidRPr="00166EA9" w:rsidRDefault="005624E3" w:rsidP="005624E3">
      <w:pPr>
        <w:spacing w:line="240" w:lineRule="atLeast"/>
        <w:ind w:left="567"/>
        <w:rPr>
          <w:noProof/>
          <w:lang w:val="es-ES"/>
        </w:rPr>
      </w:pPr>
    </w:p>
    <w:p w:rsidR="005624E3" w:rsidRPr="00166EA9" w:rsidRDefault="005624E3" w:rsidP="005624E3">
      <w:pPr>
        <w:tabs>
          <w:tab w:val="left" w:pos="567"/>
          <w:tab w:val="left" w:pos="1418"/>
        </w:tabs>
        <w:spacing w:line="240" w:lineRule="atLeast"/>
        <w:ind w:left="1418" w:hanging="851"/>
        <w:rPr>
          <w:noProof/>
          <w:lang w:val="es-ES"/>
        </w:rPr>
      </w:pPr>
      <w:r w:rsidRPr="00166EA9">
        <w:rPr>
          <w:lang w:val="es-ES"/>
        </w:rPr>
        <w:t>2.</w:t>
      </w:r>
      <w:r w:rsidRPr="00166EA9">
        <w:rPr>
          <w:lang w:val="es-ES"/>
        </w:rPr>
        <w:tab/>
        <w:t>Adott esetben az 1.01. cikk szerinti fogalmakat kell használni. Az egyéb hajótípusokat az általánosan elfogadott megjelölés szerint kell bejegyezni.</w:t>
      </w:r>
    </w:p>
    <w:p w:rsidR="005624E3" w:rsidRPr="00166EA9" w:rsidRDefault="005624E3" w:rsidP="005624E3">
      <w:pPr>
        <w:tabs>
          <w:tab w:val="left" w:pos="567"/>
          <w:tab w:val="left" w:pos="1418"/>
        </w:tabs>
        <w:spacing w:line="240" w:lineRule="atLeast"/>
        <w:ind w:left="1418" w:hanging="851"/>
        <w:rPr>
          <w:noProof/>
          <w:lang w:val="es-ES"/>
        </w:rPr>
      </w:pPr>
    </w:p>
    <w:p w:rsidR="005624E3" w:rsidRPr="00166EA9" w:rsidRDefault="005624E3" w:rsidP="005624E3">
      <w:pPr>
        <w:tabs>
          <w:tab w:val="left" w:pos="567"/>
          <w:tab w:val="left" w:pos="1418"/>
        </w:tabs>
        <w:spacing w:line="240" w:lineRule="atLeast"/>
        <w:ind w:left="1418" w:hanging="851"/>
        <w:rPr>
          <w:noProof/>
          <w:lang w:val="es-ES"/>
        </w:rPr>
      </w:pPr>
      <w:r w:rsidRPr="00166EA9">
        <w:rPr>
          <w:lang w:val="es-ES"/>
        </w:rPr>
        <w:t>3.</w:t>
      </w:r>
      <w:r w:rsidRPr="00166EA9">
        <w:rPr>
          <w:lang w:val="es-ES"/>
        </w:rPr>
        <w:tab/>
        <w:t>A belvízi hajóbizonyítvány érvényességének meghosszabbításakor a „hivatalos szám” kifejezést, valamint a számot el kell hagyni, és módosítás esetén a „3. Egyedi európai hajóazonosító szám” szöveget, valamint az említett számot kell beírni.</w:t>
      </w:r>
    </w:p>
    <w:p w:rsidR="005624E3" w:rsidRPr="00166EA9" w:rsidRDefault="005624E3" w:rsidP="005624E3">
      <w:pPr>
        <w:tabs>
          <w:tab w:val="left" w:pos="567"/>
          <w:tab w:val="left" w:pos="1418"/>
        </w:tabs>
        <w:spacing w:line="240" w:lineRule="atLeast"/>
        <w:ind w:left="1418" w:hanging="851"/>
        <w:rPr>
          <w:noProof/>
          <w:lang w:val="es-ES"/>
        </w:rPr>
      </w:pPr>
    </w:p>
    <w:p w:rsidR="005624E3" w:rsidRPr="00166EA9" w:rsidRDefault="005624E3" w:rsidP="005624E3">
      <w:pPr>
        <w:tabs>
          <w:tab w:val="left" w:pos="567"/>
          <w:tab w:val="left" w:pos="1418"/>
        </w:tabs>
        <w:spacing w:line="240" w:lineRule="atLeast"/>
        <w:ind w:left="1418" w:hanging="851"/>
        <w:rPr>
          <w:noProof/>
          <w:lang w:val="es-ES"/>
        </w:rPr>
      </w:pPr>
      <w:r w:rsidRPr="00166EA9">
        <w:rPr>
          <w:lang w:val="es-ES"/>
        </w:rPr>
        <w:t>10.</w:t>
      </w:r>
      <w:r w:rsidRPr="00166EA9">
        <w:rPr>
          <w:lang w:val="es-ES"/>
        </w:rPr>
        <w:tab/>
        <w:t>Tekintettel a Rajnán való közlekedést engedélyező uniós belvízi hajóbizonyítvánnyal rendelkező hajókra, vagyis azokra,</w:t>
      </w:r>
    </w:p>
    <w:p w:rsidR="005624E3" w:rsidRPr="00166EA9" w:rsidRDefault="005624E3" w:rsidP="005624E3">
      <w:pPr>
        <w:tabs>
          <w:tab w:val="left" w:pos="1843"/>
        </w:tabs>
        <w:spacing w:before="60" w:line="240" w:lineRule="atLeast"/>
        <w:ind w:left="1843"/>
        <w:rPr>
          <w:noProof/>
          <w:lang w:val="es-ES"/>
        </w:rPr>
      </w:pPr>
      <w:r w:rsidRPr="00166EA9">
        <w:rPr>
          <w:lang w:val="es-ES"/>
        </w:rPr>
        <w:t>a)</w:t>
      </w:r>
      <w:r w:rsidRPr="00166EA9">
        <w:rPr>
          <w:lang w:val="es-ES"/>
        </w:rPr>
        <w:tab/>
        <w:t>amelyek teljesen megfelelnek e szabvány követelményeinek, ideértve a 32. fejezet átmeneti rendelkezéseit is; valamint</w:t>
      </w:r>
    </w:p>
    <w:p w:rsidR="005624E3" w:rsidRPr="00166EA9" w:rsidRDefault="005624E3" w:rsidP="005624E3">
      <w:pPr>
        <w:tabs>
          <w:tab w:val="left" w:pos="1843"/>
        </w:tabs>
        <w:spacing w:before="60" w:line="240" w:lineRule="atLeast"/>
        <w:ind w:left="1843"/>
        <w:rPr>
          <w:noProof/>
          <w:lang w:val="es-ES"/>
        </w:rPr>
      </w:pPr>
      <w:r w:rsidRPr="00166EA9">
        <w:rPr>
          <w:lang w:val="es-ES"/>
        </w:rPr>
        <w:t>b)</w:t>
      </w:r>
      <w:r w:rsidRPr="00166EA9">
        <w:rPr>
          <w:lang w:val="es-ES"/>
        </w:rPr>
        <w:tab/>
        <w:t>amelyek nem használják ki a 33. fejezet átmeneti rendelkezései vagy a 4. zónára vonatkozó csökkentések adta lehetőségeket,</w:t>
      </w:r>
    </w:p>
    <w:p w:rsidR="005624E3" w:rsidRPr="00166EA9" w:rsidRDefault="005624E3" w:rsidP="005624E3">
      <w:pPr>
        <w:tabs>
          <w:tab w:val="left" w:pos="1843"/>
        </w:tabs>
        <w:spacing w:before="60" w:line="240" w:lineRule="atLeast"/>
        <w:ind w:left="1843"/>
        <w:rPr>
          <w:noProof/>
          <w:lang w:val="es-ES"/>
        </w:rPr>
      </w:pPr>
      <w:r w:rsidRPr="00166EA9">
        <w:rPr>
          <w:lang w:val="es-ES"/>
        </w:rPr>
        <w:t>„a ....................... zóná(k)ba sorolt uniós vízi utakon” szövegű francia bekezdéshez a következő szöveget kell írni:</w:t>
      </w:r>
    </w:p>
    <w:p w:rsidR="005624E3" w:rsidRPr="00166EA9" w:rsidRDefault="005624E3" w:rsidP="005624E3">
      <w:pPr>
        <w:tabs>
          <w:tab w:val="left" w:pos="1843"/>
        </w:tabs>
        <w:spacing w:before="60" w:line="240" w:lineRule="atLeast"/>
        <w:ind w:left="1843"/>
        <w:rPr>
          <w:noProof/>
          <w:lang w:val="pt-PT"/>
        </w:rPr>
      </w:pPr>
      <w:r w:rsidRPr="00166EA9">
        <w:rPr>
          <w:lang w:val="pt-PT"/>
        </w:rPr>
        <w:t>a)</w:t>
      </w:r>
      <w:r w:rsidRPr="00166EA9">
        <w:rPr>
          <w:lang w:val="pt-PT"/>
        </w:rPr>
        <w:tab/>
        <w:t xml:space="preserve">Rajna; vagy </w:t>
      </w:r>
    </w:p>
    <w:p w:rsidR="005624E3" w:rsidRPr="00166EA9" w:rsidRDefault="005624E3" w:rsidP="005624E3">
      <w:pPr>
        <w:tabs>
          <w:tab w:val="left" w:pos="1843"/>
        </w:tabs>
        <w:spacing w:before="60" w:line="240" w:lineRule="atLeast"/>
        <w:ind w:left="1843"/>
        <w:rPr>
          <w:noProof/>
          <w:lang w:val="pt-PT"/>
        </w:rPr>
      </w:pPr>
      <w:r w:rsidRPr="00166EA9">
        <w:rPr>
          <w:lang w:val="pt-PT"/>
        </w:rPr>
        <w:t>b)</w:t>
      </w:r>
      <w:r w:rsidRPr="00166EA9">
        <w:rPr>
          <w:lang w:val="pt-PT"/>
        </w:rPr>
        <w:tab/>
        <w:t>R zóna.</w:t>
      </w:r>
    </w:p>
    <w:p w:rsidR="005624E3" w:rsidRPr="00166EA9" w:rsidRDefault="005624E3" w:rsidP="005624E3">
      <w:pPr>
        <w:tabs>
          <w:tab w:val="left" w:pos="1843"/>
        </w:tabs>
        <w:spacing w:line="240" w:lineRule="atLeast"/>
        <w:ind w:left="1843"/>
        <w:rPr>
          <w:noProof/>
          <w:lang w:val="pt-PT"/>
        </w:rPr>
      </w:pPr>
    </w:p>
    <w:p w:rsidR="005624E3" w:rsidRPr="00166EA9" w:rsidRDefault="005624E3" w:rsidP="005624E3">
      <w:pPr>
        <w:tabs>
          <w:tab w:val="left" w:pos="567"/>
          <w:tab w:val="left" w:pos="1418"/>
        </w:tabs>
        <w:spacing w:line="240" w:lineRule="atLeast"/>
        <w:ind w:left="1418" w:hanging="851"/>
        <w:rPr>
          <w:lang w:val="pt-PT"/>
        </w:rPr>
      </w:pPr>
      <w:r w:rsidRPr="00166EA9">
        <w:rPr>
          <w:lang w:val="pt-PT"/>
        </w:rPr>
        <w:t>12.</w:t>
      </w:r>
      <w:r w:rsidRPr="00166EA9">
        <w:rPr>
          <w:lang w:val="pt-PT"/>
        </w:rPr>
        <w:tab/>
        <w:t>A belvízi hajóbizonyítvány érvényességének meghosszabbításakor a „hivatalos szám” kifejezést el kell hagyni, és módosítás esetén a „12. Egyedi európai hajóazonosító szám” szöveget, valamint az említett számot kell beírni.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15.</w:t>
      </w:r>
      <w:r w:rsidRPr="00166EA9">
        <w:rPr>
          <w:lang w:val="pt-PT"/>
        </w:rPr>
        <w:tab/>
        <w:t>Ezt a rovatot csak olyan hajók esetében kell kitölteni, amelyek esetében a 14. rovat 1.1., 1.2. vagy 3. pontjában foglalt adatok legalább egyike nem került törlésre, ellenkező esetben az egész rovatot át kell húzni.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15.1.</w:t>
      </w:r>
      <w:r w:rsidRPr="00166EA9">
        <w:rPr>
          <w:lang w:val="pt-PT"/>
        </w:rPr>
        <w:tab/>
        <w:t>A táblázat „Alakzat formája” oszlopába az ábrázolt alakzatok számát (számait) kell beírni. A bejegyzést nem tartalmazó sorokat át kell húzni.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1418"/>
        </w:tabs>
        <w:spacing w:line="240" w:lineRule="atLeast"/>
        <w:ind w:left="1418"/>
        <w:rPr>
          <w:noProof/>
          <w:lang w:val="pt-PT"/>
        </w:rPr>
      </w:pPr>
      <w:r w:rsidRPr="00166EA9">
        <w:rPr>
          <w:lang w:val="pt-PT"/>
        </w:rPr>
        <w:t>A „További alakzatok” címszó alá újabb alakzatok rajzolhatók 18., 19., 20. stb. számozással.</w:t>
      </w:r>
    </w:p>
    <w:p w:rsidR="005624E3" w:rsidRPr="00166EA9" w:rsidRDefault="005624E3" w:rsidP="005624E3">
      <w:pPr>
        <w:tabs>
          <w:tab w:val="left" w:pos="1418"/>
        </w:tabs>
        <w:spacing w:line="240" w:lineRule="atLeast"/>
        <w:ind w:left="1418"/>
        <w:rPr>
          <w:noProof/>
          <w:lang w:val="pt-PT"/>
        </w:rPr>
      </w:pPr>
    </w:p>
    <w:p w:rsidR="005624E3" w:rsidRPr="00166EA9" w:rsidRDefault="005624E3" w:rsidP="005624E3">
      <w:pPr>
        <w:tabs>
          <w:tab w:val="left" w:pos="1418"/>
        </w:tabs>
        <w:spacing w:line="240" w:lineRule="atLeast"/>
        <w:ind w:left="1418"/>
        <w:rPr>
          <w:noProof/>
          <w:lang w:val="pt-PT"/>
        </w:rPr>
      </w:pPr>
      <w:r w:rsidRPr="00166EA9">
        <w:rPr>
          <w:lang w:val="pt-PT"/>
        </w:rPr>
        <w:t>Ha a korábbi hajóbizonyítvány „alkalmas tolásra” bejegyzése alapján nem egyértelmű, hogy melyik alakzatok vannak engedélyezve, akkor a korábbi belvízi hajóbizonyítvány bejegyzése átvezethető az 52. rovatba. Az „Engedélyezett alakzatok” táblázat 1. sorába be kell írni a „Lásd az 52. rovatot” bejegyzést.</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15.2.</w:t>
      </w:r>
      <w:r w:rsidRPr="00166EA9">
        <w:rPr>
          <w:lang w:val="pt-PT"/>
        </w:rPr>
        <w:tab/>
        <w:t>Csatolás</w:t>
      </w:r>
    </w:p>
    <w:p w:rsidR="005624E3" w:rsidRPr="00166EA9" w:rsidRDefault="005624E3" w:rsidP="005624E3">
      <w:pPr>
        <w:tabs>
          <w:tab w:val="left" w:pos="1418"/>
        </w:tabs>
        <w:spacing w:line="240" w:lineRule="atLeast"/>
        <w:ind w:left="1418"/>
        <w:rPr>
          <w:noProof/>
          <w:lang w:val="pt-PT"/>
        </w:rPr>
      </w:pPr>
    </w:p>
    <w:p w:rsidR="005624E3" w:rsidRPr="00166EA9" w:rsidRDefault="005624E3" w:rsidP="005624E3">
      <w:pPr>
        <w:tabs>
          <w:tab w:val="left" w:pos="1418"/>
        </w:tabs>
        <w:spacing w:line="240" w:lineRule="atLeast"/>
        <w:ind w:left="1418"/>
        <w:rPr>
          <w:noProof/>
          <w:lang w:val="pt-PT"/>
        </w:rPr>
      </w:pPr>
      <w:r w:rsidRPr="00166EA9">
        <w:rPr>
          <w:lang w:val="pt-PT"/>
        </w:rPr>
        <w:t>Kizárólag a tolóhajó és a kötelék tolt része közötti csatolás adatait kell bejegyezni.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17–20.</w:t>
      </w:r>
      <w:r w:rsidRPr="00166EA9">
        <w:rPr>
          <w:lang w:val="pt-PT"/>
        </w:rPr>
        <w:tab/>
        <w:t xml:space="preserve">A hordképességi bizonyítvány 17–19. rovatában szereplő adatokat két tizedesjegy pontossággal, a 20. rovat adatait pedig tizedesjegy nélkül kell megadni. A teljes hosszúság és a teljes szélesség megadja a hajó legnagyobb méreteit, az összes kinyúló rész figyelembevételével. Az </w:t>
      </w:r>
      <m:oMath>
        <m:r>
          <w:rPr>
            <w:rFonts w:ascii="Cambria Math" w:hAnsi="Cambria Math"/>
            <w:noProof/>
          </w:rPr>
          <m:t>L</m:t>
        </m:r>
      </m:oMath>
      <w:r w:rsidRPr="00166EA9">
        <w:rPr>
          <w:lang w:val="pt-PT"/>
        </w:rPr>
        <w:t xml:space="preserve"> hosszúság és a </w:t>
      </w:r>
      <m:oMath>
        <m:r>
          <w:rPr>
            <w:rFonts w:ascii="Cambria Math" w:hAnsi="Cambria Math"/>
            <w:noProof/>
          </w:rPr>
          <m:t>B</m:t>
        </m:r>
      </m:oMath>
      <w:r w:rsidRPr="00166EA9">
        <w:rPr>
          <w:lang w:val="pt-PT"/>
        </w:rPr>
        <w:t xml:space="preserve"> szélesség megadja a hajótest maximális méreteit (lásd az 1.01. cikket: Fogalommeghatározások).</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br w:type="page"/>
      </w: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21.</w:t>
      </w:r>
      <w:r w:rsidRPr="00166EA9">
        <w:rPr>
          <w:lang w:val="pt-PT"/>
        </w:rPr>
        <w:tab/>
        <w:t>A szárazáru-szállító hajó tonnában megadott hordképessége a köbözési bizonyítvány szerint, a 19. rovatban megadott legnagyobb merüléshez.</w:t>
      </w:r>
    </w:p>
    <w:p w:rsidR="005624E3" w:rsidRPr="00166EA9" w:rsidRDefault="005624E3" w:rsidP="005624E3">
      <w:pPr>
        <w:tabs>
          <w:tab w:val="left" w:pos="1418"/>
        </w:tabs>
        <w:spacing w:line="240" w:lineRule="atLeast"/>
        <w:ind w:left="1418"/>
        <w:rPr>
          <w:noProof/>
          <w:lang w:val="pt-PT"/>
        </w:rPr>
      </w:pPr>
    </w:p>
    <w:p w:rsidR="005624E3" w:rsidRPr="00166EA9" w:rsidRDefault="005624E3" w:rsidP="005624E3">
      <w:pPr>
        <w:tabs>
          <w:tab w:val="left" w:pos="1418"/>
        </w:tabs>
        <w:spacing w:line="240" w:lineRule="atLeast"/>
        <w:ind w:left="1418"/>
        <w:rPr>
          <w:noProof/>
          <w:lang w:val="pt-PT"/>
        </w:rPr>
      </w:pPr>
      <w:r w:rsidRPr="00166EA9">
        <w:rPr>
          <w:lang w:val="pt-PT"/>
        </w:rPr>
        <w:t>Más hajók esetében a vízkiszorítást m</w:t>
      </w:r>
      <w:r w:rsidRPr="00166EA9">
        <w:rPr>
          <w:noProof/>
          <w:vertAlign w:val="superscript"/>
          <w:lang w:val="pt-PT"/>
        </w:rPr>
        <w:t>3</w:t>
      </w:r>
      <w:r w:rsidRPr="00166EA9">
        <w:rPr>
          <w:lang w:val="pt-PT"/>
        </w:rPr>
        <w:t xml:space="preserve">-ben kell megadni. Köbözési bizonyítvány hiányában a vízkiszorítást a teltségi tényező, valamint a vízvonalon mért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166EA9">
        <w:rPr>
          <w:lang w:val="pt-PT"/>
        </w:rPr>
        <w:t xml:space="preserve"> hosszúság,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WL</m:t>
            </m:r>
          </m:sub>
        </m:sSub>
      </m:oMath>
      <w:r w:rsidRPr="00166EA9">
        <w:rPr>
          <w:lang w:val="pt-PT"/>
        </w:rPr>
        <w:t xml:space="preserve"> szélesség és a legnagyobb merülésnél adódó átlagos merülés eredményeként kell kiszámítani.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23.</w:t>
      </w:r>
      <w:r w:rsidRPr="00166EA9">
        <w:rPr>
          <w:lang w:val="pt-PT"/>
        </w:rPr>
        <w:tab/>
        <w:t>A utasok rendelkezésére álló fekhelyek száma (ideszámítva a lehajtható ágyakat és a hasonló berendezési tárgyakat is).</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24.</w:t>
      </w:r>
      <w:r w:rsidRPr="00166EA9">
        <w:rPr>
          <w:lang w:val="pt-PT"/>
        </w:rPr>
        <w:tab/>
        <w:t>Csak a hajó teljes szélességében átnyúló vízmentes keresztirányú válaszfalakat kell figyelembe venni.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26.</w:t>
      </w:r>
      <w:r w:rsidRPr="00166EA9">
        <w:rPr>
          <w:lang w:val="pt-PT"/>
        </w:rPr>
        <w:tab/>
        <w:t>Adott esetben a következő kifejezéseket kell használni:</w:t>
      </w:r>
    </w:p>
    <w:p w:rsidR="005624E3" w:rsidRPr="00166EA9" w:rsidRDefault="005624E3" w:rsidP="005624E3">
      <w:pPr>
        <w:tabs>
          <w:tab w:val="left" w:pos="1843"/>
        </w:tabs>
        <w:spacing w:before="60" w:line="240" w:lineRule="atLeast"/>
        <w:ind w:left="1843"/>
        <w:rPr>
          <w:noProof/>
          <w:lang w:val="pt-PT"/>
        </w:rPr>
      </w:pPr>
      <w:r w:rsidRPr="00166EA9">
        <w:rPr>
          <w:lang w:val="pt-PT"/>
        </w:rPr>
        <w:t>-</w:t>
      </w:r>
      <w:r w:rsidRPr="00166EA9">
        <w:rPr>
          <w:lang w:val="pt-PT"/>
        </w:rPr>
        <w:tab/>
        <w:t>kézi működtetésű nyílásfedelek,</w:t>
      </w:r>
    </w:p>
    <w:p w:rsidR="005624E3" w:rsidRPr="00166EA9" w:rsidRDefault="005624E3" w:rsidP="005624E3">
      <w:pPr>
        <w:tabs>
          <w:tab w:val="left" w:pos="1843"/>
        </w:tabs>
        <w:spacing w:before="60" w:line="240" w:lineRule="atLeast"/>
        <w:ind w:left="1843"/>
        <w:rPr>
          <w:noProof/>
          <w:lang w:val="pt-PT"/>
        </w:rPr>
      </w:pPr>
      <w:r w:rsidRPr="00166EA9">
        <w:rPr>
          <w:lang w:val="pt-PT"/>
        </w:rPr>
        <w:t>-</w:t>
      </w:r>
      <w:r w:rsidRPr="00166EA9">
        <w:rPr>
          <w:lang w:val="pt-PT"/>
        </w:rPr>
        <w:tab/>
        <w:t>kézi működtetésű görgős nyílásfedelek,</w:t>
      </w:r>
    </w:p>
    <w:p w:rsidR="005624E3" w:rsidRPr="00166EA9" w:rsidRDefault="005624E3" w:rsidP="005624E3">
      <w:pPr>
        <w:tabs>
          <w:tab w:val="left" w:pos="1843"/>
        </w:tabs>
        <w:spacing w:before="60" w:line="240" w:lineRule="atLeast"/>
        <w:ind w:left="1843"/>
        <w:rPr>
          <w:noProof/>
          <w:lang w:val="pt-PT"/>
        </w:rPr>
      </w:pPr>
      <w:r w:rsidRPr="00166EA9">
        <w:rPr>
          <w:lang w:val="pt-PT"/>
        </w:rPr>
        <w:t>-</w:t>
      </w:r>
      <w:r w:rsidRPr="00166EA9">
        <w:rPr>
          <w:lang w:val="pt-PT"/>
        </w:rPr>
        <w:tab/>
        <w:t>kézi működtetésű eltolható nyílásfedelek,</w:t>
      </w:r>
    </w:p>
    <w:p w:rsidR="005624E3" w:rsidRPr="00166EA9" w:rsidRDefault="005624E3" w:rsidP="005624E3">
      <w:pPr>
        <w:tabs>
          <w:tab w:val="left" w:pos="1843"/>
        </w:tabs>
        <w:spacing w:before="60" w:line="240" w:lineRule="atLeast"/>
        <w:ind w:left="1843"/>
        <w:rPr>
          <w:noProof/>
          <w:lang w:val="pt-PT"/>
        </w:rPr>
      </w:pPr>
      <w:r w:rsidRPr="00166EA9">
        <w:rPr>
          <w:lang w:val="pt-PT"/>
        </w:rPr>
        <w:t>-</w:t>
      </w:r>
      <w:r w:rsidRPr="00166EA9">
        <w:rPr>
          <w:lang w:val="pt-PT"/>
        </w:rPr>
        <w:tab/>
        <w:t>gépi működtetésű eltolható nyílásfedelek,</w:t>
      </w:r>
    </w:p>
    <w:p w:rsidR="005624E3" w:rsidRPr="00166EA9" w:rsidRDefault="005624E3" w:rsidP="005624E3">
      <w:pPr>
        <w:tabs>
          <w:tab w:val="left" w:pos="1843"/>
        </w:tabs>
        <w:spacing w:before="60" w:line="240" w:lineRule="atLeast"/>
        <w:ind w:left="1843"/>
        <w:rPr>
          <w:noProof/>
          <w:lang w:val="pt-PT"/>
        </w:rPr>
      </w:pPr>
      <w:r w:rsidRPr="00166EA9">
        <w:rPr>
          <w:lang w:val="pt-PT"/>
        </w:rPr>
        <w:t>-</w:t>
      </w:r>
      <w:r w:rsidRPr="00166EA9">
        <w:rPr>
          <w:lang w:val="pt-PT"/>
        </w:rPr>
        <w:tab/>
        <w:t>gépi működtetésű nyílásfedelek.</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1418"/>
        </w:tabs>
        <w:spacing w:line="240" w:lineRule="atLeast"/>
        <w:ind w:left="1418"/>
        <w:rPr>
          <w:noProof/>
          <w:lang w:val="pt-PT"/>
        </w:rPr>
      </w:pPr>
      <w:r w:rsidRPr="00166EA9">
        <w:rPr>
          <w:lang w:val="pt-PT"/>
        </w:rPr>
        <w:t>Az egyéb nyílásfedéltípusokat az általánosan elfogadott megjelölés szerint kell bejegyezni.</w:t>
      </w:r>
    </w:p>
    <w:p w:rsidR="005624E3" w:rsidRPr="00166EA9" w:rsidRDefault="005624E3" w:rsidP="005624E3">
      <w:pPr>
        <w:tabs>
          <w:tab w:val="left" w:pos="1418"/>
        </w:tabs>
        <w:spacing w:line="240" w:lineRule="atLeast"/>
        <w:ind w:left="1418"/>
        <w:rPr>
          <w:noProof/>
          <w:lang w:val="pt-PT"/>
        </w:rPr>
      </w:pPr>
    </w:p>
    <w:p w:rsidR="005624E3" w:rsidRPr="00166EA9" w:rsidRDefault="005624E3" w:rsidP="005624E3">
      <w:pPr>
        <w:tabs>
          <w:tab w:val="left" w:pos="1418"/>
        </w:tabs>
        <w:spacing w:line="240" w:lineRule="atLeast"/>
        <w:ind w:left="1418"/>
        <w:rPr>
          <w:noProof/>
          <w:lang w:val="pt-PT"/>
        </w:rPr>
      </w:pPr>
      <w:r w:rsidRPr="00166EA9">
        <w:rPr>
          <w:lang w:val="pt-PT"/>
        </w:rPr>
        <w:t>A nyílásfedéllel nem rendelkező rakománytereket fel kell sorolni, például az 52. rovatban.</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28.</w:t>
      </w:r>
      <w:r w:rsidRPr="00166EA9">
        <w:rPr>
          <w:lang w:val="pt-PT"/>
        </w:rPr>
        <w:tab/>
        <w:t>Tizedesjegy nélkül kell kiszámítani.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 xml:space="preserve">30., 31. </w:t>
      </w: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és 33.</w:t>
      </w:r>
      <w:r w:rsidRPr="00166EA9">
        <w:rPr>
          <w:lang w:val="pt-PT"/>
        </w:rPr>
        <w:tab/>
        <w:t>A közös burkolatba beépített csörlők egy csörlőnek számítanak, függetlenül a hozzájuk csatlakoztatott horgonyok vagy vontatókötelek számától.</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34.</w:t>
      </w:r>
      <w:r w:rsidRPr="00166EA9">
        <w:rPr>
          <w:lang w:val="pt-PT"/>
        </w:rPr>
        <w:tab/>
        <w:t>Az „Egyéb berendezések” alatt kell bejegyezni a kormánylapátot nem használó rendszereket (például kormánypropeller, cikloidálpropeller, orrsugárkormány).</w:t>
      </w:r>
    </w:p>
    <w:p w:rsidR="005624E3" w:rsidRPr="00166EA9" w:rsidRDefault="005624E3" w:rsidP="005624E3">
      <w:pPr>
        <w:tabs>
          <w:tab w:val="left" w:pos="1418"/>
        </w:tabs>
        <w:spacing w:line="240" w:lineRule="atLeast"/>
        <w:ind w:left="1418"/>
        <w:rPr>
          <w:noProof/>
          <w:lang w:val="pt-PT"/>
        </w:rPr>
      </w:pPr>
      <w:r w:rsidRPr="00166EA9">
        <w:rPr>
          <w:lang w:val="pt-PT"/>
        </w:rPr>
        <w:t>Ide kell bejegyezni a kézi működtetést segítő elektromos segédmotorokat is.</w:t>
      </w:r>
    </w:p>
    <w:p w:rsidR="005624E3" w:rsidRPr="00166EA9" w:rsidRDefault="005624E3" w:rsidP="005624E3">
      <w:pPr>
        <w:tabs>
          <w:tab w:val="left" w:pos="1418"/>
        </w:tabs>
        <w:spacing w:line="240" w:lineRule="atLeast"/>
        <w:ind w:left="1418"/>
        <w:rPr>
          <w:noProof/>
          <w:lang w:val="pt-PT"/>
        </w:rPr>
      </w:pPr>
      <w:r w:rsidRPr="00166EA9">
        <w:rPr>
          <w:lang w:val="pt-PT"/>
        </w:rPr>
        <w:t>Orrsugárkormány esetén a „távvezérlés” kifejezés kizárólag azokra az orrsugárkormányokra vonatkozik, amelyek a kormányvezérlő-állásból vezérelhetők.</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35.</w:t>
      </w:r>
      <w:r w:rsidRPr="00166EA9">
        <w:rPr>
          <w:lang w:val="pt-PT"/>
        </w:rPr>
        <w:tab/>
        <w:t>Csak a 8.08. cikk 2. és 3. bekezdése, a 19.01. cikk 1. bekezdésének c) pontja és a 19.08. cikk 5. bekezdése szerinti elméleti értékeket kell bejegyezni. Azon vízi járművek esetében, amelyeknek a hajógerincét 1976. április 1-jén vagy az előtt fektették le, az első szakaszt csak kicserélt fenékvíz-szivattyúk esetében kell kitölteni, valamint akkor, ha a belvízi hajóbizonyítvány érvényessége 2015. január 1-je után meghosszabbodott. Azon vízi járművek esetében, amelyeknek a hajógerincét 1984. december 31-én vagy az előtt fektették le, és kizárólag az R zónán kívül üzemelnek, ez a szakasz üresen hagyható.</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36.</w:t>
      </w:r>
      <w:r w:rsidRPr="00166EA9">
        <w:rPr>
          <w:lang w:val="pt-PT"/>
        </w:rPr>
        <w:tab/>
        <w:t>Az egyértelműség érdekében vázlatra lehet szükség.</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37.</w:t>
      </w:r>
      <w:r w:rsidRPr="00166EA9">
        <w:rPr>
          <w:lang w:val="pt-PT"/>
        </w:rPr>
        <w:tab/>
        <w:t>Csak a 13.01. cikk 1–4. bekezdése szerinti csökkentés nélküli elméleti értékeket kell bejegyezni.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br w:type="page"/>
      </w: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38.</w:t>
      </w:r>
      <w:r w:rsidRPr="00166EA9">
        <w:rPr>
          <w:lang w:val="pt-PT"/>
        </w:rPr>
        <w:tab/>
        <w:t>Csak a 13.01. cikk 10. bekezdése szerinti minimális hosszúságokat és a 13.01. cikk 11. bekezdése szerinti minimális szakítószilárdságot kell bejegyezni.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 xml:space="preserve">39. </w:t>
      </w: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és 40.</w:t>
      </w:r>
      <w:r w:rsidRPr="00166EA9">
        <w:rPr>
          <w:lang w:val="pt-PT"/>
        </w:rPr>
        <w:tab/>
        <w:t>Csak a 13.02. cikk 3. bekezdése szerint újraszámított minimális hosszúságokat és minimális szakítószilárdsági értékeket kell bejegyezni.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42.</w:t>
      </w:r>
      <w:r w:rsidRPr="00166EA9">
        <w:rPr>
          <w:lang w:val="pt-PT"/>
        </w:rPr>
        <w:tab/>
        <w:t>Az ellenőrző szerv felvehet további elemeket a szükséges felszerelések listájára. Ez esetben igazolni kell azok nélkülözhetetlenségét a hajó biztonsága szempontjából, az adott hajótípus vagy annak működési körzete tekintetében. A kiegészítéseket be kell jegyezni az 52. rovatba.</w:t>
      </w:r>
    </w:p>
    <w:p w:rsidR="005624E3" w:rsidRPr="00166EA9" w:rsidRDefault="005624E3" w:rsidP="005624E3">
      <w:pPr>
        <w:tabs>
          <w:tab w:val="left" w:pos="1418"/>
        </w:tabs>
        <w:spacing w:line="240" w:lineRule="atLeast"/>
        <w:ind w:left="1418"/>
        <w:rPr>
          <w:noProof/>
          <w:lang w:val="pt-PT"/>
        </w:rPr>
      </w:pPr>
    </w:p>
    <w:p w:rsidR="005624E3" w:rsidRPr="00166EA9" w:rsidRDefault="005624E3" w:rsidP="005624E3">
      <w:pPr>
        <w:tabs>
          <w:tab w:val="left" w:pos="1418"/>
        </w:tabs>
        <w:spacing w:line="240" w:lineRule="atLeast"/>
        <w:ind w:left="1418"/>
        <w:rPr>
          <w:noProof/>
          <w:lang w:val="pt-PT"/>
        </w:rPr>
      </w:pPr>
      <w:r w:rsidRPr="00166EA9">
        <w:rPr>
          <w:lang w:val="pt-PT"/>
        </w:rPr>
        <w:t>Bal oldali oszlop, 3–5. sor: személyhajó esetében az első helyen szereplő szöveget át kell húzni, minden más hajó esetében a második helyen szereplő szöveget át kell húzni. A feljáróhíd hosszát be kell írni, ha az ellenőrző szerv a 13.02. cikk 3. bekezdésének d) pontjában vagy a 19.06. cikk 12. bekezdésében előírtnál kisebb hosszúságot engedélyezett.</w:t>
      </w:r>
    </w:p>
    <w:p w:rsidR="005624E3" w:rsidRPr="00166EA9" w:rsidRDefault="005624E3" w:rsidP="005624E3">
      <w:pPr>
        <w:tabs>
          <w:tab w:val="left" w:pos="1418"/>
        </w:tabs>
        <w:spacing w:line="240" w:lineRule="atLeast"/>
        <w:ind w:left="1418"/>
        <w:rPr>
          <w:noProof/>
          <w:lang w:val="pt-PT"/>
        </w:rPr>
      </w:pPr>
    </w:p>
    <w:p w:rsidR="005624E3" w:rsidRPr="00166EA9" w:rsidRDefault="005624E3" w:rsidP="005624E3">
      <w:pPr>
        <w:tabs>
          <w:tab w:val="left" w:pos="1418"/>
        </w:tabs>
        <w:spacing w:line="240" w:lineRule="atLeast"/>
        <w:ind w:left="1418"/>
        <w:rPr>
          <w:noProof/>
          <w:lang w:val="pt-PT"/>
        </w:rPr>
      </w:pPr>
      <w:r w:rsidRPr="00166EA9">
        <w:rPr>
          <w:lang w:val="pt-PT"/>
        </w:rPr>
        <w:t>Bal oldali oszlop, 7. sor: ide a 13.02. cikk 3. bekezdésének f) pontjában és a 19.08. cikk 9. bekezdésében előírt elsősegélycsomagok számát kell beírni.</w:t>
      </w:r>
    </w:p>
    <w:p w:rsidR="005624E3" w:rsidRPr="00166EA9" w:rsidRDefault="005624E3" w:rsidP="005624E3">
      <w:pPr>
        <w:tabs>
          <w:tab w:val="left" w:pos="1418"/>
        </w:tabs>
        <w:spacing w:line="240" w:lineRule="atLeast"/>
        <w:ind w:left="1418"/>
        <w:rPr>
          <w:noProof/>
          <w:lang w:val="pt-PT"/>
        </w:rPr>
      </w:pPr>
    </w:p>
    <w:p w:rsidR="005624E3" w:rsidRPr="00166EA9" w:rsidRDefault="005624E3" w:rsidP="005624E3">
      <w:pPr>
        <w:tabs>
          <w:tab w:val="left" w:pos="1418"/>
        </w:tabs>
        <w:spacing w:line="240" w:lineRule="atLeast"/>
        <w:ind w:left="1418"/>
        <w:rPr>
          <w:noProof/>
          <w:lang w:val="pt-PT"/>
        </w:rPr>
      </w:pPr>
      <w:r w:rsidRPr="00166EA9">
        <w:rPr>
          <w:lang w:val="pt-PT"/>
        </w:rPr>
        <w:t>Bal oldali oszlop, 11. sor: ide a 13.02. cikk 2. bekezdésében előírt tűzálló edények számát kell beírni.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43.</w:t>
      </w:r>
      <w:r w:rsidRPr="00166EA9">
        <w:rPr>
          <w:lang w:val="pt-PT"/>
        </w:rPr>
        <w:tab/>
        <w:t>Az egyéb biztonsági rendeletek által megkövetelt hordozható tűzoltó készülékeket itt nem kell bejegyezni.</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adjustRightInd w:val="0"/>
        <w:ind w:left="1418" w:hanging="851"/>
        <w:rPr>
          <w:rFonts w:cs="Arial"/>
          <w:szCs w:val="20"/>
          <w:lang w:val="pt-PT"/>
        </w:rPr>
      </w:pPr>
      <w:r w:rsidRPr="00166EA9">
        <w:rPr>
          <w:lang w:val="pt-PT"/>
        </w:rPr>
        <w:t>44.</w:t>
      </w:r>
      <w:r w:rsidRPr="00166EA9">
        <w:rPr>
          <w:lang w:val="pt-PT"/>
        </w:rPr>
        <w:tab/>
        <w:t>3. sor: A 2025. január 1-je előtt megújítandó belvízi hajóbizonyítványok (33. fejezet) esetében át kell húzni „a 13.08. cikk 2. bekezdése szerinti” szövegrészt, ha nincs a fedélzeten e szabványnak megfelelő mentőmellény.</w:t>
      </w:r>
    </w:p>
    <w:p w:rsidR="005624E3" w:rsidRPr="00166EA9" w:rsidRDefault="005624E3" w:rsidP="005624E3">
      <w:pPr>
        <w:adjustRightInd w:val="0"/>
        <w:ind w:left="1134" w:hanging="283"/>
        <w:rPr>
          <w:rFonts w:cs="Arial"/>
          <w:szCs w:val="20"/>
          <w:lang w:val="pt-PT"/>
        </w:rPr>
      </w:pPr>
    </w:p>
    <w:p w:rsidR="005624E3" w:rsidRPr="00166EA9" w:rsidRDefault="005624E3" w:rsidP="005624E3">
      <w:pPr>
        <w:adjustRightInd w:val="0"/>
        <w:ind w:left="1418"/>
        <w:rPr>
          <w:rFonts w:cs="Arial"/>
          <w:szCs w:val="20"/>
          <w:lang w:val="pt-PT"/>
        </w:rPr>
      </w:pPr>
      <w:r w:rsidRPr="00166EA9">
        <w:rPr>
          <w:lang w:val="pt-PT"/>
        </w:rPr>
        <w:t>4. sor: A 2015. január 1-je előtt megújítandó belvízi hajóbizonyítványok esetében, vagy ha új csónak került a fedélzetre, illetve újonnan épített vízi járművek esetében át kell húzni az „egy pár evezővel, egy kikötőkötéllel és egy vízmerő eszközzel” szövegrészt. A 2030. január 1-je előtt megújítandó belvízi hajóbizonyítványok (33. fejezet) esetében, vagy ha nincs a fedélzeten e szabványnak megfelelő csónak, át kell húzni „az EN 1914:2016 európai szabvány szerinti” szövegrészt. A 2036. szeptember 1-je előtt megújítandó belvízi hajóbizonyítványok esetében, amennyiben bizonyított az EN 1994:1997 szabványnak való megfelelés, a „2016” szövegrész áthúzható.</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46.</w:t>
      </w:r>
      <w:r w:rsidRPr="00166EA9">
        <w:rPr>
          <w:lang w:val="pt-PT"/>
        </w:rPr>
        <w:tab/>
        <w:t>Általános szabály, hogy a folyamatos működtetés nem jegyezhető be, ha nincs elegendő fekhely, vagy ha túl magas a zajszint.</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50.</w:t>
      </w:r>
      <w:r w:rsidRPr="00166EA9">
        <w:rPr>
          <w:lang w:val="pt-PT"/>
        </w:rPr>
        <w:tab/>
        <w:t>A szakértő csak akkor írhatja alá, ha ő maga töltötte ki a 11. oldalt.</w:t>
      </w:r>
    </w:p>
    <w:p w:rsidR="005624E3" w:rsidRPr="00166EA9" w:rsidRDefault="005624E3" w:rsidP="005624E3">
      <w:pPr>
        <w:tabs>
          <w:tab w:val="left" w:pos="567"/>
          <w:tab w:val="left" w:pos="1418"/>
        </w:tabs>
        <w:spacing w:line="240" w:lineRule="atLeast"/>
        <w:ind w:left="1418" w:hanging="851"/>
        <w:rPr>
          <w:noProof/>
          <w:lang w:val="pt-PT"/>
        </w:rPr>
      </w:pPr>
    </w:p>
    <w:p w:rsidR="005624E3" w:rsidRPr="00166EA9" w:rsidRDefault="005624E3" w:rsidP="005624E3">
      <w:pPr>
        <w:tabs>
          <w:tab w:val="left" w:pos="567"/>
          <w:tab w:val="left" w:pos="1418"/>
        </w:tabs>
        <w:spacing w:line="240" w:lineRule="atLeast"/>
        <w:ind w:left="1418" w:hanging="851"/>
        <w:rPr>
          <w:noProof/>
          <w:lang w:val="pt-PT"/>
        </w:rPr>
      </w:pPr>
      <w:r w:rsidRPr="00166EA9">
        <w:rPr>
          <w:lang w:val="pt-PT"/>
        </w:rPr>
        <w:t>52.</w:t>
      </w:r>
      <w:r w:rsidRPr="00166EA9">
        <w:rPr>
          <w:lang w:val="pt-PT"/>
        </w:rPr>
        <w:tab/>
        <w:t>Itt lehet megadni az esetleges kiegészítő korlátozásokat, mentességeket és magyarázatokat vagy más hasonló megjegyzéseket, amelyek az egyes pontokhoz beírt bejegyzésekre vonatkoznak.</w:t>
      </w:r>
    </w:p>
    <w:p w:rsidR="005624E3" w:rsidRPr="00166EA9" w:rsidRDefault="005624E3" w:rsidP="005624E3">
      <w:pPr>
        <w:spacing w:line="240" w:lineRule="atLeast"/>
        <w:ind w:left="567" w:hanging="567"/>
        <w:rPr>
          <w:rFonts w:cs="Arial"/>
          <w:b/>
          <w:noProof/>
          <w:color w:val="000000"/>
          <w:szCs w:val="20"/>
          <w:lang w:val="pt-PT"/>
        </w:rPr>
      </w:pPr>
    </w:p>
    <w:p w:rsidR="005624E3" w:rsidRPr="00166EA9" w:rsidRDefault="005624E3" w:rsidP="005624E3">
      <w:pPr>
        <w:spacing w:line="240" w:lineRule="atLeast"/>
        <w:ind w:left="567" w:hanging="567"/>
        <w:rPr>
          <w:rFonts w:cs="Arial"/>
          <w:b/>
          <w:noProof/>
          <w:color w:val="000000"/>
          <w:szCs w:val="20"/>
          <w:lang w:val="pt-PT"/>
        </w:rPr>
      </w:pPr>
      <w:r w:rsidRPr="00166EA9">
        <w:rPr>
          <w:lang w:val="pt-PT"/>
        </w:rPr>
        <w:br w:type="page"/>
      </w:r>
    </w:p>
    <w:p w:rsidR="005624E3" w:rsidRPr="00166EA9" w:rsidRDefault="005624E3" w:rsidP="005624E3">
      <w:pPr>
        <w:spacing w:line="240" w:lineRule="atLeast"/>
        <w:ind w:left="567" w:hanging="567"/>
        <w:rPr>
          <w:rFonts w:cs="Arial"/>
          <w:b/>
          <w:noProof/>
          <w:color w:val="000000"/>
          <w:szCs w:val="20"/>
          <w:lang w:val="pt-PT"/>
        </w:rPr>
      </w:pPr>
      <w:r w:rsidRPr="00166EA9">
        <w:rPr>
          <w:b/>
          <w:noProof/>
          <w:color w:val="000000"/>
          <w:lang w:val="pt-PT"/>
        </w:rPr>
        <w:t>5.</w:t>
      </w:r>
      <w:r w:rsidRPr="00166EA9">
        <w:rPr>
          <w:lang w:val="pt-PT"/>
        </w:rPr>
        <w:tab/>
      </w:r>
      <w:r w:rsidRPr="00166EA9">
        <w:rPr>
          <w:b/>
          <w:noProof/>
          <w:color w:val="000000"/>
          <w:lang w:val="pt-PT"/>
        </w:rPr>
        <w:t>Az uniós belvízi hajóbizonyítványra vonatkozó átmeneti rendelkezések</w:t>
      </w:r>
    </w:p>
    <w:p w:rsidR="005624E3" w:rsidRPr="00166EA9" w:rsidRDefault="005624E3" w:rsidP="005624E3">
      <w:pPr>
        <w:spacing w:line="240" w:lineRule="atLeast"/>
        <w:ind w:left="567" w:hanging="567"/>
        <w:rPr>
          <w:rFonts w:cs="Arial"/>
          <w:b/>
          <w:noProof/>
          <w:color w:val="000000"/>
          <w:szCs w:val="20"/>
          <w:lang w:val="pt-PT"/>
        </w:rPr>
      </w:pPr>
    </w:p>
    <w:p w:rsidR="005624E3" w:rsidRPr="00166EA9" w:rsidRDefault="005624E3" w:rsidP="005624E3">
      <w:pPr>
        <w:spacing w:line="240" w:lineRule="atLeast"/>
        <w:ind w:left="567" w:hanging="567"/>
        <w:rPr>
          <w:rFonts w:cs="Arial"/>
          <w:b/>
          <w:noProof/>
          <w:color w:val="000000"/>
          <w:szCs w:val="20"/>
          <w:lang w:val="pt-PT"/>
        </w:rPr>
      </w:pPr>
      <w:r w:rsidRPr="00166EA9">
        <w:rPr>
          <w:b/>
          <w:noProof/>
          <w:color w:val="000000"/>
          <w:lang w:val="pt-PT"/>
        </w:rPr>
        <w:t>5.1.</w:t>
      </w:r>
      <w:r w:rsidRPr="00166EA9">
        <w:rPr>
          <w:lang w:val="pt-PT"/>
        </w:rPr>
        <w:tab/>
      </w:r>
      <w:r w:rsidRPr="00166EA9">
        <w:rPr>
          <w:b/>
          <w:noProof/>
          <w:color w:val="000000"/>
          <w:lang w:val="pt-PT"/>
        </w:rPr>
        <w:t>Meglévő közösségi bizonyítványok</w:t>
      </w:r>
    </w:p>
    <w:p w:rsidR="005624E3" w:rsidRPr="00166EA9" w:rsidRDefault="005624E3" w:rsidP="005624E3">
      <w:pPr>
        <w:spacing w:line="240" w:lineRule="atLeast"/>
        <w:ind w:left="567"/>
        <w:rPr>
          <w:noProof/>
          <w:lang w:val="pt-PT"/>
        </w:rPr>
      </w:pPr>
    </w:p>
    <w:p w:rsidR="005624E3" w:rsidRPr="00166EA9" w:rsidRDefault="005624E3" w:rsidP="005624E3">
      <w:pPr>
        <w:spacing w:line="240" w:lineRule="atLeast"/>
        <w:ind w:left="567"/>
        <w:rPr>
          <w:noProof/>
          <w:lang w:val="pt-PT"/>
        </w:rPr>
      </w:pPr>
      <w:r w:rsidRPr="00166EA9">
        <w:rPr>
          <w:lang w:val="pt-PT"/>
        </w:rPr>
        <w:t>A rendkívüli 6 hónapos meghosszabbítás kivételével a meglévő közösségi bizonyítványok tovább már nem újíthatók meg.</w:t>
      </w:r>
    </w:p>
    <w:p w:rsidR="005624E3" w:rsidRPr="00166EA9" w:rsidRDefault="005624E3" w:rsidP="005624E3">
      <w:pPr>
        <w:spacing w:line="240" w:lineRule="atLeast"/>
        <w:ind w:left="567" w:hanging="567"/>
        <w:rPr>
          <w:rFonts w:cs="Arial"/>
          <w:b/>
          <w:noProof/>
          <w:color w:val="000000"/>
          <w:szCs w:val="20"/>
          <w:lang w:val="pt-PT"/>
        </w:rPr>
      </w:pPr>
    </w:p>
    <w:p w:rsidR="005624E3" w:rsidRPr="00166EA9" w:rsidRDefault="005624E3" w:rsidP="005624E3">
      <w:pPr>
        <w:spacing w:line="240" w:lineRule="atLeast"/>
        <w:ind w:left="567" w:hanging="567"/>
        <w:rPr>
          <w:rFonts w:cs="Arial"/>
          <w:b/>
          <w:noProof/>
          <w:color w:val="000000"/>
          <w:szCs w:val="20"/>
          <w:lang w:val="pt-PT"/>
        </w:rPr>
      </w:pPr>
      <w:r w:rsidRPr="00166EA9">
        <w:rPr>
          <w:b/>
          <w:noProof/>
          <w:color w:val="000000"/>
          <w:lang w:val="pt-PT"/>
        </w:rPr>
        <w:t>5.2.</w:t>
      </w:r>
      <w:r w:rsidRPr="00166EA9">
        <w:rPr>
          <w:lang w:val="pt-PT"/>
        </w:rPr>
        <w:tab/>
      </w:r>
      <w:r w:rsidRPr="00166EA9">
        <w:rPr>
          <w:b/>
          <w:noProof/>
          <w:color w:val="000000"/>
          <w:lang w:val="pt-PT"/>
        </w:rPr>
        <w:t>Időszakos vizsgálat utáni csere</w:t>
      </w:r>
    </w:p>
    <w:p w:rsidR="005624E3" w:rsidRPr="00166EA9" w:rsidRDefault="005624E3" w:rsidP="005624E3">
      <w:pPr>
        <w:spacing w:line="240" w:lineRule="atLeast"/>
        <w:ind w:left="567"/>
        <w:rPr>
          <w:noProof/>
          <w:lang w:val="pt-PT"/>
        </w:rPr>
      </w:pPr>
    </w:p>
    <w:p w:rsidR="005624E3" w:rsidRPr="00166EA9" w:rsidRDefault="005624E3" w:rsidP="005624E3">
      <w:pPr>
        <w:spacing w:line="240" w:lineRule="atLeast"/>
        <w:ind w:left="567"/>
        <w:rPr>
          <w:noProof/>
          <w:lang w:val="pt-PT"/>
        </w:rPr>
      </w:pPr>
      <w:r w:rsidRPr="00166EA9">
        <w:rPr>
          <w:lang w:val="pt-PT"/>
        </w:rPr>
        <w:t>A 4. mellékletben megadott mintának megfelelő uniós belvízi hajóbizonyítvánnyal még nem rendelkező hajó időszakos vizsgálata után a hajó számára ki kell bocsátani az uniós belvízi hajóbizonyítványt.</w:t>
      </w:r>
    </w:p>
    <w:p w:rsidR="005624E3" w:rsidRPr="00166EA9" w:rsidRDefault="005624E3" w:rsidP="005624E3">
      <w:pPr>
        <w:spacing w:line="240" w:lineRule="atLeast"/>
        <w:rPr>
          <w:lang w:val="pt-PT"/>
        </w:rPr>
      </w:pPr>
    </w:p>
    <w:p w:rsidR="005624E3" w:rsidRPr="00166EA9" w:rsidRDefault="005624E3" w:rsidP="005624E3">
      <w:pPr>
        <w:jc w:val="center"/>
        <w:rPr>
          <w:rFonts w:cs="Arial"/>
          <w:szCs w:val="20"/>
          <w:lang w:val="pt-PT"/>
        </w:rPr>
      </w:pPr>
    </w:p>
    <w:p w:rsidR="005624E3" w:rsidRPr="00166EA9" w:rsidRDefault="005624E3" w:rsidP="005624E3">
      <w:pPr>
        <w:jc w:val="center"/>
        <w:rPr>
          <w:rFonts w:cs="Arial"/>
          <w:szCs w:val="20"/>
          <w:lang w:val="pt-PT"/>
        </w:rPr>
      </w:pPr>
    </w:p>
    <w:p w:rsidR="005624E3" w:rsidRPr="00166EA9" w:rsidRDefault="005624E3" w:rsidP="005624E3">
      <w:pPr>
        <w:jc w:val="center"/>
        <w:rPr>
          <w:rFonts w:cs="Arial"/>
          <w:szCs w:val="20"/>
          <w:lang w:val="pt-PT"/>
        </w:rPr>
      </w:pPr>
    </w:p>
    <w:p w:rsidR="005624E3" w:rsidRPr="00166EA9" w:rsidRDefault="005624E3" w:rsidP="005624E3">
      <w:pPr>
        <w:jc w:val="center"/>
        <w:rPr>
          <w:rFonts w:cs="Arial"/>
          <w:szCs w:val="20"/>
          <w:lang w:val="pt-PT"/>
        </w:rPr>
      </w:pPr>
    </w:p>
    <w:p w:rsidR="005624E3" w:rsidRPr="00166EA9" w:rsidRDefault="005624E3" w:rsidP="005624E3">
      <w:pPr>
        <w:overflowPunct w:val="0"/>
        <w:adjustRightInd w:val="0"/>
        <w:spacing w:line="240" w:lineRule="exact"/>
        <w:textAlignment w:val="baseline"/>
        <w:rPr>
          <w:rFonts w:eastAsia="Calibri"/>
          <w:i/>
          <w:szCs w:val="20"/>
          <w:lang w:val="pt-PT"/>
        </w:rPr>
        <w:sectPr w:rsidR="005624E3" w:rsidRPr="00166EA9" w:rsidSect="00D45887">
          <w:headerReference w:type="default" r:id="rId113"/>
          <w:headerReference w:type="first" r:id="rId114"/>
          <w:footerReference w:type="first" r:id="rId115"/>
          <w:pgSz w:w="11907" w:h="16840" w:code="9"/>
          <w:pgMar w:top="1418" w:right="1418" w:bottom="1418" w:left="1418" w:header="680" w:footer="680" w:gutter="0"/>
          <w:cols w:space="720"/>
          <w:noEndnote/>
          <w:titlePg/>
        </w:sectPr>
      </w:pPr>
    </w:p>
    <w:p w:rsidR="005624E3" w:rsidRPr="00166EA9" w:rsidRDefault="005624E3" w:rsidP="005624E3">
      <w:pPr>
        <w:pStyle w:val="ES-Titre2ESI"/>
        <w:rPr>
          <w:snapToGrid w:val="0"/>
          <w:lang w:val="pt-PT"/>
        </w:rPr>
      </w:pPr>
      <w:bookmarkStart w:id="733" w:name="_Toc491854348"/>
      <w:bookmarkStart w:id="734" w:name="_Toc535854129"/>
      <w:r w:rsidRPr="00166EA9">
        <w:rPr>
          <w:lang w:val="pt-PT"/>
        </w:rPr>
        <w:t>ESI-I-2</w:t>
      </w:r>
      <w:r w:rsidRPr="00166EA9">
        <w:rPr>
          <w:lang w:val="pt-PT"/>
        </w:rPr>
        <w:br/>
        <w:t>Szakértők és hozzáértő személyek</w:t>
      </w:r>
      <w:bookmarkEnd w:id="733"/>
      <w:bookmarkEnd w:id="734"/>
    </w:p>
    <w:p w:rsidR="005624E3" w:rsidRPr="00166EA9" w:rsidRDefault="005624E3" w:rsidP="005624E3">
      <w:pPr>
        <w:pStyle w:val="ESch"/>
        <w:rPr>
          <w:snapToGrid w:val="0"/>
          <w:lang w:val="pt-PT"/>
        </w:rPr>
      </w:pPr>
    </w:p>
    <w:p w:rsidR="005624E3" w:rsidRPr="00166EA9" w:rsidRDefault="005624E3" w:rsidP="005624E3">
      <w:pPr>
        <w:suppressAutoHyphens/>
        <w:jc w:val="center"/>
        <w:rPr>
          <w:rFonts w:cs="Arial"/>
          <w:b/>
          <w:snapToGrid w:val="0"/>
          <w:lang w:val="pt-PT"/>
        </w:rPr>
      </w:pPr>
      <w:r w:rsidRPr="00166EA9">
        <w:rPr>
          <w:b/>
          <w:noProof/>
          <w:snapToGrid w:val="0"/>
          <w:lang w:val="pt-PT"/>
        </w:rPr>
        <w:t>(1.01., 10.3. és 10.4. cikk)</w:t>
      </w:r>
    </w:p>
    <w:p w:rsidR="005624E3" w:rsidRPr="00166EA9" w:rsidRDefault="005624E3" w:rsidP="005624E3">
      <w:pPr>
        <w:tabs>
          <w:tab w:val="left" w:pos="425"/>
        </w:tabs>
        <w:suppressAutoHyphens/>
        <w:spacing w:line="240" w:lineRule="atLeast"/>
        <w:rPr>
          <w:rFonts w:cs="Arial"/>
          <w:snapToGrid w:val="0"/>
          <w:lang w:val="pt-PT"/>
        </w:rPr>
      </w:pPr>
    </w:p>
    <w:p w:rsidR="005624E3" w:rsidRPr="00166EA9" w:rsidRDefault="005624E3" w:rsidP="005624E3">
      <w:pPr>
        <w:spacing w:line="240" w:lineRule="atLeast"/>
        <w:ind w:left="567" w:hanging="567"/>
        <w:rPr>
          <w:b/>
          <w:noProof/>
          <w:lang w:val="pt-PT"/>
        </w:rPr>
      </w:pPr>
      <w:r w:rsidRPr="00166EA9">
        <w:rPr>
          <w:b/>
          <w:noProof/>
          <w:lang w:val="pt-PT"/>
        </w:rPr>
        <w:t>Szakértők</w:t>
      </w:r>
    </w:p>
    <w:p w:rsidR="005624E3" w:rsidRPr="00166EA9" w:rsidRDefault="005624E3" w:rsidP="005624E3">
      <w:pPr>
        <w:spacing w:line="240" w:lineRule="atLeast"/>
        <w:rPr>
          <w:noProof/>
          <w:lang w:val="pt-PT"/>
        </w:rPr>
      </w:pPr>
    </w:p>
    <w:p w:rsidR="005624E3" w:rsidRPr="00166EA9" w:rsidRDefault="005624E3" w:rsidP="005624E3">
      <w:pPr>
        <w:spacing w:line="240" w:lineRule="atLeast"/>
        <w:rPr>
          <w:noProof/>
          <w:lang w:val="pt-PT"/>
        </w:rPr>
      </w:pPr>
      <w:r w:rsidRPr="00166EA9">
        <w:rPr>
          <w:lang w:val="pt-PT"/>
        </w:rPr>
        <w:t xml:space="preserve">A szakértőknek olyan átvételi vizsgálatokat kell végrehajtaniuk, amelyek a rendszerek összetettsége vagy az előírt biztonsági szint miatt szaktudást igényelnek. Többek között az alábbi személyek vagy intézmények jogosultak ilyen átvételi vizsgálatok végrehajtására: </w:t>
      </w:r>
    </w:p>
    <w:p w:rsidR="005624E3" w:rsidRPr="00166EA9" w:rsidRDefault="005624E3" w:rsidP="005624E3">
      <w:pPr>
        <w:spacing w:before="60" w:line="240" w:lineRule="atLeast"/>
        <w:ind w:left="426" w:hanging="426"/>
        <w:rPr>
          <w:noProof/>
          <w:lang w:val="pt-PT"/>
        </w:rPr>
      </w:pPr>
      <w:r w:rsidRPr="00166EA9">
        <w:rPr>
          <w:lang w:val="pt-PT"/>
        </w:rPr>
        <w:t>-</w:t>
      </w:r>
      <w:r w:rsidRPr="00166EA9">
        <w:rPr>
          <w:lang w:val="pt-PT"/>
        </w:rPr>
        <w:tab/>
        <w:t>Hajóosztályozó társaságok, amelyek kellő belső szakértelemmel rendelkeznek vagy felhatalmazásuk alapján felelősek külső személyek vagy intézmények bevonásáért, továbbá e személyek vagy intézmények kiválasztása során a szükséges minőség-ellenőrzési rendszereket működtetik;</w:t>
      </w:r>
    </w:p>
    <w:p w:rsidR="005624E3" w:rsidRPr="00166EA9" w:rsidRDefault="005624E3" w:rsidP="005624E3">
      <w:pPr>
        <w:spacing w:before="60" w:line="240" w:lineRule="atLeast"/>
        <w:ind w:left="426" w:hanging="426"/>
        <w:rPr>
          <w:noProof/>
          <w:lang w:val="pt-PT"/>
        </w:rPr>
      </w:pPr>
      <w:r w:rsidRPr="00166EA9">
        <w:rPr>
          <w:lang w:val="pt-PT"/>
        </w:rPr>
        <w:t>-</w:t>
      </w:r>
      <w:r w:rsidRPr="00166EA9">
        <w:rPr>
          <w:lang w:val="pt-PT"/>
        </w:rPr>
        <w:tab/>
        <w:t>Az ellenőrző szervek tagjai vagy a vonatkozó hatóságok alkalmazottai;</w:t>
      </w:r>
    </w:p>
    <w:p w:rsidR="005624E3" w:rsidRPr="00166EA9" w:rsidRDefault="005624E3" w:rsidP="005624E3">
      <w:pPr>
        <w:spacing w:before="60" w:line="240" w:lineRule="atLeast"/>
        <w:ind w:left="426" w:hanging="426"/>
        <w:rPr>
          <w:noProof/>
          <w:lang w:val="pt-PT"/>
        </w:rPr>
      </w:pPr>
      <w:r w:rsidRPr="00166EA9">
        <w:rPr>
          <w:lang w:val="pt-PT"/>
        </w:rPr>
        <w:t>-</w:t>
      </w:r>
      <w:r w:rsidRPr="00166EA9">
        <w:rPr>
          <w:lang w:val="pt-PT"/>
        </w:rPr>
        <w:tab/>
        <w:t>Hivatalosan jóváhagyott személyek vagy intézmények, amelyek az adott tárgykört érintő vizsgálatok tekintetében elismert szakértelemmel rendelkeznek, továbbá ilyen jóváhagyást állami szervezetként – lehetőleg minőségbiztosítási rendszer alapján – az ellenőrző szervek is adhatnak. Egy személy vagy intézmény abban az esetben is elfogadottnak tekintendő, ha megfelelt egy olyan hivatalos kiválasztási eljáráson, amely kifejezetten a szükséges szaktudás és a tapasztalat meglétét méri fel.</w:t>
      </w:r>
    </w:p>
    <w:p w:rsidR="005624E3" w:rsidRPr="00166EA9" w:rsidRDefault="005624E3" w:rsidP="005624E3">
      <w:pPr>
        <w:spacing w:line="240" w:lineRule="atLeast"/>
        <w:ind w:left="567" w:hanging="567"/>
        <w:rPr>
          <w:noProof/>
          <w:lang w:val="pt-PT"/>
        </w:rPr>
      </w:pPr>
    </w:p>
    <w:p w:rsidR="005624E3" w:rsidRPr="00166EA9" w:rsidRDefault="005624E3" w:rsidP="005624E3">
      <w:pPr>
        <w:tabs>
          <w:tab w:val="left" w:pos="1418"/>
        </w:tabs>
        <w:spacing w:line="240" w:lineRule="atLeast"/>
        <w:rPr>
          <w:rFonts w:cs="Arial"/>
          <w:b/>
          <w:color w:val="000000"/>
          <w:lang w:val="pt-PT"/>
        </w:rPr>
      </w:pPr>
      <w:r w:rsidRPr="00166EA9">
        <w:rPr>
          <w:b/>
          <w:color w:val="000000"/>
          <w:lang w:val="pt-PT"/>
        </w:rPr>
        <w:t>A tradicionális vízi járművek szakértője</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rPr>
          <w:noProof/>
          <w:lang w:val="pt-PT"/>
        </w:rPr>
      </w:pPr>
      <w:r w:rsidRPr="00166EA9">
        <w:rPr>
          <w:lang w:val="pt-PT"/>
        </w:rPr>
        <w:t>A tagállam illetékes hatósága vagy meghatalmazott intézménye által kinevezett olyan személy, aki az érintett területen szerzett képesítése és tapasztalata miatt speciális szakismerettel rendelkezik a tradicionális vízi járművekről, és aki ismeri a vonatkozó – a tradicionális vízi járművek építésének időszakában is alkalmazott – műszaki követelményeket és szabályokat.</w:t>
      </w:r>
    </w:p>
    <w:p w:rsidR="005624E3" w:rsidRPr="00166EA9" w:rsidRDefault="005624E3" w:rsidP="005624E3">
      <w:pPr>
        <w:spacing w:line="240" w:lineRule="atLeast"/>
        <w:ind w:left="567" w:hanging="567"/>
        <w:rPr>
          <w:noProof/>
          <w:lang w:val="pt-PT"/>
        </w:rPr>
      </w:pPr>
    </w:p>
    <w:p w:rsidR="005624E3" w:rsidRPr="00166EA9" w:rsidRDefault="005624E3" w:rsidP="005624E3">
      <w:pPr>
        <w:spacing w:line="240" w:lineRule="atLeast"/>
        <w:ind w:left="567" w:hanging="567"/>
        <w:rPr>
          <w:b/>
          <w:noProof/>
          <w:lang w:val="pt-PT"/>
        </w:rPr>
      </w:pPr>
      <w:r w:rsidRPr="00166EA9">
        <w:rPr>
          <w:b/>
          <w:noProof/>
          <w:lang w:val="pt-PT"/>
        </w:rPr>
        <w:t>Hozzáértő személyek</w:t>
      </w:r>
    </w:p>
    <w:p w:rsidR="005624E3" w:rsidRPr="00166EA9" w:rsidRDefault="005624E3" w:rsidP="005624E3">
      <w:pPr>
        <w:spacing w:line="240" w:lineRule="atLeast"/>
        <w:rPr>
          <w:noProof/>
          <w:lang w:val="pt-PT"/>
        </w:rPr>
      </w:pPr>
    </w:p>
    <w:p w:rsidR="005624E3" w:rsidRPr="00166EA9" w:rsidRDefault="005624E3" w:rsidP="005624E3">
      <w:pPr>
        <w:spacing w:line="240" w:lineRule="atLeast"/>
        <w:rPr>
          <w:noProof/>
          <w:lang w:val="pt-PT"/>
        </w:rPr>
      </w:pPr>
      <w:r w:rsidRPr="00166EA9">
        <w:rPr>
          <w:lang w:val="pt-PT"/>
        </w:rPr>
        <w:t>A hozzáértő személyeknek például rendszeres szemrevételezéssel és üzemi próbával kell ellenőrizniük a biztonsági felszereléseket. Hozzáértő személynek minősülhetnek:</w:t>
      </w:r>
    </w:p>
    <w:p w:rsidR="005624E3" w:rsidRPr="00166EA9" w:rsidRDefault="005624E3" w:rsidP="005624E3">
      <w:pPr>
        <w:spacing w:before="60" w:line="240" w:lineRule="atLeast"/>
        <w:ind w:left="426" w:hanging="426"/>
        <w:rPr>
          <w:noProof/>
          <w:lang w:val="pt-PT"/>
        </w:rPr>
      </w:pPr>
      <w:r w:rsidRPr="00166EA9">
        <w:rPr>
          <w:lang w:val="pt-PT"/>
        </w:rPr>
        <w:t>-</w:t>
      </w:r>
      <w:r w:rsidRPr="00166EA9">
        <w:rPr>
          <w:lang w:val="pt-PT"/>
        </w:rPr>
        <w:tab/>
        <w:t>olyan személyek, például hajóparancsnokok, hajózási társaságok biztonsági felelősei, vonatkozó tapasztalattal rendelkező legénységi tagok, akik szakképesítésük és szakmai tapasztalatuk alapján megfelelő tudással rendelkeznek ahhoz, hogy meghatározott helyzeteket és körülményeket felmérjenek;</w:t>
      </w:r>
    </w:p>
    <w:p w:rsidR="005624E3" w:rsidRPr="00166EA9" w:rsidRDefault="005624E3" w:rsidP="005624E3">
      <w:pPr>
        <w:spacing w:before="60" w:line="240" w:lineRule="atLeast"/>
        <w:ind w:left="426" w:hanging="426"/>
        <w:rPr>
          <w:noProof/>
          <w:lang w:val="pt-PT"/>
        </w:rPr>
      </w:pPr>
      <w:r w:rsidRPr="00166EA9">
        <w:rPr>
          <w:lang w:val="pt-PT"/>
        </w:rPr>
        <w:t>-</w:t>
      </w:r>
      <w:r w:rsidRPr="00166EA9">
        <w:rPr>
          <w:lang w:val="pt-PT"/>
        </w:rPr>
        <w:tab/>
        <w:t>társaságok, például hajógyárak vagy berendezéseket gyártó cégek, amelyek szokásos tevékenységük folytatása során elegendő szaktudásra tettek szert;</w:t>
      </w:r>
    </w:p>
    <w:p w:rsidR="005624E3" w:rsidRPr="00166EA9" w:rsidRDefault="005624E3" w:rsidP="005624E3">
      <w:pPr>
        <w:spacing w:before="60" w:line="240" w:lineRule="atLeast"/>
        <w:ind w:left="426" w:hanging="426"/>
        <w:rPr>
          <w:noProof/>
          <w:lang w:val="pt-PT"/>
        </w:rPr>
      </w:pPr>
      <w:r w:rsidRPr="00166EA9">
        <w:rPr>
          <w:lang w:val="pt-PT"/>
        </w:rPr>
        <w:t>-</w:t>
      </w:r>
      <w:r w:rsidRPr="00166EA9">
        <w:rPr>
          <w:lang w:val="pt-PT"/>
        </w:rPr>
        <w:tab/>
        <w:t>különleges felhasználású rendszerek (pl. tűzoltó berendezések, vezérlőberendezések) gyártói.</w:t>
      </w:r>
    </w:p>
    <w:p w:rsidR="005624E3" w:rsidRPr="00166EA9" w:rsidRDefault="005624E3" w:rsidP="005624E3">
      <w:pPr>
        <w:spacing w:line="240" w:lineRule="atLeast"/>
        <w:ind w:left="567" w:hanging="567"/>
        <w:rPr>
          <w:noProof/>
          <w:lang w:val="pt-PT"/>
        </w:rPr>
      </w:pPr>
    </w:p>
    <w:p w:rsidR="005624E3" w:rsidRPr="00921ED0" w:rsidRDefault="005624E3" w:rsidP="005624E3">
      <w:pPr>
        <w:spacing w:line="240" w:lineRule="atLeast"/>
        <w:ind w:left="567" w:hanging="567"/>
        <w:rPr>
          <w:b/>
          <w:noProof/>
        </w:rPr>
      </w:pPr>
      <w:r w:rsidRPr="00921ED0">
        <w:rPr>
          <w:b/>
          <w:noProof/>
        </w:rPr>
        <w:t>Terminológia</w:t>
      </w:r>
    </w:p>
    <w:p w:rsidR="005624E3" w:rsidRPr="00921ED0" w:rsidRDefault="005624E3" w:rsidP="005624E3">
      <w:pPr>
        <w:spacing w:line="240" w:lineRule="atLeast"/>
        <w:ind w:left="567" w:hanging="567"/>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800"/>
        <w:gridCol w:w="1921"/>
        <w:gridCol w:w="1807"/>
      </w:tblGrid>
      <w:tr w:rsidR="005624E3" w:rsidRPr="00921ED0" w:rsidTr="00101A80">
        <w:trPr>
          <w:jc w:val="center"/>
        </w:trPr>
        <w:tc>
          <w:tcPr>
            <w:tcW w:w="1859" w:type="dxa"/>
          </w:tcPr>
          <w:p w:rsidR="005624E3" w:rsidRPr="00921ED0" w:rsidRDefault="005624E3" w:rsidP="00101A80">
            <w:pPr>
              <w:spacing w:before="120" w:after="120"/>
              <w:rPr>
                <w:rFonts w:cs="Arial"/>
                <w:noProof/>
                <w:sz w:val="18"/>
                <w:szCs w:val="20"/>
              </w:rPr>
            </w:pPr>
            <w:r w:rsidRPr="00921ED0">
              <w:rPr>
                <w:noProof/>
                <w:sz w:val="18"/>
              </w:rPr>
              <w:t>Német</w:t>
            </w:r>
          </w:p>
        </w:tc>
        <w:tc>
          <w:tcPr>
            <w:tcW w:w="1800" w:type="dxa"/>
          </w:tcPr>
          <w:p w:rsidR="005624E3" w:rsidRPr="00921ED0" w:rsidRDefault="005624E3" w:rsidP="00101A80">
            <w:pPr>
              <w:spacing w:before="120" w:after="120"/>
              <w:rPr>
                <w:rFonts w:cs="Arial"/>
                <w:noProof/>
                <w:sz w:val="18"/>
                <w:szCs w:val="20"/>
              </w:rPr>
            </w:pPr>
            <w:r w:rsidRPr="00921ED0">
              <w:rPr>
                <w:noProof/>
                <w:sz w:val="18"/>
              </w:rPr>
              <w:t>Angol</w:t>
            </w:r>
          </w:p>
        </w:tc>
        <w:tc>
          <w:tcPr>
            <w:tcW w:w="1921" w:type="dxa"/>
          </w:tcPr>
          <w:p w:rsidR="005624E3" w:rsidRPr="00921ED0" w:rsidRDefault="005624E3" w:rsidP="00101A80">
            <w:pPr>
              <w:spacing w:before="120" w:after="120"/>
              <w:rPr>
                <w:rFonts w:cs="Arial"/>
                <w:noProof/>
                <w:sz w:val="18"/>
                <w:szCs w:val="20"/>
              </w:rPr>
            </w:pPr>
            <w:r w:rsidRPr="00921ED0">
              <w:rPr>
                <w:noProof/>
                <w:sz w:val="18"/>
              </w:rPr>
              <w:t>Francia</w:t>
            </w:r>
          </w:p>
        </w:tc>
        <w:tc>
          <w:tcPr>
            <w:tcW w:w="1807" w:type="dxa"/>
          </w:tcPr>
          <w:p w:rsidR="005624E3" w:rsidRPr="00921ED0" w:rsidRDefault="005624E3" w:rsidP="00101A80">
            <w:pPr>
              <w:spacing w:before="120" w:after="120"/>
              <w:rPr>
                <w:rFonts w:cs="Arial"/>
                <w:noProof/>
                <w:sz w:val="18"/>
                <w:szCs w:val="20"/>
              </w:rPr>
            </w:pPr>
            <w:r w:rsidRPr="00921ED0">
              <w:rPr>
                <w:noProof/>
                <w:sz w:val="18"/>
              </w:rPr>
              <w:t>Holland</w:t>
            </w:r>
          </w:p>
        </w:tc>
      </w:tr>
      <w:tr w:rsidR="005624E3" w:rsidRPr="00921ED0" w:rsidTr="00101A80">
        <w:trPr>
          <w:jc w:val="center"/>
        </w:trPr>
        <w:tc>
          <w:tcPr>
            <w:tcW w:w="1859" w:type="dxa"/>
          </w:tcPr>
          <w:p w:rsidR="005624E3" w:rsidRPr="00921ED0" w:rsidRDefault="005624E3" w:rsidP="00101A80">
            <w:pPr>
              <w:spacing w:before="120" w:after="120"/>
              <w:rPr>
                <w:rFonts w:cs="Arial"/>
                <w:noProof/>
                <w:sz w:val="18"/>
                <w:szCs w:val="20"/>
              </w:rPr>
            </w:pPr>
            <w:r w:rsidRPr="00921ED0">
              <w:rPr>
                <w:noProof/>
                <w:sz w:val="18"/>
              </w:rPr>
              <w:t>Sachverständiger</w:t>
            </w:r>
          </w:p>
        </w:tc>
        <w:tc>
          <w:tcPr>
            <w:tcW w:w="1800" w:type="dxa"/>
          </w:tcPr>
          <w:p w:rsidR="005624E3" w:rsidRPr="00921ED0" w:rsidRDefault="005624E3" w:rsidP="00101A80">
            <w:pPr>
              <w:spacing w:before="120" w:after="120"/>
              <w:rPr>
                <w:rFonts w:cs="Arial"/>
                <w:noProof/>
                <w:sz w:val="18"/>
                <w:szCs w:val="20"/>
              </w:rPr>
            </w:pPr>
            <w:r w:rsidRPr="00921ED0">
              <w:rPr>
                <w:noProof/>
                <w:sz w:val="18"/>
              </w:rPr>
              <w:t>expert</w:t>
            </w:r>
          </w:p>
        </w:tc>
        <w:tc>
          <w:tcPr>
            <w:tcW w:w="1921" w:type="dxa"/>
          </w:tcPr>
          <w:p w:rsidR="005624E3" w:rsidRPr="00921ED0" w:rsidRDefault="005624E3" w:rsidP="00101A80">
            <w:pPr>
              <w:spacing w:before="120" w:after="120"/>
              <w:rPr>
                <w:rFonts w:cs="Arial"/>
                <w:noProof/>
                <w:sz w:val="18"/>
                <w:szCs w:val="20"/>
              </w:rPr>
            </w:pPr>
            <w:r w:rsidRPr="00921ED0">
              <w:rPr>
                <w:noProof/>
                <w:sz w:val="18"/>
              </w:rPr>
              <w:t>expert</w:t>
            </w:r>
          </w:p>
        </w:tc>
        <w:tc>
          <w:tcPr>
            <w:tcW w:w="1807" w:type="dxa"/>
          </w:tcPr>
          <w:p w:rsidR="005624E3" w:rsidRPr="00921ED0" w:rsidRDefault="005624E3" w:rsidP="00101A80">
            <w:pPr>
              <w:spacing w:before="120" w:after="120"/>
              <w:rPr>
                <w:rFonts w:cs="Arial"/>
                <w:noProof/>
                <w:sz w:val="18"/>
                <w:szCs w:val="20"/>
              </w:rPr>
            </w:pPr>
            <w:r w:rsidRPr="00921ED0">
              <w:rPr>
                <w:noProof/>
                <w:sz w:val="18"/>
              </w:rPr>
              <w:t>erkend deskundige</w:t>
            </w:r>
          </w:p>
        </w:tc>
      </w:tr>
      <w:tr w:rsidR="005624E3" w:rsidRPr="00921ED0" w:rsidTr="00101A80">
        <w:trPr>
          <w:jc w:val="center"/>
        </w:trPr>
        <w:tc>
          <w:tcPr>
            <w:tcW w:w="1859" w:type="dxa"/>
          </w:tcPr>
          <w:p w:rsidR="005624E3" w:rsidRPr="00921ED0" w:rsidRDefault="005624E3" w:rsidP="00101A80">
            <w:pPr>
              <w:spacing w:before="120" w:after="120"/>
              <w:rPr>
                <w:rFonts w:cs="Arial"/>
                <w:noProof/>
                <w:sz w:val="18"/>
                <w:szCs w:val="20"/>
              </w:rPr>
            </w:pPr>
            <w:r w:rsidRPr="00921ED0">
              <w:rPr>
                <w:noProof/>
                <w:sz w:val="18"/>
              </w:rPr>
              <w:t>Sachkundiger</w:t>
            </w:r>
          </w:p>
        </w:tc>
        <w:tc>
          <w:tcPr>
            <w:tcW w:w="1800" w:type="dxa"/>
          </w:tcPr>
          <w:p w:rsidR="005624E3" w:rsidRPr="00921ED0" w:rsidRDefault="005624E3" w:rsidP="00101A80">
            <w:pPr>
              <w:spacing w:before="120" w:after="120"/>
              <w:rPr>
                <w:rFonts w:cs="Arial"/>
                <w:noProof/>
                <w:sz w:val="18"/>
                <w:szCs w:val="20"/>
              </w:rPr>
            </w:pPr>
            <w:r w:rsidRPr="00921ED0">
              <w:rPr>
                <w:noProof/>
                <w:sz w:val="18"/>
              </w:rPr>
              <w:t>competent person</w:t>
            </w:r>
          </w:p>
        </w:tc>
        <w:tc>
          <w:tcPr>
            <w:tcW w:w="1921" w:type="dxa"/>
          </w:tcPr>
          <w:p w:rsidR="005624E3" w:rsidRPr="00921ED0" w:rsidRDefault="005624E3" w:rsidP="00101A80">
            <w:pPr>
              <w:spacing w:before="120" w:after="120"/>
              <w:rPr>
                <w:rFonts w:cs="Arial"/>
                <w:noProof/>
                <w:sz w:val="18"/>
                <w:szCs w:val="20"/>
              </w:rPr>
            </w:pPr>
            <w:r w:rsidRPr="00921ED0">
              <w:rPr>
                <w:noProof/>
                <w:sz w:val="18"/>
              </w:rPr>
              <w:t>spécialiste</w:t>
            </w:r>
          </w:p>
        </w:tc>
        <w:tc>
          <w:tcPr>
            <w:tcW w:w="1807" w:type="dxa"/>
          </w:tcPr>
          <w:p w:rsidR="005624E3" w:rsidRPr="00921ED0" w:rsidRDefault="005624E3" w:rsidP="00101A80">
            <w:pPr>
              <w:spacing w:before="120" w:after="120"/>
              <w:rPr>
                <w:rFonts w:cs="Arial"/>
                <w:noProof/>
                <w:sz w:val="18"/>
                <w:szCs w:val="20"/>
              </w:rPr>
            </w:pPr>
            <w:r w:rsidRPr="00921ED0">
              <w:rPr>
                <w:noProof/>
                <w:sz w:val="18"/>
              </w:rPr>
              <w:t>deskundige</w:t>
            </w:r>
          </w:p>
        </w:tc>
      </w:tr>
      <w:tr w:rsidR="005624E3" w:rsidRPr="00921ED0" w:rsidTr="00101A80">
        <w:trPr>
          <w:jc w:val="center"/>
        </w:trPr>
        <w:tc>
          <w:tcPr>
            <w:tcW w:w="1859" w:type="dxa"/>
          </w:tcPr>
          <w:p w:rsidR="005624E3" w:rsidRPr="00921ED0" w:rsidRDefault="005624E3" w:rsidP="00101A80">
            <w:pPr>
              <w:spacing w:before="120" w:after="120"/>
              <w:rPr>
                <w:rFonts w:cs="Arial"/>
                <w:noProof/>
                <w:sz w:val="18"/>
                <w:szCs w:val="20"/>
              </w:rPr>
            </w:pPr>
            <w:r w:rsidRPr="00921ED0">
              <w:rPr>
                <w:noProof/>
                <w:sz w:val="18"/>
              </w:rPr>
              <w:t>Fachfirma</w:t>
            </w:r>
          </w:p>
        </w:tc>
        <w:tc>
          <w:tcPr>
            <w:tcW w:w="1800" w:type="dxa"/>
          </w:tcPr>
          <w:p w:rsidR="005624E3" w:rsidRPr="00921ED0" w:rsidRDefault="005624E3" w:rsidP="00101A80">
            <w:pPr>
              <w:spacing w:before="120" w:after="120"/>
              <w:rPr>
                <w:rFonts w:cs="Arial"/>
                <w:noProof/>
                <w:sz w:val="18"/>
                <w:szCs w:val="20"/>
              </w:rPr>
            </w:pPr>
            <w:r w:rsidRPr="00921ED0">
              <w:rPr>
                <w:noProof/>
                <w:sz w:val="18"/>
              </w:rPr>
              <w:t>competent firm</w:t>
            </w:r>
          </w:p>
        </w:tc>
        <w:tc>
          <w:tcPr>
            <w:tcW w:w="1921" w:type="dxa"/>
          </w:tcPr>
          <w:p w:rsidR="005624E3" w:rsidRPr="00921ED0" w:rsidRDefault="005624E3" w:rsidP="00101A80">
            <w:pPr>
              <w:spacing w:before="120" w:after="120"/>
              <w:rPr>
                <w:rFonts w:cs="Arial"/>
                <w:noProof/>
                <w:sz w:val="18"/>
                <w:szCs w:val="20"/>
              </w:rPr>
            </w:pPr>
            <w:r w:rsidRPr="00921ED0">
              <w:rPr>
                <w:noProof/>
                <w:sz w:val="18"/>
              </w:rPr>
              <w:t>société spécialisée</w:t>
            </w:r>
          </w:p>
        </w:tc>
        <w:tc>
          <w:tcPr>
            <w:tcW w:w="1807" w:type="dxa"/>
          </w:tcPr>
          <w:p w:rsidR="005624E3" w:rsidRPr="00921ED0" w:rsidRDefault="005624E3" w:rsidP="00101A80">
            <w:pPr>
              <w:spacing w:before="120" w:after="120"/>
              <w:rPr>
                <w:rFonts w:cs="Arial"/>
                <w:noProof/>
                <w:sz w:val="18"/>
                <w:szCs w:val="20"/>
              </w:rPr>
            </w:pPr>
            <w:r w:rsidRPr="00921ED0">
              <w:rPr>
                <w:noProof/>
                <w:sz w:val="18"/>
              </w:rPr>
              <w:t>deskundig bedrijf</w:t>
            </w:r>
          </w:p>
        </w:tc>
      </w:tr>
    </w:tbl>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567" w:hanging="567"/>
        <w:rPr>
          <w:b/>
        </w:rPr>
      </w:pPr>
      <w:r w:rsidRPr="00921ED0">
        <w:br w:type="page"/>
      </w:r>
      <w:r w:rsidRPr="00921ED0">
        <w:rPr>
          <w:b/>
        </w:rPr>
        <w:t>Átvételi vizsgálatok</w:t>
      </w:r>
    </w:p>
    <w:p w:rsidR="005624E3" w:rsidRPr="00921ED0" w:rsidRDefault="005624E3" w:rsidP="005624E3">
      <w:pPr>
        <w:rPr>
          <w:noProof/>
          <w:sz w:val="12"/>
        </w:rPr>
      </w:pPr>
    </w:p>
    <w:p w:rsidR="005624E3" w:rsidRPr="00921ED0" w:rsidRDefault="005624E3" w:rsidP="005624E3">
      <w:pPr>
        <w:spacing w:line="240" w:lineRule="atLeast"/>
        <w:rPr>
          <w:noProof/>
        </w:rPr>
      </w:pPr>
      <w:r w:rsidRPr="00921ED0">
        <w:t>Az alábbi táblázat összefoglalja az átvételi vizsgálatok ütemezését, ideértve azok gyakoriságát és az elvégzésükhöz szükséges ellenőr típusát. Ez a táblázat csupán tájékoztatási célt szolgál.</w:t>
      </w:r>
    </w:p>
    <w:p w:rsidR="005624E3" w:rsidRPr="00921ED0" w:rsidRDefault="005624E3" w:rsidP="005624E3">
      <w:pPr>
        <w:rPr>
          <w:noProof/>
          <w:sz w:val="12"/>
        </w:rPr>
      </w:pPr>
    </w:p>
    <w:tbl>
      <w:tblPr>
        <w:tblW w:w="9118" w:type="dxa"/>
        <w:tblInd w:w="-10" w:type="dxa"/>
        <w:tblLayout w:type="fixed"/>
        <w:tblLook w:val="0000" w:firstRow="0" w:lastRow="0" w:firstColumn="0" w:lastColumn="0" w:noHBand="0" w:noVBand="0"/>
      </w:tblPr>
      <w:tblGrid>
        <w:gridCol w:w="1738"/>
        <w:gridCol w:w="3060"/>
        <w:gridCol w:w="2700"/>
        <w:gridCol w:w="1620"/>
      </w:tblGrid>
      <w:tr w:rsidR="005624E3" w:rsidRPr="00921ED0" w:rsidTr="00101A80">
        <w:tc>
          <w:tcPr>
            <w:tcW w:w="1738"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b/>
                <w:bCs/>
                <w:noProof/>
                <w:sz w:val="18"/>
                <w:szCs w:val="18"/>
              </w:rPr>
            </w:pPr>
            <w:r w:rsidRPr="00921ED0">
              <w:rPr>
                <w:b/>
                <w:noProof/>
                <w:sz w:val="18"/>
              </w:rPr>
              <w:t>Követelmény</w:t>
            </w:r>
          </w:p>
        </w:tc>
        <w:tc>
          <w:tcPr>
            <w:tcW w:w="3060"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b/>
                <w:bCs/>
                <w:noProof/>
                <w:sz w:val="18"/>
                <w:szCs w:val="18"/>
              </w:rPr>
            </w:pPr>
            <w:r w:rsidRPr="00921ED0">
              <w:rPr>
                <w:b/>
                <w:noProof/>
                <w:sz w:val="18"/>
              </w:rPr>
              <w:t>Tárgy</w:t>
            </w:r>
          </w:p>
        </w:tc>
        <w:tc>
          <w:tcPr>
            <w:tcW w:w="2700"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b/>
                <w:bCs/>
                <w:noProof/>
                <w:sz w:val="18"/>
                <w:szCs w:val="18"/>
              </w:rPr>
            </w:pPr>
            <w:r w:rsidRPr="00921ED0">
              <w:rPr>
                <w:b/>
                <w:noProof/>
                <w:sz w:val="18"/>
              </w:rPr>
              <w:t>A vizsgálatok maximális gyakorisága</w:t>
            </w:r>
          </w:p>
        </w:tc>
        <w:tc>
          <w:tcPr>
            <w:tcW w:w="1620" w:type="dxa"/>
            <w:tcBorders>
              <w:top w:val="single" w:sz="4" w:space="0" w:color="000000"/>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b/>
                <w:bCs/>
                <w:noProof/>
                <w:sz w:val="18"/>
                <w:szCs w:val="18"/>
              </w:rPr>
            </w:pPr>
            <w:r w:rsidRPr="00921ED0">
              <w:rPr>
                <w:b/>
                <w:noProof/>
                <w:sz w:val="18"/>
              </w:rPr>
              <w:t>Ellenőr</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6.03. cikk 5. bekezdés</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Hidraulikus hengerek, szivattyúk és motorok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8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Hozzáértő cég</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6.09. cikk 3. bekezdés</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Meghajtott kormányberendezés</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3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Hozzáértő személy</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pacing w:before="60" w:after="60" w:line="240" w:lineRule="atLeast"/>
              <w:rPr>
                <w:rFonts w:cs="Arial"/>
                <w:sz w:val="18"/>
                <w:szCs w:val="18"/>
              </w:rPr>
            </w:pPr>
            <w:r w:rsidRPr="00921ED0">
              <w:rPr>
                <w:sz w:val="18"/>
              </w:rPr>
              <w:t>7.12. cikk 11. bekezdés</w:t>
            </w:r>
          </w:p>
        </w:tc>
        <w:tc>
          <w:tcPr>
            <w:tcW w:w="3060" w:type="dxa"/>
            <w:tcBorders>
              <w:left w:val="single" w:sz="4" w:space="0" w:color="000000"/>
              <w:bottom w:val="single" w:sz="4" w:space="0" w:color="000000"/>
            </w:tcBorders>
            <w:vAlign w:val="center"/>
          </w:tcPr>
          <w:p w:rsidR="005624E3" w:rsidRPr="00921ED0" w:rsidRDefault="005624E3" w:rsidP="00101A80">
            <w:pPr>
              <w:spacing w:before="60" w:after="60" w:line="240" w:lineRule="atLeast"/>
              <w:rPr>
                <w:rFonts w:cs="Arial"/>
                <w:sz w:val="18"/>
                <w:szCs w:val="18"/>
              </w:rPr>
            </w:pPr>
            <w:r w:rsidRPr="00921ED0">
              <w:rPr>
                <w:sz w:val="18"/>
              </w:rPr>
              <w:t>Állítható magasságú kormányállás és berendezései</w:t>
            </w:r>
          </w:p>
        </w:tc>
        <w:tc>
          <w:tcPr>
            <w:tcW w:w="2700" w:type="dxa"/>
            <w:tcBorders>
              <w:left w:val="single" w:sz="4" w:space="0" w:color="000000"/>
              <w:bottom w:val="single" w:sz="4" w:space="0" w:color="000000"/>
            </w:tcBorders>
            <w:vAlign w:val="center"/>
          </w:tcPr>
          <w:p w:rsidR="005624E3" w:rsidRPr="00921ED0" w:rsidRDefault="005624E3" w:rsidP="00101A80">
            <w:pPr>
              <w:spacing w:before="60" w:after="60" w:line="240" w:lineRule="atLeast"/>
              <w:jc w:val="center"/>
              <w:rPr>
                <w:rFonts w:cs="Arial"/>
                <w:sz w:val="18"/>
                <w:szCs w:val="18"/>
              </w:rPr>
            </w:pPr>
            <w:r w:rsidRPr="00921ED0">
              <w:rPr>
                <w:sz w:val="18"/>
              </w:rPr>
              <w:t>1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pacing w:before="60" w:after="60" w:line="240" w:lineRule="atLeast"/>
              <w:ind w:left="25" w:hanging="25"/>
              <w:jc w:val="center"/>
              <w:rPr>
                <w:rFonts w:cs="Arial"/>
                <w:sz w:val="18"/>
                <w:szCs w:val="18"/>
              </w:rPr>
            </w:pPr>
            <w:r w:rsidRPr="00921ED0">
              <w:rPr>
                <w:sz w:val="18"/>
              </w:rPr>
              <w:t>Hozzáértő személy</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pacing w:before="60" w:after="60" w:line="240" w:lineRule="atLeast"/>
              <w:rPr>
                <w:rFonts w:cs="Arial"/>
                <w:sz w:val="18"/>
                <w:szCs w:val="18"/>
              </w:rPr>
            </w:pPr>
            <w:r w:rsidRPr="00921ED0">
              <w:rPr>
                <w:sz w:val="18"/>
              </w:rPr>
              <w:t>7.12. cikk 12. bekezdés</w:t>
            </w:r>
          </w:p>
        </w:tc>
        <w:tc>
          <w:tcPr>
            <w:tcW w:w="3060" w:type="dxa"/>
            <w:tcBorders>
              <w:left w:val="single" w:sz="4" w:space="0" w:color="000000"/>
              <w:bottom w:val="single" w:sz="4" w:space="0" w:color="000000"/>
            </w:tcBorders>
            <w:vAlign w:val="center"/>
          </w:tcPr>
          <w:p w:rsidR="005624E3" w:rsidRPr="00921ED0" w:rsidRDefault="005624E3" w:rsidP="00101A80">
            <w:pPr>
              <w:spacing w:before="60" w:after="60" w:line="240" w:lineRule="atLeast"/>
              <w:rPr>
                <w:rFonts w:cs="Arial"/>
                <w:sz w:val="18"/>
                <w:szCs w:val="18"/>
              </w:rPr>
            </w:pPr>
            <w:r w:rsidRPr="00921ED0">
              <w:rPr>
                <w:sz w:val="18"/>
              </w:rPr>
              <w:t>Állítható magasságú kormányállás és berendezései</w:t>
            </w:r>
          </w:p>
        </w:tc>
        <w:tc>
          <w:tcPr>
            <w:tcW w:w="2700" w:type="dxa"/>
            <w:tcBorders>
              <w:left w:val="single" w:sz="4" w:space="0" w:color="000000"/>
              <w:bottom w:val="single" w:sz="4" w:space="0" w:color="000000"/>
            </w:tcBorders>
            <w:vAlign w:val="center"/>
          </w:tcPr>
          <w:p w:rsidR="005624E3" w:rsidRPr="00921ED0" w:rsidRDefault="005624E3" w:rsidP="00101A80">
            <w:pPr>
              <w:spacing w:before="60" w:after="60" w:line="240" w:lineRule="atLeast"/>
              <w:jc w:val="center"/>
              <w:rPr>
                <w:rFonts w:cs="Arial"/>
                <w:sz w:val="18"/>
                <w:szCs w:val="18"/>
              </w:rPr>
            </w:pPr>
            <w:r w:rsidRPr="00921ED0">
              <w:rPr>
                <w:sz w:val="18"/>
              </w:rPr>
              <w:t>5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pacing w:before="60" w:after="60" w:line="240" w:lineRule="atLeast"/>
              <w:jc w:val="center"/>
              <w:rPr>
                <w:rFonts w:cs="Arial"/>
                <w:sz w:val="18"/>
                <w:szCs w:val="18"/>
              </w:rPr>
            </w:pPr>
            <w:r w:rsidRPr="00921ED0">
              <w:rPr>
                <w:sz w:val="18"/>
              </w:rPr>
              <w:t>Szakértő</w:t>
            </w:r>
          </w:p>
        </w:tc>
      </w:tr>
      <w:tr w:rsidR="005624E3" w:rsidRPr="00921ED0" w:rsidTr="00101A80">
        <w:trPr>
          <w:trHeight w:val="515"/>
        </w:trPr>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8.01. cikk 2. bekezdés</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Nyomástartó edények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5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Szakértő</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13.03. cikk 5. bekezdés</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Hordozható tűzoltó készülékek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2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Hozzáértő személy</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13.04. cikk 6. bekezdés a)–c) pont</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Tartósan rögzített tűzvédelmi rendszerek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Szakértő</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13.04. cikk 6. bekezdés d) pont</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Tartósan rögzített tűzvédelmi rendszerek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2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Hozzáértő személy vagy hozzáértő cég</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13.05. cikk 9. bekezdés b) pont aa)–cc) alpont</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Tartósan rögzített tűzvédelmi rendszerek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Szakértő</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13.05. cikk 9. bekezdés b) pont dd) alpont</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Tartósan rögzített tűzvédelmi rendszerek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2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Hozzáértő személy vagy hozzáértő cég</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13.07. cikk 3. bekezdés</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Felfújható szolgálati csónakok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A gyártó határozza meg</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13.08. cikk 3. bekezdés</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Mentőmellények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A gyártó határozza meg</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14.12. cikk 6. bekezdés</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Daruk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10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Szakértő</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14.12. cikk 7. bekezdés</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Daruk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1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Hozzáértő személy</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17.13. cikk</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Cseppfolyósított gázzal üzemelő berendezések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3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Szakértő</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19.09. cikk 9. bekezdés</w:t>
            </w:r>
          </w:p>
        </w:tc>
        <w:tc>
          <w:tcPr>
            <w:tcW w:w="3060" w:type="dxa"/>
            <w:tcBorders>
              <w:left w:val="single" w:sz="4" w:space="0" w:color="000000"/>
              <w:bottom w:val="single" w:sz="4" w:space="0" w:color="000000"/>
            </w:tcBorders>
            <w:vAlign w:val="center"/>
          </w:tcPr>
          <w:p w:rsidR="005624E3" w:rsidRPr="00921ED0" w:rsidRDefault="005624E3" w:rsidP="005F0225">
            <w:pPr>
              <w:snapToGrid w:val="0"/>
              <w:spacing w:line="240" w:lineRule="atLeast"/>
              <w:rPr>
                <w:rFonts w:cs="Arial"/>
                <w:noProof/>
                <w:sz w:val="18"/>
                <w:szCs w:val="18"/>
              </w:rPr>
            </w:pPr>
            <w:r w:rsidRPr="00921ED0">
              <w:rPr>
                <w:noProof/>
                <w:sz w:val="18"/>
              </w:rPr>
              <w:t>Életmentő</w:t>
            </w:r>
            <w:r w:rsidR="005F0225">
              <w:rPr>
                <w:noProof/>
                <w:sz w:val="18"/>
              </w:rPr>
              <w:t xml:space="preserve"> </w:t>
            </w:r>
            <w:r w:rsidRPr="00921ED0">
              <w:rPr>
                <w:noProof/>
                <w:sz w:val="18"/>
              </w:rPr>
              <w:t>felszerelések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A gyártó határozza meg</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19.10. cikk 9. bekezdés</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Szigetelési ellenállás, földelés</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A belvízi hajóbizonyítvány érvényességének lejárta előtt</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p>
        </w:tc>
      </w:tr>
      <w:tr w:rsidR="005624E3" w:rsidRPr="00921ED0" w:rsidTr="00101A80">
        <w:tc>
          <w:tcPr>
            <w:tcW w:w="1738" w:type="dxa"/>
            <w:tcBorders>
              <w:left w:val="single" w:sz="4" w:space="0" w:color="000000"/>
              <w:bottom w:val="single" w:sz="4" w:space="0" w:color="000000"/>
            </w:tcBorders>
            <w:vAlign w:val="center"/>
          </w:tcPr>
          <w:p w:rsidR="005624E3" w:rsidRPr="00921ED0" w:rsidDel="008047E6" w:rsidRDefault="005624E3" w:rsidP="00101A80">
            <w:pPr>
              <w:snapToGrid w:val="0"/>
              <w:spacing w:line="240" w:lineRule="atLeast"/>
              <w:rPr>
                <w:rFonts w:cs="Arial"/>
                <w:noProof/>
                <w:sz w:val="18"/>
                <w:szCs w:val="18"/>
              </w:rPr>
            </w:pPr>
            <w:r w:rsidRPr="00921ED0">
              <w:rPr>
                <w:rFonts w:cs="Arial"/>
                <w:noProof/>
                <w:sz w:val="18"/>
                <w:szCs w:val="18"/>
              </w:rPr>
              <w:t>ESI­II­13</w:t>
            </w:r>
            <w:r w:rsidRPr="00921ED0">
              <w:rPr>
                <w:noProof/>
                <w:sz w:val="18"/>
              </w:rPr>
              <w:t xml:space="preserve"> utasítás 3.1. szakasz a) és b) pont</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Tűzjelző rendszerek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Szakértő</w:t>
            </w:r>
          </w:p>
        </w:tc>
      </w:tr>
      <w:tr w:rsidR="005624E3" w:rsidRPr="00921ED0" w:rsidTr="00101A80">
        <w:tc>
          <w:tcPr>
            <w:tcW w:w="1738"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rFonts w:cs="Arial"/>
                <w:noProof/>
                <w:sz w:val="18"/>
                <w:szCs w:val="18"/>
              </w:rPr>
              <w:t>ESI­II­13</w:t>
            </w:r>
            <w:r w:rsidRPr="00921ED0">
              <w:rPr>
                <w:noProof/>
                <w:sz w:val="18"/>
              </w:rPr>
              <w:t xml:space="preserve"> utasítás 3.1. szakasz c) pont</w:t>
            </w:r>
          </w:p>
        </w:tc>
        <w:tc>
          <w:tcPr>
            <w:tcW w:w="3060" w:type="dxa"/>
            <w:tcBorders>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Tűzjelző rendszerek</w:t>
            </w:r>
          </w:p>
        </w:tc>
        <w:tc>
          <w:tcPr>
            <w:tcW w:w="2700" w:type="dxa"/>
            <w:tcBorders>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2 év</w:t>
            </w:r>
          </w:p>
        </w:tc>
        <w:tc>
          <w:tcPr>
            <w:tcW w:w="1620" w:type="dxa"/>
            <w:tcBorders>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Szakértő vagy hozzáértő személy</w:t>
            </w:r>
          </w:p>
        </w:tc>
      </w:tr>
      <w:tr w:rsidR="005624E3" w:rsidRPr="00921ED0" w:rsidTr="00101A80">
        <w:tc>
          <w:tcPr>
            <w:tcW w:w="1738" w:type="dxa"/>
            <w:tcBorders>
              <w:top w:val="single" w:sz="4" w:space="0" w:color="000000"/>
              <w:left w:val="single" w:sz="4" w:space="0" w:color="000000"/>
              <w:bottom w:val="single" w:sz="4" w:space="0" w:color="000000"/>
            </w:tcBorders>
            <w:vAlign w:val="center"/>
          </w:tcPr>
          <w:p w:rsidR="005624E3" w:rsidRPr="00921ED0" w:rsidDel="008047E6" w:rsidRDefault="005624E3" w:rsidP="00101A80">
            <w:pPr>
              <w:snapToGrid w:val="0"/>
              <w:spacing w:line="240" w:lineRule="atLeast"/>
              <w:rPr>
                <w:rFonts w:cs="Arial"/>
                <w:noProof/>
                <w:sz w:val="18"/>
                <w:szCs w:val="18"/>
              </w:rPr>
            </w:pPr>
            <w:r w:rsidRPr="00921ED0">
              <w:rPr>
                <w:rFonts w:cs="Arial"/>
                <w:noProof/>
                <w:sz w:val="18"/>
                <w:szCs w:val="18"/>
              </w:rPr>
              <w:t>ESI­III­4</w:t>
            </w:r>
            <w:r w:rsidRPr="00921ED0">
              <w:rPr>
                <w:noProof/>
                <w:sz w:val="18"/>
              </w:rPr>
              <w:t xml:space="preserve"> utasítás 8.1. szakasz a) és b) pont</w:t>
            </w:r>
          </w:p>
        </w:tc>
        <w:tc>
          <w:tcPr>
            <w:tcW w:w="3060"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Biztonsági útvonal-kijelölő rendszerek</w:t>
            </w:r>
          </w:p>
        </w:tc>
        <w:tc>
          <w:tcPr>
            <w:tcW w:w="2700"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p>
        </w:tc>
        <w:tc>
          <w:tcPr>
            <w:tcW w:w="1620" w:type="dxa"/>
            <w:tcBorders>
              <w:top w:val="single" w:sz="4" w:space="0" w:color="000000"/>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Szakértő</w:t>
            </w:r>
          </w:p>
        </w:tc>
      </w:tr>
      <w:tr w:rsidR="005624E3" w:rsidRPr="00921ED0" w:rsidTr="00101A80">
        <w:tc>
          <w:tcPr>
            <w:tcW w:w="1738"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rFonts w:cs="Arial"/>
                <w:noProof/>
                <w:sz w:val="18"/>
                <w:szCs w:val="18"/>
              </w:rPr>
              <w:t>ESI­III­4</w:t>
            </w:r>
            <w:r w:rsidRPr="00921ED0">
              <w:rPr>
                <w:noProof/>
                <w:sz w:val="18"/>
              </w:rPr>
              <w:t xml:space="preserve"> utasítás 8.1. szakasz c) pont </w:t>
            </w:r>
          </w:p>
        </w:tc>
        <w:tc>
          <w:tcPr>
            <w:tcW w:w="3060"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Biztonsági útvonal-kijelölő rendszerek</w:t>
            </w:r>
          </w:p>
        </w:tc>
        <w:tc>
          <w:tcPr>
            <w:tcW w:w="2700"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5 év</w:t>
            </w:r>
          </w:p>
        </w:tc>
        <w:tc>
          <w:tcPr>
            <w:tcW w:w="1620" w:type="dxa"/>
            <w:tcBorders>
              <w:top w:val="single" w:sz="4" w:space="0" w:color="000000"/>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Szakértő vagy hozzáértő személy</w:t>
            </w:r>
          </w:p>
        </w:tc>
      </w:tr>
      <w:tr w:rsidR="005624E3" w:rsidRPr="00921ED0" w:rsidTr="00101A80">
        <w:tc>
          <w:tcPr>
            <w:tcW w:w="1738"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rFonts w:cs="Arial"/>
                <w:noProof/>
                <w:sz w:val="18"/>
                <w:szCs w:val="18"/>
              </w:rPr>
              <w:t>ESI­III­5</w:t>
            </w:r>
            <w:r w:rsidRPr="00921ED0">
              <w:rPr>
                <w:noProof/>
                <w:sz w:val="18"/>
              </w:rPr>
              <w:t xml:space="preserve"> utasítás</w:t>
            </w:r>
          </w:p>
        </w:tc>
        <w:tc>
          <w:tcPr>
            <w:tcW w:w="3060"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rPr>
                <w:rFonts w:cs="Arial"/>
                <w:noProof/>
                <w:sz w:val="18"/>
                <w:szCs w:val="18"/>
              </w:rPr>
            </w:pPr>
            <w:r w:rsidRPr="00921ED0">
              <w:rPr>
                <w:noProof/>
                <w:sz w:val="18"/>
              </w:rPr>
              <w:t xml:space="preserve">Gázriasztó berendezések </w:t>
            </w:r>
          </w:p>
        </w:tc>
        <w:tc>
          <w:tcPr>
            <w:tcW w:w="2700" w:type="dxa"/>
            <w:tcBorders>
              <w:top w:val="single" w:sz="4" w:space="0" w:color="000000"/>
              <w:left w:val="single" w:sz="4" w:space="0" w:color="000000"/>
              <w:bottom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A gyártó határozza meg</w:t>
            </w:r>
          </w:p>
        </w:tc>
        <w:tc>
          <w:tcPr>
            <w:tcW w:w="1620" w:type="dxa"/>
            <w:tcBorders>
              <w:top w:val="single" w:sz="4" w:space="0" w:color="000000"/>
              <w:left w:val="single" w:sz="4" w:space="0" w:color="000000"/>
              <w:bottom w:val="single" w:sz="4" w:space="0" w:color="000000"/>
              <w:right w:val="single" w:sz="4" w:space="0" w:color="000000"/>
            </w:tcBorders>
            <w:vAlign w:val="center"/>
          </w:tcPr>
          <w:p w:rsidR="005624E3" w:rsidRPr="00921ED0" w:rsidRDefault="005624E3" w:rsidP="00101A80">
            <w:pPr>
              <w:snapToGrid w:val="0"/>
              <w:spacing w:line="240" w:lineRule="atLeast"/>
              <w:jc w:val="center"/>
              <w:rPr>
                <w:rFonts w:cs="Arial"/>
                <w:noProof/>
                <w:sz w:val="18"/>
                <w:szCs w:val="18"/>
              </w:rPr>
            </w:pPr>
            <w:r w:rsidRPr="00921ED0">
              <w:rPr>
                <w:noProof/>
                <w:sz w:val="18"/>
              </w:rPr>
              <w:t>Szakértő vagy hozzáértő személy</w:t>
            </w:r>
          </w:p>
        </w:tc>
      </w:tr>
    </w:tbl>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sectPr w:rsidR="005624E3" w:rsidRPr="00921ED0" w:rsidSect="00D45887">
          <w:footerReference w:type="first" r:id="rId116"/>
          <w:pgSz w:w="11907" w:h="16840" w:code="9"/>
          <w:pgMar w:top="1418" w:right="1418" w:bottom="1418" w:left="1418" w:header="680" w:footer="680" w:gutter="0"/>
          <w:cols w:space="720"/>
          <w:noEndnote/>
          <w:titlePg/>
        </w:sectPr>
      </w:pPr>
    </w:p>
    <w:p w:rsidR="005624E3" w:rsidRPr="00921ED0" w:rsidRDefault="005624E3" w:rsidP="005624E3">
      <w:pPr>
        <w:pStyle w:val="ES-Titre1"/>
      </w:pPr>
      <w:bookmarkStart w:id="735" w:name="_Toc491854349"/>
      <w:bookmarkStart w:id="736" w:name="_Toc535854130"/>
      <w:r w:rsidRPr="00921ED0">
        <w:t>II. RÉSZ</w:t>
      </w:r>
      <w:r w:rsidRPr="00921ED0">
        <w:br/>
        <w:t>HAJÓÉPÍTÉS, A HAJÓK FELSZERELÉSE ÉS BERENDEZÉSEI</w:t>
      </w:r>
      <w:bookmarkEnd w:id="735"/>
      <w:bookmarkEnd w:id="736"/>
    </w:p>
    <w:p w:rsidR="005624E3" w:rsidRPr="00921ED0" w:rsidRDefault="005624E3" w:rsidP="005624E3">
      <w:pPr>
        <w:spacing w:line="240" w:lineRule="atLeast"/>
        <w:ind w:left="567" w:hanging="567"/>
      </w:pPr>
    </w:p>
    <w:p w:rsidR="005624E3" w:rsidRPr="00921ED0" w:rsidRDefault="005624E3" w:rsidP="005624E3">
      <w:pPr>
        <w:pStyle w:val="ES-Titre2ESI"/>
      </w:pPr>
      <w:bookmarkStart w:id="737" w:name="_Toc491854350"/>
      <w:bookmarkStart w:id="738" w:name="_Toc535854131"/>
      <w:r w:rsidRPr="00921ED0">
        <w:t>ESI-II-1</w:t>
      </w:r>
      <w:r w:rsidRPr="00921ED0">
        <w:br/>
        <w:t>Az uszályok legkisebb hajótestvastagsága</w:t>
      </w:r>
      <w:bookmarkEnd w:id="737"/>
      <w:bookmarkEnd w:id="738"/>
    </w:p>
    <w:p w:rsidR="005624E3" w:rsidRPr="00921ED0" w:rsidRDefault="005624E3" w:rsidP="005624E3">
      <w:pPr>
        <w:spacing w:line="240" w:lineRule="atLeast"/>
        <w:ind w:left="567" w:hanging="567"/>
      </w:pPr>
    </w:p>
    <w:p w:rsidR="005624E3" w:rsidRPr="00921ED0" w:rsidRDefault="005624E3" w:rsidP="005624E3">
      <w:pPr>
        <w:tabs>
          <w:tab w:val="left" w:pos="284"/>
          <w:tab w:val="left" w:pos="567"/>
        </w:tabs>
        <w:overflowPunct w:val="0"/>
        <w:adjustRightInd w:val="0"/>
        <w:ind w:left="284" w:hanging="284"/>
        <w:jc w:val="center"/>
        <w:textAlignment w:val="baseline"/>
        <w:rPr>
          <w:b/>
          <w:szCs w:val="20"/>
        </w:rPr>
      </w:pPr>
      <w:r w:rsidRPr="00921ED0">
        <w:rPr>
          <w:b/>
        </w:rPr>
        <w:t>(3.02. cikk 1. bekezdés)</w:t>
      </w:r>
    </w:p>
    <w:p w:rsidR="005624E3" w:rsidRPr="00921ED0" w:rsidRDefault="005624E3" w:rsidP="005624E3">
      <w:pPr>
        <w:tabs>
          <w:tab w:val="left" w:pos="284"/>
          <w:tab w:val="left" w:pos="567"/>
        </w:tabs>
        <w:overflowPunct w:val="0"/>
        <w:adjustRightInd w:val="0"/>
        <w:ind w:left="284" w:hanging="284"/>
        <w:textAlignment w:val="baseline"/>
        <w:rPr>
          <w:szCs w:val="20"/>
        </w:rPr>
      </w:pPr>
    </w:p>
    <w:p w:rsidR="005624E3" w:rsidRPr="00921ED0" w:rsidRDefault="005624E3" w:rsidP="005624E3">
      <w:pPr>
        <w:spacing w:line="240" w:lineRule="atLeast"/>
        <w:rPr>
          <w:noProof/>
        </w:rPr>
      </w:pPr>
      <w:r w:rsidRPr="00921ED0">
        <w:t>A kizárólag vontatott uszályok időszakos vizsgálatai során az ellenőrző szerv engedélyezhet kisebb eltéréseket a 3.02. cikk 1. bekezdésének b) pontjától a hajótest lemezelésének minimális vastagsága tekintetében. Az eltérés nem lehet nagyobb 10 %-nál, és a minimális hajótestvastagság nem lehet kevesebb mint 3 mm.</w:t>
      </w:r>
    </w:p>
    <w:p w:rsidR="005624E3" w:rsidRPr="00921ED0" w:rsidRDefault="005624E3" w:rsidP="005624E3">
      <w:pPr>
        <w:spacing w:line="240" w:lineRule="atLeast"/>
        <w:rPr>
          <w:noProof/>
        </w:rPr>
      </w:pPr>
    </w:p>
    <w:p w:rsidR="005624E3" w:rsidRPr="00921ED0" w:rsidRDefault="005624E3" w:rsidP="005624E3">
      <w:pPr>
        <w:spacing w:line="240" w:lineRule="atLeast"/>
        <w:rPr>
          <w:noProof/>
        </w:rPr>
      </w:pPr>
      <w:r w:rsidRPr="00921ED0">
        <w:t>Az eltéréseket be kell jegyezni a belvízi hajóbizonyítványba is.</w:t>
      </w:r>
    </w:p>
    <w:p w:rsidR="005624E3" w:rsidRPr="00921ED0" w:rsidRDefault="005624E3" w:rsidP="005624E3">
      <w:pPr>
        <w:spacing w:line="240" w:lineRule="atLeast"/>
        <w:rPr>
          <w:noProof/>
        </w:rPr>
      </w:pPr>
    </w:p>
    <w:p w:rsidR="005624E3" w:rsidRPr="00921ED0" w:rsidRDefault="005624E3" w:rsidP="005624E3">
      <w:pPr>
        <w:spacing w:line="240" w:lineRule="atLeast"/>
        <w:rPr>
          <w:noProof/>
        </w:rPr>
      </w:pPr>
      <w:r w:rsidRPr="00921ED0">
        <w:t>A belvízi hajóbizonyítvány 14. rovatában csak a 6.2. tulajdonság érvényesíthető: „alkalmas arra, hogy gépnélküli vízi járműként vontassák”.</w:t>
      </w:r>
    </w:p>
    <w:p w:rsidR="005624E3" w:rsidRPr="00921ED0" w:rsidRDefault="005624E3" w:rsidP="005624E3">
      <w:pPr>
        <w:spacing w:line="240" w:lineRule="atLeast"/>
        <w:rPr>
          <w:noProof/>
        </w:rPr>
      </w:pPr>
    </w:p>
    <w:p w:rsidR="005624E3" w:rsidRPr="00921ED0" w:rsidRDefault="005624E3" w:rsidP="005624E3">
      <w:pPr>
        <w:spacing w:line="240" w:lineRule="atLeast"/>
        <w:rPr>
          <w:noProof/>
        </w:rPr>
      </w:pPr>
      <w:r w:rsidRPr="00921ED0">
        <w:t>Az 1–5.3. és a 6.1. számú tulajdonság törlendő.</w:t>
      </w:r>
    </w:p>
    <w:p w:rsidR="005624E3" w:rsidRPr="00921ED0" w:rsidRDefault="005624E3" w:rsidP="005624E3">
      <w:pPr>
        <w:spacing w:line="240" w:lineRule="atLeast"/>
        <w:rPr>
          <w:noProof/>
        </w:rPr>
      </w:pPr>
    </w:p>
    <w:p w:rsidR="005624E3" w:rsidRPr="00921ED0" w:rsidRDefault="005624E3" w:rsidP="005624E3">
      <w:pPr>
        <w:spacing w:line="240" w:lineRule="atLeast"/>
        <w:rPr>
          <w:noProof/>
        </w:rPr>
      </w:pPr>
    </w:p>
    <w:p w:rsidR="005624E3" w:rsidRPr="00921ED0" w:rsidRDefault="005624E3" w:rsidP="005624E3">
      <w:pPr>
        <w:spacing w:line="240" w:lineRule="atLeast"/>
        <w:ind w:left="567" w:hanging="567"/>
      </w:pPr>
      <w:r w:rsidRPr="00921ED0">
        <w:br w:type="page"/>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sectPr w:rsidR="005624E3" w:rsidRPr="00921ED0" w:rsidSect="00D45887">
          <w:footerReference w:type="first" r:id="rId117"/>
          <w:pgSz w:w="11907" w:h="16840" w:code="9"/>
          <w:pgMar w:top="1418" w:right="1418" w:bottom="1418" w:left="1418" w:header="680" w:footer="680" w:gutter="0"/>
          <w:cols w:space="720"/>
          <w:noEndnote/>
          <w:titlePg/>
        </w:sectPr>
      </w:pPr>
    </w:p>
    <w:p w:rsidR="005624E3" w:rsidRPr="00921ED0" w:rsidRDefault="005624E3" w:rsidP="005624E3">
      <w:pPr>
        <w:pStyle w:val="ES-Titre2ESI"/>
      </w:pPr>
      <w:bookmarkStart w:id="739" w:name="_Toc491854351"/>
      <w:bookmarkStart w:id="740" w:name="_Toc535854132"/>
      <w:r w:rsidRPr="00921ED0">
        <w:t>ESI-II-2</w:t>
      </w:r>
      <w:r w:rsidRPr="00921ED0">
        <w:br/>
        <w:t>Vastagítólemezek felszerelése a hajótestre</w:t>
      </w:r>
      <w:bookmarkEnd w:id="739"/>
      <w:bookmarkEnd w:id="740"/>
    </w:p>
    <w:p w:rsidR="005624E3" w:rsidRPr="00921ED0" w:rsidRDefault="005624E3" w:rsidP="005624E3">
      <w:pPr>
        <w:spacing w:line="240" w:lineRule="atLeast"/>
        <w:ind w:left="567" w:hanging="567"/>
      </w:pPr>
    </w:p>
    <w:p w:rsidR="005624E3" w:rsidRPr="00921ED0" w:rsidRDefault="005624E3" w:rsidP="005624E3">
      <w:pPr>
        <w:tabs>
          <w:tab w:val="left" w:pos="284"/>
          <w:tab w:val="left" w:pos="567"/>
        </w:tabs>
        <w:overflowPunct w:val="0"/>
        <w:adjustRightInd w:val="0"/>
        <w:spacing w:line="240" w:lineRule="atLeast"/>
        <w:jc w:val="center"/>
        <w:textAlignment w:val="baseline"/>
        <w:rPr>
          <w:rFonts w:eastAsia="Batang"/>
        </w:rPr>
      </w:pPr>
      <w:r w:rsidRPr="00921ED0">
        <w:rPr>
          <w:b/>
        </w:rPr>
        <w:t>(3.02. cikk 1. bekezdés és 19.02. cikk 1. bekezdés d) pont)</w:t>
      </w:r>
    </w:p>
    <w:p w:rsidR="005624E3" w:rsidRPr="00921ED0" w:rsidRDefault="005624E3" w:rsidP="005624E3">
      <w:pPr>
        <w:spacing w:line="240" w:lineRule="atLeast"/>
        <w:rPr>
          <w:rFonts w:eastAsia="Batang"/>
        </w:rPr>
      </w:pPr>
    </w:p>
    <w:p w:rsidR="005624E3" w:rsidRPr="00921ED0" w:rsidRDefault="005624E3" w:rsidP="005624E3">
      <w:pPr>
        <w:spacing w:line="240" w:lineRule="atLeast"/>
        <w:ind w:left="567" w:hanging="567"/>
        <w:rPr>
          <w:rFonts w:eastAsia="Batang"/>
          <w:b/>
          <w:bCs/>
        </w:rPr>
      </w:pPr>
      <w:r w:rsidRPr="00921ED0">
        <w:rPr>
          <w:b/>
        </w:rPr>
        <w:t>1.</w:t>
      </w:r>
      <w:r w:rsidRPr="00921ED0">
        <w:tab/>
      </w:r>
      <w:r w:rsidRPr="00921ED0">
        <w:rPr>
          <w:b/>
        </w:rPr>
        <w:t>Az utasítás célja</w:t>
      </w:r>
    </w:p>
    <w:p w:rsidR="005624E3" w:rsidRPr="00921ED0" w:rsidRDefault="005624E3" w:rsidP="005624E3">
      <w:pPr>
        <w:spacing w:line="240" w:lineRule="atLeast"/>
        <w:ind w:left="567" w:hanging="567"/>
        <w:rPr>
          <w:rFonts w:eastAsia="Batang"/>
          <w:b/>
          <w:bCs/>
        </w:rPr>
      </w:pPr>
    </w:p>
    <w:p w:rsidR="005624E3" w:rsidRPr="00921ED0" w:rsidRDefault="005624E3" w:rsidP="005624E3">
      <w:pPr>
        <w:spacing w:line="240" w:lineRule="atLeast"/>
        <w:ind w:left="567"/>
        <w:rPr>
          <w:rFonts w:eastAsia="Batang"/>
        </w:rPr>
      </w:pPr>
      <w:r w:rsidRPr="00921ED0">
        <w:t xml:space="preserve">Ez az utasítás a hajótest szilárdságának fenntartására (a 3.02. cikk 1. bekezdése), valamint a hajótest-lemezelés cseréjére és javítására (a 3.02. cikk 1. bekezdése c) pontjának utolsó mondata és a 19.02. cikk 1. bekezdésének d) pontja) vonatkozó szabályok egyértelműsítését szolgálja. Az utasítás az új vastagítólemezek felszerelésére alkalmazandó. </w:t>
      </w:r>
    </w:p>
    <w:p w:rsidR="005624E3" w:rsidRPr="00921ED0" w:rsidRDefault="005624E3" w:rsidP="005624E3">
      <w:pPr>
        <w:spacing w:line="240" w:lineRule="atLeast"/>
        <w:rPr>
          <w:rFonts w:eastAsia="Batang"/>
        </w:rPr>
      </w:pPr>
    </w:p>
    <w:p w:rsidR="005624E3" w:rsidRPr="00921ED0" w:rsidRDefault="005624E3" w:rsidP="005624E3">
      <w:pPr>
        <w:spacing w:line="240" w:lineRule="atLeast"/>
        <w:ind w:left="567" w:hanging="567"/>
        <w:rPr>
          <w:rFonts w:eastAsia="Batang"/>
          <w:b/>
          <w:bCs/>
        </w:rPr>
      </w:pPr>
      <w:r w:rsidRPr="00921ED0">
        <w:rPr>
          <w:b/>
        </w:rPr>
        <w:t>2.</w:t>
      </w:r>
      <w:r w:rsidRPr="00921ED0">
        <w:tab/>
      </w:r>
      <w:r w:rsidRPr="00921ED0">
        <w:rPr>
          <w:b/>
        </w:rPr>
        <w:t>Alapelvek</w:t>
      </w:r>
    </w:p>
    <w:p w:rsidR="005624E3" w:rsidRPr="00921ED0" w:rsidRDefault="005624E3" w:rsidP="005624E3">
      <w:pPr>
        <w:spacing w:line="240" w:lineRule="atLeast"/>
        <w:rPr>
          <w:rFonts w:eastAsia="Batang"/>
        </w:rPr>
      </w:pPr>
    </w:p>
    <w:p w:rsidR="005624E3" w:rsidRPr="00921ED0" w:rsidRDefault="005624E3" w:rsidP="005624E3">
      <w:pPr>
        <w:spacing w:line="240" w:lineRule="atLeast"/>
        <w:ind w:left="567"/>
        <w:rPr>
          <w:rFonts w:eastAsia="Batang"/>
        </w:rPr>
      </w:pPr>
      <w:r w:rsidRPr="00921ED0">
        <w:t>A vastagítólemezeknek két különböző típusuk van:</w:t>
      </w:r>
    </w:p>
    <w:p w:rsidR="005624E3" w:rsidRPr="00921ED0" w:rsidRDefault="005624E3" w:rsidP="005624E3">
      <w:pPr>
        <w:spacing w:before="60" w:line="240" w:lineRule="atLeast"/>
        <w:ind w:left="993" w:hanging="426"/>
        <w:rPr>
          <w:rFonts w:eastAsia="Batang"/>
        </w:rPr>
      </w:pPr>
      <w:r w:rsidRPr="00921ED0">
        <w:t>1.</w:t>
      </w:r>
      <w:r w:rsidRPr="00921ED0">
        <w:tab/>
        <w:t>újonnan építés és átalakítás során a helyes hajóépítési gyakorlatnak megfelelően felszerelt vastagítólemezek,</w:t>
      </w:r>
    </w:p>
    <w:p w:rsidR="005624E3" w:rsidRPr="00921ED0" w:rsidRDefault="005624E3" w:rsidP="005624E3">
      <w:pPr>
        <w:spacing w:before="60" w:line="240" w:lineRule="atLeast"/>
        <w:ind w:left="993" w:hanging="426"/>
        <w:rPr>
          <w:rFonts w:eastAsia="Batang"/>
        </w:rPr>
      </w:pPr>
      <w:r w:rsidRPr="00921ED0">
        <w:t>2.</w:t>
      </w:r>
      <w:r w:rsidRPr="00921ED0">
        <w:tab/>
        <w:t>a hajótest-lemezelés elhasználódásának késleltetését vagy a hajótest felújítását szolgáló vastagítólemezek. E vastagítólemezek felszerelését általában kerülni kell, illetve csak speciális esetekben célszerű alkalmazni.</w:t>
      </w:r>
    </w:p>
    <w:p w:rsidR="005624E3" w:rsidRPr="00921ED0" w:rsidRDefault="005624E3" w:rsidP="005624E3">
      <w:pPr>
        <w:spacing w:line="240" w:lineRule="atLeast"/>
        <w:ind w:left="992"/>
        <w:rPr>
          <w:rFonts w:eastAsia="Batang"/>
        </w:rPr>
      </w:pPr>
    </w:p>
    <w:p w:rsidR="005624E3" w:rsidRPr="00921ED0" w:rsidRDefault="005624E3" w:rsidP="005624E3">
      <w:pPr>
        <w:spacing w:line="240" w:lineRule="atLeast"/>
        <w:ind w:left="567" w:hanging="567"/>
        <w:rPr>
          <w:rFonts w:eastAsia="Batang"/>
          <w:b/>
          <w:bCs/>
        </w:rPr>
      </w:pPr>
      <w:r w:rsidRPr="00921ED0">
        <w:rPr>
          <w:b/>
        </w:rPr>
        <w:t>3.</w:t>
      </w:r>
      <w:r w:rsidRPr="00921ED0">
        <w:tab/>
      </w:r>
      <w:r w:rsidRPr="00921ED0">
        <w:rPr>
          <w:b/>
        </w:rPr>
        <w:t>Újonnan építés és átalakítás során felszerelt vastagítólemezek</w:t>
      </w:r>
    </w:p>
    <w:p w:rsidR="005624E3" w:rsidRPr="00921ED0" w:rsidRDefault="005624E3" w:rsidP="005624E3">
      <w:pPr>
        <w:spacing w:line="240" w:lineRule="atLeast"/>
        <w:rPr>
          <w:rFonts w:eastAsia="Batang"/>
        </w:rPr>
      </w:pPr>
    </w:p>
    <w:p w:rsidR="005624E3" w:rsidRPr="00921ED0" w:rsidRDefault="005624E3" w:rsidP="005624E3">
      <w:pPr>
        <w:spacing w:line="240" w:lineRule="atLeast"/>
        <w:ind w:left="567" w:hanging="567"/>
        <w:rPr>
          <w:rFonts w:eastAsia="Batang"/>
          <w:b/>
          <w:bCs/>
        </w:rPr>
      </w:pPr>
      <w:r w:rsidRPr="00921ED0">
        <w:rPr>
          <w:b/>
          <w:noProof/>
        </w:rPr>
        <w:t>3.1.</w:t>
      </w:r>
      <w:r w:rsidRPr="00921ED0">
        <w:tab/>
      </w:r>
      <w:r w:rsidRPr="00921ED0">
        <w:rPr>
          <w:b/>
        </w:rPr>
        <w:t>Újonnan építés során felszerelt vastagítólemezek</w:t>
      </w:r>
    </w:p>
    <w:p w:rsidR="005624E3" w:rsidRPr="00921ED0" w:rsidRDefault="005624E3" w:rsidP="005624E3">
      <w:pPr>
        <w:spacing w:line="240" w:lineRule="atLeast"/>
        <w:rPr>
          <w:rFonts w:eastAsia="Batang"/>
          <w:b/>
        </w:rPr>
      </w:pPr>
    </w:p>
    <w:p w:rsidR="005624E3" w:rsidRPr="00921ED0" w:rsidRDefault="005624E3" w:rsidP="005624E3">
      <w:pPr>
        <w:spacing w:line="240" w:lineRule="atLeast"/>
        <w:ind w:left="567"/>
        <w:rPr>
          <w:rFonts w:eastAsia="Batang"/>
        </w:rPr>
      </w:pPr>
      <w:r w:rsidRPr="00921ED0">
        <w:t>Az újonnan építés során felszerelt vastagítólemezek elsősorban a következő helyeken találhatók:</w:t>
      </w:r>
    </w:p>
    <w:p w:rsidR="005624E3" w:rsidRPr="00921ED0" w:rsidRDefault="005624E3" w:rsidP="005624E3">
      <w:pPr>
        <w:spacing w:before="60" w:line="240" w:lineRule="atLeast"/>
        <w:ind w:left="993" w:hanging="426"/>
        <w:rPr>
          <w:rFonts w:eastAsia="Batang" w:cs="Arial"/>
        </w:rPr>
      </w:pPr>
      <w:r w:rsidRPr="00921ED0">
        <w:t>a)</w:t>
      </w:r>
      <w:r w:rsidRPr="00921ED0">
        <w:tab/>
        <w:t>a hajótesten és a fedélzeten lévő nyílások és átvezetések (ellenőrzőaknák, csőátvezetések, vízlefolyónyílások stb.) körüli lemezek, ahol a cél ezek megerősítése,</w:t>
      </w:r>
    </w:p>
    <w:p w:rsidR="005624E3" w:rsidRPr="00921ED0" w:rsidRDefault="005624E3" w:rsidP="005624E3">
      <w:pPr>
        <w:spacing w:before="60" w:line="240" w:lineRule="atLeast"/>
        <w:ind w:left="993" w:hanging="426"/>
        <w:rPr>
          <w:rFonts w:eastAsia="Batang" w:cs="Arial"/>
        </w:rPr>
      </w:pPr>
      <w:r w:rsidRPr="00921ED0">
        <w:t>b)</w:t>
      </w:r>
      <w:r w:rsidRPr="00921ED0">
        <w:tab/>
        <w:t>nagy méretű nyílások szegélylemezei,</w:t>
      </w:r>
    </w:p>
    <w:p w:rsidR="005624E3" w:rsidRPr="00921ED0" w:rsidRDefault="005624E3" w:rsidP="005624E3">
      <w:pPr>
        <w:spacing w:before="60" w:line="240" w:lineRule="atLeast"/>
        <w:ind w:left="993" w:hanging="426"/>
        <w:rPr>
          <w:rFonts w:eastAsia="Batang" w:cs="Arial"/>
        </w:rPr>
      </w:pPr>
      <w:r w:rsidRPr="00921ED0">
        <w:t>c)</w:t>
      </w:r>
      <w:r w:rsidRPr="00921ED0">
        <w:tab/>
        <w:t>hosszirányú lemezcsíkok a mestersor magasságában,</w:t>
      </w:r>
    </w:p>
    <w:p w:rsidR="005624E3" w:rsidRPr="00921ED0" w:rsidRDefault="005624E3" w:rsidP="005624E3">
      <w:pPr>
        <w:spacing w:before="60" w:line="240" w:lineRule="atLeast"/>
        <w:ind w:left="993" w:hanging="426"/>
        <w:rPr>
          <w:rFonts w:eastAsia="Batang" w:cs="Arial"/>
        </w:rPr>
      </w:pPr>
      <w:r w:rsidRPr="00921ED0">
        <w:t>d)</w:t>
      </w:r>
      <w:r w:rsidRPr="00921ED0">
        <w:tab/>
        <w:t>a hajótest-lemezelés kopása elleni védelemre szolgáló lemezcsíkok (a hajó orrán és farán, esetleg a medersor- és oldallemezelésen, valamennyivel a fenéklemezelés fölött),</w:t>
      </w:r>
    </w:p>
    <w:p w:rsidR="005624E3" w:rsidRPr="00921ED0" w:rsidRDefault="005624E3" w:rsidP="005624E3">
      <w:pPr>
        <w:spacing w:before="60" w:line="240" w:lineRule="atLeast"/>
        <w:ind w:left="993" w:hanging="426"/>
        <w:rPr>
          <w:rFonts w:eastAsia="Batang" w:cs="Arial"/>
        </w:rPr>
      </w:pPr>
      <w:r w:rsidRPr="00921ED0">
        <w:t>e)</w:t>
      </w:r>
      <w:r w:rsidRPr="00921ED0">
        <w:tab/>
        <w:t>a hajótest bizonyos pontjain speciális felszerelések (pl. horgonycsörlők, szivattyúk, árbócok, daruk, csörlők, horgonyok stb.) alatt, ahol a cél a lemezek megerősítése.</w:t>
      </w:r>
    </w:p>
    <w:p w:rsidR="005624E3" w:rsidRPr="00921ED0" w:rsidRDefault="005624E3" w:rsidP="005624E3">
      <w:pPr>
        <w:tabs>
          <w:tab w:val="left" w:pos="360"/>
        </w:tabs>
        <w:spacing w:line="240" w:lineRule="atLeast"/>
        <w:rPr>
          <w:rFonts w:eastAsia="Batang"/>
        </w:rPr>
      </w:pPr>
    </w:p>
    <w:p w:rsidR="005624E3" w:rsidRPr="00921ED0" w:rsidRDefault="005624E3" w:rsidP="005624E3">
      <w:pPr>
        <w:spacing w:line="240" w:lineRule="atLeast"/>
        <w:ind w:left="567" w:hanging="567"/>
        <w:rPr>
          <w:rFonts w:eastAsia="Batang"/>
          <w:b/>
        </w:rPr>
      </w:pPr>
      <w:r w:rsidRPr="00921ED0">
        <w:rPr>
          <w:b/>
          <w:noProof/>
        </w:rPr>
        <w:t>3.2.</w:t>
      </w:r>
      <w:r w:rsidRPr="00921ED0">
        <w:tab/>
      </w:r>
      <w:r w:rsidRPr="00921ED0">
        <w:rPr>
          <w:b/>
        </w:rPr>
        <w:t>Átalakítás részeként felszerelt vastagítólemezek</w:t>
      </w:r>
    </w:p>
    <w:p w:rsidR="005624E3" w:rsidRPr="00921ED0" w:rsidRDefault="005624E3" w:rsidP="005624E3">
      <w:pPr>
        <w:tabs>
          <w:tab w:val="left" w:pos="360"/>
        </w:tabs>
        <w:spacing w:line="240" w:lineRule="atLeast"/>
        <w:rPr>
          <w:rFonts w:eastAsia="Batang"/>
        </w:rPr>
      </w:pPr>
    </w:p>
    <w:p w:rsidR="005624E3" w:rsidRPr="00921ED0" w:rsidRDefault="005624E3" w:rsidP="005624E3">
      <w:pPr>
        <w:spacing w:line="240" w:lineRule="atLeast"/>
        <w:ind w:left="567"/>
        <w:rPr>
          <w:rFonts w:eastAsia="Batang"/>
        </w:rPr>
      </w:pPr>
      <w:r w:rsidRPr="00921ED0">
        <w:t>Ha a vastagítólemezeket átalakítás részeként szerelik fel, csak olyan lemezekre lehet őket felerősíteni, amelyek az átalakítás után nem érik el a legkisebb vastagságot, és legalább 0,7 mm korróziós ráhagyással rendelkeznek. Ellenkező esetben a vastagítólemezeket tartó lemezeket előzetesen fel kell újítani.</w:t>
      </w:r>
    </w:p>
    <w:p w:rsidR="005624E3" w:rsidRPr="00921ED0" w:rsidRDefault="005624E3" w:rsidP="005624E3">
      <w:pPr>
        <w:spacing w:line="240" w:lineRule="atLeast"/>
        <w:ind w:left="567"/>
        <w:rPr>
          <w:rFonts w:eastAsia="Batang"/>
        </w:rPr>
      </w:pPr>
    </w:p>
    <w:p w:rsidR="005624E3" w:rsidRPr="00921ED0" w:rsidRDefault="005624E3" w:rsidP="005624E3">
      <w:pPr>
        <w:spacing w:line="240" w:lineRule="atLeast"/>
        <w:ind w:left="567"/>
        <w:rPr>
          <w:rFonts w:eastAsia="Batang"/>
        </w:rPr>
      </w:pPr>
      <w:r w:rsidRPr="00921ED0">
        <w:t>Meghosszabbítás esetén a különösen a hajó hosszanti hajógerendájának megerősítésére szolgáló lemezcsíkoknak végig kell érniük legalább a rakománytér hosszában, kivéve, ha számításokkal indokolható e követelmény  elhagyhatósága.</w:t>
      </w:r>
    </w:p>
    <w:p w:rsidR="005624E3" w:rsidRPr="00921ED0" w:rsidRDefault="005624E3" w:rsidP="005624E3">
      <w:pPr>
        <w:spacing w:line="240" w:lineRule="atLeast"/>
        <w:rPr>
          <w:rFonts w:eastAsia="Batang"/>
        </w:rPr>
      </w:pPr>
      <w:r w:rsidRPr="00921ED0">
        <w:br w:type="page"/>
      </w:r>
    </w:p>
    <w:p w:rsidR="005624E3" w:rsidRPr="00921ED0" w:rsidRDefault="005624E3" w:rsidP="005624E3">
      <w:pPr>
        <w:spacing w:line="240" w:lineRule="atLeast"/>
        <w:ind w:left="567" w:hanging="567"/>
        <w:rPr>
          <w:rFonts w:eastAsia="Batang"/>
          <w:b/>
        </w:rPr>
      </w:pPr>
      <w:r w:rsidRPr="00921ED0">
        <w:rPr>
          <w:b/>
        </w:rPr>
        <w:t>4.</w:t>
      </w:r>
      <w:r w:rsidRPr="00921ED0">
        <w:tab/>
      </w:r>
      <w:r w:rsidRPr="00921ED0">
        <w:rPr>
          <w:b/>
        </w:rPr>
        <w:t>A hajótest-lemezelés elhasználódásának késleltetését vagy a hajótest felújítását szolgáló vastagítólemezek</w:t>
      </w:r>
    </w:p>
    <w:p w:rsidR="005624E3" w:rsidRPr="00921ED0" w:rsidRDefault="005624E3" w:rsidP="005624E3">
      <w:pPr>
        <w:spacing w:line="240" w:lineRule="atLeast"/>
        <w:rPr>
          <w:rFonts w:eastAsia="Batang"/>
        </w:rPr>
      </w:pPr>
    </w:p>
    <w:p w:rsidR="005624E3" w:rsidRPr="00921ED0" w:rsidRDefault="005624E3" w:rsidP="005624E3">
      <w:pPr>
        <w:spacing w:line="240" w:lineRule="atLeast"/>
        <w:ind w:left="567" w:hanging="567"/>
        <w:rPr>
          <w:rFonts w:eastAsia="Batang"/>
          <w:b/>
          <w:bCs/>
          <w:noProof/>
        </w:rPr>
      </w:pPr>
      <w:r w:rsidRPr="00921ED0">
        <w:rPr>
          <w:b/>
          <w:noProof/>
        </w:rPr>
        <w:t>4.1.</w:t>
      </w:r>
      <w:r w:rsidRPr="00921ED0">
        <w:tab/>
      </w:r>
      <w:r w:rsidRPr="00921ED0">
        <w:rPr>
          <w:b/>
          <w:noProof/>
        </w:rPr>
        <w:t>A vastagítólemezek felszerelésének engedélyezett helyei</w:t>
      </w:r>
    </w:p>
    <w:p w:rsidR="005624E3" w:rsidRPr="00921ED0" w:rsidRDefault="005624E3" w:rsidP="005624E3">
      <w:pPr>
        <w:spacing w:line="240" w:lineRule="atLeast"/>
        <w:ind w:left="426" w:hanging="426"/>
        <w:rPr>
          <w:rFonts w:eastAsia="Batang"/>
          <w:b/>
        </w:rPr>
      </w:pPr>
    </w:p>
    <w:p w:rsidR="005624E3" w:rsidRPr="00921ED0" w:rsidRDefault="005624E3" w:rsidP="005624E3">
      <w:pPr>
        <w:spacing w:line="240" w:lineRule="atLeast"/>
        <w:ind w:left="567"/>
        <w:rPr>
          <w:rFonts w:eastAsia="Batang"/>
        </w:rPr>
      </w:pPr>
      <w:r>
        <w:t xml:space="preserve">A szóban </w:t>
      </w:r>
      <w:r w:rsidRPr="00921ED0">
        <w:t xml:space="preserve">forgó lemezek a következő helyekre </w:t>
      </w:r>
      <w:r w:rsidRPr="00921ED0">
        <w:rPr>
          <w:b/>
        </w:rPr>
        <w:t>szerelhetők fel</w:t>
      </w:r>
      <w:r w:rsidRPr="00921ED0">
        <w:t>:</w:t>
      </w:r>
    </w:p>
    <w:p w:rsidR="005624E3" w:rsidRPr="00921ED0" w:rsidRDefault="005624E3" w:rsidP="005624E3">
      <w:pPr>
        <w:spacing w:before="60" w:line="240" w:lineRule="atLeast"/>
        <w:ind w:left="993" w:hanging="426"/>
        <w:rPr>
          <w:rFonts w:eastAsia="Batang" w:cs="Arial"/>
        </w:rPr>
      </w:pPr>
      <w:r w:rsidRPr="00921ED0">
        <w:t>a)</w:t>
      </w:r>
      <w:r w:rsidRPr="00921ED0">
        <w:tab/>
        <w:t>sérült helyek (ideiglenes javítás – érvényesség a tanúsítvány alapján),</w:t>
      </w:r>
    </w:p>
    <w:p w:rsidR="005624E3" w:rsidRPr="00921ED0" w:rsidRDefault="005624E3" w:rsidP="005624E3">
      <w:pPr>
        <w:spacing w:before="60" w:line="240" w:lineRule="atLeast"/>
        <w:ind w:left="993" w:hanging="426"/>
        <w:rPr>
          <w:rFonts w:eastAsia="Batang" w:cs="Arial"/>
        </w:rPr>
      </w:pPr>
      <w:r w:rsidRPr="00921ED0">
        <w:t>b)</w:t>
      </w:r>
      <w:r w:rsidRPr="00921ED0">
        <w:tab/>
        <w:t>a szerkezeti szilárdságot nem befolyásoló pontkorrózió a héjazaton, amely végül lyukakká alakul (azaz: a géptér alatt, aerodinamikai/hidrodinamikai lemezekként), kivéve a rakományzónákban felhelyezett fenék- és mederlemezelésként,</w:t>
      </w:r>
    </w:p>
    <w:p w:rsidR="005624E3" w:rsidRPr="00921ED0" w:rsidRDefault="005624E3" w:rsidP="005624E3">
      <w:pPr>
        <w:spacing w:before="60" w:line="240" w:lineRule="atLeast"/>
        <w:ind w:left="993" w:hanging="426"/>
        <w:rPr>
          <w:rFonts w:eastAsia="Batang" w:cs="Arial"/>
        </w:rPr>
      </w:pPr>
      <w:r w:rsidRPr="00921ED0">
        <w:t>c)</w:t>
      </w:r>
      <w:r w:rsidRPr="00921ED0">
        <w:tab/>
        <w:t>koptató hatásnak kitett felületek, ahol a cél a héjazat kopásának megállítása (csak olyan lemezre szerelhető fel, amely még nem érte el a minimális vastagságot),</w:t>
      </w:r>
    </w:p>
    <w:p w:rsidR="005624E3" w:rsidRPr="00921ED0" w:rsidRDefault="005624E3" w:rsidP="005624E3">
      <w:pPr>
        <w:spacing w:before="60" w:line="240" w:lineRule="atLeast"/>
        <w:ind w:left="993" w:hanging="426"/>
        <w:rPr>
          <w:rFonts w:eastAsia="Batang" w:cs="Arial"/>
        </w:rPr>
      </w:pPr>
      <w:r w:rsidRPr="00921ED0">
        <w:t>d)</w:t>
      </w:r>
      <w:r w:rsidRPr="00921ED0">
        <w:tab/>
        <w:t>medersor-lemezelés, ahol a vastagítólemezeknek lehetőleg megszakítás nélkül fedniük kell a hajó hosszúságának legalább 70 %-át. Ellenkező esetben a vastagítólemezek minimális hosszának és minimális távolságának legalább (2,5 + L/40) m-nek kell lennie, vagy a vastagítólemezeknek le kell fedniük legalább a bordaköz háromszorosának megfelelő hosszúságot a legfeljebb 45 m hosszúságú (L) hajók esetében. A vastagítólemezeknek fedniük kell legalább az érintett zóna előtti és mögötti, a bordaköz kétszeresének megfelelő hosszúságot,</w:t>
      </w:r>
    </w:p>
    <w:p w:rsidR="005624E3" w:rsidRPr="00921ED0" w:rsidRDefault="005624E3" w:rsidP="005624E3">
      <w:pPr>
        <w:spacing w:before="60" w:line="240" w:lineRule="atLeast"/>
        <w:ind w:left="993" w:hanging="426"/>
        <w:rPr>
          <w:rFonts w:eastAsia="Batang" w:cs="Arial"/>
        </w:rPr>
      </w:pPr>
      <w:r w:rsidRPr="00921ED0">
        <w:t>e)</w:t>
      </w:r>
      <w:r w:rsidRPr="00921ED0">
        <w:tab/>
        <w:t>szegecselt illesztések, ahol a cél a vízmentesség,</w:t>
      </w:r>
    </w:p>
    <w:p w:rsidR="005624E3" w:rsidRPr="00921ED0" w:rsidRDefault="005624E3" w:rsidP="005624E3">
      <w:pPr>
        <w:spacing w:before="60" w:line="240" w:lineRule="atLeast"/>
        <w:ind w:left="993" w:hanging="426"/>
        <w:rPr>
          <w:rFonts w:eastAsia="Batang" w:cs="Arial"/>
        </w:rPr>
      </w:pPr>
      <w:r w:rsidRPr="00921ED0">
        <w:t>f)</w:t>
      </w:r>
      <w:r w:rsidRPr="00921ED0">
        <w:tab/>
        <w:t>a hajó külső rakományzónája előtt és mögött.</w:t>
      </w:r>
    </w:p>
    <w:p w:rsidR="005624E3" w:rsidRPr="00921ED0" w:rsidRDefault="005624E3" w:rsidP="005624E3">
      <w:pPr>
        <w:spacing w:line="240" w:lineRule="atLeast"/>
        <w:ind w:left="850"/>
        <w:rPr>
          <w:rFonts w:eastAsia="Batang"/>
        </w:rPr>
      </w:pPr>
    </w:p>
    <w:p w:rsidR="005624E3" w:rsidRPr="00921ED0" w:rsidRDefault="005624E3" w:rsidP="005624E3">
      <w:pPr>
        <w:spacing w:line="240" w:lineRule="atLeast"/>
        <w:ind w:left="567" w:hanging="567"/>
        <w:rPr>
          <w:rFonts w:eastAsia="Batang"/>
          <w:b/>
          <w:bCs/>
          <w:noProof/>
        </w:rPr>
      </w:pPr>
      <w:r w:rsidRPr="00921ED0">
        <w:rPr>
          <w:b/>
          <w:noProof/>
        </w:rPr>
        <w:t>4.2.</w:t>
      </w:r>
      <w:r w:rsidRPr="00921ED0">
        <w:tab/>
      </w:r>
      <w:r w:rsidRPr="00921ED0">
        <w:rPr>
          <w:b/>
          <w:noProof/>
        </w:rPr>
        <w:t>A vastagítólemezek felszerelésének nem engedélyezett helyei</w:t>
      </w:r>
    </w:p>
    <w:p w:rsidR="005624E3" w:rsidRPr="00921ED0" w:rsidRDefault="005624E3" w:rsidP="005624E3">
      <w:pPr>
        <w:spacing w:line="240" w:lineRule="atLeast"/>
        <w:rPr>
          <w:rFonts w:eastAsia="Batang"/>
        </w:rPr>
      </w:pPr>
    </w:p>
    <w:p w:rsidR="005624E3" w:rsidRPr="00921ED0" w:rsidRDefault="005624E3" w:rsidP="005624E3">
      <w:pPr>
        <w:spacing w:line="240" w:lineRule="atLeast"/>
        <w:ind w:left="567"/>
        <w:rPr>
          <w:rFonts w:eastAsia="Batang"/>
        </w:rPr>
      </w:pPr>
      <w:r w:rsidRPr="00921ED0">
        <w:rPr>
          <w:b/>
        </w:rPr>
        <w:t>Nem szerelhetők fel</w:t>
      </w:r>
      <w:r w:rsidRPr="00921ED0">
        <w:t xml:space="preserve"> vastagítólemezek a következő helyekre:</w:t>
      </w:r>
    </w:p>
    <w:p w:rsidR="005624E3" w:rsidRPr="00921ED0" w:rsidRDefault="005624E3" w:rsidP="005624E3">
      <w:pPr>
        <w:spacing w:before="60" w:line="240" w:lineRule="atLeast"/>
        <w:ind w:left="993" w:hanging="426"/>
        <w:rPr>
          <w:rFonts w:eastAsia="Batang" w:cs="Arial"/>
        </w:rPr>
      </w:pPr>
      <w:r w:rsidRPr="00921ED0">
        <w:t>a)</w:t>
      </w:r>
      <w:r w:rsidRPr="00921ED0">
        <w:tab/>
        <w:t>olyan lemezek, amelynek vastagsága nem éri el a legkisebb megengedett értéket,</w:t>
      </w:r>
    </w:p>
    <w:p w:rsidR="005624E3" w:rsidRPr="00921ED0" w:rsidRDefault="005624E3" w:rsidP="005624E3">
      <w:pPr>
        <w:spacing w:before="60" w:line="240" w:lineRule="atLeast"/>
        <w:ind w:left="993" w:hanging="426"/>
        <w:rPr>
          <w:rFonts w:eastAsia="Batang" w:cs="Arial"/>
        </w:rPr>
      </w:pPr>
      <w:r w:rsidRPr="00921ED0">
        <w:t>b)</w:t>
      </w:r>
      <w:r w:rsidRPr="00921ED0">
        <w:tab/>
        <w:t>a hajó vízmentességét biztosító elemek korróziója miatt kilyukadt lemezek,</w:t>
      </w:r>
    </w:p>
    <w:p w:rsidR="005624E3" w:rsidRPr="00921ED0" w:rsidRDefault="005624E3" w:rsidP="005624E3">
      <w:pPr>
        <w:spacing w:before="60" w:line="240" w:lineRule="atLeast"/>
        <w:ind w:left="993" w:hanging="426"/>
        <w:rPr>
          <w:rFonts w:eastAsia="Batang" w:cs="Arial"/>
        </w:rPr>
      </w:pPr>
      <w:r w:rsidRPr="00921ED0">
        <w:t>c)</w:t>
      </w:r>
      <w:r w:rsidRPr="00921ED0">
        <w:tab/>
        <w:t>nagy kiterjedésű területek a rakományzónákban,</w:t>
      </w:r>
    </w:p>
    <w:p w:rsidR="005624E3" w:rsidRPr="00921ED0" w:rsidRDefault="005624E3" w:rsidP="005624E3">
      <w:pPr>
        <w:spacing w:before="60" w:line="240" w:lineRule="atLeast"/>
        <w:ind w:left="993" w:hanging="426"/>
        <w:rPr>
          <w:rFonts w:eastAsia="Batang" w:cs="Arial"/>
        </w:rPr>
      </w:pPr>
      <w:r w:rsidRPr="00921ED0">
        <w:t>d)</w:t>
      </w:r>
      <w:r w:rsidRPr="00921ED0">
        <w:tab/>
        <w:t>keresztirányú átfedések hegesztett illesztései,</w:t>
      </w:r>
    </w:p>
    <w:p w:rsidR="005624E3" w:rsidRPr="00921ED0" w:rsidRDefault="005624E3" w:rsidP="005624E3">
      <w:pPr>
        <w:spacing w:before="60" w:line="240" w:lineRule="atLeast"/>
        <w:ind w:left="993" w:hanging="426"/>
        <w:rPr>
          <w:rFonts w:eastAsia="Batang" w:cs="Arial"/>
        </w:rPr>
      </w:pPr>
      <w:r w:rsidRPr="00921ED0">
        <w:t>e)</w:t>
      </w:r>
      <w:r w:rsidRPr="00921ED0">
        <w:tab/>
        <w:t>az elülső rakománytér elülső válaszfala és a hátsó rakománytér hátsó válaszfala közötti fenékszakasz,</w:t>
      </w:r>
    </w:p>
    <w:p w:rsidR="005624E3" w:rsidRPr="00921ED0" w:rsidRDefault="005624E3" w:rsidP="005624E3">
      <w:pPr>
        <w:spacing w:before="60" w:line="240" w:lineRule="atLeast"/>
        <w:ind w:left="993" w:hanging="426"/>
        <w:rPr>
          <w:rFonts w:eastAsia="Batang" w:cs="Arial"/>
        </w:rPr>
      </w:pPr>
      <w:r w:rsidRPr="00921ED0">
        <w:t>f)</w:t>
      </w:r>
      <w:r w:rsidRPr="00921ED0">
        <w:tab/>
        <w:t>az ADN szerinti veszélyesáru-szállításra szolgáló önjáró tartályhajók, tartálybárkák és tartályuszályok raktere,</w:t>
      </w:r>
    </w:p>
    <w:p w:rsidR="005624E3" w:rsidRPr="00921ED0" w:rsidRDefault="005624E3" w:rsidP="005624E3">
      <w:pPr>
        <w:spacing w:before="60" w:line="240" w:lineRule="atLeast"/>
        <w:ind w:left="993" w:hanging="426"/>
        <w:rPr>
          <w:rFonts w:eastAsia="Batang" w:cs="Arial"/>
        </w:rPr>
      </w:pPr>
      <w:r w:rsidRPr="00921ED0">
        <w:t>g)</w:t>
      </w:r>
      <w:r w:rsidRPr="00921ED0">
        <w:tab/>
        <w:t>gyúlékony termékeket tartalmazó tartályok, kivéve a kopott területeket,</w:t>
      </w:r>
    </w:p>
    <w:p w:rsidR="005624E3" w:rsidRPr="00921ED0" w:rsidRDefault="005624E3" w:rsidP="005624E3">
      <w:pPr>
        <w:spacing w:before="60" w:line="240" w:lineRule="atLeast"/>
        <w:ind w:left="993" w:hanging="426"/>
        <w:rPr>
          <w:rFonts w:eastAsia="Batang" w:cs="Arial"/>
        </w:rPr>
      </w:pPr>
      <w:r w:rsidRPr="00921ED0">
        <w:t>h)</w:t>
      </w:r>
      <w:r w:rsidRPr="00921ED0">
        <w:tab/>
        <w:t>deformált vagy fáradás jeleit mutató lemezek vagy illesztések,</w:t>
      </w:r>
    </w:p>
    <w:p w:rsidR="005624E3" w:rsidRPr="00921ED0" w:rsidRDefault="005624E3" w:rsidP="005624E3">
      <w:pPr>
        <w:spacing w:before="60" w:line="240" w:lineRule="atLeast"/>
        <w:ind w:left="993" w:hanging="426"/>
        <w:rPr>
          <w:rFonts w:eastAsia="Batang" w:cs="Arial"/>
        </w:rPr>
      </w:pPr>
      <w:r w:rsidRPr="00921ED0">
        <w:t>i)</w:t>
      </w:r>
      <w:r w:rsidRPr="00921ED0">
        <w:tab/>
        <w:t>már felszerelt vastagítólemezek.</w:t>
      </w:r>
    </w:p>
    <w:p w:rsidR="005624E3" w:rsidRPr="00921ED0" w:rsidRDefault="005624E3" w:rsidP="005624E3">
      <w:pPr>
        <w:spacing w:line="240" w:lineRule="atLeast"/>
        <w:rPr>
          <w:rFonts w:eastAsia="Batang"/>
        </w:rPr>
      </w:pPr>
    </w:p>
    <w:p w:rsidR="005624E3" w:rsidRPr="00921ED0" w:rsidRDefault="005624E3" w:rsidP="005624E3">
      <w:pPr>
        <w:spacing w:line="240" w:lineRule="atLeast"/>
        <w:ind w:left="567" w:hanging="567"/>
        <w:rPr>
          <w:rFonts w:eastAsia="Batang"/>
          <w:b/>
        </w:rPr>
      </w:pPr>
      <w:r w:rsidRPr="00921ED0">
        <w:rPr>
          <w:b/>
        </w:rPr>
        <w:t>5.</w:t>
      </w:r>
      <w:r w:rsidRPr="00921ED0">
        <w:tab/>
      </w:r>
      <w:r w:rsidRPr="00921ED0">
        <w:rPr>
          <w:b/>
        </w:rPr>
        <w:t>A vastagítólemezek felszerelése</w:t>
      </w:r>
    </w:p>
    <w:p w:rsidR="005624E3" w:rsidRPr="00921ED0" w:rsidRDefault="005624E3" w:rsidP="005624E3">
      <w:pPr>
        <w:spacing w:before="60" w:line="240" w:lineRule="atLeast"/>
        <w:ind w:left="993" w:hanging="426"/>
        <w:rPr>
          <w:rFonts w:eastAsia="Batang" w:cs="Arial"/>
        </w:rPr>
      </w:pPr>
      <w:r w:rsidRPr="00921ED0">
        <w:t>a)</w:t>
      </w:r>
      <w:r w:rsidRPr="00921ED0">
        <w:tab/>
        <w:t>A vastagítólemezeket a helyes hajóépítési gyakorlatnak megfelelően kell felszerelni és hegeszteni.</w:t>
      </w:r>
    </w:p>
    <w:p w:rsidR="005624E3" w:rsidRPr="00921ED0" w:rsidRDefault="005624E3" w:rsidP="005624E3">
      <w:pPr>
        <w:spacing w:before="60" w:line="240" w:lineRule="atLeast"/>
        <w:ind w:left="993" w:hanging="426"/>
        <w:rPr>
          <w:rFonts w:eastAsia="Batang" w:cs="Arial"/>
        </w:rPr>
      </w:pPr>
      <w:r w:rsidRPr="00921ED0">
        <w:t>b)</w:t>
      </w:r>
      <w:r w:rsidRPr="00921ED0">
        <w:tab/>
        <w:t>A kopásnak kitett lemezek szélességének 200 és 300 mm között kell lennie.</w:t>
      </w:r>
    </w:p>
    <w:p w:rsidR="005624E3" w:rsidRPr="00921ED0" w:rsidRDefault="005624E3" w:rsidP="005624E3">
      <w:pPr>
        <w:spacing w:before="60" w:line="240" w:lineRule="atLeast"/>
        <w:ind w:left="993" w:hanging="426"/>
        <w:rPr>
          <w:rFonts w:eastAsia="Batang" w:cs="Arial"/>
        </w:rPr>
      </w:pPr>
      <w:r w:rsidRPr="00921ED0">
        <w:t>c)</w:t>
      </w:r>
      <w:r w:rsidRPr="00921ED0">
        <w:tab/>
        <w:t>A hosszanti hajógerenda megerősítő lemezei nem lehetnek 600 mm-nél szélesebbek.</w:t>
      </w:r>
    </w:p>
    <w:p w:rsidR="005624E3" w:rsidRPr="00921ED0" w:rsidRDefault="005624E3" w:rsidP="005624E3">
      <w:pPr>
        <w:spacing w:before="60" w:line="240" w:lineRule="atLeast"/>
        <w:ind w:left="993" w:hanging="426"/>
        <w:rPr>
          <w:rFonts w:eastAsia="Batang" w:cs="Arial"/>
        </w:rPr>
      </w:pPr>
      <w:r w:rsidRPr="00921ED0">
        <w:t>d)</w:t>
      </w:r>
      <w:r w:rsidRPr="00921ED0">
        <w:tab/>
        <w:t>A vastagítólemeznek 1–1,5-szer olyan vastagnak kell lennie, mint az a lemez, amelyre felszerelik.</w:t>
      </w:r>
    </w:p>
    <w:p w:rsidR="005624E3" w:rsidRPr="00921ED0" w:rsidRDefault="005624E3" w:rsidP="005624E3">
      <w:pPr>
        <w:spacing w:before="60" w:line="240" w:lineRule="atLeast"/>
        <w:ind w:left="993" w:hanging="426"/>
        <w:rPr>
          <w:rFonts w:eastAsia="Batang" w:cs="Arial"/>
        </w:rPr>
      </w:pPr>
      <w:r w:rsidRPr="00921ED0">
        <w:t>e)</w:t>
      </w:r>
      <w:r w:rsidRPr="00921ED0">
        <w:tab/>
        <w:t>A hajótestlemezek elhasználódásának vagy kicserélésének késleltetésére szolgáló vastagítólemezt le kell cserélni, ha 3 mm-nél vékonyabb.</w:t>
      </w:r>
    </w:p>
    <w:p w:rsidR="005624E3" w:rsidRPr="00921ED0" w:rsidRDefault="005624E3" w:rsidP="005624E3">
      <w:pPr>
        <w:spacing w:line="240" w:lineRule="atLeast"/>
        <w:ind w:left="567"/>
        <w:rPr>
          <w:rFonts w:eastAsia="Batang"/>
        </w:rPr>
      </w:pPr>
    </w:p>
    <w:p w:rsidR="005624E3" w:rsidRPr="00921ED0" w:rsidRDefault="005624E3" w:rsidP="005624E3">
      <w:pPr>
        <w:spacing w:line="240" w:lineRule="atLeast"/>
        <w:ind w:left="567"/>
        <w:rPr>
          <w:rFonts w:eastAsia="Batang"/>
        </w:rPr>
      </w:pPr>
      <w:r w:rsidRPr="00921ED0">
        <w:t>A vastagítólemezek alkalmazását fel kell tüntetni a vastagságmérési jelentésben. A bizonyítvány megújításakor alaposan meg kell vizsgálni azokat a területeket, amelyekre vastagítólemezeket szereltek, annak megállapítása érdekében, hogy azok az adott állapotukban megtarthatók-e.</w:t>
      </w:r>
    </w:p>
    <w:p w:rsidR="005624E3" w:rsidRPr="00921ED0" w:rsidRDefault="005624E3" w:rsidP="005624E3">
      <w:pPr>
        <w:spacing w:line="240" w:lineRule="atLeast"/>
        <w:ind w:left="567"/>
      </w:pP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sectPr w:rsidR="005624E3" w:rsidRPr="00921ED0" w:rsidSect="00D45887">
          <w:pgSz w:w="11907" w:h="16840" w:code="9"/>
          <w:pgMar w:top="1418" w:right="1418" w:bottom="1418" w:left="1418" w:header="680" w:footer="680" w:gutter="0"/>
          <w:cols w:space="720"/>
          <w:noEndnote/>
          <w:titlePg/>
        </w:sectPr>
      </w:pPr>
    </w:p>
    <w:p w:rsidR="005624E3" w:rsidRPr="00921ED0" w:rsidRDefault="005624E3" w:rsidP="005624E3">
      <w:pPr>
        <w:pStyle w:val="ES-Titre2ESI"/>
      </w:pPr>
      <w:bookmarkStart w:id="741" w:name="_Toc491854352"/>
      <w:bookmarkStart w:id="742" w:name="_Toc535854133"/>
      <w:r w:rsidRPr="00921ED0">
        <w:t>ESI-II-3</w:t>
      </w:r>
      <w:r w:rsidRPr="00921ED0">
        <w:br/>
        <w:t>Előírt maximális előremeneti sebesség, megállási és hátrameneti képesség</w:t>
      </w:r>
      <w:bookmarkEnd w:id="741"/>
      <w:bookmarkEnd w:id="742"/>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jc w:val="center"/>
        <w:rPr>
          <w:b/>
        </w:rPr>
      </w:pPr>
      <w:r w:rsidRPr="00921ED0">
        <w:rPr>
          <w:b/>
        </w:rPr>
        <w:t>(5.06., 5.07. és 5.08. cikk,</w:t>
      </w:r>
    </w:p>
    <w:p w:rsidR="005624E3" w:rsidRPr="00921ED0" w:rsidRDefault="005624E3" w:rsidP="005624E3">
      <w:pPr>
        <w:spacing w:line="240" w:lineRule="atLeast"/>
        <w:ind w:left="567" w:hanging="567"/>
        <w:jc w:val="center"/>
        <w:rPr>
          <w:b/>
        </w:rPr>
      </w:pPr>
      <w:r w:rsidRPr="00921ED0">
        <w:rPr>
          <w:b/>
        </w:rPr>
        <w:t>összefüggésben a következőkkel: 5.02. cikk 1. bekezdés, 5.03. cikk 1. bekezdés, 5.04. és 21.06. cikk)</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rPr>
          <w:rFonts w:cs="Arial"/>
          <w:b/>
          <w:color w:val="000000"/>
          <w:szCs w:val="20"/>
        </w:rPr>
      </w:pPr>
      <w:r w:rsidRPr="00921ED0">
        <w:rPr>
          <w:b/>
          <w:color w:val="000000"/>
        </w:rPr>
        <w:t>1.</w:t>
      </w:r>
      <w:r w:rsidRPr="00921ED0">
        <w:tab/>
      </w:r>
      <w:r w:rsidRPr="00921ED0">
        <w:rPr>
          <w:b/>
          <w:color w:val="000000"/>
        </w:rPr>
        <w:t>Előírt maximális (előrehaladási) sebesség az 5.06. cikk szerint</w:t>
      </w:r>
    </w:p>
    <w:p w:rsidR="005624E3" w:rsidRPr="00921ED0" w:rsidRDefault="005624E3" w:rsidP="005624E3">
      <w:pPr>
        <w:tabs>
          <w:tab w:val="left" w:pos="567"/>
        </w:tabs>
        <w:overflowPunct w:val="0"/>
        <w:adjustRightInd w:val="0"/>
        <w:spacing w:line="240" w:lineRule="atLeast"/>
        <w:ind w:left="567" w:hanging="567"/>
        <w:textAlignment w:val="baseline"/>
        <w:rPr>
          <w:szCs w:val="20"/>
        </w:rPr>
      </w:pPr>
    </w:p>
    <w:p w:rsidR="005624E3" w:rsidRPr="00921ED0" w:rsidRDefault="005624E3" w:rsidP="005624E3">
      <w:pPr>
        <w:spacing w:line="240" w:lineRule="atLeast"/>
        <w:ind w:left="567"/>
      </w:pPr>
      <w:r w:rsidRPr="00921ED0">
        <w:t>Az 5.06. cikk 1. bekezdése szerint a hajó vízhez viszonyított sebessége akkor kielégítő, ha eléri a legalább 13 km/h-t. A vizsgálatok során teljesíteni kell a következő feltételeket, a megállási vizsgálattal megegyező módon:</w:t>
      </w:r>
    </w:p>
    <w:p w:rsidR="005624E3" w:rsidRPr="00921ED0" w:rsidRDefault="005624E3" w:rsidP="005624E3">
      <w:pPr>
        <w:spacing w:before="60" w:line="240" w:lineRule="atLeast"/>
        <w:ind w:left="992"/>
        <w:rPr>
          <w:noProof/>
        </w:rPr>
      </w:pPr>
      <w:r w:rsidRPr="00921ED0">
        <w:t>a)</w:t>
      </w:r>
      <w:r w:rsidRPr="00921ED0">
        <w:tab/>
        <w:t>megfelelés a gerinc és mederfenék közötti, 2.1. pontban meghatározott távolságnak;</w:t>
      </w:r>
    </w:p>
    <w:p w:rsidR="005624E3" w:rsidRPr="00921ED0" w:rsidRDefault="005624E3" w:rsidP="005624E3">
      <w:pPr>
        <w:spacing w:before="60" w:line="240" w:lineRule="atLeast"/>
        <w:ind w:left="992"/>
        <w:rPr>
          <w:noProof/>
        </w:rPr>
      </w:pPr>
      <w:r w:rsidRPr="00921ED0">
        <w:t>b)</w:t>
      </w:r>
      <w:r w:rsidRPr="00921ED0">
        <w:tab/>
        <w:t>a mérések, a jelentések és az adatok feljegyzése a 1. mellékletben rögzített eljárás szerint.</w:t>
      </w:r>
    </w:p>
    <w:p w:rsidR="005624E3" w:rsidRPr="00921ED0" w:rsidRDefault="005624E3" w:rsidP="005624E3">
      <w:pPr>
        <w:tabs>
          <w:tab w:val="left" w:pos="567"/>
        </w:tabs>
        <w:overflowPunct w:val="0"/>
        <w:adjustRightInd w:val="0"/>
        <w:spacing w:line="240" w:lineRule="atLeast"/>
        <w:ind w:left="567" w:hanging="567"/>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2.</w:t>
      </w:r>
      <w:r w:rsidRPr="00921ED0">
        <w:tab/>
      </w:r>
      <w:r w:rsidRPr="00921ED0">
        <w:rPr>
          <w:b/>
          <w:color w:val="000000"/>
        </w:rPr>
        <w:t>Előírt megállási és hátrameneti képesség az 5.07. és 5.08. cikk szerint</w:t>
      </w:r>
    </w:p>
    <w:p w:rsidR="005624E3" w:rsidRPr="00921ED0" w:rsidRDefault="005624E3" w:rsidP="005624E3">
      <w:pPr>
        <w:tabs>
          <w:tab w:val="left" w:pos="567"/>
        </w:tabs>
        <w:overflowPunct w:val="0"/>
        <w:adjustRightInd w:val="0"/>
        <w:spacing w:line="240" w:lineRule="atLeast"/>
        <w:ind w:left="567" w:hanging="567"/>
        <w:textAlignment w:val="baseline"/>
        <w:rPr>
          <w:szCs w:val="20"/>
        </w:rPr>
      </w:pPr>
    </w:p>
    <w:p w:rsidR="005624E3" w:rsidRPr="00921ED0" w:rsidRDefault="005624E3" w:rsidP="005624E3">
      <w:pPr>
        <w:spacing w:line="240" w:lineRule="atLeast"/>
        <w:ind w:left="567" w:hanging="567"/>
        <w:rPr>
          <w:noProof/>
        </w:rPr>
      </w:pPr>
      <w:r w:rsidRPr="00921ED0">
        <w:t>2.1.</w:t>
      </w:r>
      <w:r w:rsidRPr="00921ED0">
        <w:tab/>
        <w:t xml:space="preserve">A hajók és kötelékek akkor tekintendők képesnek az 5.07. cikk 1. bekezdésének megfelelően időben megállni </w:t>
      </w:r>
      <w:r w:rsidR="007558CC">
        <w:t>folyásirán</w:t>
      </w:r>
      <w:r w:rsidRPr="00921ED0">
        <w:t xml:space="preserve">yban, ha ez bizonyításra kerül a </w:t>
      </w:r>
      <w:r w:rsidR="007558CC">
        <w:t>folyásirán</w:t>
      </w:r>
      <w:r w:rsidRPr="00921ED0">
        <w:t>yban végzett, parthoz viszonyított megállási vizsgálat során a vízhez viszonyított 13 km/h kezdeti sebesség, valamint a gerinc és a mederfenék közötti, legalább a merülés 20 %-ának megfelelő, de legalább 0,50 m távolság megtartásával.</w:t>
      </w:r>
    </w:p>
    <w:p w:rsidR="005624E3" w:rsidRPr="00921ED0" w:rsidRDefault="005624E3" w:rsidP="005624E3">
      <w:pPr>
        <w:spacing w:before="60" w:line="240" w:lineRule="atLeast"/>
        <w:ind w:left="992"/>
        <w:rPr>
          <w:noProof/>
        </w:rPr>
      </w:pPr>
      <w:r w:rsidRPr="00921ED0">
        <w:t>a)</w:t>
      </w:r>
      <w:r w:rsidRPr="00921ED0">
        <w:tab/>
        <w:t>Áramló vízben, amelynek áramlási sebessége 1,5 m/s, a vízhez viszonyított megállási képességet a parton mért alábbi távolságon belül kell vizsgálni:</w:t>
      </w:r>
    </w:p>
    <w:p w:rsidR="005624E3" w:rsidRPr="00921ED0" w:rsidRDefault="005624E3" w:rsidP="005624E3">
      <w:pPr>
        <w:spacing w:before="60" w:line="240" w:lineRule="atLeast"/>
        <w:ind w:left="992"/>
        <w:rPr>
          <w:noProof/>
        </w:rPr>
      </w:pPr>
      <w:r w:rsidRPr="00921ED0">
        <w:t>550 m olyan hajók vagy kötelékek esetében, amelyeknek:</w:t>
      </w:r>
    </w:p>
    <w:p w:rsidR="005624E3" w:rsidRPr="00921ED0" w:rsidRDefault="005624E3" w:rsidP="005624E3">
      <w:pPr>
        <w:spacing w:before="60" w:line="240" w:lineRule="atLeast"/>
        <w:ind w:left="1418" w:hanging="426"/>
        <w:rPr>
          <w:noProof/>
        </w:rPr>
      </w:pPr>
      <w:r w:rsidRPr="00921ED0">
        <w:t>-</w:t>
      </w:r>
      <w:r w:rsidRPr="00921ED0">
        <w:tab/>
        <w:t xml:space="preserve">hosszúsága: </w:t>
      </w:r>
      <m:oMath>
        <m:r>
          <w:rPr>
            <w:rFonts w:ascii="Cambria Math" w:hAnsi="Cambria Math"/>
            <w:noProof/>
          </w:rPr>
          <m:t>L &gt; 110 m</m:t>
        </m:r>
      </m:oMath>
      <w:r w:rsidRPr="00921ED0">
        <w:t xml:space="preserve"> vagy</w:t>
      </w:r>
    </w:p>
    <w:p w:rsidR="005624E3" w:rsidRPr="00921ED0" w:rsidRDefault="005624E3" w:rsidP="005624E3">
      <w:pPr>
        <w:spacing w:before="60" w:line="240" w:lineRule="atLeast"/>
        <w:ind w:left="1418" w:hanging="426"/>
        <w:rPr>
          <w:noProof/>
        </w:rPr>
      </w:pPr>
      <w:r w:rsidRPr="00921ED0">
        <w:t>-</w:t>
      </w:r>
      <w:r w:rsidRPr="00921ED0">
        <w:tab/>
        <w:t xml:space="preserve">szélessége: </w:t>
      </w:r>
      <m:oMath>
        <m:r>
          <w:rPr>
            <w:rFonts w:ascii="Cambria Math" w:hAnsi="Cambria Math"/>
            <w:noProof/>
          </w:rPr>
          <m:t>B &gt; 11,45 m</m:t>
        </m:r>
      </m:oMath>
      <w:r w:rsidRPr="00921ED0">
        <w:t>,</w:t>
      </w:r>
    </w:p>
    <w:p w:rsidR="005624E3" w:rsidRPr="00921ED0" w:rsidRDefault="005624E3" w:rsidP="005624E3">
      <w:pPr>
        <w:spacing w:before="60" w:line="240" w:lineRule="atLeast"/>
        <w:ind w:left="992"/>
        <w:rPr>
          <w:noProof/>
        </w:rPr>
      </w:pPr>
      <w:r w:rsidRPr="00921ED0">
        <w:t>vagy</w:t>
      </w:r>
    </w:p>
    <w:p w:rsidR="005624E3" w:rsidRPr="00921ED0" w:rsidRDefault="005624E3" w:rsidP="005624E3">
      <w:pPr>
        <w:spacing w:before="60" w:line="240" w:lineRule="atLeast"/>
        <w:ind w:left="992"/>
        <w:rPr>
          <w:noProof/>
        </w:rPr>
      </w:pPr>
      <w:r w:rsidRPr="00921ED0">
        <w:t>480 m olyan hajók vagy kötelékek esetében, amelyeknek:</w:t>
      </w:r>
    </w:p>
    <w:p w:rsidR="005624E3" w:rsidRPr="00921ED0" w:rsidRDefault="005624E3" w:rsidP="005624E3">
      <w:pPr>
        <w:spacing w:before="60" w:line="240" w:lineRule="atLeast"/>
        <w:ind w:left="1418" w:hanging="426"/>
        <w:rPr>
          <w:noProof/>
        </w:rPr>
      </w:pPr>
      <w:r w:rsidRPr="00921ED0">
        <w:t>-</w:t>
      </w:r>
      <w:r w:rsidRPr="00921ED0">
        <w:tab/>
        <w:t xml:space="preserve">hosszúsága: </w:t>
      </w:r>
      <m:oMath>
        <m:r>
          <w:rPr>
            <w:rFonts w:ascii="Cambria Math" w:hAnsi="Cambria Math"/>
            <w:noProof/>
          </w:rPr>
          <m:t>L ≤ 110 m</m:t>
        </m:r>
      </m:oMath>
      <w:r w:rsidRPr="00921ED0">
        <w:t xml:space="preserve"> és</w:t>
      </w:r>
    </w:p>
    <w:p w:rsidR="005624E3" w:rsidRPr="00921ED0" w:rsidRDefault="005624E3" w:rsidP="005624E3">
      <w:pPr>
        <w:spacing w:before="60" w:line="240" w:lineRule="atLeast"/>
        <w:ind w:left="1418" w:hanging="426"/>
        <w:rPr>
          <w:noProof/>
        </w:rPr>
      </w:pPr>
      <w:r w:rsidRPr="00921ED0">
        <w:t>-</w:t>
      </w:r>
      <w:r w:rsidRPr="00921ED0">
        <w:tab/>
        <w:t xml:space="preserve">szélessége: </w:t>
      </w:r>
      <m:oMath>
        <m:r>
          <w:rPr>
            <w:rFonts w:ascii="Cambria Math" w:hAnsi="Cambria Math"/>
            <w:noProof/>
          </w:rPr>
          <m:t>B ≤ 11,45 m</m:t>
        </m:r>
      </m:oMath>
      <w:r w:rsidRPr="00921ED0">
        <w:t>.</w:t>
      </w:r>
    </w:p>
    <w:p w:rsidR="005624E3" w:rsidRPr="00921ED0" w:rsidRDefault="005624E3" w:rsidP="005624E3">
      <w:pPr>
        <w:spacing w:before="60" w:line="240" w:lineRule="atLeast"/>
        <w:ind w:left="992"/>
        <w:rPr>
          <w:noProof/>
        </w:rPr>
      </w:pPr>
      <w:r w:rsidRPr="00921ED0">
        <w:t>A megállási manőver akkor fejeződik be, ha a hajó a parthoz viszonyítva megáll.</w:t>
      </w:r>
    </w:p>
    <w:p w:rsidR="005624E3" w:rsidRPr="00921ED0" w:rsidRDefault="005624E3" w:rsidP="005624E3">
      <w:pPr>
        <w:spacing w:before="60" w:line="240" w:lineRule="atLeast"/>
        <w:ind w:left="992"/>
        <w:rPr>
          <w:noProof/>
        </w:rPr>
      </w:pPr>
      <w:r w:rsidRPr="00921ED0">
        <w:t>b)</w:t>
      </w:r>
      <w:r w:rsidRPr="00921ED0">
        <w:tab/>
        <w:t>Álló vízben, amelynek áramlási sebessége 0,2 m/s-nál kisebb, a vízhez viszonyított megállási képességet a parton mért alábbi távolságon kell belül vizsgálni:</w:t>
      </w:r>
    </w:p>
    <w:p w:rsidR="005624E3" w:rsidRPr="00921ED0" w:rsidRDefault="005624E3" w:rsidP="005624E3">
      <w:pPr>
        <w:spacing w:before="60" w:line="240" w:lineRule="atLeast"/>
        <w:ind w:left="992"/>
        <w:rPr>
          <w:noProof/>
        </w:rPr>
      </w:pPr>
      <w:r w:rsidRPr="00921ED0">
        <w:t>350 m olyan hajók vagy kötelékek esetében, amelyeknek:</w:t>
      </w:r>
    </w:p>
    <w:p w:rsidR="005624E3" w:rsidRPr="00921ED0" w:rsidRDefault="005624E3" w:rsidP="005624E3">
      <w:pPr>
        <w:spacing w:before="60" w:line="240" w:lineRule="atLeast"/>
        <w:ind w:left="1418" w:hanging="426"/>
        <w:rPr>
          <w:noProof/>
        </w:rPr>
      </w:pPr>
      <w:r w:rsidRPr="00921ED0">
        <w:t>-</w:t>
      </w:r>
      <w:r w:rsidRPr="00921ED0">
        <w:tab/>
        <w:t xml:space="preserve">hosszúsága: </w:t>
      </w:r>
      <m:oMath>
        <m:r>
          <w:rPr>
            <w:rFonts w:ascii="Cambria Math" w:hAnsi="Cambria Math"/>
            <w:noProof/>
          </w:rPr>
          <m:t>L &gt; 110 m</m:t>
        </m:r>
      </m:oMath>
      <w:r w:rsidRPr="00921ED0">
        <w:t xml:space="preserve"> vagy</w:t>
      </w:r>
    </w:p>
    <w:p w:rsidR="005624E3" w:rsidRPr="00921ED0" w:rsidRDefault="005624E3" w:rsidP="005624E3">
      <w:pPr>
        <w:spacing w:before="60" w:line="240" w:lineRule="atLeast"/>
        <w:ind w:left="1418" w:hanging="426"/>
        <w:rPr>
          <w:noProof/>
        </w:rPr>
      </w:pPr>
      <w:r w:rsidRPr="00921ED0">
        <w:t>-</w:t>
      </w:r>
      <w:r w:rsidRPr="00921ED0">
        <w:tab/>
        <w:t xml:space="preserve">szélessége: </w:t>
      </w:r>
      <m:oMath>
        <m:r>
          <w:rPr>
            <w:rFonts w:ascii="Cambria Math" w:hAnsi="Cambria Math"/>
            <w:noProof/>
          </w:rPr>
          <m:t>B &gt; 11,45 m</m:t>
        </m:r>
      </m:oMath>
      <w:r w:rsidRPr="00921ED0">
        <w:t>,</w:t>
      </w:r>
    </w:p>
    <w:p w:rsidR="005624E3" w:rsidRPr="00921ED0" w:rsidRDefault="005624E3" w:rsidP="005624E3">
      <w:pPr>
        <w:spacing w:before="60" w:line="240" w:lineRule="atLeast"/>
        <w:ind w:left="992"/>
        <w:rPr>
          <w:noProof/>
        </w:rPr>
      </w:pPr>
      <w:r w:rsidRPr="00921ED0">
        <w:t>vagy</w:t>
      </w:r>
    </w:p>
    <w:p w:rsidR="005624E3" w:rsidRPr="00921ED0" w:rsidRDefault="005624E3" w:rsidP="005624E3">
      <w:pPr>
        <w:spacing w:before="60" w:line="240" w:lineRule="atLeast"/>
        <w:ind w:left="992"/>
        <w:rPr>
          <w:noProof/>
        </w:rPr>
      </w:pPr>
      <w:r w:rsidRPr="00921ED0">
        <w:t>305 m olyan hajók vagy kötelékek esetében, amelyeknek:</w:t>
      </w:r>
    </w:p>
    <w:p w:rsidR="005624E3" w:rsidRPr="00921ED0" w:rsidRDefault="005624E3" w:rsidP="005624E3">
      <w:pPr>
        <w:spacing w:before="60" w:line="240" w:lineRule="atLeast"/>
        <w:ind w:left="1418" w:hanging="426"/>
        <w:rPr>
          <w:noProof/>
        </w:rPr>
      </w:pPr>
      <w:r w:rsidRPr="00921ED0">
        <w:t>-</w:t>
      </w:r>
      <w:r w:rsidRPr="00921ED0">
        <w:tab/>
        <w:t xml:space="preserve">hosszúsága: </w:t>
      </w:r>
      <m:oMath>
        <m:r>
          <w:rPr>
            <w:rFonts w:ascii="Cambria Math" w:hAnsi="Cambria Math"/>
            <w:noProof/>
          </w:rPr>
          <m:t xml:space="preserve">L ≤ 110 m </m:t>
        </m:r>
      </m:oMath>
      <w:r w:rsidRPr="00921ED0">
        <w:t xml:space="preserve"> és</w:t>
      </w:r>
    </w:p>
    <w:p w:rsidR="005624E3" w:rsidRPr="00921ED0" w:rsidRDefault="005624E3" w:rsidP="005624E3">
      <w:pPr>
        <w:spacing w:before="60" w:line="240" w:lineRule="atLeast"/>
        <w:ind w:left="1418" w:hanging="426"/>
        <w:rPr>
          <w:noProof/>
        </w:rPr>
      </w:pPr>
      <w:r w:rsidRPr="00921ED0">
        <w:t>-</w:t>
      </w:r>
      <w:r w:rsidRPr="00921ED0">
        <w:tab/>
        <w:t xml:space="preserve">szélessége: </w:t>
      </w:r>
      <m:oMath>
        <m:r>
          <w:rPr>
            <w:rFonts w:ascii="Cambria Math" w:hAnsi="Cambria Math"/>
            <w:noProof/>
          </w:rPr>
          <m:t>B ≤ 11,45 m</m:t>
        </m:r>
      </m:oMath>
      <w:r w:rsidRPr="00921ED0">
        <w:t>.</w:t>
      </w:r>
    </w:p>
    <w:p w:rsidR="005624E3" w:rsidRPr="00921ED0" w:rsidRDefault="005624E3" w:rsidP="005624E3">
      <w:pPr>
        <w:spacing w:before="60" w:line="240" w:lineRule="atLeast"/>
        <w:ind w:left="992"/>
        <w:rPr>
          <w:noProof/>
        </w:rPr>
      </w:pPr>
      <w:r w:rsidRPr="00921ED0">
        <w:t>Vizsgálni szükséges azt is, hogy a hajó képes-e elérni állóvízben a legalább 6,5 km/h hátrameneti sebességet.</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br w:type="page"/>
      </w:r>
    </w:p>
    <w:p w:rsidR="005624E3" w:rsidRPr="00921ED0" w:rsidRDefault="005624E3" w:rsidP="005624E3">
      <w:pPr>
        <w:spacing w:line="240" w:lineRule="atLeast"/>
        <w:ind w:left="567"/>
        <w:rPr>
          <w:noProof/>
        </w:rPr>
      </w:pPr>
      <w:r w:rsidRPr="00921ED0">
        <w:t>Az a) vagy b) pontban meghatározott vizsgálati adatokat az 1. mellékletében szereplő eljárásnak megfelelően kell mérni, jegyzőkönyvezni és feljegyezni.</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rPr>
          <w:noProof/>
        </w:rPr>
      </w:pPr>
      <w:r w:rsidRPr="00921ED0">
        <w:t>A hajónak, illetve a köteléknek a vizsgálat teljes időtartama alatt megfelelő műveletképességgel kell rendelkeznie.</w:t>
      </w:r>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567" w:hanging="567"/>
        <w:rPr>
          <w:noProof/>
        </w:rPr>
      </w:pPr>
      <w:r w:rsidRPr="00921ED0">
        <w:t>2.2.</w:t>
      </w:r>
      <w:r w:rsidRPr="00921ED0">
        <w:tab/>
        <w:t>Az 5.04. cikknek megfelelően a vizsgálat során a hajókat lehetőleg a hordképességük 70–100 %-áig kell megterhelni. Ezeket a terhelési viszonyokat a 2. melléklet előírásai szerint kell kiértékelni. Ha a hajó vagy kötelék terhelése a vizsgálat során nem éri el a 70 %-os szintet, a folyásirányú hajózás során engedélyezett legnagyobb vízkiszorítási tömeget a tényleges terhelésnek megfelelően kell megállapítani, feltéve, hogy a 2.1. pontban szereplő határértékek teljesülnek.</w:t>
      </w:r>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567" w:hanging="567"/>
        <w:rPr>
          <w:noProof/>
        </w:rPr>
      </w:pPr>
      <w:r w:rsidRPr="00921ED0">
        <w:t>2.3.</w:t>
      </w:r>
      <w:r w:rsidRPr="00921ED0">
        <w:tab/>
        <w:t>Ha a kezdeti sebességnek és a folyóvíz áramlási sebességének aktuális értéke a vizsgálat ideje alatt nem felel meg a 2.1. pontban előírt feltételeknek, akkor a kapott eredményeket a 2. mellékletében leírt eljárás szerint kell kiértékelni.</w:t>
      </w:r>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567"/>
        <w:rPr>
          <w:noProof/>
        </w:rPr>
      </w:pPr>
      <w:r w:rsidRPr="00921ED0">
        <w:t xml:space="preserve">A 13 km/h kezdeti sebességtől való engedélyezett eltérés nem lehet több </w:t>
      </w:r>
      <w:r w:rsidRPr="00921ED0">
        <w:sym w:font="Symbol" w:char="F0B1"/>
      </w:r>
      <w:r w:rsidRPr="00921ED0">
        <w:t>1 km/h-nál, és az áramlási sebességnek áramló vízben 1,3 és 2,2 m/s között kell lennie, ellenkező esetben a vizsgálatokat meg kell ismételni.</w:t>
      </w:r>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567" w:hanging="567"/>
        <w:rPr>
          <w:noProof/>
        </w:rPr>
      </w:pPr>
      <w:r w:rsidRPr="00921ED0">
        <w:t>2.4.</w:t>
      </w:r>
      <w:r w:rsidRPr="00921ED0">
        <w:tab/>
        <w:t>Az engedélyezett maximális vízkiszorítási tömeget, a vonatkozó maximális terhelést vagy a legnagyobb merüléshez tartozó keresztmetszetet a folyásirányban üzemelő hajók és kötelékek esetében a vizsgálatok alapján kell megállapítani, és ezeket az értékeket be kell jegyezni a belvízi hajóbizonyítványba.</w:t>
      </w:r>
    </w:p>
    <w:p w:rsidR="005624E3" w:rsidRPr="00921ED0" w:rsidRDefault="005624E3" w:rsidP="005624E3">
      <w:pPr>
        <w:spacing w:line="240" w:lineRule="atLeast"/>
        <w:ind w:left="567" w:hanging="567"/>
        <w:jc w:val="center"/>
        <w:rPr>
          <w:noProof/>
        </w:rPr>
      </w:pPr>
    </w:p>
    <w:p w:rsidR="005624E3" w:rsidRPr="00921ED0" w:rsidRDefault="005624E3" w:rsidP="005624E3">
      <w:pPr>
        <w:tabs>
          <w:tab w:val="left" w:pos="567"/>
        </w:tabs>
        <w:spacing w:line="240" w:lineRule="atLeast"/>
        <w:ind w:left="567" w:hanging="567"/>
      </w:pPr>
    </w:p>
    <w:p w:rsidR="005624E3" w:rsidRPr="00921ED0" w:rsidRDefault="005624E3" w:rsidP="005624E3">
      <w:pPr>
        <w:spacing w:line="240" w:lineRule="atLeast"/>
        <w:ind w:left="567" w:hanging="567"/>
        <w:sectPr w:rsidR="005624E3" w:rsidRPr="00921ED0" w:rsidSect="00D45887">
          <w:pgSz w:w="11907" w:h="16840" w:code="9"/>
          <w:pgMar w:top="1418" w:right="1418" w:bottom="1418" w:left="1418" w:header="680" w:footer="680" w:gutter="0"/>
          <w:cols w:space="720"/>
          <w:noEndnote/>
          <w:titlePg/>
        </w:sectPr>
      </w:pPr>
    </w:p>
    <w:p w:rsidR="005624E3" w:rsidRPr="00921ED0" w:rsidRDefault="005624E3" w:rsidP="005624E3">
      <w:pPr>
        <w:spacing w:line="240" w:lineRule="atLeast"/>
        <w:ind w:left="567" w:hanging="567"/>
      </w:pPr>
    </w:p>
    <w:p w:rsidR="005624E3" w:rsidRPr="00921ED0" w:rsidRDefault="005624E3" w:rsidP="005624E3">
      <w:pPr>
        <w:pStyle w:val="ES-Titre4"/>
      </w:pPr>
      <w:r w:rsidRPr="00921ED0">
        <w:t>1. melléklet az ESI-II-3 utasításhoz</w:t>
      </w:r>
    </w:p>
    <w:p w:rsidR="005624E3" w:rsidRPr="00921ED0" w:rsidRDefault="005624E3" w:rsidP="005624E3">
      <w:pPr>
        <w:pStyle w:val="ES-Titre4a"/>
      </w:pPr>
      <w:r w:rsidRPr="00921ED0">
        <w:t>A mérések végrehajtása, a mérés eredményeinek jegyzőkönyvezése és feljegyzése a megállási próbák során</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1.</w:t>
      </w:r>
      <w:r w:rsidRPr="00921ED0">
        <w:tab/>
      </w:r>
      <w:r w:rsidRPr="00921ED0">
        <w:rPr>
          <w:b/>
          <w:color w:val="000000"/>
        </w:rPr>
        <w:t>Megállási manőver</w:t>
      </w:r>
    </w:p>
    <w:p w:rsidR="005624E3" w:rsidRPr="00921ED0" w:rsidRDefault="005624E3" w:rsidP="005624E3">
      <w:pPr>
        <w:spacing w:line="240" w:lineRule="atLeast"/>
        <w:ind w:left="567"/>
      </w:pPr>
    </w:p>
    <w:p w:rsidR="005624E3" w:rsidRPr="00921ED0" w:rsidRDefault="005624E3" w:rsidP="005624E3">
      <w:pPr>
        <w:spacing w:line="240" w:lineRule="atLeast"/>
        <w:ind w:left="567"/>
        <w:rPr>
          <w:noProof/>
        </w:rPr>
      </w:pPr>
      <w:r w:rsidRPr="00921ED0">
        <w:t>Az 5. fejezetben említett hajót és köteléket próbának kell alávetni áramló vízben vagy álló vízben egy kijelölt vizsgálati területen annak bizonyítására, hogy képes</w:t>
      </w:r>
      <w:r w:rsidR="00367730">
        <w:t xml:space="preserve"> megállni folyásirányban</w:t>
      </w:r>
      <w:r w:rsidRPr="00921ED0">
        <w:t xml:space="preserve"> történő haladáskor, kizárólag propulziós rendszere használatával, horgonyvetés nélkül. A megállási manővert elvben az 1. ábra szerint kell végrehajtani. A próba akkor kezdhető, amikor a hajó a vízhez viszonyított sebessége a lehető legpontosabban a 13 km/h körüli értéken stabilizálódik, s ekkor az egyenletes sebességgel haladó hajó főmotorját „előremenetből” „hátramenetbe” kell kapcsolni (</w:t>
      </w:r>
      <m:oMath>
        <m:r>
          <w:rPr>
            <w:rFonts w:ascii="Cambria Math" w:hAnsi="Cambria Math"/>
            <w:noProof/>
          </w:rPr>
          <m:t>A</m:t>
        </m:r>
      </m:oMath>
      <w:r w:rsidRPr="00921ED0">
        <w:t xml:space="preserve"> pont: az „Állj!” parancs kiadása). A próba akkor fejeződik be, amikor a hajó a parthoz viszonyítva álló helyzetbe kerül (</w:t>
      </w:r>
      <w:r w:rsidRPr="00921ED0">
        <w:rPr>
          <w:i/>
        </w:rPr>
        <w:t>E</w:t>
      </w:r>
      <w:r w:rsidRPr="00921ED0">
        <w:t xml:space="preserve"> pont: v = 0 a parthoz viszonyítva, vagy </w:t>
      </w:r>
      <w:r w:rsidRPr="00921ED0">
        <w:rPr>
          <w:i/>
        </w:rPr>
        <w:t>D</w:t>
      </w:r>
      <w:r w:rsidRPr="00921ED0">
        <w:t xml:space="preserve"> pont: = </w:t>
      </w:r>
      <w:r w:rsidRPr="00921ED0">
        <w:rPr>
          <w:i/>
        </w:rPr>
        <w:t>E</w:t>
      </w:r>
      <w:r w:rsidRPr="00921ED0">
        <w:t xml:space="preserve"> pont: v = 0 a vízhez viszonyítva és a parthoz viszonyítva, amennyiben a megállási manővert álló vízben hajtják végre).</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rPr>
          <w:noProof/>
        </w:rPr>
      </w:pPr>
      <w:r w:rsidRPr="00921ED0">
        <w:t xml:space="preserve">Ha a megállási manővert áramló vízben hajtják végre, a vízhez viszonyított megállás helyzetét és időpontját is fel kell jegyezni (a hajó az áramlás sebességével mozog; </w:t>
      </w:r>
      <w:r w:rsidRPr="00921ED0">
        <w:rPr>
          <w:i/>
        </w:rPr>
        <w:t>D</w:t>
      </w:r>
      <w:r w:rsidRPr="00921ED0">
        <w:t xml:space="preserve"> pont: v = 0 a vízhez viszonyítva).</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rPr>
          <w:noProof/>
        </w:rPr>
      </w:pPr>
      <w:r w:rsidRPr="00921ED0">
        <w:t>A mért adatokat jelentésbe kell foglalni az 1. táblázatban szereplő ábra szerint. A megállási manőver végrehajtása előtt a nem változó adatokat fel kell jegyezni az űrlap tetejére.</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rPr>
          <w:noProof/>
        </w:rPr>
      </w:pPr>
      <w:r w:rsidRPr="00921ED0">
        <w:t>A víz átlagos áramlási sebességét a hajóútban (</w:t>
      </w:r>
      <m:oMath>
        <m:sSub>
          <m:sSubPr>
            <m:ctrlPr>
              <w:rPr>
                <w:rFonts w:ascii="Cambria Math" w:hAnsi="Cambria Math" w:cs="Arial"/>
                <w:i/>
                <w:szCs w:val="20"/>
              </w:rPr>
            </m:ctrlPr>
          </m:sSubPr>
          <m:e>
            <m:r>
              <w:rPr>
                <w:rFonts w:ascii="Cambria Math" w:hAnsi="Cambria Math" w:cs="Arial"/>
                <w:szCs w:val="20"/>
              </w:rPr>
              <m:t>v</m:t>
            </m:r>
          </m:e>
          <m:sub>
            <m:r>
              <w:rPr>
                <w:rFonts w:ascii="Cambria Math" w:hAnsi="Cambria Math" w:cs="Arial"/>
                <w:szCs w:val="20"/>
              </w:rPr>
              <m:t>STR</m:t>
            </m:r>
          </m:sub>
        </m:sSub>
      </m:oMath>
      <w:r w:rsidRPr="00921ED0">
        <w:t>) lehetőség szerint a hajó sebességmérő készüléke által mért érték leolvasásával, vagy ennek hiányában egy vízen lebegő tárgyhoz viszonyított sebesség mérésével kell megállapítani, és ezt az értéket bele kell írni a jelentésbe.</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rPr>
          <w:noProof/>
        </w:rPr>
      </w:pPr>
      <w:r w:rsidRPr="00921ED0">
        <w:t>Áramlásmérő készülék elvileg használható a hajó vízhez viszonyított sebességének a megállási manőver során történő megállapítására, amennyiben a fenti eljárásban ismertetett módon fel lehet jegyezni a sebességváltozást tükröző adatokat.</w:t>
      </w:r>
    </w:p>
    <w:p w:rsidR="005624E3" w:rsidRPr="00921ED0" w:rsidRDefault="005624E3" w:rsidP="005624E3">
      <w:pPr>
        <w:spacing w:line="240" w:lineRule="atLeast"/>
        <w:ind w:left="567"/>
      </w:pPr>
    </w:p>
    <w:p w:rsidR="005624E3" w:rsidRPr="00921ED0" w:rsidRDefault="005624E3" w:rsidP="005624E3">
      <w:pPr>
        <w:spacing w:line="240" w:lineRule="atLeast"/>
        <w:ind w:left="567" w:hanging="567"/>
        <w:rPr>
          <w:rFonts w:cs="Arial"/>
          <w:b/>
          <w:color w:val="000000"/>
          <w:szCs w:val="20"/>
        </w:rPr>
      </w:pPr>
      <w:r w:rsidRPr="00921ED0">
        <w:rPr>
          <w:b/>
          <w:color w:val="000000"/>
        </w:rPr>
        <w:t>2.</w:t>
      </w:r>
      <w:r w:rsidRPr="00921ED0">
        <w:tab/>
      </w:r>
      <w:r w:rsidRPr="00921ED0">
        <w:rPr>
          <w:b/>
          <w:color w:val="000000"/>
        </w:rPr>
        <w:t>A mért adatok feljegyzése és felvétele a jelentésbe (1. táblázat)</w:t>
      </w:r>
    </w:p>
    <w:p w:rsidR="005624E3" w:rsidRPr="00921ED0" w:rsidRDefault="005624E3" w:rsidP="005624E3">
      <w:pPr>
        <w:tabs>
          <w:tab w:val="left" w:pos="567"/>
        </w:tabs>
        <w:overflowPunct w:val="0"/>
        <w:adjustRightInd w:val="0"/>
        <w:spacing w:line="240" w:lineRule="exact"/>
        <w:ind w:left="567" w:hanging="567"/>
        <w:textAlignment w:val="baseline"/>
        <w:rPr>
          <w:szCs w:val="20"/>
        </w:rPr>
      </w:pPr>
    </w:p>
    <w:p w:rsidR="005624E3" w:rsidRPr="00921ED0" w:rsidRDefault="005624E3" w:rsidP="005624E3">
      <w:pPr>
        <w:spacing w:line="240" w:lineRule="atLeast"/>
        <w:ind w:left="567"/>
        <w:rPr>
          <w:noProof/>
        </w:rPr>
      </w:pPr>
      <w:r w:rsidRPr="00921ED0">
        <w:t>A megállási manővernél először is meg kell állapítani a vízhez viszonyított kezdeti sebességet. Ez megtehető a parton elhelyezett két jelölőtábla közötti út megtételéhez szükséges idő lemérésével. Áramló vízben végrehajtott próba esetén figyelembe kell venni az átlagos áramlási sebességet.</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rPr>
          <w:noProof/>
        </w:rPr>
      </w:pPr>
      <w:r w:rsidRPr="00921ED0">
        <w:t>A megállási manőver az „Állj!” paranccsal (</w:t>
      </w:r>
      <m:oMath>
        <m:r>
          <w:rPr>
            <w:rFonts w:ascii="Cambria Math" w:hAnsi="Cambria Math"/>
            <w:noProof/>
          </w:rPr>
          <m:t>A</m:t>
        </m:r>
      </m:oMath>
      <w:r w:rsidRPr="00921ED0">
        <w:t xml:space="preserve"> pont) veszi kezdetét, amelyet a parton elhelyezett jelölőtábla melletti elhaladásakor adnak ki. A parton elhelyezett jelölőtábla melletti elhaladást a jelölőtáblának a hajó hosszanti tengelyére merőleges vonalban lévő helyzetében kell megtörténtnek venni, és ennek időpontját be kell jegyezni a jelentésbe. Hasonló módon kell megállapítani a parton elhelyezett többi jelölőtábla melletti elhaladást a megállási manőver során, és a jelentésben fel kell tüntetni az egyes jelölőtáblák (például kilométer-jelölések) melletti elhaladás időpontját.</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rPr>
          <w:noProof/>
        </w:rPr>
      </w:pPr>
      <w:r w:rsidRPr="00921ED0">
        <w:t xml:space="preserve">Ha lehetséges, a mért értékeket 50 méteres intervallumonként kell feljegyezni. Minden egyes esetben rögzíteni kell azt az időpontot, amikor a hajó eléri a </w:t>
      </w:r>
      <m:oMath>
        <m:r>
          <w:rPr>
            <w:rFonts w:ascii="Cambria Math" w:hAnsi="Cambria Math"/>
            <w:noProof/>
          </w:rPr>
          <m:t>B</m:t>
        </m:r>
      </m:oMath>
      <w:r w:rsidRPr="00921ED0">
        <w:t xml:space="preserve"> és a </w:t>
      </w:r>
      <m:oMath>
        <m:r>
          <w:rPr>
            <w:rFonts w:ascii="Cambria Math" w:hAnsi="Cambria Math"/>
            <w:noProof/>
          </w:rPr>
          <m:t>C</m:t>
        </m:r>
      </m:oMath>
      <w:r w:rsidRPr="00921ED0">
        <w:t xml:space="preserve"> pontot, valamint – ha lehetséges – a </w:t>
      </w:r>
      <m:oMath>
        <m:r>
          <w:rPr>
            <w:rFonts w:ascii="Cambria Math" w:hAnsi="Cambria Math"/>
            <w:noProof/>
          </w:rPr>
          <m:t>D</m:t>
        </m:r>
      </m:oMath>
      <w:r w:rsidRPr="00921ED0">
        <w:t xml:space="preserve"> és az </w:t>
      </w:r>
      <m:oMath>
        <m:r>
          <w:rPr>
            <w:rFonts w:ascii="Cambria Math" w:hAnsi="Cambria Math"/>
            <w:noProof/>
          </w:rPr>
          <m:t>E</m:t>
        </m:r>
      </m:oMath>
      <w:r w:rsidRPr="00921ED0">
        <w:t xml:space="preserve"> pontot, és e pontokban meg kell becsülni a hajó, illetve kötelék helyzetét. A motor fordulatszámával kapcsolatos adatokat nem kell feltüntetni a jelentésben, de a kezdeti sebesség pontosabb betartása érdekében folyamatosan figyelemmel kell lenni rájuk.</w:t>
      </w:r>
    </w:p>
    <w:p w:rsidR="005624E3" w:rsidRPr="00921ED0" w:rsidRDefault="005624E3" w:rsidP="005624E3">
      <w:pPr>
        <w:spacing w:line="240" w:lineRule="atLeast"/>
        <w:ind w:left="567"/>
        <w:rPr>
          <w:szCs w:val="20"/>
        </w:rPr>
      </w:pPr>
      <w:r w:rsidRPr="00921ED0">
        <w:br w:type="page"/>
      </w:r>
    </w:p>
    <w:p w:rsidR="005624E3" w:rsidRPr="00921ED0" w:rsidRDefault="005624E3" w:rsidP="005624E3">
      <w:pPr>
        <w:spacing w:line="240" w:lineRule="atLeast"/>
        <w:ind w:left="567" w:hanging="567"/>
        <w:rPr>
          <w:rFonts w:cs="Arial"/>
          <w:b/>
          <w:color w:val="000000"/>
          <w:szCs w:val="20"/>
        </w:rPr>
      </w:pPr>
      <w:r w:rsidRPr="00921ED0">
        <w:rPr>
          <w:b/>
          <w:color w:val="000000"/>
        </w:rPr>
        <w:t>3.</w:t>
      </w:r>
      <w:r w:rsidRPr="00921ED0">
        <w:tab/>
      </w:r>
      <w:r w:rsidRPr="00921ED0">
        <w:rPr>
          <w:b/>
          <w:color w:val="000000"/>
        </w:rPr>
        <w:t>A megállási manőver leírása</w:t>
      </w:r>
    </w:p>
    <w:p w:rsidR="005624E3" w:rsidRPr="00921ED0" w:rsidRDefault="005624E3" w:rsidP="005624E3">
      <w:pPr>
        <w:tabs>
          <w:tab w:val="left" w:pos="567"/>
        </w:tabs>
        <w:overflowPunct w:val="0"/>
        <w:adjustRightInd w:val="0"/>
        <w:spacing w:line="240" w:lineRule="exact"/>
        <w:ind w:left="567" w:hanging="567"/>
        <w:textAlignment w:val="baseline"/>
        <w:rPr>
          <w:szCs w:val="20"/>
        </w:rPr>
      </w:pPr>
    </w:p>
    <w:p w:rsidR="005624E3" w:rsidRPr="00921ED0" w:rsidRDefault="005624E3" w:rsidP="005624E3">
      <w:pPr>
        <w:spacing w:line="240" w:lineRule="atLeast"/>
        <w:ind w:left="567"/>
      </w:pPr>
      <w:r w:rsidRPr="00921ED0">
        <w:t xml:space="preserve">Az 1. ábra szerinti megállási próbát diagram formájában kell szemléltetni. Elsőként a vizsgálati jelentésbe beírt mérési eredmények felhasználásával út-idő görbét kell szerkeszteni, és fel kell tüntetni az </w:t>
      </w:r>
      <m:oMath>
        <m:r>
          <w:rPr>
            <w:rFonts w:ascii="Cambria Math" w:hAnsi="Cambria Math"/>
            <w:noProof/>
          </w:rPr>
          <m:t>A</m:t>
        </m:r>
      </m:oMath>
      <w:r w:rsidRPr="00921ED0">
        <w:t>–</w:t>
      </w:r>
      <m:oMath>
        <m:r>
          <w:rPr>
            <w:rFonts w:ascii="Cambria Math" w:hAnsi="Cambria Math"/>
            <w:noProof/>
          </w:rPr>
          <m:t>E</m:t>
        </m:r>
      </m:oMath>
      <w:r w:rsidRPr="00921ED0">
        <w:t xml:space="preserve"> pontokat. Ezt követően kerülhet sor a két mérési pont közötti átlagos sebesség meghatározására, valamint a sebesség-idő görbe megszerkesztésére.</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Ezt a következőképpen kell megtenni (lásd az 1. ábrát):</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A megtett út és az eltelt idő hányadosaként (</w:t>
      </w:r>
      <m:oMath>
        <m:r>
          <w:rPr>
            <w:rFonts w:ascii="Cambria Math" w:hAnsi="Cambria Math"/>
          </w:rPr>
          <m:t>Δs/Δt</m:t>
        </m:r>
      </m:oMath>
      <w:r w:rsidRPr="00921ED0">
        <w:t>) kiszámítható a hajó átlagos sebessége a próba időtartamára.</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A 0. másodperc és a 10. másodperc közötti időintervallumban a hajó megteszi a 0. és az 50. méter közötti távolságot.</w:t>
      </w:r>
    </w:p>
    <w:p w:rsidR="005624E3" w:rsidRPr="00921ED0" w:rsidRDefault="005624E3" w:rsidP="005624E3">
      <w:pPr>
        <w:tabs>
          <w:tab w:val="left" w:pos="567"/>
        </w:tabs>
        <w:overflowPunct w:val="0"/>
        <w:adjustRightInd w:val="0"/>
        <w:spacing w:line="240" w:lineRule="exact"/>
        <w:ind w:left="567" w:hanging="567"/>
        <w:textAlignment w:val="baseline"/>
        <w:rPr>
          <w:szCs w:val="20"/>
        </w:rPr>
      </w:pPr>
    </w:p>
    <w:p w:rsidR="005624E3" w:rsidRPr="00921ED0" w:rsidRDefault="005624E3" w:rsidP="005624E3">
      <w:pPr>
        <w:spacing w:line="240" w:lineRule="atLeast"/>
        <w:ind w:left="567"/>
        <w:jc w:val="center"/>
      </w:pPr>
      <m:oMath>
        <m:r>
          <w:rPr>
            <w:rFonts w:ascii="Cambria Math" w:hAnsi="Cambria Math"/>
            <w:i/>
          </w:rPr>
          <w:sym w:font="Symbol" w:char="F044"/>
        </m:r>
        <m:r>
          <w:rPr>
            <w:rFonts w:ascii="Cambria Math" w:hAnsi="Cambria Math"/>
          </w:rPr>
          <m:t>s/</m:t>
        </m:r>
        <m:r>
          <w:rPr>
            <w:rFonts w:ascii="Cambria Math" w:hAnsi="Cambria Math"/>
            <w:i/>
          </w:rPr>
          <w:sym w:font="Symbol" w:char="F044"/>
        </m:r>
        <m:r>
          <w:rPr>
            <w:rFonts w:ascii="Cambria Math" w:hAnsi="Cambria Math"/>
          </w:rPr>
          <m:t>t</m:t>
        </m:r>
      </m:oMath>
      <w:r w:rsidRPr="00921ED0">
        <w:t xml:space="preserve"> = 50 m/10 s = 5,0 m/s = 18,0 km/h</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 xml:space="preserve">Ezt az értéket kell beírni átlagos sebességként az 5 s abszcissza-pozíciónál. </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A második intervallum során – vagyis a 10. másodperctől a 20. másodpercig – a hajó 45 métert tesz meg.</w:t>
      </w:r>
    </w:p>
    <w:p w:rsidR="005624E3" w:rsidRPr="00921ED0" w:rsidRDefault="005624E3" w:rsidP="005624E3">
      <w:pPr>
        <w:spacing w:line="240" w:lineRule="atLeast"/>
        <w:ind w:left="567"/>
      </w:pPr>
    </w:p>
    <w:p w:rsidR="005624E3" w:rsidRPr="00921ED0" w:rsidRDefault="005624E3" w:rsidP="005624E3">
      <w:pPr>
        <w:spacing w:line="240" w:lineRule="atLeast"/>
        <w:ind w:left="567"/>
        <w:jc w:val="center"/>
      </w:pPr>
      <m:oMath>
        <m:r>
          <w:rPr>
            <w:rFonts w:ascii="Cambria Math" w:hAnsi="Cambria Math"/>
            <w:i/>
          </w:rPr>
          <w:sym w:font="Symbol" w:char="F044"/>
        </m:r>
        <m:r>
          <w:rPr>
            <w:rFonts w:ascii="Cambria Math" w:hAnsi="Cambria Math"/>
          </w:rPr>
          <m:t>s/</m:t>
        </m:r>
        <m:r>
          <w:rPr>
            <w:rFonts w:ascii="Cambria Math" w:hAnsi="Cambria Math"/>
            <w:i/>
          </w:rPr>
          <w:sym w:font="Symbol" w:char="F044"/>
        </m:r>
        <m:r>
          <w:rPr>
            <w:rFonts w:ascii="Cambria Math" w:hAnsi="Cambria Math"/>
          </w:rPr>
          <m:t>t</m:t>
        </m:r>
      </m:oMath>
      <w:r w:rsidRPr="00921ED0">
        <w:t xml:space="preserve"> = 45 m/10 s = 4,5 m/s = 16,2 km/h</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 xml:space="preserve">A </w:t>
      </w:r>
      <m:oMath>
        <m:r>
          <w:rPr>
            <w:rFonts w:ascii="Cambria Math" w:hAnsi="Cambria Math"/>
          </w:rPr>
          <m:t>D</m:t>
        </m:r>
      </m:oMath>
      <w:r w:rsidRPr="00921ED0">
        <w:t xml:space="preserve"> jelölőtáblánál a hajó megáll a vízhez képest, vagyis az áramlási sebesség körülbelül 5 km/h.</w:t>
      </w:r>
    </w:p>
    <w:p w:rsidR="005624E3" w:rsidRPr="00921ED0" w:rsidRDefault="005624E3" w:rsidP="005624E3">
      <w:pPr>
        <w:tabs>
          <w:tab w:val="left" w:pos="567"/>
        </w:tabs>
        <w:overflowPunct w:val="0"/>
        <w:adjustRightInd w:val="0"/>
        <w:spacing w:line="240" w:lineRule="exact"/>
        <w:ind w:left="567" w:hanging="567"/>
        <w:textAlignment w:val="baseline"/>
        <w:rPr>
          <w:szCs w:val="20"/>
        </w:rPr>
      </w:pPr>
    </w:p>
    <w:p w:rsidR="005624E3" w:rsidRPr="00921ED0" w:rsidRDefault="005624E3" w:rsidP="005624E3">
      <w:pPr>
        <w:overflowPunct w:val="0"/>
        <w:adjustRightInd w:val="0"/>
        <w:jc w:val="center"/>
        <w:textAlignment w:val="baseline"/>
        <w:rPr>
          <w:b/>
          <w:szCs w:val="20"/>
        </w:rPr>
      </w:pPr>
      <w:r w:rsidRPr="00921ED0">
        <w:br w:type="page"/>
      </w:r>
      <w:r w:rsidRPr="00921ED0">
        <w:rPr>
          <w:b/>
        </w:rPr>
        <w:t>1. ábra: Megállási manőver</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jc w:val="center"/>
        <w:textAlignment w:val="baseline"/>
        <w:rPr>
          <w:szCs w:val="20"/>
        </w:rPr>
      </w:pPr>
      <w:r w:rsidRPr="00921ED0">
        <w:rPr>
          <w:noProof/>
          <w:szCs w:val="20"/>
        </w:rPr>
        <w:drawing>
          <wp:inline distT="0" distB="0" distL="0" distR="0" wp14:anchorId="185C4CCF" wp14:editId="27FB68F2">
            <wp:extent cx="5372100" cy="3533775"/>
            <wp:effectExtent l="0" t="0" r="0" b="9525"/>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372100" cy="3533775"/>
                    </a:xfrm>
                    <a:prstGeom prst="rect">
                      <a:avLst/>
                    </a:prstGeom>
                    <a:noFill/>
                    <a:ln>
                      <a:noFill/>
                    </a:ln>
                  </pic:spPr>
                </pic:pic>
              </a:graphicData>
            </a:graphic>
          </wp:inline>
        </w:drawing>
      </w:r>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Az 1. ábra jelmagyarázata:</w:t>
      </w:r>
    </w:p>
    <w:p w:rsidR="005624E3" w:rsidRPr="00921ED0" w:rsidRDefault="005624E3" w:rsidP="005624E3">
      <w:pPr>
        <w:overflowPunct w:val="0"/>
        <w:adjustRightInd w:val="0"/>
        <w:textAlignment w:val="baseline"/>
        <w:rPr>
          <w:szCs w:val="20"/>
        </w:rPr>
      </w:pPr>
    </w:p>
    <w:p w:rsidR="005624E3" w:rsidRPr="00921ED0" w:rsidRDefault="005624E3" w:rsidP="005624E3">
      <w:pPr>
        <w:tabs>
          <w:tab w:val="left" w:pos="851"/>
          <w:tab w:val="left" w:pos="4820"/>
          <w:tab w:val="left" w:pos="5245"/>
        </w:tabs>
        <w:overflowPunct w:val="0"/>
        <w:adjustRightInd w:val="0"/>
        <w:spacing w:after="120" w:line="240" w:lineRule="exact"/>
        <w:textAlignment w:val="baseline"/>
        <w:rPr>
          <w:szCs w:val="20"/>
        </w:rPr>
      </w:pPr>
      <m:oMath>
        <m:r>
          <w:rPr>
            <w:rFonts w:ascii="Cambria Math" w:hAnsi="Cambria Math"/>
            <w:szCs w:val="20"/>
          </w:rPr>
          <m:t>A</m:t>
        </m:r>
      </m:oMath>
      <w:r w:rsidRPr="00921ED0">
        <w:tab/>
        <w:t>„Állj!” parancs</w:t>
      </w:r>
      <w:r w:rsidRPr="00921ED0">
        <w:tab/>
      </w:r>
      <m:oMath>
        <m:r>
          <w:rPr>
            <w:rFonts w:ascii="Cambria Math" w:hAnsi="Cambria Math"/>
            <w:szCs w:val="20"/>
          </w:rPr>
          <m:t>v</m:t>
        </m:r>
      </m:oMath>
      <w:r w:rsidRPr="00921ED0">
        <w:tab/>
        <w:t>a hajó sebessége</w:t>
      </w:r>
    </w:p>
    <w:p w:rsidR="005624E3" w:rsidRPr="00921ED0" w:rsidRDefault="005624E3" w:rsidP="005624E3">
      <w:pPr>
        <w:tabs>
          <w:tab w:val="left" w:pos="851"/>
          <w:tab w:val="left" w:pos="4820"/>
          <w:tab w:val="left" w:pos="5245"/>
        </w:tabs>
        <w:overflowPunct w:val="0"/>
        <w:adjustRightInd w:val="0"/>
        <w:spacing w:after="120" w:line="240" w:lineRule="exact"/>
        <w:textAlignment w:val="baseline"/>
        <w:rPr>
          <w:szCs w:val="20"/>
        </w:rPr>
      </w:pPr>
      <m:oMath>
        <m:r>
          <w:rPr>
            <w:rFonts w:ascii="Cambria Math" w:hAnsi="Cambria Math"/>
            <w:szCs w:val="20"/>
          </w:rPr>
          <m:t>B</m:t>
        </m:r>
      </m:oMath>
      <w:r w:rsidRPr="00921ED0">
        <w:tab/>
        <w:t>hajócsavar leáll</w:t>
      </w:r>
      <w:r w:rsidRPr="00921ED0">
        <w:tab/>
      </w:r>
      <m:oMath>
        <m:r>
          <w:rPr>
            <w:rFonts w:ascii="Cambria Math" w:hAnsi="Cambria Math"/>
            <w:szCs w:val="20"/>
          </w:rPr>
          <m:t>v</m:t>
        </m:r>
        <m:r>
          <w:rPr>
            <w:rFonts w:ascii="Cambria Math" w:hAnsi="Cambria Math"/>
            <w:position w:val="-6"/>
            <w:sz w:val="16"/>
            <w:szCs w:val="20"/>
          </w:rPr>
          <m:t>L</m:t>
        </m:r>
      </m:oMath>
      <w:r w:rsidRPr="00921ED0">
        <w:tab/>
      </w:r>
      <m:oMath>
        <m:r>
          <w:rPr>
            <w:rFonts w:ascii="Cambria Math" w:hAnsi="Cambria Math"/>
            <w:szCs w:val="20"/>
          </w:rPr>
          <m:t>v</m:t>
        </m:r>
      </m:oMath>
      <w:r w:rsidRPr="00921ED0">
        <w:t xml:space="preserve"> a parthoz viszonyítva</w:t>
      </w:r>
    </w:p>
    <w:p w:rsidR="005624E3" w:rsidRPr="00921ED0" w:rsidRDefault="005624E3" w:rsidP="005624E3">
      <w:pPr>
        <w:tabs>
          <w:tab w:val="left" w:pos="851"/>
          <w:tab w:val="left" w:pos="4820"/>
          <w:tab w:val="left" w:pos="5245"/>
        </w:tabs>
        <w:overflowPunct w:val="0"/>
        <w:adjustRightInd w:val="0"/>
        <w:spacing w:after="120" w:line="240" w:lineRule="exact"/>
        <w:textAlignment w:val="baseline"/>
        <w:rPr>
          <w:szCs w:val="20"/>
        </w:rPr>
      </w:pPr>
      <m:oMath>
        <m:r>
          <w:rPr>
            <w:rFonts w:ascii="Cambria Math" w:hAnsi="Cambria Math"/>
            <w:szCs w:val="20"/>
          </w:rPr>
          <m:t>C</m:t>
        </m:r>
      </m:oMath>
      <w:r w:rsidRPr="00921ED0">
        <w:tab/>
        <w:t>hajócsavar hátramenetben</w:t>
      </w:r>
      <w:r w:rsidRPr="00921ED0">
        <w:tab/>
      </w:r>
      <m:oMath>
        <m:r>
          <w:rPr>
            <w:rFonts w:ascii="Cambria Math" w:hAnsi="Cambria Math"/>
            <w:szCs w:val="20"/>
          </w:rPr>
          <m:t>s</m:t>
        </m:r>
      </m:oMath>
      <w:r w:rsidRPr="00921ED0">
        <w:t xml:space="preserve"> </w:t>
      </w:r>
      <w:r w:rsidRPr="00921ED0">
        <w:tab/>
        <w:t>a parthoz viszonyítva megtett távolság</w:t>
      </w:r>
    </w:p>
    <w:p w:rsidR="005624E3" w:rsidRPr="00921ED0" w:rsidRDefault="005624E3" w:rsidP="005624E3">
      <w:pPr>
        <w:tabs>
          <w:tab w:val="left" w:pos="851"/>
          <w:tab w:val="left" w:pos="4820"/>
          <w:tab w:val="left" w:pos="5245"/>
        </w:tabs>
        <w:overflowPunct w:val="0"/>
        <w:adjustRightInd w:val="0"/>
        <w:spacing w:after="120" w:line="240" w:lineRule="exact"/>
        <w:textAlignment w:val="baseline"/>
        <w:rPr>
          <w:szCs w:val="20"/>
        </w:rPr>
      </w:pPr>
      <m:oMath>
        <m:r>
          <w:rPr>
            <w:rFonts w:ascii="Cambria Math" w:hAnsi="Cambria Math"/>
            <w:szCs w:val="20"/>
          </w:rPr>
          <m:t>D</m:t>
        </m:r>
      </m:oMath>
      <w:r w:rsidRPr="00921ED0">
        <w:tab/>
      </w:r>
      <m:oMath>
        <m:r>
          <w:rPr>
            <w:rFonts w:ascii="Cambria Math" w:hAnsi="Cambria Math"/>
            <w:szCs w:val="20"/>
          </w:rPr>
          <m:t>v=0</m:t>
        </m:r>
      </m:oMath>
      <w:r w:rsidRPr="00921ED0">
        <w:t xml:space="preserve"> a vízhez viszonyítva</w:t>
      </w:r>
      <w:r w:rsidRPr="00921ED0">
        <w:tab/>
      </w:r>
      <m:oMath>
        <m:r>
          <w:rPr>
            <w:rFonts w:ascii="Cambria Math" w:hAnsi="Cambria Math"/>
            <w:szCs w:val="20"/>
          </w:rPr>
          <m:t>t</m:t>
        </m:r>
      </m:oMath>
      <w:r w:rsidRPr="00921ED0">
        <w:tab/>
        <w:t>mért idő</w:t>
      </w:r>
    </w:p>
    <w:p w:rsidR="005624E3" w:rsidRPr="00921ED0" w:rsidRDefault="005624E3" w:rsidP="005624E3">
      <w:pPr>
        <w:tabs>
          <w:tab w:val="left" w:pos="851"/>
          <w:tab w:val="left" w:pos="5103"/>
          <w:tab w:val="left" w:pos="5670"/>
        </w:tabs>
        <w:overflowPunct w:val="0"/>
        <w:adjustRightInd w:val="0"/>
        <w:spacing w:after="120" w:line="240" w:lineRule="exact"/>
        <w:textAlignment w:val="baseline"/>
        <w:rPr>
          <w:szCs w:val="20"/>
        </w:rPr>
      </w:pPr>
      <m:oMath>
        <m:r>
          <w:rPr>
            <w:rFonts w:ascii="Cambria Math" w:hAnsi="Cambria Math"/>
            <w:szCs w:val="20"/>
          </w:rPr>
          <m:t>E</m:t>
        </m:r>
      </m:oMath>
      <w:r w:rsidRPr="00921ED0">
        <w:tab/>
      </w:r>
      <m:oMath>
        <m:r>
          <w:rPr>
            <w:rFonts w:ascii="Cambria Math" w:hAnsi="Cambria Math"/>
            <w:szCs w:val="20"/>
          </w:rPr>
          <m:t>v=0</m:t>
        </m:r>
      </m:oMath>
      <w:r w:rsidRPr="00921ED0">
        <w:t xml:space="preserve"> a parthoz viszonyítva</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sectPr w:rsidR="005624E3" w:rsidRPr="00921ED0" w:rsidSect="00D45887">
          <w:headerReference w:type="default" r:id="rId119"/>
          <w:headerReference w:type="first" r:id="rId120"/>
          <w:pgSz w:w="11907" w:h="16840" w:code="9"/>
          <w:pgMar w:top="1418" w:right="1418" w:bottom="1418" w:left="1418" w:header="680" w:footer="680" w:gutter="0"/>
          <w:cols w:space="720"/>
          <w:noEndnote/>
          <w:titlePg/>
        </w:sectPr>
      </w:pPr>
    </w:p>
    <w:p w:rsidR="005624E3" w:rsidRPr="00921ED0" w:rsidRDefault="005624E3" w:rsidP="005624E3">
      <w:pPr>
        <w:tabs>
          <w:tab w:val="left" w:pos="4536"/>
          <w:tab w:val="left" w:pos="4896"/>
          <w:tab w:val="right" w:pos="5670"/>
          <w:tab w:val="left" w:pos="10632"/>
          <w:tab w:val="right" w:pos="11482"/>
          <w:tab w:val="left" w:leader="dot" w:pos="14459"/>
        </w:tabs>
        <w:overflowPunct w:val="0"/>
        <w:adjustRightInd w:val="0"/>
        <w:spacing w:line="240" w:lineRule="exact"/>
        <w:textAlignment w:val="baseline"/>
        <w:rPr>
          <w:szCs w:val="20"/>
        </w:rPr>
      </w:pPr>
      <w:r w:rsidRPr="00921ED0">
        <w:t xml:space="preserve">Ellenőrző </w:t>
      </w:r>
      <w:r w:rsidRPr="00921ED0">
        <w:tab/>
        <w:t>Hajó vagy kötelék</w:t>
      </w:r>
      <w:r w:rsidRPr="00921ED0">
        <w:tab/>
        <w:t>Vizsgálati terület:</w:t>
      </w:r>
      <w:r w:rsidRPr="00921ED0">
        <w:tab/>
      </w:r>
    </w:p>
    <w:p w:rsidR="005624E3" w:rsidRPr="00921ED0" w:rsidRDefault="005624E3" w:rsidP="005624E3">
      <w:pPr>
        <w:tabs>
          <w:tab w:val="left" w:leader="dot" w:pos="3544"/>
          <w:tab w:val="left" w:pos="4536"/>
          <w:tab w:val="left" w:pos="4896"/>
          <w:tab w:val="right" w:pos="6237"/>
          <w:tab w:val="left" w:leader="dot" w:pos="9639"/>
          <w:tab w:val="left" w:pos="10632"/>
          <w:tab w:val="left" w:leader="dot" w:pos="14459"/>
        </w:tabs>
        <w:overflowPunct w:val="0"/>
        <w:adjustRightInd w:val="0"/>
        <w:spacing w:after="80" w:line="240" w:lineRule="exact"/>
        <w:textAlignment w:val="baseline"/>
        <w:rPr>
          <w:szCs w:val="20"/>
        </w:rPr>
      </w:pPr>
      <w:r w:rsidRPr="00921ED0">
        <w:t xml:space="preserve">szerv: </w:t>
      </w:r>
      <w:r w:rsidRPr="00921ED0">
        <w:tab/>
      </w:r>
      <w:r w:rsidRPr="00921ED0">
        <w:tab/>
        <w:t xml:space="preserve">típusa: </w:t>
      </w:r>
      <w:r w:rsidRPr="00921ED0">
        <w:tab/>
      </w:r>
      <w:r w:rsidRPr="00921ED0">
        <w:tab/>
      </w:r>
      <w:r w:rsidRPr="00921ED0">
        <w:tab/>
        <w:t xml:space="preserve">Vízállásjelző kijelzett értéke [m]: </w:t>
      </w:r>
      <w:r w:rsidRPr="00921ED0">
        <w:tab/>
      </w:r>
    </w:p>
    <w:p w:rsidR="005624E3" w:rsidRPr="00921ED0" w:rsidRDefault="005624E3" w:rsidP="005624E3">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rPr>
      </w:pPr>
      <w:r w:rsidRPr="00921ED0">
        <w:t xml:space="preserve">Dátum: </w:t>
      </w:r>
      <w:r w:rsidRPr="00921ED0">
        <w:tab/>
      </w:r>
      <w:r w:rsidRPr="00921ED0">
        <w:tab/>
      </w:r>
      <m:oMath>
        <m:r>
          <w:rPr>
            <w:rFonts w:ascii="Cambria Math" w:hAnsi="Cambria Math"/>
            <w:szCs w:val="20"/>
          </w:rPr>
          <m:t>L × B</m:t>
        </m:r>
      </m:oMath>
      <w:r w:rsidRPr="00921ED0">
        <w:t xml:space="preserve"> [m]:</w:t>
      </w:r>
      <w:r w:rsidRPr="00921ED0">
        <w:tab/>
        <w:t xml:space="preserve">: </w:t>
      </w:r>
      <w:r w:rsidRPr="00921ED0">
        <w:tab/>
      </w:r>
      <w:r w:rsidRPr="00921ED0">
        <w:tab/>
        <w:t>Vízmélység</w:t>
      </w:r>
      <w:r w:rsidRPr="00921ED0">
        <w:tab/>
        <w:t xml:space="preserve">[m]: </w:t>
      </w:r>
      <w:r w:rsidRPr="00921ED0">
        <w:tab/>
      </w:r>
    </w:p>
    <w:p w:rsidR="005624E3" w:rsidRPr="00166EA9" w:rsidRDefault="005624E3" w:rsidP="005624E3">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es-ES"/>
        </w:rPr>
      </w:pPr>
      <w:r w:rsidRPr="00166EA9">
        <w:rPr>
          <w:lang w:val="es-ES"/>
        </w:rPr>
        <w:t xml:space="preserve">Név: </w:t>
      </w:r>
      <w:r w:rsidRPr="00166EA9">
        <w:rPr>
          <w:lang w:val="es-ES"/>
        </w:rPr>
        <w:tab/>
      </w:r>
      <w:r w:rsidRPr="00166EA9">
        <w:rPr>
          <w:lang w:val="es-ES"/>
        </w:rPr>
        <w:tab/>
      </w:r>
      <m:oMath>
        <m:r>
          <w:rPr>
            <w:rFonts w:ascii="Cambria Math" w:hAnsi="Cambria Math"/>
            <w:szCs w:val="20"/>
          </w:rPr>
          <m:t>T</m:t>
        </m:r>
      </m:oMath>
      <w:r w:rsidRPr="00166EA9">
        <w:rPr>
          <w:lang w:val="es-ES"/>
        </w:rPr>
        <w:t xml:space="preserve"> a próba során [m]:</w:t>
      </w:r>
      <w:r w:rsidRPr="00166EA9">
        <w:rPr>
          <w:lang w:val="es-ES"/>
        </w:rPr>
        <w:tab/>
        <w:t xml:space="preserve">: </w:t>
      </w:r>
      <w:r w:rsidRPr="00166EA9">
        <w:rPr>
          <w:lang w:val="es-ES"/>
        </w:rPr>
        <w:tab/>
      </w:r>
      <w:r w:rsidRPr="00166EA9">
        <w:rPr>
          <w:lang w:val="es-ES"/>
        </w:rPr>
        <w:tab/>
        <w:t>Lejtés</w:t>
      </w:r>
      <w:r w:rsidRPr="00166EA9">
        <w:rPr>
          <w:lang w:val="es-ES"/>
        </w:rPr>
        <w:tab/>
        <w:t xml:space="preserve">[m/km]: </w:t>
      </w:r>
      <w:r w:rsidRPr="00166EA9">
        <w:rPr>
          <w:lang w:val="es-ES"/>
        </w:rPr>
        <w:tab/>
      </w:r>
    </w:p>
    <w:p w:rsidR="005624E3" w:rsidRPr="00166EA9" w:rsidRDefault="005624E3" w:rsidP="005624E3">
      <w:pPr>
        <w:tabs>
          <w:tab w:val="left" w:pos="0"/>
          <w:tab w:val="left" w:leader="dot" w:pos="3544"/>
          <w:tab w:val="left" w:pos="4536"/>
          <w:tab w:val="right" w:pos="5670"/>
          <w:tab w:val="left" w:pos="10632"/>
          <w:tab w:val="right" w:pos="12333"/>
          <w:tab w:val="left" w:leader="dot" w:pos="14459"/>
        </w:tabs>
        <w:overflowPunct w:val="0"/>
        <w:adjustRightInd w:val="0"/>
        <w:spacing w:after="80" w:line="240" w:lineRule="exact"/>
        <w:textAlignment w:val="baseline"/>
        <w:rPr>
          <w:szCs w:val="20"/>
          <w:lang w:val="pt-PT"/>
        </w:rPr>
      </w:pPr>
      <w:r w:rsidRPr="00166EA9">
        <w:rPr>
          <w:lang w:val="pt-PT"/>
        </w:rPr>
        <w:t xml:space="preserve">Próba sorszáma: </w:t>
      </w:r>
      <w:r w:rsidRPr="00166EA9">
        <w:rPr>
          <w:lang w:val="pt-PT"/>
        </w:rPr>
        <w:tab/>
      </w:r>
      <w:r w:rsidRPr="00166EA9">
        <w:rPr>
          <w:lang w:val="pt-PT"/>
        </w:rPr>
        <w:tab/>
      </w:r>
      <w:r w:rsidRPr="00166EA9">
        <w:rPr>
          <w:lang w:val="pt-PT"/>
        </w:rPr>
        <w:tab/>
      </w:r>
      <w:r w:rsidRPr="00166EA9">
        <w:rPr>
          <w:lang w:val="pt-PT"/>
        </w:rPr>
        <w:tab/>
      </w:r>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oMath>
      <w:r w:rsidRPr="00166EA9">
        <w:rPr>
          <w:lang w:val="pt-PT"/>
        </w:rPr>
        <w:tab/>
        <w:t xml:space="preserve">[km/h]: </w:t>
      </w:r>
      <w:r w:rsidRPr="00166EA9">
        <w:rPr>
          <w:lang w:val="pt-PT"/>
        </w:rPr>
        <w:tab/>
      </w:r>
    </w:p>
    <w:p w:rsidR="005624E3" w:rsidRPr="00166EA9" w:rsidRDefault="005624E3" w:rsidP="005624E3">
      <w:pPr>
        <w:tabs>
          <w:tab w:val="left" w:pos="3264"/>
          <w:tab w:val="left" w:pos="4536"/>
          <w:tab w:val="left" w:pos="4800"/>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pt-PT"/>
        </w:rPr>
      </w:pPr>
      <w:r w:rsidRPr="00166EA9">
        <w:rPr>
          <w:lang w:val="pt-PT"/>
        </w:rPr>
        <w:tab/>
      </w:r>
      <w:r w:rsidRPr="00166EA9">
        <w:rPr>
          <w:lang w:val="pt-PT"/>
        </w:rPr>
        <w:tab/>
        <w:t xml:space="preserve">Terhelés a próba során [t]: </w:t>
      </w:r>
      <w:r w:rsidRPr="00166EA9">
        <w:rPr>
          <w:lang w:val="pt-PT"/>
        </w:rPr>
        <w:tab/>
        <w:t xml:space="preserve">: </w:t>
      </w:r>
      <w:r w:rsidRPr="00166EA9">
        <w:rPr>
          <w:lang w:val="pt-PT"/>
        </w:rPr>
        <w:tab/>
      </w:r>
      <w:r w:rsidRPr="00166EA9">
        <w:rPr>
          <w:lang w:val="pt-PT"/>
        </w:rPr>
        <w:tab/>
        <w:t xml:space="preserve">[m/s]: </w:t>
      </w:r>
      <w:r w:rsidRPr="00166EA9">
        <w:rPr>
          <w:lang w:val="pt-PT"/>
        </w:rPr>
        <w:tab/>
      </w:r>
    </w:p>
    <w:p w:rsidR="005624E3" w:rsidRPr="00166EA9" w:rsidRDefault="00525BB1" w:rsidP="005624E3">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pt-PT"/>
        </w:rPr>
      </w:pPr>
      <w:r>
        <w:rPr>
          <w:lang w:val="pt-PT"/>
        </w:rPr>
        <w:tab/>
        <w:t>A m</w:t>
      </w:r>
      <w:r w:rsidR="005624E3" w:rsidRPr="00166EA9">
        <w:rPr>
          <w:lang w:val="pt-PT"/>
        </w:rPr>
        <w:t xml:space="preserve">aximális hordképesség </w:t>
      </w:r>
      <w:r w:rsidR="005624E3" w:rsidRPr="00166EA9">
        <w:rPr>
          <w:lang w:val="pt-PT"/>
        </w:rPr>
        <w:tab/>
      </w:r>
      <w:r w:rsidRPr="00166EA9">
        <w:rPr>
          <w:lang w:val="pt-PT"/>
        </w:rPr>
        <w:t>%</w:t>
      </w:r>
      <w:r>
        <w:rPr>
          <w:lang w:val="pt-PT"/>
        </w:rPr>
        <w:t>-a</w:t>
      </w:r>
      <w:r w:rsidR="005624E3" w:rsidRPr="00166EA9">
        <w:rPr>
          <w:lang w:val="pt-PT"/>
        </w:rPr>
        <w:tab/>
        <w:t>Maximális</w:t>
      </w:r>
    </w:p>
    <w:p w:rsidR="005624E3" w:rsidRPr="00166EA9" w:rsidRDefault="005624E3" w:rsidP="005624E3">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pt-PT"/>
        </w:rPr>
      </w:pPr>
      <w:r w:rsidRPr="00166EA9">
        <w:rPr>
          <w:lang w:val="pt-PT"/>
        </w:rPr>
        <w:tab/>
        <w:t>Propulziós motorok teljesítménye (</w:t>
      </w:r>
      <m:oMath>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rsidRPr="00166EA9">
        <w:rPr>
          <w:lang w:val="pt-PT"/>
        </w:rPr>
        <w:t xml:space="preserve">) [kW] </w:t>
      </w:r>
      <w:r w:rsidRPr="00166EA9">
        <w:rPr>
          <w:lang w:val="pt-PT"/>
        </w:rPr>
        <w:tab/>
      </w:r>
      <w:r w:rsidRPr="00166EA9">
        <w:rPr>
          <w:lang w:val="pt-PT"/>
        </w:rPr>
        <w:tab/>
        <w:t>vízkiszorítási térfogat:</w:t>
      </w:r>
      <w:r w:rsidRPr="00166EA9">
        <w:rPr>
          <w:lang w:val="pt-PT"/>
        </w:rPr>
        <w:tab/>
        <w:t>[m</w:t>
      </w:r>
      <w:r w:rsidRPr="00166EA9">
        <w:rPr>
          <w:sz w:val="16"/>
          <w:vertAlign w:val="superscript"/>
          <w:lang w:val="pt-PT"/>
        </w:rPr>
        <w:t>3</w:t>
      </w:r>
      <w:r w:rsidRPr="00166EA9">
        <w:rPr>
          <w:lang w:val="pt-PT"/>
        </w:rPr>
        <w:t xml:space="preserve">]: </w:t>
      </w:r>
      <w:r w:rsidRPr="00166EA9">
        <w:rPr>
          <w:lang w:val="pt-PT"/>
        </w:rPr>
        <w:tab/>
      </w:r>
    </w:p>
    <w:p w:rsidR="005624E3" w:rsidRPr="00166EA9" w:rsidRDefault="005624E3" w:rsidP="005624E3">
      <w:pPr>
        <w:tabs>
          <w:tab w:val="left" w:pos="0"/>
          <w:tab w:val="left" w:pos="4536"/>
          <w:tab w:val="left" w:pos="4800"/>
          <w:tab w:val="right" w:pos="5670"/>
          <w:tab w:val="left" w:leader="dot" w:pos="9639"/>
          <w:tab w:val="left" w:pos="10348"/>
          <w:tab w:val="right" w:pos="12049"/>
        </w:tabs>
        <w:overflowPunct w:val="0"/>
        <w:adjustRightInd w:val="0"/>
        <w:spacing w:line="240" w:lineRule="exact"/>
        <w:textAlignment w:val="baseline"/>
        <w:rPr>
          <w:szCs w:val="20"/>
          <w:lang w:val="pt-PT"/>
        </w:rPr>
      </w:pPr>
      <w:r w:rsidRPr="00166EA9">
        <w:rPr>
          <w:lang w:val="pt-PT"/>
        </w:rPr>
        <w:tab/>
        <w:t xml:space="preserve">A 2. melléklet 2. táblázata szerinti propulziós rendszer: </w:t>
      </w:r>
      <w:r w:rsidRPr="00166EA9">
        <w:rPr>
          <w:lang w:val="pt-PT"/>
        </w:rPr>
        <w:tab/>
      </w:r>
    </w:p>
    <w:p w:rsidR="005624E3" w:rsidRPr="00166EA9" w:rsidRDefault="005624E3" w:rsidP="005624E3">
      <w:pPr>
        <w:tabs>
          <w:tab w:val="left" w:pos="284"/>
        </w:tabs>
        <w:overflowPunct w:val="0"/>
        <w:adjustRightInd w:val="0"/>
        <w:spacing w:before="100" w:after="60"/>
        <w:ind w:left="284" w:hanging="284"/>
        <w:jc w:val="center"/>
        <w:textAlignment w:val="baseline"/>
        <w:rPr>
          <w:szCs w:val="20"/>
          <w:lang w:val="pt-PT"/>
        </w:rPr>
      </w:pPr>
      <w:r w:rsidRPr="00166EA9">
        <w:rPr>
          <w:b/>
          <w:lang w:val="pt-PT"/>
        </w:rPr>
        <w:t>1. táblázat: Jelentés a megállási manőverről</w:t>
      </w:r>
    </w:p>
    <w:tbl>
      <w:tblPr>
        <w:tblW w:w="0" w:type="auto"/>
        <w:jc w:val="center"/>
        <w:tblLayout w:type="fixed"/>
        <w:tblCellMar>
          <w:left w:w="0" w:type="dxa"/>
          <w:right w:w="0" w:type="dxa"/>
        </w:tblCellMar>
        <w:tblLook w:val="0000" w:firstRow="0" w:lastRow="0" w:firstColumn="0" w:lastColumn="0" w:noHBand="0" w:noVBand="0"/>
      </w:tblPr>
      <w:tblGrid>
        <w:gridCol w:w="1758"/>
        <w:gridCol w:w="1758"/>
        <w:gridCol w:w="1758"/>
        <w:gridCol w:w="1758"/>
        <w:gridCol w:w="1758"/>
        <w:gridCol w:w="1758"/>
        <w:gridCol w:w="2948"/>
      </w:tblGrid>
      <w:tr w:rsidR="005624E3" w:rsidRPr="00921ED0" w:rsidTr="00101A80">
        <w:trPr>
          <w:jc w:val="center"/>
        </w:trPr>
        <w:tc>
          <w:tcPr>
            <w:tcW w:w="1758" w:type="dxa"/>
            <w:tcBorders>
              <w:top w:val="single" w:sz="6" w:space="0" w:color="auto"/>
              <w:left w:val="single" w:sz="6" w:space="0" w:color="auto"/>
              <w:bottom w:val="single" w:sz="6" w:space="0" w:color="auto"/>
              <w:right w:val="single" w:sz="6" w:space="0" w:color="auto"/>
            </w:tcBorders>
            <w:vAlign w:val="center"/>
          </w:tcPr>
          <w:p w:rsidR="005624E3" w:rsidRPr="00921ED0" w:rsidRDefault="005624E3" w:rsidP="00101A80">
            <w:pPr>
              <w:tabs>
                <w:tab w:val="left" w:pos="284"/>
              </w:tabs>
              <w:overflowPunct w:val="0"/>
              <w:adjustRightInd w:val="0"/>
              <w:spacing w:before="40" w:after="40"/>
              <w:jc w:val="center"/>
              <w:textAlignment w:val="baseline"/>
              <w:rPr>
                <w:sz w:val="18"/>
                <w:szCs w:val="20"/>
              </w:rPr>
            </w:pPr>
            <w:r w:rsidRPr="00921ED0">
              <w:rPr>
                <w:sz w:val="18"/>
              </w:rPr>
              <w:t>HELYZET</w:t>
            </w:r>
            <w:r w:rsidRPr="00921ED0">
              <w:rPr>
                <w:sz w:val="18"/>
                <w:szCs w:val="20"/>
              </w:rPr>
              <w:br/>
            </w:r>
            <w:r w:rsidRPr="00921ED0">
              <w:rPr>
                <w:sz w:val="18"/>
              </w:rPr>
              <w:t>[folyamkilométer]</w:t>
            </w:r>
          </w:p>
        </w:tc>
        <w:tc>
          <w:tcPr>
            <w:tcW w:w="1758" w:type="dxa"/>
            <w:tcBorders>
              <w:top w:val="single" w:sz="6" w:space="0" w:color="auto"/>
              <w:left w:val="single" w:sz="6" w:space="0" w:color="auto"/>
              <w:bottom w:val="single" w:sz="6" w:space="0" w:color="auto"/>
              <w:right w:val="double" w:sz="12" w:space="0" w:color="auto"/>
            </w:tcBorders>
            <w:vAlign w:val="center"/>
          </w:tcPr>
          <w:p w:rsidR="005624E3" w:rsidRPr="00921ED0" w:rsidRDefault="005624E3" w:rsidP="00101A80">
            <w:pPr>
              <w:tabs>
                <w:tab w:val="left" w:pos="284"/>
              </w:tabs>
              <w:overflowPunct w:val="0"/>
              <w:adjustRightInd w:val="0"/>
              <w:spacing w:before="40" w:after="40"/>
              <w:jc w:val="center"/>
              <w:textAlignment w:val="baseline"/>
              <w:rPr>
                <w:sz w:val="18"/>
                <w:szCs w:val="20"/>
              </w:rPr>
            </w:pPr>
            <w:r w:rsidRPr="00921ED0">
              <w:rPr>
                <w:sz w:val="18"/>
              </w:rPr>
              <w:t>IDŐ</w:t>
            </w:r>
            <w:r w:rsidRPr="00921ED0">
              <w:rPr>
                <w:sz w:val="18"/>
                <w:szCs w:val="20"/>
              </w:rPr>
              <w:br/>
            </w:r>
            <w:r w:rsidRPr="00921ED0">
              <w:rPr>
                <w:sz w:val="18"/>
              </w:rPr>
              <w:t>[s]</w:t>
            </w:r>
          </w:p>
        </w:tc>
        <w:tc>
          <w:tcPr>
            <w:tcW w:w="1758" w:type="dxa"/>
            <w:tcBorders>
              <w:top w:val="single" w:sz="6" w:space="0" w:color="auto"/>
              <w:left w:val="nil"/>
              <w:bottom w:val="single" w:sz="6" w:space="0" w:color="auto"/>
              <w:right w:val="single" w:sz="6" w:space="0" w:color="auto"/>
            </w:tcBorders>
            <w:vAlign w:val="center"/>
          </w:tcPr>
          <w:p w:rsidR="005624E3" w:rsidRPr="00921ED0" w:rsidRDefault="005624E3" w:rsidP="00101A80">
            <w:pPr>
              <w:tabs>
                <w:tab w:val="left" w:pos="284"/>
              </w:tabs>
              <w:overflowPunct w:val="0"/>
              <w:adjustRightInd w:val="0"/>
              <w:spacing w:before="40" w:after="40"/>
              <w:jc w:val="center"/>
              <w:textAlignment w:val="baseline"/>
              <w:rPr>
                <w:sz w:val="18"/>
                <w:szCs w:val="20"/>
              </w:rPr>
            </w:pPr>
            <m:oMathPara>
              <m:oMath>
                <m:r>
                  <w:rPr>
                    <w:rFonts w:ascii="Cambria Math" w:hAnsi="Cambria Math"/>
                    <w:sz w:val="18"/>
                    <w:szCs w:val="20"/>
                  </w:rPr>
                  <m:t>∆s</m:t>
                </m:r>
                <m:r>
                  <m:rPr>
                    <m:sty m:val="p"/>
                  </m:rPr>
                  <w:rPr>
                    <w:rFonts w:ascii="Cambria Math" w:hAnsi="Cambria Math"/>
                    <w:sz w:val="18"/>
                    <w:szCs w:val="20"/>
                  </w:rPr>
                  <w:br/>
                </m:r>
              </m:oMath>
            </m:oMathPara>
            <w:r w:rsidRPr="00921ED0">
              <w:rPr>
                <w:sz w:val="18"/>
              </w:rPr>
              <w:t>[m]</w:t>
            </w:r>
          </w:p>
        </w:tc>
        <w:tc>
          <w:tcPr>
            <w:tcW w:w="1758" w:type="dxa"/>
            <w:tcBorders>
              <w:top w:val="single" w:sz="6" w:space="0" w:color="auto"/>
              <w:left w:val="single" w:sz="6" w:space="0" w:color="auto"/>
              <w:bottom w:val="single" w:sz="6" w:space="0" w:color="auto"/>
              <w:right w:val="single" w:sz="6" w:space="0" w:color="auto"/>
            </w:tcBorders>
            <w:vAlign w:val="center"/>
          </w:tcPr>
          <w:p w:rsidR="005624E3" w:rsidRPr="00921ED0" w:rsidRDefault="005624E3" w:rsidP="00101A80">
            <w:pPr>
              <w:tabs>
                <w:tab w:val="left" w:pos="284"/>
              </w:tabs>
              <w:overflowPunct w:val="0"/>
              <w:adjustRightInd w:val="0"/>
              <w:spacing w:before="40" w:after="40"/>
              <w:jc w:val="center"/>
              <w:textAlignment w:val="baseline"/>
              <w:rPr>
                <w:sz w:val="18"/>
                <w:szCs w:val="20"/>
              </w:rPr>
            </w:pPr>
            <m:oMathPara>
              <m:oMath>
                <m:r>
                  <w:rPr>
                    <w:rFonts w:ascii="Cambria Math" w:hAnsi="Cambria Math"/>
                    <w:sz w:val="18"/>
                    <w:szCs w:val="20"/>
                  </w:rPr>
                  <m:t>∆t</m:t>
                </m:r>
                <m:r>
                  <m:rPr>
                    <m:sty m:val="p"/>
                  </m:rPr>
                  <w:rPr>
                    <w:rFonts w:ascii="Cambria Math" w:hAnsi="Cambria Math"/>
                    <w:sz w:val="18"/>
                    <w:szCs w:val="20"/>
                  </w:rPr>
                  <w:br/>
                </m:r>
              </m:oMath>
            </m:oMathPara>
            <w:r w:rsidRPr="00921ED0">
              <w:rPr>
                <w:sz w:val="18"/>
              </w:rPr>
              <w:t>[s]</w:t>
            </w:r>
          </w:p>
        </w:tc>
        <w:tc>
          <w:tcPr>
            <w:tcW w:w="1758" w:type="dxa"/>
            <w:tcBorders>
              <w:top w:val="single" w:sz="6" w:space="0" w:color="auto"/>
              <w:left w:val="single" w:sz="6" w:space="0" w:color="auto"/>
              <w:bottom w:val="single" w:sz="6" w:space="0" w:color="auto"/>
              <w:right w:val="single" w:sz="6" w:space="0" w:color="auto"/>
            </w:tcBorders>
            <w:vAlign w:val="center"/>
          </w:tcPr>
          <w:p w:rsidR="005624E3" w:rsidRPr="00921ED0" w:rsidRDefault="003142CA" w:rsidP="00101A80">
            <w:pPr>
              <w:tabs>
                <w:tab w:val="left" w:pos="284"/>
              </w:tabs>
              <w:overflowPunct w:val="0"/>
              <w:adjustRightInd w:val="0"/>
              <w:spacing w:before="40" w:after="40"/>
              <w:jc w:val="center"/>
              <w:textAlignment w:val="baseline"/>
              <w:rPr>
                <w:sz w:val="18"/>
                <w:szCs w:val="20"/>
              </w:rPr>
            </w:pPr>
            <m:oMathPara>
              <m:oMath>
                <m:sSub>
                  <m:sSubPr>
                    <m:ctrlPr>
                      <w:rPr>
                        <w:rFonts w:ascii="Cambria Math" w:hAnsi="Cambria Math"/>
                        <w:i/>
                        <w:sz w:val="18"/>
                        <w:szCs w:val="20"/>
                      </w:rPr>
                    </m:ctrlPr>
                  </m:sSubPr>
                  <m:e>
                    <m:r>
                      <w:rPr>
                        <w:rFonts w:ascii="Cambria Math" w:hAnsi="Cambria Math"/>
                        <w:sz w:val="18"/>
                        <w:szCs w:val="20"/>
                      </w:rPr>
                      <m:t>v</m:t>
                    </m:r>
                  </m:e>
                  <m:sub>
                    <m:r>
                      <w:rPr>
                        <w:rFonts w:ascii="Cambria Math" w:hAnsi="Cambria Math"/>
                        <w:sz w:val="18"/>
                        <w:szCs w:val="20"/>
                      </w:rPr>
                      <m:t>L</m:t>
                    </m:r>
                  </m:sub>
                </m:sSub>
                <m:r>
                  <m:rPr>
                    <m:sty m:val="p"/>
                  </m:rPr>
                  <w:rPr>
                    <w:rFonts w:ascii="Cambria Math" w:hAnsi="Cambria Math"/>
                    <w:sz w:val="18"/>
                    <w:szCs w:val="20"/>
                  </w:rPr>
                  <w:br/>
                </m:r>
              </m:oMath>
            </m:oMathPara>
            <w:r w:rsidR="005624E3" w:rsidRPr="00921ED0">
              <w:rPr>
                <w:sz w:val="18"/>
              </w:rPr>
              <w:t>[km/h]</w:t>
            </w:r>
          </w:p>
        </w:tc>
        <w:tc>
          <w:tcPr>
            <w:tcW w:w="1758" w:type="dxa"/>
            <w:tcBorders>
              <w:top w:val="single" w:sz="6" w:space="0" w:color="auto"/>
              <w:left w:val="single" w:sz="6" w:space="0" w:color="auto"/>
              <w:bottom w:val="single" w:sz="6" w:space="0" w:color="auto"/>
              <w:right w:val="single" w:sz="6" w:space="0" w:color="auto"/>
            </w:tcBorders>
            <w:vAlign w:val="center"/>
          </w:tcPr>
          <w:p w:rsidR="005624E3" w:rsidRPr="00921ED0" w:rsidRDefault="005624E3" w:rsidP="00101A80">
            <w:pPr>
              <w:overflowPunct w:val="0"/>
              <w:adjustRightInd w:val="0"/>
              <w:spacing w:before="40" w:after="40"/>
              <w:jc w:val="center"/>
              <w:textAlignment w:val="baseline"/>
              <w:rPr>
                <w:sz w:val="18"/>
                <w:szCs w:val="20"/>
              </w:rPr>
            </w:pPr>
            <w:r w:rsidRPr="00921ED0">
              <w:rPr>
                <w:sz w:val="18"/>
              </w:rPr>
              <w:t>MOTOR-FORDULATSZÁM</w:t>
            </w:r>
            <w:r w:rsidRPr="00921ED0">
              <w:rPr>
                <w:sz w:val="18"/>
                <w:szCs w:val="20"/>
              </w:rPr>
              <w:br/>
            </w:r>
            <m:oMathPara>
              <m:oMath>
                <m:r>
                  <w:rPr>
                    <w:rFonts w:ascii="Cambria Math" w:hAnsi="Cambria Math"/>
                    <w:sz w:val="18"/>
                    <w:szCs w:val="20"/>
                  </w:rPr>
                  <m:t>n</m:t>
                </m:r>
                <m:r>
                  <m:rPr>
                    <m:sty m:val="p"/>
                  </m:rPr>
                  <w:rPr>
                    <w:rFonts w:ascii="Cambria Math" w:hAnsi="Cambria Math"/>
                    <w:sz w:val="18"/>
                    <w:szCs w:val="20"/>
                  </w:rPr>
                  <w:br/>
                </m:r>
              </m:oMath>
            </m:oMathPara>
            <w:r w:rsidRPr="00921ED0">
              <w:rPr>
                <w:sz w:val="18"/>
              </w:rPr>
              <w:t>[min</w:t>
            </w:r>
            <w:r w:rsidRPr="00921ED0">
              <w:rPr>
                <w:sz w:val="18"/>
                <w:vertAlign w:val="superscript"/>
              </w:rPr>
              <w:t>-1</w:t>
            </w:r>
            <w:r w:rsidRPr="00921ED0">
              <w:rPr>
                <w:sz w:val="18"/>
              </w:rPr>
              <w:t>]</w:t>
            </w:r>
          </w:p>
        </w:tc>
        <w:tc>
          <w:tcPr>
            <w:tcW w:w="2948" w:type="dxa"/>
            <w:tcBorders>
              <w:top w:val="single" w:sz="6" w:space="0" w:color="auto"/>
              <w:left w:val="single" w:sz="6" w:space="0" w:color="auto"/>
              <w:bottom w:val="single" w:sz="6" w:space="0" w:color="auto"/>
              <w:right w:val="single" w:sz="6" w:space="0" w:color="auto"/>
            </w:tcBorders>
            <w:vAlign w:val="center"/>
          </w:tcPr>
          <w:p w:rsidR="005624E3" w:rsidRPr="00921ED0" w:rsidRDefault="005624E3" w:rsidP="00101A80">
            <w:pPr>
              <w:tabs>
                <w:tab w:val="left" w:pos="284"/>
              </w:tabs>
              <w:overflowPunct w:val="0"/>
              <w:adjustRightInd w:val="0"/>
              <w:spacing w:before="40" w:after="40"/>
              <w:jc w:val="center"/>
              <w:textAlignment w:val="baseline"/>
              <w:rPr>
                <w:sz w:val="18"/>
                <w:szCs w:val="20"/>
              </w:rPr>
            </w:pPr>
            <w:r w:rsidRPr="00921ED0">
              <w:rPr>
                <w:sz w:val="18"/>
              </w:rPr>
              <w:t>MEGJEGYZÉSEK</w:t>
            </w:r>
          </w:p>
        </w:tc>
      </w:tr>
      <w:tr w:rsidR="005624E3" w:rsidRPr="00921ED0" w:rsidTr="00101A80">
        <w:trPr>
          <w:jc w:val="center"/>
        </w:trPr>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r>
      <w:tr w:rsidR="005624E3" w:rsidRPr="00921ED0" w:rsidTr="00101A80">
        <w:trPr>
          <w:jc w:val="center"/>
        </w:trPr>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r>
      <w:tr w:rsidR="005624E3" w:rsidRPr="00921ED0" w:rsidTr="00101A80">
        <w:trPr>
          <w:jc w:val="center"/>
        </w:trPr>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r>
      <w:tr w:rsidR="005624E3" w:rsidRPr="00921ED0" w:rsidTr="00101A80">
        <w:trPr>
          <w:jc w:val="center"/>
        </w:trPr>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r>
      <w:tr w:rsidR="005624E3" w:rsidRPr="00921ED0" w:rsidTr="00101A80">
        <w:trPr>
          <w:jc w:val="center"/>
        </w:trPr>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r>
      <w:tr w:rsidR="005624E3" w:rsidRPr="00921ED0" w:rsidTr="00101A80">
        <w:trPr>
          <w:jc w:val="center"/>
        </w:trPr>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r>
      <w:tr w:rsidR="005624E3" w:rsidRPr="00921ED0" w:rsidTr="00101A80">
        <w:trPr>
          <w:jc w:val="center"/>
        </w:trPr>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r>
      <w:tr w:rsidR="005624E3" w:rsidRPr="00921ED0" w:rsidTr="00101A80">
        <w:trPr>
          <w:jc w:val="center"/>
        </w:trPr>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5624E3" w:rsidRPr="00921ED0" w:rsidRDefault="005624E3" w:rsidP="00101A80">
            <w:pPr>
              <w:tabs>
                <w:tab w:val="left" w:pos="284"/>
              </w:tabs>
              <w:overflowPunct w:val="0"/>
              <w:adjustRightInd w:val="0"/>
              <w:spacing w:before="120" w:after="120" w:line="240" w:lineRule="exact"/>
              <w:jc w:val="center"/>
              <w:textAlignment w:val="baseline"/>
              <w:rPr>
                <w:sz w:val="18"/>
                <w:szCs w:val="20"/>
              </w:rPr>
            </w:pPr>
          </w:p>
        </w:tc>
      </w:tr>
    </w:tbl>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sectPr w:rsidR="005624E3" w:rsidRPr="00921ED0" w:rsidSect="00D45887">
          <w:headerReference w:type="first" r:id="rId121"/>
          <w:footerReference w:type="first" r:id="rId122"/>
          <w:pgSz w:w="16840" w:h="11907" w:orient="landscape" w:code="9"/>
          <w:pgMar w:top="1418" w:right="1418" w:bottom="1418" w:left="1418" w:header="680" w:footer="680" w:gutter="0"/>
          <w:cols w:space="720"/>
          <w:noEndnote/>
          <w:titlePg/>
          <w:docGrid w:linePitch="272"/>
        </w:sectPr>
      </w:pPr>
    </w:p>
    <w:p w:rsidR="005624E3" w:rsidRPr="00921ED0" w:rsidRDefault="005624E3" w:rsidP="005624E3">
      <w:pPr>
        <w:pStyle w:val="ES-Titre4"/>
      </w:pPr>
      <w:r w:rsidRPr="00921ED0">
        <w:t>2. melléklet az ESI-II-3 utasításhoz</w:t>
      </w:r>
    </w:p>
    <w:p w:rsidR="005624E3" w:rsidRPr="00921ED0" w:rsidRDefault="005624E3" w:rsidP="005624E3">
      <w:pPr>
        <w:pStyle w:val="ES-Titre4a"/>
      </w:pPr>
      <w:r w:rsidRPr="00921ED0">
        <w:t>A megállási manőver eredményeinek kiértékelése</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spacing w:line="240" w:lineRule="atLeast"/>
        <w:ind w:left="567" w:hanging="567"/>
      </w:pPr>
      <w:r w:rsidRPr="00921ED0">
        <w:t>1.</w:t>
      </w:r>
      <w:r w:rsidRPr="00921ED0">
        <w:tab/>
        <w:t>A feljegyzett értékek alapján ellenőrizni kell az 1. melléklet szerinti határértékek teljesülését. Ha a megállási manőver feltételei lényegesen eltérnek a normál körülményektől, vagy ha kételyek merülnek fel a határértékek teljesítése kapcsán, akkor az eredményeket ki kell értékelni. Ebből a célból a következő eljárás alkalmazható a megállási manőverek számításaihoz.</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rPr>
          <w:noProof/>
        </w:rPr>
      </w:pPr>
      <w:r w:rsidRPr="00921ED0">
        <w:t>2.</w:t>
      </w:r>
      <w:r w:rsidRPr="00921ED0">
        <w:tab/>
        <w:t>Az elméleti megállási távolságokat a 2.1. pontban szereplő normál körülmények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Pr="00921ED0">
        <w:t>) figyelembevételével kell megállapítani, és a megállási manőver körülményeit (</w:t>
      </w: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rsidRPr="00921ED0">
        <w:t>) össze kell hasonlítani a mért megállási távolsággal (</w:t>
      </w:r>
      <m:oMath>
        <m:sSub>
          <m:sSubPr>
            <m:ctrlPr>
              <w:rPr>
                <w:rFonts w:ascii="Cambria Math" w:hAnsi="Cambria Math"/>
                <w:i/>
                <w:noProof/>
              </w:rPr>
            </m:ctrlPr>
          </m:sSubPr>
          <m:e>
            <m:r>
              <w:rPr>
                <w:rFonts w:ascii="Cambria Math" w:hAnsi="Cambria Math"/>
                <w:noProof/>
              </w:rPr>
              <m:t>s</m:t>
            </m:r>
          </m:e>
          <m:sub>
            <m:r>
              <w:rPr>
                <w:rFonts w:ascii="Cambria Math" w:hAnsi="Cambria Math"/>
                <w:noProof/>
              </w:rPr>
              <m:t>MESSUNG</m:t>
            </m:r>
          </m:sub>
        </m:sSub>
      </m:oMath>
      <w:r w:rsidRPr="00921ED0">
        <w:t>). A normál körülmények között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rsidRPr="00921ED0">
        <w:t>) végrehajtott megállási manőver korrigált megállási távolságát a következőképpen kell kiszámítani:</w:t>
      </w:r>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1843" w:hanging="1276"/>
        <w:rPr>
          <w:noProof/>
        </w:rPr>
      </w:pPr>
      <w:r w:rsidRPr="00921ED0">
        <w:t>2.1. képlet:</w:t>
      </w:r>
      <w:r w:rsidRPr="00921ED0">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 ≤limit value</m:t>
        </m:r>
      </m:oMath>
    </w:p>
    <w:p w:rsidR="005624E3" w:rsidRPr="00921ED0" w:rsidRDefault="005624E3" w:rsidP="005624E3">
      <w:pPr>
        <w:spacing w:line="240" w:lineRule="atLeast"/>
        <w:ind w:left="567" w:hanging="567"/>
      </w:pPr>
    </w:p>
    <w:p w:rsidR="005624E3" w:rsidRPr="00921ED0" w:rsidRDefault="005624E3" w:rsidP="005624E3">
      <w:pPr>
        <w:spacing w:line="240" w:lineRule="atLeast"/>
        <w:ind w:left="567"/>
        <w:rPr>
          <w:szCs w:val="20"/>
        </w:rPr>
      </w:pPr>
      <w:r w:rsidRPr="00921ED0">
        <w:t>összhangban ezen utasítás 2.1. a) vagy b) pontjával.</w:t>
      </w:r>
    </w:p>
    <w:p w:rsidR="005624E3" w:rsidRPr="00921ED0" w:rsidRDefault="005624E3" w:rsidP="005624E3">
      <w:pPr>
        <w:tabs>
          <w:tab w:val="left" w:pos="567"/>
          <w:tab w:val="center" w:pos="4678"/>
        </w:tabs>
        <w:overflowPunct w:val="0"/>
        <w:adjustRightInd w:val="0"/>
        <w:spacing w:line="240" w:lineRule="atLeast"/>
        <w:ind w:left="567" w:hanging="567"/>
        <w:textAlignment w:val="baseline"/>
        <w:rPr>
          <w:szCs w:val="20"/>
        </w:rPr>
      </w:pPr>
    </w:p>
    <w:p w:rsidR="005624E3" w:rsidRPr="00921ED0" w:rsidRDefault="005624E3" w:rsidP="005624E3">
      <w:pPr>
        <w:spacing w:line="240" w:lineRule="atLeast"/>
        <w:ind w:left="567"/>
      </w:pPr>
      <w:r w:rsidRPr="00921ED0">
        <w:t xml:space="preserve">Ha ezen utasítás 2.2. pontjával összhangban a megállási manővert a maximális hordképesség 70–100 %-a közötti terhelés mellett hajtják végre, az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rsidRPr="00921ED0">
        <w:t xml:space="preserve"> kiszámítása céljából a vizsgálat alatti terhelésnek megfelelő vízkiszorítás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m:t>
            </m:r>
            <m:r>
              <w:rPr>
                <w:rFonts w:ascii="Cambria Math" w:hAnsi="Cambria Math"/>
                <w:noProof/>
              </w:rPr>
              <m:t>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Pr="00921ED0">
        <w:t xml:space="preserve">) felhasználásával kell meghatározni az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Pr="00921ED0">
        <w:t xml:space="preserve"> és </w:t>
      </w: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rsidRPr="00921ED0">
        <w:t xml:space="preserve"> értékét.</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 xml:space="preserve">Ha a 2.1. képlettel meghatározott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rsidRPr="00921ED0">
        <w:t xml:space="preserve"> túllépi, illetve nem éri el a vonatkozó határértéket, az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Pr="00921ED0">
        <w:t xml:space="preserve"> értékét a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SOLL</m:t>
            </m:r>
          </m:sub>
        </m:sSub>
      </m:oMath>
      <w:r w:rsidRPr="00921ED0">
        <w:t xml:space="preserve"> módosításával kell csökkenteni, illetve növelni a határérték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rsidRPr="00921ED0">
        <w:t xml:space="preserve"> = a vonatkozó határérték) eléréséig. Ennek megfelelően kell meghatározni a folyásirányú hajózás során megengedett maximális vízkiszorítást.</w:t>
      </w:r>
    </w:p>
    <w:p w:rsidR="005624E3" w:rsidRPr="00921ED0" w:rsidRDefault="005624E3" w:rsidP="005624E3">
      <w:pPr>
        <w:overflowPunct w:val="0"/>
        <w:adjustRightInd w:val="0"/>
        <w:spacing w:line="240" w:lineRule="exact"/>
        <w:ind w:left="567" w:hanging="567"/>
        <w:textAlignment w:val="baseline"/>
        <w:rPr>
          <w:szCs w:val="20"/>
        </w:rPr>
      </w:pPr>
    </w:p>
    <w:p w:rsidR="005624E3" w:rsidRPr="00921ED0" w:rsidRDefault="005624E3" w:rsidP="005624E3">
      <w:pPr>
        <w:spacing w:line="240" w:lineRule="atLeast"/>
        <w:ind w:left="567" w:hanging="567"/>
      </w:pPr>
      <w:r w:rsidRPr="00921ED0">
        <w:t>3.</w:t>
      </w:r>
      <w:r w:rsidRPr="00921ED0">
        <w:tab/>
        <w:t>A 2.1. a) és b) pontban megadott határértékek szerint csak a következőkben mért megállási távolságokat:</w:t>
      </w:r>
    </w:p>
    <w:p w:rsidR="005624E3" w:rsidRPr="00921ED0" w:rsidRDefault="005624E3" w:rsidP="005624E3">
      <w:pPr>
        <w:spacing w:before="60" w:line="240" w:lineRule="atLeast"/>
        <w:ind w:left="992"/>
      </w:pPr>
      <w:r w:rsidRPr="00921ED0">
        <w:t>-</w:t>
      </w:r>
      <w:r w:rsidRPr="00921ED0">
        <w:tab/>
        <w:t xml:space="preserve">I. fázis („Teljes erővel előre!” átállítva „Teljes erővel hátra!” helyzetbe): </w:t>
      </w:r>
      <m:oMath>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oMath>
    </w:p>
    <w:p w:rsidR="005624E3" w:rsidRPr="00921ED0" w:rsidRDefault="005624E3" w:rsidP="005624E3">
      <w:pPr>
        <w:spacing w:before="60" w:line="240" w:lineRule="atLeast"/>
        <w:ind w:left="567"/>
      </w:pPr>
      <w:r w:rsidRPr="00921ED0">
        <w:t>és</w:t>
      </w:r>
    </w:p>
    <w:p w:rsidR="005624E3" w:rsidRPr="00921ED0" w:rsidRDefault="005624E3" w:rsidP="005624E3">
      <w:pPr>
        <w:spacing w:before="60" w:line="240" w:lineRule="atLeast"/>
        <w:ind w:left="992"/>
        <w:rPr>
          <w:rFonts w:cs="Arial"/>
        </w:rPr>
      </w:pPr>
      <w:r w:rsidRPr="00921ED0">
        <w:t>-</w:t>
      </w:r>
      <w:r w:rsidRPr="00921ED0">
        <w:tab/>
        <w:t xml:space="preserve">II. fázis (a hátramenet vége, amíg a hajó a vízhez viszonyítva meg meg nem áll): </w:t>
      </w:r>
      <m:oMath>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oMath>
    </w:p>
    <w:p w:rsidR="005624E3" w:rsidRPr="00921ED0" w:rsidRDefault="005624E3" w:rsidP="005624E3">
      <w:pPr>
        <w:tabs>
          <w:tab w:val="left" w:pos="567"/>
          <w:tab w:val="left" w:pos="4962"/>
        </w:tabs>
        <w:overflowPunct w:val="0"/>
        <w:adjustRightInd w:val="0"/>
        <w:spacing w:line="240" w:lineRule="exact"/>
        <w:ind w:left="567" w:hanging="567"/>
        <w:textAlignment w:val="baseline"/>
        <w:rPr>
          <w:szCs w:val="20"/>
        </w:rPr>
      </w:pPr>
    </w:p>
    <w:p w:rsidR="005624E3" w:rsidRPr="00921ED0" w:rsidRDefault="005624E3" w:rsidP="005624E3">
      <w:pPr>
        <w:spacing w:line="240" w:lineRule="atLeast"/>
        <w:ind w:left="567"/>
      </w:pPr>
      <w:r w:rsidRPr="00921ED0">
        <w:t xml:space="preserve"> kell kiszámítani (lásd: 1. ábra). A teljes megállási távolság ekkor:</w:t>
      </w:r>
    </w:p>
    <w:p w:rsidR="005624E3" w:rsidRPr="00921ED0" w:rsidRDefault="005624E3" w:rsidP="005624E3">
      <w:pPr>
        <w:overflowPunct w:val="0"/>
        <w:adjustRightInd w:val="0"/>
        <w:ind w:left="567" w:hanging="567"/>
        <w:textAlignment w:val="baseline"/>
        <w:rPr>
          <w:szCs w:val="20"/>
        </w:rPr>
      </w:pPr>
    </w:p>
    <w:p w:rsidR="005624E3" w:rsidRPr="00921ED0" w:rsidRDefault="005624E3" w:rsidP="005624E3">
      <w:pPr>
        <w:spacing w:line="240" w:lineRule="atLeast"/>
        <w:ind w:left="567"/>
      </w:pPr>
      <w:r w:rsidRPr="00921ED0">
        <w:t>3.1. képlet:</w:t>
      </w:r>
      <w:r w:rsidRPr="00921ED0">
        <w:tab/>
      </w:r>
      <m:oMath>
        <m:sSub>
          <m:sSubPr>
            <m:ctrlPr>
              <w:rPr>
                <w:rFonts w:ascii="Cambria Math" w:hAnsi="Cambria Math"/>
                <w:i/>
              </w:rPr>
            </m:ctrlPr>
          </m:sSubPr>
          <m:e>
            <m:r>
              <w:rPr>
                <w:rFonts w:ascii="Cambria Math" w:hAnsi="Cambria Math"/>
              </w:rPr>
              <m:t>s</m:t>
            </m:r>
          </m:e>
          <m:sub>
            <m:r>
              <w:rPr>
                <w:rFonts w:ascii="Cambria Math" w:hAnsi="Cambria Math"/>
              </w:rPr>
              <m:t>GES</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II</m:t>
            </m:r>
          </m:sub>
        </m:sSub>
      </m:oMath>
    </w:p>
    <w:p w:rsidR="005624E3" w:rsidRPr="00921ED0" w:rsidRDefault="005624E3" w:rsidP="005624E3">
      <w:pPr>
        <w:overflowPunct w:val="0"/>
        <w:adjustRightInd w:val="0"/>
        <w:ind w:left="567" w:hanging="567"/>
        <w:textAlignment w:val="baseline"/>
        <w:rPr>
          <w:szCs w:val="20"/>
        </w:rPr>
      </w:pPr>
    </w:p>
    <w:p w:rsidR="005624E3" w:rsidRPr="00921ED0" w:rsidRDefault="005624E3" w:rsidP="005624E3">
      <w:pPr>
        <w:spacing w:line="240" w:lineRule="atLeast"/>
        <w:ind w:left="567" w:hanging="567"/>
      </w:pPr>
      <w:r w:rsidRPr="00921ED0">
        <w:t>4.</w:t>
      </w:r>
      <w:r w:rsidRPr="00921ED0">
        <w:tab/>
        <w:t>A konkrét megállási távolságokat az alábbiak szerint kell kiszámítani:</w:t>
      </w:r>
    </w:p>
    <w:p w:rsidR="005624E3" w:rsidRPr="00921ED0" w:rsidRDefault="005624E3" w:rsidP="005624E3">
      <w:pPr>
        <w:overflowPunct w:val="0"/>
        <w:adjustRightInd w:val="0"/>
        <w:spacing w:line="240" w:lineRule="exact"/>
        <w:ind w:left="567" w:hanging="567"/>
        <w:textAlignment w:val="baseline"/>
        <w:rPr>
          <w:szCs w:val="20"/>
        </w:rPr>
      </w:pPr>
    </w:p>
    <w:p w:rsidR="005624E3" w:rsidRPr="00921ED0" w:rsidRDefault="005624E3" w:rsidP="005624E3">
      <w:pPr>
        <w:spacing w:line="240" w:lineRule="exact"/>
        <w:jc w:val="center"/>
        <w:rPr>
          <w:b/>
        </w:rPr>
      </w:pPr>
      <w:r w:rsidRPr="00921ED0">
        <w:br w:type="page"/>
      </w:r>
    </w:p>
    <w:p w:rsidR="005624E3" w:rsidRPr="00921ED0" w:rsidRDefault="005624E3" w:rsidP="005624E3">
      <w:pPr>
        <w:overflowPunct w:val="0"/>
        <w:adjustRightInd w:val="0"/>
        <w:spacing w:line="240" w:lineRule="exact"/>
        <w:jc w:val="center"/>
        <w:textAlignment w:val="baseline"/>
        <w:rPr>
          <w:b/>
        </w:rPr>
      </w:pPr>
      <w:r w:rsidRPr="00921ED0">
        <w:rPr>
          <w:b/>
        </w:rPr>
        <w:t>A megállási manőver kiszámítása</w:t>
      </w:r>
    </w:p>
    <w:p w:rsidR="005624E3" w:rsidRPr="00921ED0" w:rsidRDefault="005624E3" w:rsidP="005624E3">
      <w:pPr>
        <w:overflowPunct w:val="0"/>
        <w:adjustRightInd w:val="0"/>
        <w:spacing w:line="240" w:lineRule="exact"/>
        <w:jc w:val="center"/>
        <w:textAlignment w:val="baseline"/>
        <w:rPr>
          <w:b/>
          <w:szCs w:val="20"/>
        </w:rPr>
      </w:pPr>
    </w:p>
    <w:p w:rsidR="005624E3" w:rsidRPr="00921ED0" w:rsidRDefault="005624E3" w:rsidP="005624E3">
      <w:pPr>
        <w:overflowPunct w:val="0"/>
        <w:adjustRightInd w:val="0"/>
        <w:spacing w:line="240" w:lineRule="exact"/>
        <w:jc w:val="center"/>
        <w:textAlignment w:val="baseline"/>
        <w:rPr>
          <w:szCs w:val="20"/>
        </w:rPr>
      </w:pPr>
      <w:r w:rsidRPr="00921ED0">
        <w:rPr>
          <w:b/>
        </w:rPr>
        <w:t>2. ábra: Diagram</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jc w:val="center"/>
        <w:textAlignment w:val="baseline"/>
        <w:rPr>
          <w:szCs w:val="20"/>
        </w:rPr>
      </w:pPr>
      <w:r w:rsidRPr="00921ED0">
        <w:rPr>
          <w:noProof/>
          <w:szCs w:val="20"/>
        </w:rPr>
        <w:drawing>
          <wp:inline distT="0" distB="0" distL="0" distR="0" wp14:anchorId="64837355" wp14:editId="21EC7253">
            <wp:extent cx="4552950" cy="31242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552950" cy="3124200"/>
                    </a:xfrm>
                    <a:prstGeom prst="rect">
                      <a:avLst/>
                    </a:prstGeom>
                    <a:solidFill>
                      <a:srgbClr val="FFFFFF"/>
                    </a:solidFill>
                    <a:ln>
                      <a:noFill/>
                    </a:ln>
                  </pic:spPr>
                </pic:pic>
              </a:graphicData>
            </a:graphic>
          </wp:inline>
        </w:drawing>
      </w:r>
    </w:p>
    <w:p w:rsidR="005624E3" w:rsidRPr="00921ED0" w:rsidRDefault="005624E3" w:rsidP="005624E3">
      <w:pPr>
        <w:overflowPunct w:val="0"/>
        <w:adjustRightInd w:val="0"/>
        <w:spacing w:line="240" w:lineRule="exact"/>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spacing w:line="240" w:lineRule="exact"/>
        <w:textAlignment w:val="baseline"/>
        <w:rPr>
          <w:szCs w:val="20"/>
        </w:rPr>
      </w:pPr>
      <w:r w:rsidRPr="00921ED0">
        <w:rPr>
          <w:b/>
        </w:rPr>
        <w:t>Számítási képletek:</w:t>
      </w:r>
    </w:p>
    <w:p w:rsidR="005624E3" w:rsidRPr="00921ED0" w:rsidRDefault="005624E3" w:rsidP="005624E3">
      <w:pPr>
        <w:tabs>
          <w:tab w:val="left" w:pos="5954"/>
        </w:tabs>
        <w:overflowPunct w:val="0"/>
        <w:adjustRightInd w:val="0"/>
        <w:textAlignment w:val="baseline"/>
        <w:rPr>
          <w:szCs w:val="20"/>
        </w:rPr>
      </w:pPr>
      <w:r w:rsidRPr="00921ED0">
        <w:tab/>
        <w:t>a következő együtthatókkal:</w:t>
      </w:r>
    </w:p>
    <w:p w:rsidR="005624E3" w:rsidRPr="00921ED0" w:rsidRDefault="005624E3" w:rsidP="005624E3">
      <w:pPr>
        <w:overflowPunct w:val="0"/>
        <w:adjustRightInd w:val="0"/>
        <w:textAlignment w:val="baseline"/>
        <w:rPr>
          <w:szCs w:val="20"/>
        </w:rPr>
      </w:pPr>
    </w:p>
    <w:p w:rsidR="005624E3" w:rsidRPr="00921ED0" w:rsidRDefault="005624E3" w:rsidP="005624E3">
      <w:pPr>
        <w:tabs>
          <w:tab w:val="left" w:pos="1134"/>
          <w:tab w:val="left" w:pos="1418"/>
          <w:tab w:val="left" w:pos="3119"/>
          <w:tab w:val="left" w:pos="5954"/>
          <w:tab w:val="left" w:pos="6379"/>
        </w:tabs>
        <w:overflowPunct w:val="0"/>
        <w:adjustRightInd w:val="0"/>
        <w:spacing w:line="240" w:lineRule="exact"/>
        <w:ind w:left="567" w:hanging="567"/>
        <w:textAlignment w:val="baseline"/>
        <w:rPr>
          <w:szCs w:val="20"/>
        </w:rPr>
      </w:pPr>
      <w:r w:rsidRPr="00921ED0">
        <w:t>4.1.</w:t>
      </w:r>
      <w:r w:rsidRPr="00921ED0">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w:r w:rsidRPr="00921ED0">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r>
          <w:rPr>
            <w:rFonts w:ascii="Cambria Math" w:hAnsi="Cambria Math"/>
            <w:szCs w:val="20"/>
          </w:rPr>
          <m:t>≤20 s</m:t>
        </m:r>
      </m:oMath>
      <w:r w:rsidRPr="00921ED0">
        <w:tab/>
        <w:t>-</w:t>
      </w:r>
      <w:r w:rsidRPr="00921ED0">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oMath>
      <w:r w:rsidRPr="00921ED0">
        <w:t xml:space="preserve"> az 1. táblázat szerint</w:t>
      </w:r>
    </w:p>
    <w:p w:rsidR="005624E3" w:rsidRPr="00921ED0" w:rsidRDefault="005624E3" w:rsidP="005624E3">
      <w:pPr>
        <w:tabs>
          <w:tab w:val="left" w:pos="5954"/>
          <w:tab w:val="left" w:pos="6379"/>
          <w:tab w:val="left" w:pos="6663"/>
          <w:tab w:val="left" w:pos="6946"/>
        </w:tabs>
        <w:overflowPunct w:val="0"/>
        <w:adjustRightInd w:val="0"/>
        <w:textAlignment w:val="baseline"/>
        <w:rPr>
          <w:szCs w:val="20"/>
        </w:rPr>
      </w:pPr>
    </w:p>
    <w:p w:rsidR="005624E3" w:rsidRPr="00921ED0" w:rsidRDefault="005624E3" w:rsidP="005624E3">
      <w:pPr>
        <w:tabs>
          <w:tab w:val="left" w:pos="567"/>
          <w:tab w:val="left" w:pos="5954"/>
          <w:tab w:val="left" w:pos="6379"/>
        </w:tabs>
        <w:overflowPunct w:val="0"/>
        <w:adjustRightInd w:val="0"/>
        <w:spacing w:line="240" w:lineRule="atLeast"/>
        <w:ind w:left="567" w:hanging="567"/>
        <w:textAlignment w:val="baseline"/>
        <w:rPr>
          <w:szCs w:val="20"/>
        </w:rPr>
      </w:pPr>
      <w:r w:rsidRPr="00921ED0">
        <w:t>4.2.</w:t>
      </w:r>
      <w:r w:rsidRPr="00921ED0">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r>
          <w:rPr>
            <w:rFonts w:ascii="Cambria Math" w:hAnsi="Cambria Math"/>
            <w:szCs w:val="20"/>
          </w:rPr>
          <m:t xml:space="preserve"> ∙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r>
              <w:rPr>
                <w:rFonts w:ascii="Cambria Math" w:hAnsi="Cambria Math"/>
                <w:szCs w:val="20"/>
              </w:rPr>
              <m:t>II</m:t>
            </m:r>
          </m:sub>
        </m:sSub>
        <m:r>
          <w:rPr>
            <w:rFonts w:ascii="Cambria Math" w:hAnsi="Cambria Math"/>
            <w:szCs w:val="20"/>
          </w:rPr>
          <m:t xml:space="preserve"> ∙ </m:t>
        </m:r>
        <m:f>
          <m:fPr>
            <m:ctrlPr>
              <w:rPr>
                <w:rFonts w:ascii="Cambria Math" w:hAnsi="Cambria Math"/>
                <w:i/>
                <w:szCs w:val="20"/>
              </w:rPr>
            </m:ctrlPr>
          </m:fPr>
          <m:num>
            <m:r>
              <w:rPr>
                <w:rFonts w:ascii="Cambria Math" w:hAnsi="Cambria Math"/>
                <w:szCs w:val="20"/>
              </w:rPr>
              <m:t>D ∙g</m:t>
            </m:r>
          </m:num>
          <m:den>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den>
        </m:f>
        <m:r>
          <w:rPr>
            <w:rFonts w:ascii="Cambria Math" w:hAnsi="Cambria Math"/>
            <w:szCs w:val="20"/>
          </w:rPr>
          <m:t xml:space="preserve">∙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num>
              <m:den>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den>
            </m:f>
          </m:e>
        </m:d>
      </m:oMath>
      <w:r w:rsidRPr="00921ED0">
        <w:tab/>
        <w:t>-</w:t>
      </w:r>
      <w:r w:rsidRPr="00921ED0">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w:r w:rsidRPr="00921ED0">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w:r w:rsidRPr="00921ED0">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Pr="00921ED0">
        <w:t xml:space="preserve"> az 1. táblázat szerint</w:t>
      </w:r>
    </w:p>
    <w:p w:rsidR="005624E3" w:rsidRPr="00921ED0" w:rsidRDefault="005624E3" w:rsidP="005624E3">
      <w:pPr>
        <w:tabs>
          <w:tab w:val="left" w:pos="5954"/>
          <w:tab w:val="left" w:pos="6379"/>
        </w:tabs>
        <w:overflowPunct w:val="0"/>
        <w:adjustRightInd w:val="0"/>
        <w:textAlignment w:val="baseline"/>
        <w:rPr>
          <w:szCs w:val="20"/>
        </w:rPr>
      </w:pPr>
    </w:p>
    <w:p w:rsidR="005624E3" w:rsidRPr="00921ED0" w:rsidRDefault="005624E3" w:rsidP="005624E3">
      <w:pPr>
        <w:tabs>
          <w:tab w:val="left" w:pos="5954"/>
          <w:tab w:val="left" w:pos="6379"/>
        </w:tabs>
        <w:overflowPunct w:val="0"/>
        <w:adjustRightInd w:val="0"/>
        <w:textAlignment w:val="baseline"/>
        <w:rPr>
          <w:szCs w:val="20"/>
        </w:rPr>
      </w:pPr>
    </w:p>
    <w:p w:rsidR="005624E3" w:rsidRPr="00921ED0" w:rsidRDefault="005624E3" w:rsidP="005624E3">
      <w:pPr>
        <w:tabs>
          <w:tab w:val="left" w:pos="1134"/>
          <w:tab w:val="left" w:pos="1418"/>
          <w:tab w:val="left" w:pos="5954"/>
          <w:tab w:val="left" w:pos="6379"/>
        </w:tabs>
        <w:overflowPunct w:val="0"/>
        <w:adjustRightInd w:val="0"/>
        <w:spacing w:line="240" w:lineRule="atLeast"/>
        <w:ind w:left="567" w:hanging="567"/>
        <w:textAlignment w:val="baseline"/>
        <w:rPr>
          <w:szCs w:val="20"/>
        </w:rPr>
      </w:pPr>
      <w:r w:rsidRPr="00921ED0">
        <w:t>4.3.</w:t>
      </w:r>
      <w:r w:rsidRPr="00921ED0">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r>
          <w:rPr>
            <w:rFonts w:ascii="Cambria Math" w:hAnsi="Cambria Math"/>
            <w:szCs w:val="20"/>
          </w:rPr>
          <m:t xml:space="preserve">= </m:t>
        </m:r>
        <m:d>
          <m:dPr>
            <m:ctrlPr>
              <w:rPr>
                <w:rFonts w:ascii="Cambria Math" w:hAnsi="Cambria Math"/>
                <w:i/>
                <w:szCs w:val="20"/>
              </w:rPr>
            </m:ctrlPr>
          </m:dPr>
          <m:e>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e>
        </m:d>
        <m:r>
          <w:rPr>
            <w:rFonts w:ascii="Cambria Math" w:hAnsi="Cambria Math"/>
            <w:szCs w:val="20"/>
          </w:rPr>
          <m:t xml:space="preserve"> ∙ </m:t>
        </m:r>
        <m:sSup>
          <m:sSupPr>
            <m:ctrlPr>
              <w:rPr>
                <w:rFonts w:ascii="Cambria Math" w:hAnsi="Cambria Math"/>
                <w:i/>
                <w:szCs w:val="20"/>
              </w:rPr>
            </m:ctrlPr>
          </m:sSup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d>
              </m:e>
            </m:d>
          </m:e>
          <m:sup>
            <m:r>
              <w:rPr>
                <w:rFonts w:ascii="Cambria Math" w:hAnsi="Cambria Math"/>
                <w:szCs w:val="20"/>
              </w:rPr>
              <m:t>2</m:t>
            </m:r>
          </m:sup>
        </m:sSup>
      </m:oMath>
      <w:r w:rsidRPr="00921ED0">
        <w:tab/>
        <w:t>-</w:t>
      </w:r>
      <w:r w:rsidRPr="00921ED0">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Pr="00921ED0">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w:r w:rsidRPr="00921ED0">
        <w:t xml:space="preserve"> </w:t>
      </w:r>
      <w:r w:rsidRPr="00921ED0">
        <w:rPr>
          <w:sz w:val="18"/>
        </w:rPr>
        <w:t>az 1. táblázat szerint</w:t>
      </w:r>
    </w:p>
    <w:p w:rsidR="005624E3" w:rsidRPr="00921ED0" w:rsidRDefault="005624E3" w:rsidP="005624E3">
      <w:pPr>
        <w:tabs>
          <w:tab w:val="left" w:pos="5954"/>
          <w:tab w:val="left" w:pos="6379"/>
        </w:tabs>
        <w:overflowPunct w:val="0"/>
        <w:adjustRightInd w:val="0"/>
        <w:spacing w:line="240" w:lineRule="atLeast"/>
        <w:textAlignment w:val="baseline"/>
        <w:rPr>
          <w:szCs w:val="20"/>
        </w:rPr>
      </w:pPr>
      <w:r w:rsidRPr="00921ED0">
        <w:tab/>
        <w:t>-</w:t>
      </w:r>
      <w:r w:rsidRPr="00921ED0">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r>
          <w:rPr>
            <w:rFonts w:ascii="Cambria Math" w:hAnsi="Cambria Math"/>
            <w:szCs w:val="20"/>
          </w:rPr>
          <m:t>/</m:t>
        </m:r>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oMath>
      <w:r w:rsidRPr="00921ED0">
        <w:t xml:space="preserve"> </w:t>
      </w:r>
      <w:r w:rsidRPr="00921ED0">
        <w:rPr>
          <w:sz w:val="18"/>
        </w:rPr>
        <w:t>a 3. táblázat szerint</w:t>
      </w:r>
    </w:p>
    <w:p w:rsidR="005624E3" w:rsidRPr="00921ED0" w:rsidRDefault="005624E3" w:rsidP="005624E3">
      <w:pPr>
        <w:tabs>
          <w:tab w:val="left" w:pos="5954"/>
          <w:tab w:val="left" w:pos="6379"/>
          <w:tab w:val="left" w:pos="6663"/>
        </w:tabs>
        <w:overflowPunct w:val="0"/>
        <w:adjustRightInd w:val="0"/>
        <w:textAlignment w:val="baseline"/>
        <w:rPr>
          <w:szCs w:val="20"/>
        </w:rPr>
      </w:pPr>
    </w:p>
    <w:p w:rsidR="005624E3" w:rsidRPr="00921ED0" w:rsidRDefault="005624E3" w:rsidP="005624E3">
      <w:pPr>
        <w:tabs>
          <w:tab w:val="left" w:pos="1134"/>
          <w:tab w:val="left" w:pos="1418"/>
          <w:tab w:val="left" w:pos="5954"/>
          <w:tab w:val="left" w:pos="6379"/>
          <w:tab w:val="left" w:pos="6663"/>
        </w:tabs>
        <w:overflowPunct w:val="0"/>
        <w:adjustRightInd w:val="0"/>
        <w:spacing w:line="240" w:lineRule="atLeast"/>
        <w:ind w:left="567" w:hanging="567"/>
        <w:textAlignment w:val="baseline"/>
        <w:rPr>
          <w:szCs w:val="20"/>
        </w:rPr>
      </w:pPr>
      <w:r w:rsidRPr="00921ED0">
        <w:t>4.4.</w:t>
      </w:r>
      <w:r w:rsidRPr="00921ED0">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r>
          <w:rPr>
            <w:rFonts w:ascii="Cambria Math" w:hAnsi="Cambria Math"/>
            <w:szCs w:val="20"/>
          </w:rPr>
          <m:t xml:space="preserve">=i ∙D ∙ ρ ∙g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oMath>
    </w:p>
    <w:p w:rsidR="005624E3" w:rsidRPr="00921ED0" w:rsidRDefault="005624E3" w:rsidP="005624E3">
      <w:pPr>
        <w:tabs>
          <w:tab w:val="left" w:pos="5954"/>
          <w:tab w:val="left" w:pos="6379"/>
          <w:tab w:val="left" w:pos="6663"/>
        </w:tabs>
        <w:overflowPunct w:val="0"/>
        <w:adjustRightInd w:val="0"/>
        <w:spacing w:line="240" w:lineRule="atLeast"/>
        <w:textAlignment w:val="baseline"/>
        <w:rPr>
          <w:szCs w:val="20"/>
        </w:rPr>
      </w:pPr>
    </w:p>
    <w:p w:rsidR="005624E3" w:rsidRPr="00921ED0" w:rsidRDefault="005624E3" w:rsidP="005624E3">
      <w:pPr>
        <w:tabs>
          <w:tab w:val="left" w:pos="1134"/>
          <w:tab w:val="left" w:pos="1418"/>
          <w:tab w:val="left" w:pos="5954"/>
          <w:tab w:val="left" w:pos="6379"/>
        </w:tabs>
        <w:overflowPunct w:val="0"/>
        <w:adjustRightInd w:val="0"/>
        <w:spacing w:line="240" w:lineRule="atLeast"/>
        <w:ind w:left="567" w:hanging="567"/>
        <w:textAlignment w:val="baseline"/>
        <w:rPr>
          <w:szCs w:val="20"/>
        </w:rPr>
      </w:pPr>
      <w:r w:rsidRPr="00921ED0">
        <w:t>4.5.</w:t>
      </w:r>
      <w:r w:rsidRPr="00921ED0">
        <w:tab/>
      </w:r>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d>
      </m:oMath>
      <w:r w:rsidRPr="00921ED0">
        <w:tab/>
        <w:t>-</w:t>
      </w:r>
      <w:r w:rsidRPr="00921ED0">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Pr="00921ED0">
        <w:t xml:space="preserve"> az 1. táblázat szerint</w:t>
      </w:r>
    </w:p>
    <w:p w:rsidR="005624E3" w:rsidRPr="00921ED0" w:rsidRDefault="005624E3" w:rsidP="005624E3">
      <w:pPr>
        <w:tabs>
          <w:tab w:val="left" w:pos="426"/>
          <w:tab w:val="left" w:pos="5954"/>
          <w:tab w:val="left" w:pos="6379"/>
          <w:tab w:val="left" w:pos="6663"/>
        </w:tabs>
        <w:overflowPunct w:val="0"/>
        <w:adjustRightInd w:val="0"/>
        <w:spacing w:line="240" w:lineRule="atLeast"/>
        <w:ind w:left="426" w:hanging="426"/>
        <w:textAlignment w:val="baseline"/>
        <w:rPr>
          <w:szCs w:val="20"/>
        </w:rPr>
      </w:pPr>
    </w:p>
    <w:p w:rsidR="005624E3" w:rsidRPr="00166EA9" w:rsidRDefault="005624E3" w:rsidP="005624E3">
      <w:pPr>
        <w:tabs>
          <w:tab w:val="left" w:pos="1134"/>
          <w:tab w:val="left" w:pos="1418"/>
          <w:tab w:val="left" w:pos="5954"/>
          <w:tab w:val="left" w:pos="6379"/>
        </w:tabs>
        <w:overflowPunct w:val="0"/>
        <w:adjustRightInd w:val="0"/>
        <w:spacing w:line="240" w:lineRule="atLeast"/>
        <w:ind w:left="567" w:hanging="567"/>
        <w:textAlignment w:val="baseline"/>
        <w:rPr>
          <w:szCs w:val="20"/>
          <w:lang w:val="pl-PL"/>
        </w:rPr>
      </w:pPr>
      <w:r w:rsidRPr="00921ED0">
        <w:t>4.6.</w:t>
      </w:r>
      <w:r w:rsidRPr="00921ED0">
        <w:tab/>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 xml:space="preserve">=f ∙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rsidRPr="00921ED0">
        <w:tab/>
      </w:r>
      <w:r w:rsidRPr="00166EA9">
        <w:rPr>
          <w:lang w:val="pl-PL"/>
        </w:rPr>
        <w:t>-</w:t>
      </w:r>
      <w:r w:rsidRPr="00166EA9">
        <w:rPr>
          <w:lang w:val="pl-PL"/>
        </w:rPr>
        <w:tab/>
      </w:r>
      <m:oMath>
        <m:r>
          <w:rPr>
            <w:rFonts w:ascii="Cambria Math" w:hAnsi="Cambria Math"/>
            <w:szCs w:val="20"/>
          </w:rPr>
          <m:t>f</m:t>
        </m:r>
      </m:oMath>
      <w:r w:rsidRPr="00166EA9">
        <w:rPr>
          <w:lang w:val="pl-PL"/>
        </w:rPr>
        <w:t xml:space="preserve"> a 2. táblázat szerint</w:t>
      </w:r>
    </w:p>
    <w:p w:rsidR="005624E3" w:rsidRPr="00166EA9" w:rsidRDefault="005624E3" w:rsidP="005624E3">
      <w:pPr>
        <w:tabs>
          <w:tab w:val="left" w:pos="5954"/>
          <w:tab w:val="left" w:pos="6379"/>
          <w:tab w:val="left" w:pos="6663"/>
        </w:tabs>
        <w:overflowPunct w:val="0"/>
        <w:adjustRightInd w:val="0"/>
        <w:spacing w:line="240" w:lineRule="atLeast"/>
        <w:textAlignment w:val="baseline"/>
        <w:rPr>
          <w:szCs w:val="20"/>
          <w:lang w:val="pl-PL"/>
        </w:rPr>
      </w:pPr>
    </w:p>
    <w:p w:rsidR="005624E3" w:rsidRPr="00921ED0" w:rsidRDefault="005624E3" w:rsidP="005624E3">
      <w:pPr>
        <w:tabs>
          <w:tab w:val="left" w:pos="5954"/>
          <w:tab w:val="left" w:pos="6379"/>
        </w:tabs>
        <w:overflowPunct w:val="0"/>
        <w:adjustRightInd w:val="0"/>
        <w:spacing w:line="240" w:lineRule="atLeast"/>
        <w:ind w:left="567" w:hanging="567"/>
        <w:textAlignment w:val="baseline"/>
        <w:rPr>
          <w:szCs w:val="20"/>
        </w:rPr>
      </w:pPr>
      <w:r w:rsidRPr="00166EA9">
        <w:rPr>
          <w:lang w:val="pl-PL"/>
        </w:rPr>
        <w:t>4.7.</w:t>
      </w:r>
      <w:r w:rsidRPr="00166EA9">
        <w:rPr>
          <w:lang w:val="pl-PL"/>
        </w:rPr>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II</m:t>
            </m:r>
          </m:sub>
        </m:sSub>
        <m:r>
          <w:rPr>
            <w:rFonts w:ascii="Cambria Math" w:hAnsi="Cambria Math"/>
            <w:szCs w:val="20"/>
            <w:lang w:val="pl-PL"/>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num>
          <m:den>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r>
              <w:rPr>
                <w:rFonts w:ascii="Cambria Math" w:hAnsi="Cambria Math"/>
                <w:szCs w:val="20"/>
                <w:lang w:val="pl-PL"/>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4</m:t>
                    </m:r>
                  </m:sub>
                </m:sSub>
                <m:r>
                  <w:rPr>
                    <w:rFonts w:ascii="Cambria Math" w:hAnsi="Cambria Math"/>
                    <w:szCs w:val="20"/>
                    <w:lang w:val="pl-PL"/>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num>
                  <m:den>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den>
                </m:f>
              </m:e>
            </m:d>
          </m:den>
        </m:f>
      </m:oMath>
      <w:r w:rsidRPr="00166EA9">
        <w:rPr>
          <w:lang w:val="pl-PL"/>
        </w:rPr>
        <w:tab/>
      </w:r>
      <w:r w:rsidRPr="00921ED0">
        <w:t>-</w:t>
      </w:r>
      <w:r w:rsidRPr="00921ED0">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Pr="00921ED0">
        <w:t xml:space="preserve"> az 1. táblázat szerint</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r w:rsidRPr="00921ED0">
        <w:br w:type="page"/>
      </w:r>
    </w:p>
    <w:p w:rsidR="005624E3" w:rsidRPr="00921ED0" w:rsidRDefault="005624E3" w:rsidP="005624E3">
      <w:pPr>
        <w:overflowPunct w:val="0"/>
        <w:adjustRightInd w:val="0"/>
        <w:textAlignment w:val="baseline"/>
        <w:rPr>
          <w:szCs w:val="20"/>
        </w:rPr>
      </w:pPr>
      <w:r w:rsidRPr="00921ED0">
        <w:t>A 4.1–4.7. képletben:</w:t>
      </w:r>
    </w:p>
    <w:p w:rsidR="005624E3" w:rsidRPr="00921ED0" w:rsidRDefault="005624E3" w:rsidP="005624E3">
      <w:pPr>
        <w:overflowPunct w:val="0"/>
        <w:adjustRightInd w:val="0"/>
        <w:textAlignment w:val="baseline"/>
        <w:rPr>
          <w:szCs w:val="20"/>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21"/>
        <w:gridCol w:w="6521"/>
        <w:gridCol w:w="1021"/>
      </w:tblGrid>
      <w:tr w:rsidR="005624E3" w:rsidRPr="00921ED0" w:rsidTr="00101A80">
        <w:trPr>
          <w:jc w:val="center"/>
        </w:trPr>
        <w:tc>
          <w:tcPr>
            <w:tcW w:w="1021" w:type="dxa"/>
            <w:tcBorders>
              <w:top w:val="nil"/>
              <w:left w:val="nil"/>
              <w:bottom w:val="nil"/>
              <w:right w:val="nil"/>
            </w:tcBorders>
          </w:tcPr>
          <w:p w:rsidR="005624E3" w:rsidRPr="00921ED0" w:rsidRDefault="003142CA" w:rsidP="00101A80">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A parthoz viszonyított sebesség a hátramenet megkezdésekor</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(m/s)</w:t>
            </w:r>
          </w:p>
        </w:tc>
      </w:tr>
      <w:tr w:rsidR="005624E3" w:rsidRPr="00921ED0" w:rsidTr="00101A80">
        <w:trPr>
          <w:jc w:val="center"/>
        </w:trPr>
        <w:tc>
          <w:tcPr>
            <w:tcW w:w="1021" w:type="dxa"/>
            <w:tcBorders>
              <w:top w:val="nil"/>
              <w:left w:val="nil"/>
              <w:bottom w:val="nil"/>
              <w:right w:val="nil"/>
            </w:tcBorders>
          </w:tcPr>
          <w:p w:rsidR="005624E3" w:rsidRPr="00921ED0" w:rsidRDefault="003142CA" w:rsidP="00101A80">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A hátramenet időtartama</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(s)</w:t>
            </w:r>
          </w:p>
        </w:tc>
      </w:tr>
      <w:tr w:rsidR="005624E3" w:rsidRPr="00921ED0" w:rsidTr="00101A80">
        <w:trPr>
          <w:jc w:val="center"/>
        </w:trPr>
        <w:tc>
          <w:tcPr>
            <w:tcW w:w="1021" w:type="dxa"/>
            <w:tcBorders>
              <w:top w:val="nil"/>
              <w:left w:val="nil"/>
              <w:bottom w:val="nil"/>
              <w:right w:val="nil"/>
            </w:tcBorders>
          </w:tcPr>
          <w:p w:rsidR="005624E3" w:rsidRPr="00921ED0" w:rsidRDefault="003142CA" w:rsidP="00101A80">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A vízhez viszonyított sebesség a hátramenet befejezésekor</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(m/s)</w:t>
            </w:r>
          </w:p>
        </w:tc>
      </w:tr>
      <w:tr w:rsidR="005624E3" w:rsidRPr="00921ED0" w:rsidTr="00101A80">
        <w:trPr>
          <w:jc w:val="center"/>
        </w:trPr>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m:oMathPara>
              <m:oMath>
                <m:r>
                  <w:rPr>
                    <w:rFonts w:ascii="Cambria Math" w:hAnsi="Cambria Math"/>
                    <w:szCs w:val="20"/>
                  </w:rPr>
                  <m:t>D</m:t>
                </m:r>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Vízkiszorítási térfogat</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w:t>
            </w:r>
            <w:r w:rsidRPr="00921ED0">
              <w:rPr>
                <w:position w:val="6"/>
                <w:sz w:val="16"/>
              </w:rPr>
              <w:t>3</w:t>
            </w:r>
            <w:r w:rsidRPr="00921ED0">
              <w:t>)</w:t>
            </w:r>
          </w:p>
        </w:tc>
      </w:tr>
      <w:tr w:rsidR="005624E3" w:rsidRPr="00921ED0" w:rsidTr="00101A80">
        <w:trPr>
          <w:jc w:val="center"/>
        </w:trPr>
        <w:tc>
          <w:tcPr>
            <w:tcW w:w="1021" w:type="dxa"/>
            <w:tcBorders>
              <w:top w:val="nil"/>
              <w:left w:val="nil"/>
              <w:bottom w:val="nil"/>
              <w:right w:val="nil"/>
            </w:tcBorders>
          </w:tcPr>
          <w:p w:rsidR="005624E3" w:rsidRPr="00921ED0" w:rsidRDefault="003142CA" w:rsidP="00101A80">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Kikötőbakra gyakorolt húzóerő hátramenetben</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(kN)</w:t>
            </w:r>
          </w:p>
        </w:tc>
      </w:tr>
      <w:tr w:rsidR="005624E3" w:rsidRPr="00921ED0" w:rsidTr="00101A80">
        <w:trPr>
          <w:jc w:val="center"/>
        </w:trPr>
        <w:tc>
          <w:tcPr>
            <w:tcW w:w="1021" w:type="dxa"/>
            <w:tcBorders>
              <w:top w:val="nil"/>
              <w:left w:val="nil"/>
              <w:bottom w:val="nil"/>
              <w:right w:val="nil"/>
            </w:tcBorders>
          </w:tcPr>
          <w:p w:rsidR="005624E3" w:rsidRPr="00921ED0" w:rsidRDefault="003142CA" w:rsidP="00101A80">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Propulziós motor teljesítménye</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(kW)</w:t>
            </w:r>
          </w:p>
        </w:tc>
      </w:tr>
      <w:tr w:rsidR="005624E3" w:rsidRPr="00921ED0" w:rsidTr="00101A80">
        <w:trPr>
          <w:jc w:val="center"/>
        </w:trPr>
        <w:tc>
          <w:tcPr>
            <w:tcW w:w="1021" w:type="dxa"/>
            <w:tcBorders>
              <w:top w:val="nil"/>
              <w:left w:val="nil"/>
              <w:bottom w:val="nil"/>
              <w:right w:val="nil"/>
            </w:tcBorders>
          </w:tcPr>
          <w:p w:rsidR="005624E3" w:rsidRPr="00921ED0" w:rsidRDefault="003142CA" w:rsidP="00101A80">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oMath>
            </m:oMathPara>
          </w:p>
        </w:tc>
        <w:tc>
          <w:tcPr>
            <w:tcW w:w="6521" w:type="dxa"/>
            <w:tcBorders>
              <w:top w:val="nil"/>
              <w:left w:val="nil"/>
              <w:bottom w:val="nil"/>
              <w:right w:val="nil"/>
            </w:tcBorders>
          </w:tcPr>
          <w:p w:rsidR="005624E3" w:rsidRPr="00166EA9" w:rsidRDefault="005624E3" w:rsidP="00101A80">
            <w:pPr>
              <w:overflowPunct w:val="0"/>
              <w:adjustRightInd w:val="0"/>
              <w:spacing w:before="120" w:after="120"/>
              <w:ind w:left="113" w:right="113"/>
              <w:textAlignment w:val="baseline"/>
              <w:rPr>
                <w:szCs w:val="20"/>
                <w:lang w:val="es-ES"/>
              </w:rPr>
            </w:pPr>
            <w:r w:rsidRPr="00166EA9">
              <w:rPr>
                <w:lang w:val="es-ES"/>
              </w:rPr>
              <w:t>Átlagos ellenállás a II. fázisban</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(kN)</w:t>
            </w:r>
          </w:p>
        </w:tc>
      </w:tr>
      <w:tr w:rsidR="005624E3" w:rsidRPr="00921ED0" w:rsidTr="00101A80">
        <w:trPr>
          <w:jc w:val="center"/>
        </w:trPr>
        <w:tc>
          <w:tcPr>
            <w:tcW w:w="1021" w:type="dxa"/>
            <w:tcBorders>
              <w:top w:val="nil"/>
              <w:left w:val="nil"/>
              <w:bottom w:val="nil"/>
              <w:right w:val="nil"/>
            </w:tcBorders>
          </w:tcPr>
          <w:p w:rsidR="005624E3" w:rsidRPr="00921ED0" w:rsidRDefault="003142CA" w:rsidP="00101A80">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Lejtési ellenállás</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(kN)</w:t>
            </w:r>
          </w:p>
        </w:tc>
      </w:tr>
      <w:tr w:rsidR="005624E3" w:rsidRPr="00921ED0" w:rsidTr="00101A80">
        <w:trPr>
          <w:jc w:val="center"/>
        </w:trPr>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m:oMathPara>
              <m:oMath>
                <m:r>
                  <w:rPr>
                    <w:rFonts w:ascii="Cambria Math" w:hAnsi="Cambria Math"/>
                    <w:szCs w:val="20"/>
                  </w:rPr>
                  <m:t>i</m:t>
                </m:r>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Lejtés m/km-ben (ha nincs feltüntetve, 0,16 értékkel kell számolni)</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(m/km)</w:t>
            </w:r>
          </w:p>
        </w:tc>
      </w:tr>
      <w:tr w:rsidR="005624E3" w:rsidRPr="00921ED0" w:rsidTr="00101A80">
        <w:trPr>
          <w:jc w:val="center"/>
        </w:trPr>
        <w:tc>
          <w:tcPr>
            <w:tcW w:w="1021" w:type="dxa"/>
            <w:tcBorders>
              <w:top w:val="nil"/>
              <w:left w:val="nil"/>
              <w:bottom w:val="nil"/>
              <w:right w:val="nil"/>
            </w:tcBorders>
          </w:tcPr>
          <w:p w:rsidR="005624E3" w:rsidRPr="00921ED0" w:rsidRDefault="003142CA" w:rsidP="00101A80">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Átlagos áramlási sebesség</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(m/s)</w:t>
            </w:r>
          </w:p>
        </w:tc>
      </w:tr>
      <w:tr w:rsidR="005624E3" w:rsidRPr="00921ED0" w:rsidTr="00101A80">
        <w:trPr>
          <w:jc w:val="center"/>
        </w:trPr>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m:oMathPara>
              <m:oMath>
                <m:r>
                  <w:rPr>
                    <w:rFonts w:ascii="Cambria Math" w:hAnsi="Cambria Math"/>
                    <w:szCs w:val="20"/>
                  </w:rPr>
                  <m:t>g</m:t>
                </m:r>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Gravitációs gyorsulás (9,81)</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(m/s</w:t>
            </w:r>
            <w:r w:rsidRPr="00921ED0">
              <w:rPr>
                <w:vertAlign w:val="superscript"/>
              </w:rPr>
              <w:t>2</w:t>
            </w:r>
            <w:r w:rsidRPr="00921ED0">
              <w:t>)</w:t>
            </w:r>
          </w:p>
        </w:tc>
      </w:tr>
      <w:tr w:rsidR="005624E3" w:rsidRPr="00921ED0" w:rsidTr="00101A80">
        <w:trPr>
          <w:jc w:val="center"/>
        </w:trPr>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m:oMathPara>
              <m:oMath>
                <m:r>
                  <w:rPr>
                    <w:rFonts w:ascii="Cambria Math" w:hAnsi="Cambria Math"/>
                    <w:szCs w:val="20"/>
                  </w:rPr>
                  <m:t>ρ</m:t>
                </m:r>
              </m:oMath>
            </m:oMathPara>
          </w:p>
        </w:tc>
        <w:tc>
          <w:tcPr>
            <w:tcW w:w="6521" w:type="dxa"/>
            <w:tcBorders>
              <w:top w:val="nil"/>
              <w:left w:val="nil"/>
              <w:bottom w:val="nil"/>
              <w:right w:val="nil"/>
            </w:tcBorders>
          </w:tcPr>
          <w:p w:rsidR="005624E3" w:rsidRPr="00166EA9" w:rsidRDefault="005624E3" w:rsidP="00101A80">
            <w:pPr>
              <w:overflowPunct w:val="0"/>
              <w:adjustRightInd w:val="0"/>
              <w:spacing w:before="120" w:after="120"/>
              <w:ind w:left="113" w:right="113"/>
              <w:textAlignment w:val="baseline"/>
              <w:rPr>
                <w:szCs w:val="20"/>
                <w:lang w:val="pt-PT"/>
              </w:rPr>
            </w:pPr>
            <w:r w:rsidRPr="00166EA9">
              <w:rPr>
                <w:lang w:val="pt-PT"/>
              </w:rPr>
              <w:t xml:space="preserve">A víz sűrűsége, </w:t>
            </w:r>
            <m:oMath>
              <m:r>
                <w:rPr>
                  <w:rFonts w:ascii="Cambria Math" w:hAnsi="Cambria Math"/>
                  <w:szCs w:val="20"/>
                </w:rPr>
                <m:t>ρ</m:t>
              </m:r>
            </m:oMath>
            <w:r w:rsidRPr="00166EA9">
              <w:rPr>
                <w:lang w:val="pt-PT"/>
              </w:rPr>
              <w:t xml:space="preserve"> édesvíz = 1000</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(kg/m</w:t>
            </w:r>
            <w:r w:rsidRPr="00921ED0">
              <w:rPr>
                <w:position w:val="6"/>
                <w:sz w:val="16"/>
              </w:rPr>
              <w:t>3</w:t>
            </w:r>
            <w:r w:rsidRPr="00921ED0">
              <w:t>)</w:t>
            </w:r>
          </w:p>
        </w:tc>
      </w:tr>
      <w:tr w:rsidR="005624E3" w:rsidRPr="00921ED0" w:rsidTr="00101A80">
        <w:trPr>
          <w:jc w:val="center"/>
        </w:trPr>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m:oMathPara>
              <m:oMath>
                <m:r>
                  <w:rPr>
                    <w:rFonts w:ascii="Cambria Math" w:hAnsi="Cambria Math"/>
                    <w:szCs w:val="20"/>
                  </w:rPr>
                  <m:t>T</m:t>
                </m:r>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Maximális merülés (hajó, illetve kötelék)</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w:t>
            </w:r>
          </w:p>
        </w:tc>
      </w:tr>
      <w:tr w:rsidR="005624E3" w:rsidRPr="00921ED0" w:rsidTr="00101A80">
        <w:trPr>
          <w:jc w:val="center"/>
        </w:trPr>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m:oMathPara>
              <m:oMath>
                <m:r>
                  <w:rPr>
                    <w:rFonts w:ascii="Cambria Math" w:hAnsi="Cambria Math"/>
                    <w:szCs w:val="20"/>
                  </w:rPr>
                  <m:t>h</m:t>
                </m:r>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Vízmélység</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w:t>
            </w:r>
          </w:p>
        </w:tc>
      </w:tr>
      <w:tr w:rsidR="005624E3" w:rsidRPr="00921ED0" w:rsidTr="00101A80">
        <w:trPr>
          <w:jc w:val="center"/>
        </w:trPr>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m:oMathPara>
              <m:oMath>
                <m:r>
                  <w:rPr>
                    <w:rFonts w:ascii="Cambria Math" w:hAnsi="Cambria Math"/>
                    <w:szCs w:val="20"/>
                  </w:rPr>
                  <m:t>B</m:t>
                </m:r>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Szélesség</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w:t>
            </w:r>
          </w:p>
        </w:tc>
      </w:tr>
      <w:tr w:rsidR="005624E3" w:rsidRPr="00921ED0" w:rsidTr="00101A80">
        <w:trPr>
          <w:jc w:val="center"/>
        </w:trPr>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m:oMathPara>
              <m:oMath>
                <m:r>
                  <w:rPr>
                    <w:rFonts w:ascii="Cambria Math" w:hAnsi="Cambria Math"/>
                    <w:szCs w:val="20"/>
                  </w:rPr>
                  <m:t>L</m:t>
                </m:r>
              </m:oMath>
            </m:oMathPara>
          </w:p>
        </w:tc>
        <w:tc>
          <w:tcPr>
            <w:tcW w:w="65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Hosszúság</w:t>
            </w:r>
          </w:p>
        </w:tc>
        <w:tc>
          <w:tcPr>
            <w:tcW w:w="1021" w:type="dxa"/>
            <w:tcBorders>
              <w:top w:val="nil"/>
              <w:left w:val="nil"/>
              <w:bottom w:val="nil"/>
              <w:right w:val="nil"/>
            </w:tcBorders>
          </w:tcPr>
          <w:p w:rsidR="005624E3" w:rsidRPr="00921ED0" w:rsidRDefault="005624E3" w:rsidP="00101A80">
            <w:pPr>
              <w:overflowPunct w:val="0"/>
              <w:adjustRightInd w:val="0"/>
              <w:spacing w:before="120" w:after="120"/>
              <w:ind w:left="113" w:right="113"/>
              <w:textAlignment w:val="baseline"/>
              <w:rPr>
                <w:szCs w:val="20"/>
              </w:rPr>
            </w:pPr>
            <w:r w:rsidRPr="00921ED0">
              <w:t>(m)</w:t>
            </w:r>
          </w:p>
        </w:tc>
      </w:tr>
    </w:tbl>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r w:rsidRPr="00921ED0">
        <w:br w:type="page"/>
      </w:r>
    </w:p>
    <w:p w:rsidR="005624E3" w:rsidRPr="00921ED0" w:rsidRDefault="005624E3" w:rsidP="005624E3">
      <w:pPr>
        <w:spacing w:line="240" w:lineRule="atLeast"/>
        <w:ind w:left="567"/>
      </w:pPr>
      <w:r w:rsidRPr="00921ED0">
        <w:t>A 4.1., 4.2., 4.3., 4.4., 4.5., 4.6. és 4.7. képletben szereplő együtthatók az alábbi táblázatokból olvashatók ki.</w:t>
      </w: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tabs>
          <w:tab w:val="left" w:pos="567"/>
        </w:tabs>
        <w:overflowPunct w:val="0"/>
        <w:adjustRightInd w:val="0"/>
        <w:spacing w:line="240" w:lineRule="atLeast"/>
        <w:ind w:left="567"/>
        <w:textAlignment w:val="baseline"/>
        <w:rPr>
          <w:b/>
          <w:szCs w:val="20"/>
        </w:rPr>
      </w:pPr>
      <w:r w:rsidRPr="00921ED0">
        <w:rPr>
          <w:b/>
        </w:rPr>
        <w:t xml:space="preserve">1. táblázat: </w:t>
      </w:r>
      <m:oMath>
        <m:r>
          <w:rPr>
            <w:rFonts w:ascii="Cambria Math" w:hAnsi="Cambria Math"/>
            <w:szCs w:val="20"/>
          </w:rPr>
          <m:t>k</m:t>
        </m:r>
      </m:oMath>
      <w:r w:rsidRPr="00921ED0">
        <w:rPr>
          <w:b/>
        </w:rPr>
        <w:t xml:space="preserve"> tényezők az alábbiakhoz:</w:t>
      </w:r>
    </w:p>
    <w:p w:rsidR="005624E3" w:rsidRPr="00921ED0" w:rsidRDefault="005624E3" w:rsidP="005624E3">
      <w:pPr>
        <w:spacing w:before="60" w:line="240" w:lineRule="atLeast"/>
        <w:ind w:left="992"/>
      </w:pPr>
      <w:r w:rsidRPr="00921ED0">
        <w:t>a)</w:t>
      </w:r>
      <w:r w:rsidRPr="00921ED0">
        <w:tab/>
        <w:t>ÖNJÁRÓ HAJÓK és egy sorban haladó KÖTELÉKEK</w:t>
      </w:r>
    </w:p>
    <w:p w:rsidR="005624E3" w:rsidRPr="00921ED0" w:rsidRDefault="005624E3" w:rsidP="005624E3">
      <w:pPr>
        <w:spacing w:before="60" w:line="240" w:lineRule="atLeast"/>
        <w:ind w:left="992"/>
      </w:pPr>
      <w:r w:rsidRPr="00921ED0">
        <w:t>b)</w:t>
      </w:r>
      <w:r w:rsidRPr="00921ED0">
        <w:tab/>
        <w:t>kétsorosan csatolt KÖTELÉKEK</w:t>
      </w:r>
    </w:p>
    <w:p w:rsidR="005624E3" w:rsidRPr="00921ED0" w:rsidRDefault="005624E3" w:rsidP="005624E3">
      <w:pPr>
        <w:spacing w:before="60" w:line="240" w:lineRule="atLeast"/>
        <w:ind w:left="992"/>
      </w:pPr>
      <w:r w:rsidRPr="00921ED0">
        <w:t>c)</w:t>
      </w:r>
      <w:r w:rsidRPr="00921ED0">
        <w:tab/>
        <w:t>háromsorosan csatolt KÖTELÉKEK</w:t>
      </w:r>
    </w:p>
    <w:p w:rsidR="005624E3" w:rsidRPr="00921ED0" w:rsidRDefault="005624E3" w:rsidP="005624E3">
      <w:pPr>
        <w:overflowPunct w:val="0"/>
        <w:adjustRightInd w:val="0"/>
        <w:textAlignment w:val="baseline"/>
        <w:rPr>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34"/>
        <w:gridCol w:w="1134"/>
        <w:gridCol w:w="1134"/>
        <w:gridCol w:w="1134"/>
        <w:gridCol w:w="1701"/>
      </w:tblGrid>
      <w:tr w:rsidR="005624E3" w:rsidRPr="00921ED0" w:rsidTr="00101A80">
        <w:trPr>
          <w:jc w:val="center"/>
        </w:trPr>
        <w:tc>
          <w:tcPr>
            <w:tcW w:w="1134" w:type="dxa"/>
            <w:vAlign w:val="center"/>
          </w:tcPr>
          <w:p w:rsidR="005624E3" w:rsidRPr="00921ED0" w:rsidRDefault="005624E3" w:rsidP="00101A80">
            <w:pPr>
              <w:tabs>
                <w:tab w:val="left" w:pos="288"/>
                <w:tab w:val="left" w:pos="1872"/>
                <w:tab w:val="left" w:pos="2952"/>
                <w:tab w:val="left" w:pos="3888"/>
                <w:tab w:val="left" w:pos="4824"/>
              </w:tabs>
              <w:overflowPunct w:val="0"/>
              <w:adjustRightInd w:val="0"/>
              <w:spacing w:before="60" w:after="60" w:line="240" w:lineRule="atLeast"/>
              <w:ind w:left="113" w:right="113"/>
              <w:textAlignment w:val="baseline"/>
              <w:rPr>
                <w:sz w:val="18"/>
                <w:szCs w:val="18"/>
              </w:rPr>
            </w:pPr>
          </w:p>
        </w:tc>
        <w:tc>
          <w:tcPr>
            <w:tcW w:w="1134" w:type="dxa"/>
          </w:tcPr>
          <w:p w:rsidR="005624E3" w:rsidRPr="00921ED0" w:rsidRDefault="005624E3" w:rsidP="00101A80">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rPr>
            </w:pPr>
            <w:r w:rsidRPr="00921ED0">
              <w:rPr>
                <w:sz w:val="18"/>
              </w:rPr>
              <w:t>a)</w:t>
            </w:r>
          </w:p>
        </w:tc>
        <w:tc>
          <w:tcPr>
            <w:tcW w:w="1134" w:type="dxa"/>
          </w:tcPr>
          <w:p w:rsidR="005624E3" w:rsidRPr="00921ED0" w:rsidRDefault="005624E3" w:rsidP="00101A80">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rPr>
            </w:pPr>
            <w:r w:rsidRPr="00921ED0">
              <w:rPr>
                <w:sz w:val="18"/>
              </w:rPr>
              <w:t>b)</w:t>
            </w:r>
          </w:p>
        </w:tc>
        <w:tc>
          <w:tcPr>
            <w:tcW w:w="1134" w:type="dxa"/>
          </w:tcPr>
          <w:p w:rsidR="005624E3" w:rsidRPr="00921ED0" w:rsidRDefault="005624E3" w:rsidP="00101A80">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rPr>
            </w:pPr>
            <w:r w:rsidRPr="00921ED0">
              <w:rPr>
                <w:sz w:val="18"/>
              </w:rPr>
              <w:t>c)</w:t>
            </w:r>
          </w:p>
        </w:tc>
        <w:tc>
          <w:tcPr>
            <w:tcW w:w="1701" w:type="dxa"/>
          </w:tcPr>
          <w:p w:rsidR="005624E3" w:rsidRPr="00921ED0" w:rsidRDefault="005624E3" w:rsidP="00101A80">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rPr>
            </w:pPr>
            <w:r w:rsidRPr="00921ED0">
              <w:rPr>
                <w:sz w:val="18"/>
              </w:rPr>
              <w:t>Mértékegység</w:t>
            </w:r>
          </w:p>
        </w:tc>
      </w:tr>
      <w:tr w:rsidR="005624E3" w:rsidRPr="00921ED0" w:rsidTr="00101A80">
        <w:trPr>
          <w:jc w:val="center"/>
        </w:trPr>
        <w:tc>
          <w:tcPr>
            <w:tcW w:w="1134" w:type="dxa"/>
          </w:tcPr>
          <w:p w:rsidR="005624E3" w:rsidRPr="00921ED0" w:rsidRDefault="005624E3" w:rsidP="00101A80">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rPr>
            </w:pPr>
          </w:p>
        </w:tc>
        <w:tc>
          <w:tcPr>
            <w:tcW w:w="1134" w:type="dxa"/>
          </w:tcPr>
          <w:p w:rsidR="005624E3" w:rsidRPr="00921ED0" w:rsidRDefault="005624E3" w:rsidP="00101A80">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rPr>
            </w:pPr>
          </w:p>
        </w:tc>
        <w:tc>
          <w:tcPr>
            <w:tcW w:w="1134" w:type="dxa"/>
          </w:tcPr>
          <w:p w:rsidR="005624E3" w:rsidRPr="00921ED0" w:rsidRDefault="005624E3" w:rsidP="00101A80">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rPr>
            </w:pPr>
          </w:p>
        </w:tc>
        <w:tc>
          <w:tcPr>
            <w:tcW w:w="1134" w:type="dxa"/>
          </w:tcPr>
          <w:p w:rsidR="005624E3" w:rsidRPr="00921ED0" w:rsidRDefault="005624E3" w:rsidP="00101A80">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rPr>
            </w:pPr>
          </w:p>
        </w:tc>
        <w:tc>
          <w:tcPr>
            <w:tcW w:w="1701" w:type="dxa"/>
          </w:tcPr>
          <w:p w:rsidR="005624E3" w:rsidRPr="00921ED0" w:rsidRDefault="005624E3" w:rsidP="00101A80">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rPr>
            </w:pPr>
          </w:p>
        </w:tc>
      </w:tr>
      <w:tr w:rsidR="005624E3" w:rsidRPr="00921ED0" w:rsidTr="00101A80">
        <w:trPr>
          <w:jc w:val="center"/>
        </w:trPr>
        <w:tc>
          <w:tcPr>
            <w:tcW w:w="1134" w:type="dxa"/>
          </w:tcPr>
          <w:p w:rsidR="005624E3" w:rsidRPr="00921ED0" w:rsidRDefault="003142CA" w:rsidP="00101A80">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oMath>
            </m:oMathPara>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0,95</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0,95</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0,95</w:t>
            </w:r>
          </w:p>
        </w:tc>
        <w:tc>
          <w:tcPr>
            <w:tcW w:w="1701" w:type="dxa"/>
          </w:tcPr>
          <w:p w:rsidR="005624E3" w:rsidRPr="00921ED0" w:rsidRDefault="005624E3" w:rsidP="00101A80">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rPr>
            </w:pPr>
            <w:r w:rsidRPr="00921ED0">
              <w:rPr>
                <w:sz w:val="18"/>
              </w:rPr>
              <w:t>-</w:t>
            </w:r>
          </w:p>
        </w:tc>
      </w:tr>
      <w:tr w:rsidR="005624E3" w:rsidRPr="00921ED0" w:rsidTr="00101A80">
        <w:trPr>
          <w:jc w:val="center"/>
        </w:trPr>
        <w:tc>
          <w:tcPr>
            <w:tcW w:w="1134" w:type="dxa"/>
          </w:tcPr>
          <w:p w:rsidR="005624E3" w:rsidRPr="00921ED0" w:rsidRDefault="003142CA" w:rsidP="00101A80">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m:oMathPara>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0,115</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0,120</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0,125</w:t>
            </w:r>
          </w:p>
        </w:tc>
        <w:tc>
          <w:tcPr>
            <w:tcW w:w="1701" w:type="dxa"/>
          </w:tcPr>
          <w:p w:rsidR="005624E3" w:rsidRPr="00921ED0" w:rsidRDefault="003142CA" w:rsidP="00101A80">
            <w:pPr>
              <w:tabs>
                <w:tab w:val="left" w:pos="567"/>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f>
                  <m:fPr>
                    <m:ctrlPr>
                      <w:rPr>
                        <w:rFonts w:ascii="Cambria Math" w:hAnsi="Cambria Math"/>
                        <w:i/>
                        <w:sz w:val="18"/>
                        <w:szCs w:val="18"/>
                      </w:rPr>
                    </m:ctrlPr>
                  </m:fPr>
                  <m:num>
                    <m:sSub>
                      <m:sSubPr>
                        <m:ctrlPr>
                          <w:rPr>
                            <w:rFonts w:ascii="Cambria Math" w:hAnsi="Cambria Math"/>
                            <w:i/>
                            <w:sz w:val="18"/>
                            <w:szCs w:val="18"/>
                          </w:rPr>
                        </m:ctrlPr>
                      </m:sSubPr>
                      <m:e>
                        <m:r>
                          <w:rPr>
                            <w:rFonts w:ascii="Cambria Math" w:hAnsi="Cambria Math"/>
                            <w:sz w:val="18"/>
                            <w:szCs w:val="18"/>
                          </w:rPr>
                          <m:t>k</m:t>
                        </m:r>
                      </m:e>
                      <m:sub>
                        <m:r>
                          <w:rPr>
                            <w:rFonts w:ascii="Cambria Math" w:hAnsi="Cambria Math"/>
                            <w:sz w:val="18"/>
                            <w:szCs w:val="18"/>
                          </w:rPr>
                          <m:t>g</m:t>
                        </m:r>
                      </m:sub>
                    </m:sSub>
                    <m:r>
                      <w:rPr>
                        <w:rFonts w:ascii="Cambria Math" w:hAnsi="Cambria Math"/>
                        <w:sz w:val="18"/>
                        <w:szCs w:val="18"/>
                      </w:rPr>
                      <m:t xml:space="preserve"> ∙ </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num>
                  <m:den>
                    <m:sSup>
                      <m:sSupPr>
                        <m:ctrlPr>
                          <w:rPr>
                            <w:rFonts w:ascii="Cambria Math" w:hAnsi="Cambria Math"/>
                            <w:i/>
                            <w:sz w:val="18"/>
                            <w:szCs w:val="18"/>
                          </w:rPr>
                        </m:ctrlPr>
                      </m:sSupPr>
                      <m:e>
                        <m:r>
                          <w:rPr>
                            <w:rFonts w:ascii="Cambria Math" w:hAnsi="Cambria Math"/>
                            <w:sz w:val="18"/>
                            <w:szCs w:val="18"/>
                          </w:rPr>
                          <m:t>m</m:t>
                        </m:r>
                      </m:e>
                      <m:sup>
                        <m:r>
                          <w:rPr>
                            <w:rFonts w:ascii="Cambria Math" w:hAnsi="Cambria Math"/>
                            <w:sz w:val="18"/>
                            <w:szCs w:val="18"/>
                          </w:rPr>
                          <m:t>4</m:t>
                        </m:r>
                      </m:sup>
                    </m:sSup>
                  </m:den>
                </m:f>
              </m:oMath>
            </m:oMathPara>
          </w:p>
        </w:tc>
      </w:tr>
      <w:tr w:rsidR="005624E3" w:rsidRPr="00921ED0" w:rsidTr="00101A80">
        <w:trPr>
          <w:jc w:val="center"/>
        </w:trPr>
        <w:tc>
          <w:tcPr>
            <w:tcW w:w="1134" w:type="dxa"/>
          </w:tcPr>
          <w:p w:rsidR="005624E3" w:rsidRPr="00921ED0" w:rsidRDefault="003142CA" w:rsidP="00101A80">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m:oMathPara>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1,20</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1,15</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1,10</w:t>
            </w:r>
          </w:p>
        </w:tc>
        <w:tc>
          <w:tcPr>
            <w:tcW w:w="1701" w:type="dxa"/>
          </w:tcPr>
          <w:p w:rsidR="005624E3" w:rsidRPr="00921ED0" w:rsidRDefault="005624E3" w:rsidP="00101A80">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rPr>
            </w:pPr>
            <w:r w:rsidRPr="00921ED0">
              <w:rPr>
                <w:sz w:val="18"/>
              </w:rPr>
              <w:t>-</w:t>
            </w:r>
          </w:p>
        </w:tc>
      </w:tr>
      <w:tr w:rsidR="005624E3" w:rsidRPr="00921ED0" w:rsidTr="00101A80">
        <w:trPr>
          <w:jc w:val="center"/>
        </w:trPr>
        <w:tc>
          <w:tcPr>
            <w:tcW w:w="1134" w:type="dxa"/>
          </w:tcPr>
          <w:p w:rsidR="005624E3" w:rsidRPr="00921ED0" w:rsidRDefault="003142CA" w:rsidP="00101A80">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m:oMathPara>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0,48</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0,48</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0,48</w:t>
            </w:r>
          </w:p>
        </w:tc>
        <w:tc>
          <w:tcPr>
            <w:tcW w:w="1701" w:type="dxa"/>
          </w:tcPr>
          <w:p w:rsidR="005624E3" w:rsidRPr="00921ED0" w:rsidRDefault="005624E3" w:rsidP="00101A80">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rPr>
            </w:pPr>
            <w:r w:rsidRPr="00921ED0">
              <w:rPr>
                <w:sz w:val="18"/>
              </w:rPr>
              <w:t>-</w:t>
            </w:r>
          </w:p>
        </w:tc>
      </w:tr>
      <w:tr w:rsidR="005624E3" w:rsidRPr="00921ED0" w:rsidTr="00101A80">
        <w:trPr>
          <w:jc w:val="center"/>
        </w:trPr>
        <w:tc>
          <w:tcPr>
            <w:tcW w:w="1134" w:type="dxa"/>
          </w:tcPr>
          <w:p w:rsidR="005624E3" w:rsidRPr="00921ED0" w:rsidRDefault="003142CA" w:rsidP="00101A80">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m:oMathPara>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0,90</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0,85</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0,80</w:t>
            </w:r>
          </w:p>
        </w:tc>
        <w:tc>
          <w:tcPr>
            <w:tcW w:w="1701" w:type="dxa"/>
          </w:tcPr>
          <w:p w:rsidR="005624E3" w:rsidRPr="00921ED0" w:rsidRDefault="005624E3" w:rsidP="00101A80">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rPr>
            </w:pPr>
            <w:r w:rsidRPr="00921ED0">
              <w:rPr>
                <w:sz w:val="18"/>
              </w:rPr>
              <w:t>-</w:t>
            </w:r>
          </w:p>
        </w:tc>
      </w:tr>
      <w:tr w:rsidR="005624E3" w:rsidRPr="00921ED0" w:rsidTr="00101A80">
        <w:trPr>
          <w:jc w:val="center"/>
        </w:trPr>
        <w:tc>
          <w:tcPr>
            <w:tcW w:w="1134" w:type="dxa"/>
          </w:tcPr>
          <w:p w:rsidR="005624E3" w:rsidRPr="00921ED0" w:rsidRDefault="003142CA" w:rsidP="00101A80">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m:oMathPara>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0,58</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0,55</w:t>
            </w:r>
          </w:p>
        </w:tc>
        <w:tc>
          <w:tcPr>
            <w:tcW w:w="1134" w:type="dxa"/>
          </w:tcPr>
          <w:p w:rsidR="005624E3" w:rsidRPr="00921ED0" w:rsidRDefault="005624E3" w:rsidP="00101A80">
            <w:pPr>
              <w:tabs>
                <w:tab w:val="decimal" w:pos="454"/>
              </w:tabs>
              <w:overflowPunct w:val="0"/>
              <w:adjustRightInd w:val="0"/>
              <w:spacing w:before="60" w:after="60" w:line="240" w:lineRule="atLeast"/>
              <w:ind w:left="113" w:right="113"/>
              <w:textAlignment w:val="baseline"/>
              <w:rPr>
                <w:sz w:val="18"/>
                <w:szCs w:val="18"/>
              </w:rPr>
            </w:pPr>
            <w:r w:rsidRPr="00921ED0">
              <w:rPr>
                <w:sz w:val="18"/>
              </w:rPr>
              <w:t>0,52</w:t>
            </w:r>
          </w:p>
        </w:tc>
        <w:tc>
          <w:tcPr>
            <w:tcW w:w="1701" w:type="dxa"/>
          </w:tcPr>
          <w:p w:rsidR="005624E3" w:rsidRPr="00921ED0" w:rsidRDefault="005624E3" w:rsidP="00101A80">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rPr>
            </w:pPr>
            <w:r w:rsidRPr="00921ED0">
              <w:rPr>
                <w:sz w:val="18"/>
              </w:rPr>
              <w:t>-</w:t>
            </w:r>
          </w:p>
        </w:tc>
      </w:tr>
    </w:tbl>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tabs>
          <w:tab w:val="left" w:pos="567"/>
        </w:tabs>
        <w:overflowPunct w:val="0"/>
        <w:adjustRightInd w:val="0"/>
        <w:spacing w:line="240" w:lineRule="atLeast"/>
        <w:ind w:left="567"/>
        <w:textAlignment w:val="baseline"/>
        <w:rPr>
          <w:b/>
          <w:bCs/>
          <w:szCs w:val="20"/>
        </w:rPr>
      </w:pPr>
      <w:r w:rsidRPr="00921ED0">
        <w:rPr>
          <w:b/>
        </w:rPr>
        <w:t xml:space="preserve">2. táblázat: Az </w:t>
      </w:r>
      <m:oMath>
        <m:r>
          <m:rPr>
            <m:sty m:val="bi"/>
          </m:rPr>
          <w:rPr>
            <w:rFonts w:ascii="Cambria Math" w:hAnsi="Cambria Math"/>
            <w:szCs w:val="20"/>
          </w:rPr>
          <m:t>f</m:t>
        </m:r>
      </m:oMath>
      <w:r w:rsidRPr="00921ED0">
        <w:rPr>
          <w:b/>
        </w:rPr>
        <w:t xml:space="preserve"> együttható a kikötőbakra gyakorolt hátrameneti húzóerő és a propulziós motorok teljesítménye közötti arányhoz</w:t>
      </w: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649"/>
        <w:gridCol w:w="1247"/>
        <w:gridCol w:w="1247"/>
      </w:tblGrid>
      <w:tr w:rsidR="005624E3" w:rsidRPr="00921ED0" w:rsidTr="00101A80">
        <w:trPr>
          <w:jc w:val="center"/>
        </w:trPr>
        <w:tc>
          <w:tcPr>
            <w:tcW w:w="4649" w:type="dxa"/>
          </w:tcPr>
          <w:p w:rsidR="005624E3" w:rsidRPr="00921ED0" w:rsidRDefault="005624E3" w:rsidP="00101A80">
            <w:pPr>
              <w:overflowPunct w:val="0"/>
              <w:adjustRightInd w:val="0"/>
              <w:spacing w:before="60" w:after="60" w:line="240" w:lineRule="exact"/>
              <w:ind w:left="113" w:right="113"/>
              <w:jc w:val="center"/>
              <w:textAlignment w:val="baseline"/>
              <w:rPr>
                <w:sz w:val="18"/>
                <w:szCs w:val="18"/>
              </w:rPr>
            </w:pPr>
            <w:r w:rsidRPr="00921ED0">
              <w:rPr>
                <w:sz w:val="18"/>
              </w:rPr>
              <w:t>Propulziós rendszer</w:t>
            </w:r>
          </w:p>
        </w:tc>
        <w:tc>
          <w:tcPr>
            <w:tcW w:w="1247" w:type="dxa"/>
          </w:tcPr>
          <w:p w:rsidR="005624E3" w:rsidRPr="00921ED0" w:rsidRDefault="005624E3" w:rsidP="00101A80">
            <w:pPr>
              <w:tabs>
                <w:tab w:val="left" w:pos="567"/>
              </w:tabs>
              <w:overflowPunct w:val="0"/>
              <w:adjustRightInd w:val="0"/>
              <w:spacing w:before="60" w:after="60" w:line="240" w:lineRule="exact"/>
              <w:ind w:left="113" w:right="113"/>
              <w:jc w:val="center"/>
              <w:textAlignment w:val="baseline"/>
              <w:rPr>
                <w:sz w:val="18"/>
                <w:szCs w:val="18"/>
              </w:rPr>
            </w:pPr>
            <m:oMathPara>
              <m:oMath>
                <m:r>
                  <w:rPr>
                    <w:rFonts w:ascii="Cambria Math" w:hAnsi="Cambria Math"/>
                    <w:sz w:val="18"/>
                    <w:szCs w:val="18"/>
                  </w:rPr>
                  <m:t>f</m:t>
                </m:r>
              </m:oMath>
            </m:oMathPara>
          </w:p>
        </w:tc>
        <w:tc>
          <w:tcPr>
            <w:tcW w:w="1247" w:type="dxa"/>
          </w:tcPr>
          <w:p w:rsidR="005624E3" w:rsidRPr="00921ED0" w:rsidRDefault="005624E3" w:rsidP="00101A80">
            <w:pPr>
              <w:overflowPunct w:val="0"/>
              <w:adjustRightInd w:val="0"/>
              <w:spacing w:before="60" w:after="60" w:line="240" w:lineRule="exact"/>
              <w:ind w:left="113" w:right="113"/>
              <w:jc w:val="center"/>
              <w:textAlignment w:val="baseline"/>
              <w:rPr>
                <w:sz w:val="18"/>
                <w:szCs w:val="18"/>
              </w:rPr>
            </w:pPr>
            <w:r w:rsidRPr="00921ED0">
              <w:rPr>
                <w:sz w:val="18"/>
              </w:rPr>
              <w:t>Mértékegység</w:t>
            </w:r>
          </w:p>
        </w:tc>
      </w:tr>
      <w:tr w:rsidR="005624E3" w:rsidRPr="00921ED0" w:rsidTr="00101A80">
        <w:trPr>
          <w:jc w:val="center"/>
        </w:trPr>
        <w:tc>
          <w:tcPr>
            <w:tcW w:w="4649" w:type="dxa"/>
          </w:tcPr>
          <w:p w:rsidR="005624E3" w:rsidRPr="00921ED0" w:rsidRDefault="005624E3" w:rsidP="00101A80">
            <w:pPr>
              <w:overflowPunct w:val="0"/>
              <w:adjustRightInd w:val="0"/>
              <w:spacing w:before="60" w:after="60" w:line="240" w:lineRule="exact"/>
              <w:ind w:left="113" w:right="113"/>
              <w:textAlignment w:val="baseline"/>
              <w:rPr>
                <w:sz w:val="18"/>
                <w:szCs w:val="18"/>
              </w:rPr>
            </w:pPr>
            <w:r w:rsidRPr="00921ED0">
              <w:rPr>
                <w:sz w:val="18"/>
              </w:rPr>
              <w:t>Lekerekített kilépő peremű, új típusú gyűrű</w:t>
            </w:r>
          </w:p>
        </w:tc>
        <w:tc>
          <w:tcPr>
            <w:tcW w:w="1247" w:type="dxa"/>
          </w:tcPr>
          <w:p w:rsidR="005624E3" w:rsidRPr="00921ED0" w:rsidRDefault="005624E3" w:rsidP="00101A80">
            <w:pPr>
              <w:tabs>
                <w:tab w:val="decimal" w:pos="454"/>
              </w:tabs>
              <w:overflowPunct w:val="0"/>
              <w:adjustRightInd w:val="0"/>
              <w:spacing w:before="60" w:after="60" w:line="240" w:lineRule="exact"/>
              <w:ind w:left="113" w:right="113"/>
              <w:textAlignment w:val="baseline"/>
              <w:rPr>
                <w:sz w:val="18"/>
                <w:szCs w:val="18"/>
              </w:rPr>
            </w:pPr>
            <w:r w:rsidRPr="00921ED0">
              <w:rPr>
                <w:sz w:val="18"/>
              </w:rPr>
              <w:t>0,118</w:t>
            </w:r>
          </w:p>
        </w:tc>
        <w:tc>
          <w:tcPr>
            <w:tcW w:w="1247" w:type="dxa"/>
          </w:tcPr>
          <w:p w:rsidR="005624E3" w:rsidRPr="00921ED0" w:rsidRDefault="005624E3" w:rsidP="00101A80">
            <w:pPr>
              <w:overflowPunct w:val="0"/>
              <w:adjustRightInd w:val="0"/>
              <w:spacing w:before="60" w:after="60" w:line="240" w:lineRule="exact"/>
              <w:ind w:left="113" w:right="113"/>
              <w:jc w:val="center"/>
              <w:textAlignment w:val="baseline"/>
              <w:rPr>
                <w:sz w:val="18"/>
                <w:szCs w:val="18"/>
              </w:rPr>
            </w:pPr>
            <w:r w:rsidRPr="00921ED0">
              <w:rPr>
                <w:sz w:val="18"/>
              </w:rPr>
              <w:t>kN/kW</w:t>
            </w:r>
          </w:p>
        </w:tc>
      </w:tr>
      <w:tr w:rsidR="005624E3" w:rsidRPr="00921ED0" w:rsidTr="00101A80">
        <w:trPr>
          <w:jc w:val="center"/>
        </w:trPr>
        <w:tc>
          <w:tcPr>
            <w:tcW w:w="4649" w:type="dxa"/>
          </w:tcPr>
          <w:p w:rsidR="005624E3" w:rsidRPr="00921ED0" w:rsidRDefault="005624E3" w:rsidP="00101A80">
            <w:pPr>
              <w:overflowPunct w:val="0"/>
              <w:adjustRightInd w:val="0"/>
              <w:spacing w:before="60" w:after="60" w:line="240" w:lineRule="exact"/>
              <w:ind w:left="113" w:right="113"/>
              <w:textAlignment w:val="baseline"/>
              <w:rPr>
                <w:sz w:val="18"/>
                <w:szCs w:val="18"/>
              </w:rPr>
            </w:pPr>
            <w:r w:rsidRPr="00921ED0">
              <w:rPr>
                <w:sz w:val="18"/>
              </w:rPr>
              <w:t>Éles kilépő peremű, régi típusú gyűrű</w:t>
            </w:r>
          </w:p>
        </w:tc>
        <w:tc>
          <w:tcPr>
            <w:tcW w:w="1247" w:type="dxa"/>
          </w:tcPr>
          <w:p w:rsidR="005624E3" w:rsidRPr="00921ED0" w:rsidRDefault="005624E3" w:rsidP="00101A80">
            <w:pPr>
              <w:tabs>
                <w:tab w:val="decimal" w:pos="454"/>
              </w:tabs>
              <w:overflowPunct w:val="0"/>
              <w:adjustRightInd w:val="0"/>
              <w:spacing w:before="60" w:after="60" w:line="240" w:lineRule="exact"/>
              <w:ind w:left="113" w:right="113"/>
              <w:textAlignment w:val="baseline"/>
              <w:rPr>
                <w:sz w:val="18"/>
                <w:szCs w:val="18"/>
              </w:rPr>
            </w:pPr>
            <w:r w:rsidRPr="00921ED0">
              <w:rPr>
                <w:sz w:val="18"/>
              </w:rPr>
              <w:t>0,112</w:t>
            </w:r>
          </w:p>
        </w:tc>
        <w:tc>
          <w:tcPr>
            <w:tcW w:w="1247" w:type="dxa"/>
          </w:tcPr>
          <w:p w:rsidR="005624E3" w:rsidRPr="00921ED0" w:rsidRDefault="005624E3" w:rsidP="00101A80">
            <w:pPr>
              <w:overflowPunct w:val="0"/>
              <w:adjustRightInd w:val="0"/>
              <w:spacing w:before="60" w:after="60" w:line="240" w:lineRule="exact"/>
              <w:ind w:left="113" w:right="113"/>
              <w:jc w:val="center"/>
              <w:textAlignment w:val="baseline"/>
              <w:rPr>
                <w:sz w:val="18"/>
                <w:szCs w:val="18"/>
              </w:rPr>
            </w:pPr>
            <w:r w:rsidRPr="00921ED0">
              <w:rPr>
                <w:sz w:val="18"/>
              </w:rPr>
              <w:t>kN/kW</w:t>
            </w:r>
          </w:p>
        </w:tc>
      </w:tr>
      <w:tr w:rsidR="005624E3" w:rsidRPr="00921ED0" w:rsidTr="00101A80">
        <w:trPr>
          <w:jc w:val="center"/>
        </w:trPr>
        <w:tc>
          <w:tcPr>
            <w:tcW w:w="4649" w:type="dxa"/>
          </w:tcPr>
          <w:p w:rsidR="005624E3" w:rsidRPr="00921ED0" w:rsidRDefault="005624E3" w:rsidP="00101A80">
            <w:pPr>
              <w:overflowPunct w:val="0"/>
              <w:adjustRightInd w:val="0"/>
              <w:spacing w:before="60" w:after="60" w:line="240" w:lineRule="exact"/>
              <w:ind w:left="113" w:right="113"/>
              <w:textAlignment w:val="baseline"/>
              <w:rPr>
                <w:sz w:val="18"/>
                <w:szCs w:val="18"/>
              </w:rPr>
            </w:pPr>
            <w:r w:rsidRPr="00921ED0">
              <w:rPr>
                <w:sz w:val="18"/>
              </w:rPr>
              <w:t>Gyűrű nélküli hajócsavar</w:t>
            </w:r>
          </w:p>
        </w:tc>
        <w:tc>
          <w:tcPr>
            <w:tcW w:w="1247" w:type="dxa"/>
          </w:tcPr>
          <w:p w:rsidR="005624E3" w:rsidRPr="00921ED0" w:rsidRDefault="005624E3" w:rsidP="00101A80">
            <w:pPr>
              <w:tabs>
                <w:tab w:val="decimal" w:pos="454"/>
              </w:tabs>
              <w:overflowPunct w:val="0"/>
              <w:adjustRightInd w:val="0"/>
              <w:spacing w:before="60" w:after="60" w:line="240" w:lineRule="exact"/>
              <w:ind w:left="113" w:right="113"/>
              <w:textAlignment w:val="baseline"/>
              <w:rPr>
                <w:sz w:val="18"/>
                <w:szCs w:val="18"/>
              </w:rPr>
            </w:pPr>
            <w:r w:rsidRPr="00921ED0">
              <w:rPr>
                <w:sz w:val="18"/>
              </w:rPr>
              <w:t>0,096</w:t>
            </w:r>
          </w:p>
        </w:tc>
        <w:tc>
          <w:tcPr>
            <w:tcW w:w="1247" w:type="dxa"/>
          </w:tcPr>
          <w:p w:rsidR="005624E3" w:rsidRPr="00921ED0" w:rsidRDefault="005624E3" w:rsidP="00101A80">
            <w:pPr>
              <w:overflowPunct w:val="0"/>
              <w:adjustRightInd w:val="0"/>
              <w:spacing w:before="60" w:after="60" w:line="240" w:lineRule="exact"/>
              <w:ind w:left="113" w:right="113"/>
              <w:jc w:val="center"/>
              <w:textAlignment w:val="baseline"/>
              <w:rPr>
                <w:sz w:val="18"/>
                <w:szCs w:val="18"/>
              </w:rPr>
            </w:pPr>
            <w:r w:rsidRPr="00921ED0">
              <w:rPr>
                <w:sz w:val="18"/>
              </w:rPr>
              <w:t>kN/kW</w:t>
            </w:r>
          </w:p>
        </w:tc>
      </w:tr>
      <w:tr w:rsidR="005624E3" w:rsidRPr="00921ED0" w:rsidTr="00101A80">
        <w:trPr>
          <w:jc w:val="center"/>
        </w:trPr>
        <w:tc>
          <w:tcPr>
            <w:tcW w:w="4649" w:type="dxa"/>
          </w:tcPr>
          <w:p w:rsidR="005624E3" w:rsidRPr="00921ED0" w:rsidRDefault="005624E3" w:rsidP="00101A80">
            <w:pPr>
              <w:overflowPunct w:val="0"/>
              <w:adjustRightInd w:val="0"/>
              <w:spacing w:before="60" w:after="60" w:line="240" w:lineRule="exact"/>
              <w:ind w:left="113" w:right="113"/>
              <w:textAlignment w:val="baseline"/>
              <w:rPr>
                <w:sz w:val="18"/>
                <w:szCs w:val="18"/>
              </w:rPr>
            </w:pPr>
            <w:r w:rsidRPr="00921ED0">
              <w:rPr>
                <w:sz w:val="18"/>
              </w:rPr>
              <w:t>Gyűrűvel szerelt kormánypropeller (általában éles kilépő peremű gyűrűvel)</w:t>
            </w:r>
          </w:p>
        </w:tc>
        <w:tc>
          <w:tcPr>
            <w:tcW w:w="1247" w:type="dxa"/>
          </w:tcPr>
          <w:p w:rsidR="005624E3" w:rsidRPr="00921ED0" w:rsidRDefault="005624E3" w:rsidP="00101A80">
            <w:pPr>
              <w:tabs>
                <w:tab w:val="decimal" w:pos="454"/>
              </w:tabs>
              <w:overflowPunct w:val="0"/>
              <w:adjustRightInd w:val="0"/>
              <w:spacing w:before="180" w:after="60" w:line="240" w:lineRule="exact"/>
              <w:ind w:left="113" w:right="113"/>
              <w:textAlignment w:val="baseline"/>
              <w:rPr>
                <w:sz w:val="18"/>
                <w:szCs w:val="18"/>
              </w:rPr>
            </w:pPr>
            <w:r w:rsidRPr="00921ED0">
              <w:rPr>
                <w:sz w:val="18"/>
              </w:rPr>
              <w:t>0,157</w:t>
            </w:r>
          </w:p>
        </w:tc>
        <w:tc>
          <w:tcPr>
            <w:tcW w:w="1247" w:type="dxa"/>
          </w:tcPr>
          <w:p w:rsidR="005624E3" w:rsidRPr="00921ED0" w:rsidRDefault="005624E3" w:rsidP="00101A80">
            <w:pPr>
              <w:overflowPunct w:val="0"/>
              <w:adjustRightInd w:val="0"/>
              <w:spacing w:before="180" w:after="60" w:line="240" w:lineRule="exact"/>
              <w:ind w:left="113" w:right="113"/>
              <w:jc w:val="center"/>
              <w:textAlignment w:val="baseline"/>
              <w:rPr>
                <w:sz w:val="18"/>
                <w:szCs w:val="18"/>
              </w:rPr>
            </w:pPr>
            <w:r w:rsidRPr="00921ED0">
              <w:rPr>
                <w:sz w:val="18"/>
              </w:rPr>
              <w:t>kN/kW</w:t>
            </w:r>
          </w:p>
        </w:tc>
      </w:tr>
      <w:tr w:rsidR="005624E3" w:rsidRPr="00921ED0" w:rsidTr="00101A80">
        <w:trPr>
          <w:jc w:val="center"/>
        </w:trPr>
        <w:tc>
          <w:tcPr>
            <w:tcW w:w="4649" w:type="dxa"/>
          </w:tcPr>
          <w:p w:rsidR="005624E3" w:rsidRPr="00921ED0" w:rsidRDefault="005624E3" w:rsidP="00101A80">
            <w:pPr>
              <w:overflowPunct w:val="0"/>
              <w:adjustRightInd w:val="0"/>
              <w:spacing w:before="60" w:after="60" w:line="240" w:lineRule="exact"/>
              <w:ind w:left="113" w:right="113"/>
              <w:textAlignment w:val="baseline"/>
              <w:rPr>
                <w:sz w:val="18"/>
                <w:szCs w:val="18"/>
              </w:rPr>
            </w:pPr>
            <w:r w:rsidRPr="00921ED0">
              <w:rPr>
                <w:sz w:val="18"/>
              </w:rPr>
              <w:t>Gyűrű nélküli kormánypropeller</w:t>
            </w:r>
          </w:p>
        </w:tc>
        <w:tc>
          <w:tcPr>
            <w:tcW w:w="1247" w:type="dxa"/>
          </w:tcPr>
          <w:p w:rsidR="005624E3" w:rsidRPr="00921ED0" w:rsidRDefault="005624E3" w:rsidP="00101A80">
            <w:pPr>
              <w:tabs>
                <w:tab w:val="decimal" w:pos="454"/>
              </w:tabs>
              <w:overflowPunct w:val="0"/>
              <w:adjustRightInd w:val="0"/>
              <w:spacing w:before="60" w:after="60" w:line="240" w:lineRule="exact"/>
              <w:ind w:left="113" w:right="113"/>
              <w:textAlignment w:val="baseline"/>
              <w:rPr>
                <w:sz w:val="18"/>
                <w:szCs w:val="18"/>
              </w:rPr>
            </w:pPr>
            <w:r w:rsidRPr="00921ED0">
              <w:rPr>
                <w:sz w:val="18"/>
              </w:rPr>
              <w:t>0,113</w:t>
            </w:r>
          </w:p>
        </w:tc>
        <w:tc>
          <w:tcPr>
            <w:tcW w:w="1247" w:type="dxa"/>
          </w:tcPr>
          <w:p w:rsidR="005624E3" w:rsidRPr="00921ED0" w:rsidRDefault="005624E3" w:rsidP="00101A80">
            <w:pPr>
              <w:overflowPunct w:val="0"/>
              <w:adjustRightInd w:val="0"/>
              <w:spacing w:before="60" w:after="60" w:line="240" w:lineRule="exact"/>
              <w:ind w:left="113" w:right="113"/>
              <w:jc w:val="center"/>
              <w:textAlignment w:val="baseline"/>
              <w:rPr>
                <w:sz w:val="18"/>
                <w:szCs w:val="18"/>
              </w:rPr>
            </w:pPr>
            <w:r w:rsidRPr="00921ED0">
              <w:rPr>
                <w:sz w:val="18"/>
              </w:rPr>
              <w:t>kN/kW</w:t>
            </w:r>
          </w:p>
        </w:tc>
      </w:tr>
    </w:tbl>
    <w:p w:rsidR="005624E3" w:rsidRPr="00921ED0" w:rsidRDefault="005624E3" w:rsidP="005624E3">
      <w:pPr>
        <w:tabs>
          <w:tab w:val="left" w:pos="504"/>
          <w:tab w:val="left" w:pos="1344"/>
          <w:tab w:val="left" w:pos="3384"/>
          <w:tab w:val="left" w:pos="6264"/>
          <w:tab w:val="left" w:pos="7416"/>
        </w:tabs>
        <w:overflowPunct w:val="0"/>
        <w:adjustRightInd w:val="0"/>
        <w:spacing w:line="240" w:lineRule="exact"/>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jc w:val="center"/>
        <w:textAlignment w:val="baseline"/>
        <w:rPr>
          <w:szCs w:val="20"/>
        </w:rPr>
      </w:pPr>
      <w:r w:rsidRPr="00921ED0">
        <w:br w:type="page"/>
      </w:r>
    </w:p>
    <w:p w:rsidR="005624E3" w:rsidRPr="00921ED0" w:rsidRDefault="005624E3" w:rsidP="005624E3">
      <w:pPr>
        <w:tabs>
          <w:tab w:val="left" w:pos="284"/>
        </w:tabs>
        <w:overflowPunct w:val="0"/>
        <w:adjustRightInd w:val="0"/>
        <w:spacing w:line="240" w:lineRule="atLeast"/>
        <w:ind w:left="567"/>
        <w:textAlignment w:val="baseline"/>
        <w:rPr>
          <w:szCs w:val="20"/>
        </w:rPr>
      </w:pPr>
      <w:r w:rsidRPr="00921ED0">
        <w:rPr>
          <w:b/>
        </w:rPr>
        <w:t xml:space="preserve">3. táblázat: Az ellenállás kiszámítására vonatkozó diagram az </w:t>
      </w:r>
      <m:oMath>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r>
          <w:rPr>
            <w:rFonts w:ascii="Cambria Math" w:hAnsi="Cambria Math"/>
            <w:noProof/>
          </w:rPr>
          <m:t>/</m:t>
        </m:r>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oMath>
      <w:r w:rsidRPr="00921ED0">
        <w:rPr>
          <w:b/>
        </w:rPr>
        <w:t xml:space="preserve"> értékének a </w:t>
      </w:r>
      <m:oMath>
        <m:sSup>
          <m:sSupPr>
            <m:ctrlPr>
              <w:rPr>
                <w:rFonts w:ascii="Cambria Math" w:hAnsi="Cambria Math"/>
                <w:i/>
                <w:noProof/>
              </w:rPr>
            </m:ctrlPr>
          </m:sSupPr>
          <m:e>
            <m:r>
              <w:rPr>
                <w:rFonts w:ascii="Cambria Math" w:hAnsi="Cambria Math"/>
                <w:noProof/>
              </w:rPr>
              <m:t>D</m:t>
            </m:r>
          </m:e>
          <m:sup>
            <m:r>
              <w:rPr>
                <w:rFonts w:ascii="Cambria Math" w:hAnsi="Cambria Math"/>
                <w:noProof/>
              </w:rPr>
              <m:t>1/3</m:t>
            </m:r>
          </m:sup>
        </m:sSup>
        <m:r>
          <w:rPr>
            <w:rFonts w:ascii="Cambria Math" w:hAnsi="Cambria Math"/>
            <w:noProof/>
          </w:rPr>
          <m:t xml:space="preserve"> </m:t>
        </m:r>
        <m:d>
          <m:dPr>
            <m:begChr m:val="["/>
            <m:endChr m:val="]"/>
            <m:ctrlPr>
              <w:rPr>
                <w:rFonts w:ascii="Cambria Math" w:hAnsi="Cambria Math"/>
                <w:i/>
                <w:noProof/>
              </w:rPr>
            </m:ctrlPr>
          </m:dPr>
          <m:e>
            <m:r>
              <w:rPr>
                <w:rFonts w:ascii="Cambria Math" w:hAnsi="Cambria Math"/>
                <w:noProof/>
              </w:rPr>
              <m:t>B+2T</m:t>
            </m:r>
          </m:e>
        </m:d>
      </m:oMath>
      <w:r w:rsidRPr="00921ED0">
        <w:rPr>
          <w:b/>
        </w:rPr>
        <w:t xml:space="preserve"> viszonylatában történő meghatározásához:</w:t>
      </w:r>
    </w:p>
    <w:p w:rsidR="005624E3" w:rsidRPr="00921ED0" w:rsidRDefault="005624E3" w:rsidP="005624E3">
      <w:pPr>
        <w:framePr w:hSpace="141" w:wrap="around" w:vAnchor="text" w:hAnchor="page" w:x="2380" w:y="426"/>
        <w:overflowPunct w:val="0"/>
        <w:adjustRightInd w:val="0"/>
        <w:textAlignment w:val="baseline"/>
        <w:rPr>
          <w:szCs w:val="20"/>
        </w:rPr>
      </w:pPr>
      <w:r w:rsidRPr="00921ED0">
        <w:rPr>
          <w:noProof/>
          <w:szCs w:val="20"/>
        </w:rPr>
        <w:drawing>
          <wp:inline distT="0" distB="0" distL="0" distR="0" wp14:anchorId="45E33DD0" wp14:editId="39C740AF">
            <wp:extent cx="4686300" cy="6819900"/>
            <wp:effectExtent l="0" t="0" r="0"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686300" cy="6819900"/>
                    </a:xfrm>
                    <a:prstGeom prst="rect">
                      <a:avLst/>
                    </a:prstGeom>
                    <a:noFill/>
                    <a:ln>
                      <a:noFill/>
                    </a:ln>
                  </pic:spPr>
                </pic:pic>
              </a:graphicData>
            </a:graphic>
          </wp:inline>
        </w:drawing>
      </w:r>
    </w:p>
    <w:p w:rsidR="005624E3" w:rsidRPr="00921ED0" w:rsidRDefault="003142CA" w:rsidP="005624E3">
      <w:pPr>
        <w:framePr w:w="628" w:h="391" w:hSpace="141" w:wrap="around" w:vAnchor="text" w:hAnchor="page" w:x="1780" w:y="471"/>
        <w:overflowPunct w:val="0"/>
        <w:adjustRightInd w:val="0"/>
        <w:textAlignment w:val="baseline"/>
        <w:rPr>
          <w:szCs w:val="20"/>
        </w:rPr>
      </w:pPr>
      <m:oMathPara>
        <m:oMath>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r>
            <w:rPr>
              <w:rFonts w:ascii="Cambria Math" w:hAnsi="Cambria Math"/>
              <w:noProof/>
            </w:rPr>
            <m:t>/</m:t>
          </m:r>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oMath>
      </m:oMathPara>
    </w:p>
    <w:p w:rsidR="005624E3" w:rsidRPr="00921ED0" w:rsidRDefault="005624E3" w:rsidP="005624E3">
      <w:pPr>
        <w:tabs>
          <w:tab w:val="left" w:pos="960"/>
          <w:tab w:val="left" w:pos="1344"/>
          <w:tab w:val="left" w:pos="7680"/>
        </w:tabs>
        <w:overflowPunct w:val="0"/>
        <w:adjustRightInd w:val="0"/>
        <w:spacing w:line="240" w:lineRule="atLeast"/>
        <w:textAlignment w:val="baseline"/>
        <w:rPr>
          <w:szCs w:val="20"/>
        </w:rPr>
      </w:pPr>
      <w:r w:rsidRPr="00921ED0">
        <w:rPr>
          <w:noProof/>
          <w:szCs w:val="20"/>
        </w:rPr>
        <mc:AlternateContent>
          <mc:Choice Requires="wps">
            <w:drawing>
              <wp:anchor distT="0" distB="0" distL="114300" distR="114300" simplePos="0" relativeHeight="251683840" behindDoc="1" locked="0" layoutInCell="1" allowOverlap="1" wp14:anchorId="2C095789" wp14:editId="7D6FF410">
                <wp:simplePos x="0" y="0"/>
                <wp:positionH relativeFrom="column">
                  <wp:posOffset>-304165</wp:posOffset>
                </wp:positionH>
                <wp:positionV relativeFrom="paragraph">
                  <wp:posOffset>851535</wp:posOffset>
                </wp:positionV>
                <wp:extent cx="1009015" cy="517525"/>
                <wp:effectExtent l="0" t="0" r="0" b="0"/>
                <wp:wrapNone/>
                <wp:docPr id="76"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517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D30EF5" w:rsidRDefault="003142CA" w:rsidP="005624E3">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43" type="#_x0000_t202" style="position:absolute;margin-left:-23.95pt;margin-top:67.05pt;width:79.45pt;height:40.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2ChwIAABo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" stroked="f">
                <v:textbox>
                  <w:txbxContent>
                    <w:p w:rsidR="00842442" w:rsidRPr="00D30EF5" w:rsidRDefault="003142CA" w:rsidP="005624E3">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v:textbox>
              </v:shape>
            </w:pict>
          </mc:Fallback>
        </mc:AlternateContent>
      </w:r>
    </w:p>
    <w:p w:rsidR="005624E3" w:rsidRPr="00921ED0" w:rsidRDefault="005624E3" w:rsidP="005624E3">
      <w:pPr>
        <w:tabs>
          <w:tab w:val="left" w:pos="0"/>
          <w:tab w:val="left" w:pos="8080"/>
        </w:tabs>
        <w:overflowPunct w:val="0"/>
        <w:adjustRightInd w:val="0"/>
        <w:spacing w:line="240" w:lineRule="exact"/>
        <w:textAlignment w:val="baseline"/>
        <w:rPr>
          <w:szCs w:val="20"/>
        </w:rPr>
      </w:pPr>
      <w:r w:rsidRPr="00921ED0">
        <w:tab/>
      </w:r>
    </w:p>
    <w:p w:rsidR="005624E3" w:rsidRPr="00921ED0" w:rsidRDefault="005624E3" w:rsidP="005624E3">
      <w:pPr>
        <w:tabs>
          <w:tab w:val="left" w:pos="0"/>
          <w:tab w:val="left" w:pos="6946"/>
        </w:tabs>
        <w:overflowPunct w:val="0"/>
        <w:adjustRightInd w:val="0"/>
        <w:spacing w:line="240" w:lineRule="exact"/>
        <w:textAlignment w:val="baseline"/>
        <w:rPr>
          <w:szCs w:val="20"/>
        </w:rPr>
      </w:pPr>
    </w:p>
    <w:p w:rsidR="005624E3" w:rsidRPr="00921ED0" w:rsidRDefault="005624E3" w:rsidP="005624E3">
      <w:pPr>
        <w:tabs>
          <w:tab w:val="left" w:pos="0"/>
          <w:tab w:val="left" w:pos="6946"/>
        </w:tabs>
        <w:overflowPunct w:val="0"/>
        <w:adjustRightInd w:val="0"/>
        <w:spacing w:line="240" w:lineRule="exact"/>
        <w:textAlignment w:val="baseline"/>
        <w:rPr>
          <w:szCs w:val="20"/>
        </w:rPr>
      </w:pPr>
      <w:r w:rsidRPr="00921ED0">
        <w:tab/>
      </w:r>
      <m:oMath>
        <m:sSup>
          <m:sSupPr>
            <m:ctrlPr>
              <w:rPr>
                <w:rFonts w:ascii="Cambria Math" w:hAnsi="Cambria Math"/>
                <w:i/>
                <w:noProof/>
              </w:rPr>
            </m:ctrlPr>
          </m:sSupPr>
          <m:e>
            <m:r>
              <w:rPr>
                <w:rFonts w:ascii="Cambria Math" w:hAnsi="Cambria Math"/>
                <w:noProof/>
              </w:rPr>
              <m:t>D</m:t>
            </m:r>
          </m:e>
          <m:sup>
            <m:r>
              <w:rPr>
                <w:rFonts w:ascii="Cambria Math" w:hAnsi="Cambria Math"/>
                <w:noProof/>
              </w:rPr>
              <m:t>1/3</m:t>
            </m:r>
          </m:sup>
        </m:sSup>
        <m:r>
          <w:rPr>
            <w:rFonts w:ascii="Cambria Math" w:hAnsi="Cambria Math"/>
            <w:noProof/>
          </w:rPr>
          <m:t xml:space="preserve"> </m:t>
        </m:r>
        <m:d>
          <m:dPr>
            <m:begChr m:val="["/>
            <m:endChr m:val="]"/>
            <m:ctrlPr>
              <w:rPr>
                <w:rFonts w:ascii="Cambria Math" w:hAnsi="Cambria Math"/>
                <w:i/>
                <w:noProof/>
              </w:rPr>
            </m:ctrlPr>
          </m:dPr>
          <m:e>
            <m:r>
              <w:rPr>
                <w:rFonts w:ascii="Cambria Math" w:hAnsi="Cambria Math"/>
                <w:noProof/>
              </w:rPr>
              <m:t>B+2T</m:t>
            </m:r>
          </m:e>
        </m:d>
      </m:oMath>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sectPr w:rsidR="005624E3" w:rsidRPr="00921ED0" w:rsidSect="00D45887">
          <w:headerReference w:type="default" r:id="rId125"/>
          <w:headerReference w:type="first" r:id="rId126"/>
          <w:footerReference w:type="first" r:id="rId127"/>
          <w:pgSz w:w="11907" w:h="16840" w:code="9"/>
          <w:pgMar w:top="1418" w:right="1418" w:bottom="1418" w:left="1418" w:header="680" w:footer="680" w:gutter="0"/>
          <w:cols w:space="720"/>
          <w:noEndnote/>
          <w:titlePg/>
        </w:sectPr>
      </w:pPr>
    </w:p>
    <w:p w:rsidR="005624E3" w:rsidRPr="00921ED0" w:rsidRDefault="005624E3" w:rsidP="005624E3">
      <w:pPr>
        <w:spacing w:line="240" w:lineRule="atLeast"/>
        <w:ind w:left="567" w:hanging="567"/>
      </w:pPr>
    </w:p>
    <w:p w:rsidR="005624E3" w:rsidRPr="00921ED0" w:rsidRDefault="005624E3" w:rsidP="005624E3">
      <w:pPr>
        <w:pStyle w:val="ES-Titre4"/>
      </w:pPr>
      <w:r w:rsidRPr="00921ED0">
        <w:t>1. függelék az ESI-II-3 utasítás 2. mellékletéhez</w:t>
      </w:r>
    </w:p>
    <w:p w:rsidR="005624E3" w:rsidRPr="00921ED0" w:rsidRDefault="005624E3" w:rsidP="005624E3">
      <w:pPr>
        <w:pStyle w:val="ES-Titre4a"/>
      </w:pPr>
      <w:r w:rsidRPr="00921ED0">
        <w:t xml:space="preserve">Példák a 2. melléklet alkalmazására </w:t>
      </w:r>
      <w:r w:rsidRPr="00921ED0">
        <w:br/>
        <w:t>(A megállási manőver eredményeinek kiértékelése)</w:t>
      </w:r>
    </w:p>
    <w:p w:rsidR="005624E3" w:rsidRPr="00921ED0" w:rsidRDefault="005624E3" w:rsidP="005624E3">
      <w:pPr>
        <w:tabs>
          <w:tab w:val="left" w:pos="960"/>
          <w:tab w:val="left" w:pos="1344"/>
          <w:tab w:val="left" w:pos="7680"/>
        </w:tabs>
        <w:overflowPunct w:val="0"/>
        <w:adjustRightInd w:val="0"/>
        <w:spacing w:line="240" w:lineRule="exact"/>
        <w:jc w:val="center"/>
        <w:textAlignment w:val="baseline"/>
        <w:rPr>
          <w:b/>
          <w:szCs w:val="20"/>
        </w:rPr>
      </w:pPr>
    </w:p>
    <w:p w:rsidR="005624E3" w:rsidRPr="00921ED0" w:rsidRDefault="005624E3" w:rsidP="005624E3">
      <w:pPr>
        <w:pStyle w:val="ES-Titre4prESIexple"/>
      </w:pPr>
      <w:r w:rsidRPr="00921ED0">
        <w:t>I. példa</w:t>
      </w: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1.</w:t>
      </w:r>
      <w:r w:rsidRPr="00921ED0">
        <w:tab/>
      </w:r>
      <w:r w:rsidRPr="00921ED0">
        <w:rPr>
          <w:b/>
          <w:color w:val="000000"/>
        </w:rPr>
        <w:t>A hajók és a kötelék adatai</w:t>
      </w:r>
    </w:p>
    <w:p w:rsidR="005624E3" w:rsidRPr="00921ED0" w:rsidRDefault="005624E3" w:rsidP="005624E3">
      <w:pPr>
        <w:tabs>
          <w:tab w:val="left" w:pos="284"/>
        </w:tabs>
        <w:overflowPunct w:val="0"/>
        <w:adjustRightInd w:val="0"/>
        <w:ind w:left="284" w:hanging="284"/>
        <w:textAlignment w:val="baseline"/>
        <w:rPr>
          <w:szCs w:val="20"/>
        </w:rPr>
      </w:pPr>
    </w:p>
    <w:p w:rsidR="005624E3" w:rsidRPr="00921ED0" w:rsidRDefault="005624E3" w:rsidP="005624E3">
      <w:pPr>
        <w:spacing w:line="240" w:lineRule="atLeast"/>
        <w:ind w:left="567"/>
      </w:pPr>
      <w:r w:rsidRPr="00921ED0">
        <w:t>Alakzat: önjáró hajó egy (Europa IIa) bárkával az oldalához csatolva</w:t>
      </w: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overflowPunct w:val="0"/>
        <w:adjustRightInd w:val="0"/>
        <w:textAlignment w:val="baseline"/>
        <w:rPr>
          <w:szCs w:val="20"/>
        </w:rPr>
      </w:pPr>
    </w:p>
    <w:tbl>
      <w:tblPr>
        <w:tblW w:w="0" w:type="auto"/>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5624E3" w:rsidRPr="00921ED0" w:rsidTr="00101A80">
        <w:tc>
          <w:tcPr>
            <w:tcW w:w="1361" w:type="dxa"/>
          </w:tcPr>
          <w:p w:rsidR="005624E3" w:rsidRPr="00921ED0" w:rsidRDefault="005624E3" w:rsidP="00101A80">
            <w:pPr>
              <w:overflowPunct w:val="0"/>
              <w:adjustRightInd w:val="0"/>
              <w:spacing w:before="80" w:after="80"/>
              <w:jc w:val="center"/>
              <w:textAlignment w:val="baseline"/>
              <w:rPr>
                <w:sz w:val="18"/>
                <w:szCs w:val="18"/>
              </w:rPr>
            </w:pP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 w:val="18"/>
                  <w:szCs w:val="18"/>
                </w:rPr>
                <m:t>L</m:t>
              </m:r>
            </m:oMath>
            <w:r w:rsidRPr="00921ED0">
              <w:rPr>
                <w:sz w:val="18"/>
              </w:rPr>
              <w:t xml:space="preserve"> [m]</w:t>
            </w: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 w:val="18"/>
                  <w:szCs w:val="18"/>
                </w:rPr>
                <m:t>B</m:t>
              </m:r>
            </m:oMath>
            <w:r w:rsidRPr="00921ED0">
              <w:rPr>
                <w:sz w:val="18"/>
              </w:rPr>
              <w:t xml:space="preserve"> [m]</w:t>
            </w: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 w:val="18"/>
                  <w:szCs w:val="18"/>
                </w:rPr>
                <m:t>T</m:t>
              </m:r>
              <m:r>
                <w:rPr>
                  <w:rFonts w:ascii="Cambria Math" w:hAnsi="Cambria Math"/>
                  <w:position w:val="-6"/>
                  <w:sz w:val="16"/>
                  <w:szCs w:val="18"/>
                </w:rPr>
                <m:t>max</m:t>
              </m:r>
            </m:oMath>
            <w:r w:rsidRPr="00921ED0">
              <w:rPr>
                <w:sz w:val="18"/>
              </w:rPr>
              <w:t xml:space="preserve"> [m]</w:t>
            </w: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Cs w:val="20"/>
                </w:rPr>
                <m:t>Tgf</m:t>
              </m:r>
              <m:r>
                <w:rPr>
                  <w:rFonts w:ascii="Cambria Math" w:hAnsi="Cambria Math"/>
                  <w:position w:val="6"/>
                  <w:sz w:val="18"/>
                  <w:szCs w:val="18"/>
                </w:rPr>
                <m:t>*</m:t>
              </m:r>
              <m:r>
                <w:rPr>
                  <w:rFonts w:ascii="Cambria Math" w:hAnsi="Cambria Math"/>
                  <w:position w:val="-6"/>
                  <w:sz w:val="16"/>
                  <w:szCs w:val="18"/>
                </w:rPr>
                <m:t>max</m:t>
              </m:r>
            </m:oMath>
            <w:r w:rsidRPr="00921ED0">
              <w:rPr>
                <w:sz w:val="18"/>
              </w:rPr>
              <w:t xml:space="preserve"> [t]</w:t>
            </w: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 w:val="18"/>
                  <w:szCs w:val="18"/>
                </w:rPr>
                <m:t>D</m:t>
              </m:r>
              <m:r>
                <w:rPr>
                  <w:rFonts w:ascii="Cambria Math" w:hAnsi="Cambria Math"/>
                  <w:position w:val="-6"/>
                  <w:sz w:val="16"/>
                  <w:szCs w:val="18"/>
                </w:rPr>
                <m:t>max</m:t>
              </m:r>
            </m:oMath>
            <w:r w:rsidRPr="00921ED0">
              <w:rPr>
                <w:sz w:val="18"/>
              </w:rPr>
              <w:t xml:space="preserve"> [m</w:t>
            </w:r>
            <w:r w:rsidRPr="00921ED0">
              <w:rPr>
                <w:position w:val="6"/>
                <w:sz w:val="16"/>
              </w:rPr>
              <w:t>3</w:t>
            </w:r>
            <w:r w:rsidRPr="00921ED0">
              <w:rPr>
                <w:sz w:val="18"/>
              </w:rPr>
              <w:t>]</w:t>
            </w: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 w:val="18"/>
                  <w:szCs w:val="18"/>
                </w:rPr>
                <m:t>P</m:t>
              </m:r>
              <m:r>
                <w:rPr>
                  <w:rFonts w:ascii="Cambria Math" w:hAnsi="Cambria Math"/>
                  <w:position w:val="-6"/>
                  <w:sz w:val="16"/>
                  <w:szCs w:val="18"/>
                </w:rPr>
                <m:t>B</m:t>
              </m:r>
            </m:oMath>
            <w:r w:rsidRPr="00921ED0">
              <w:rPr>
                <w:sz w:val="18"/>
              </w:rPr>
              <w:t xml:space="preserve"> [kW]</w:t>
            </w:r>
          </w:p>
        </w:tc>
      </w:tr>
      <w:tr w:rsidR="005624E3" w:rsidRPr="00921ED0" w:rsidTr="00101A80">
        <w:tc>
          <w:tcPr>
            <w:tcW w:w="1361" w:type="dxa"/>
          </w:tcPr>
          <w:p w:rsidR="005624E3" w:rsidRPr="00921ED0" w:rsidRDefault="005624E3" w:rsidP="00101A80">
            <w:pPr>
              <w:overflowPunct w:val="0"/>
              <w:adjustRightInd w:val="0"/>
              <w:spacing w:before="80" w:after="80"/>
              <w:jc w:val="center"/>
              <w:textAlignment w:val="baseline"/>
              <w:rPr>
                <w:sz w:val="18"/>
                <w:szCs w:val="18"/>
              </w:rPr>
            </w:pPr>
            <w:r w:rsidRPr="00921ED0">
              <w:rPr>
                <w:sz w:val="18"/>
              </w:rPr>
              <w:t>Önjáró hajó</w:t>
            </w:r>
          </w:p>
        </w:tc>
        <w:tc>
          <w:tcPr>
            <w:tcW w:w="1361" w:type="dxa"/>
          </w:tcPr>
          <w:p w:rsidR="005624E3" w:rsidRPr="00921ED0" w:rsidRDefault="005624E3" w:rsidP="00101A80">
            <w:pPr>
              <w:tabs>
                <w:tab w:val="decimal" w:pos="709"/>
              </w:tabs>
              <w:overflowPunct w:val="0"/>
              <w:adjustRightInd w:val="0"/>
              <w:spacing w:before="80" w:after="80"/>
              <w:ind w:left="113" w:right="113"/>
              <w:textAlignment w:val="baseline"/>
              <w:rPr>
                <w:sz w:val="18"/>
                <w:szCs w:val="18"/>
              </w:rPr>
            </w:pPr>
            <w:r w:rsidRPr="00921ED0">
              <w:rPr>
                <w:sz w:val="18"/>
              </w:rPr>
              <w:t>110</w:t>
            </w:r>
          </w:p>
        </w:tc>
        <w:tc>
          <w:tcPr>
            <w:tcW w:w="1361" w:type="dxa"/>
          </w:tcPr>
          <w:p w:rsidR="005624E3" w:rsidRPr="00921ED0" w:rsidRDefault="005624E3" w:rsidP="00101A80">
            <w:pPr>
              <w:tabs>
                <w:tab w:val="decimal" w:pos="708"/>
              </w:tabs>
              <w:overflowPunct w:val="0"/>
              <w:adjustRightInd w:val="0"/>
              <w:spacing w:before="80" w:after="80"/>
              <w:ind w:left="113" w:right="113"/>
              <w:textAlignment w:val="baseline"/>
              <w:rPr>
                <w:sz w:val="18"/>
                <w:szCs w:val="18"/>
              </w:rPr>
            </w:pPr>
            <w:r w:rsidRPr="00921ED0">
              <w:rPr>
                <w:sz w:val="18"/>
              </w:rPr>
              <w:t>11,4</w:t>
            </w:r>
          </w:p>
        </w:tc>
        <w:tc>
          <w:tcPr>
            <w:tcW w:w="1361" w:type="dxa"/>
          </w:tcPr>
          <w:p w:rsidR="005624E3" w:rsidRPr="00921ED0" w:rsidRDefault="005624E3" w:rsidP="00101A80">
            <w:pPr>
              <w:tabs>
                <w:tab w:val="decimal" w:pos="737"/>
              </w:tabs>
              <w:overflowPunct w:val="0"/>
              <w:adjustRightInd w:val="0"/>
              <w:spacing w:before="80" w:after="80"/>
              <w:ind w:left="113" w:right="113"/>
              <w:textAlignment w:val="baseline"/>
              <w:rPr>
                <w:sz w:val="18"/>
                <w:szCs w:val="18"/>
              </w:rPr>
            </w:pPr>
            <w:r w:rsidRPr="00921ED0">
              <w:rPr>
                <w:sz w:val="18"/>
              </w:rPr>
              <w:t>3,5</w:t>
            </w:r>
          </w:p>
        </w:tc>
        <w:tc>
          <w:tcPr>
            <w:tcW w:w="1361" w:type="dxa"/>
          </w:tcPr>
          <w:p w:rsidR="005624E3" w:rsidRPr="00921ED0" w:rsidRDefault="005624E3" w:rsidP="00101A80">
            <w:pPr>
              <w:tabs>
                <w:tab w:val="decimal" w:pos="849"/>
              </w:tabs>
              <w:overflowPunct w:val="0"/>
              <w:adjustRightInd w:val="0"/>
              <w:spacing w:before="80" w:after="80"/>
              <w:ind w:left="113" w:right="113"/>
              <w:textAlignment w:val="baseline"/>
              <w:rPr>
                <w:sz w:val="18"/>
                <w:szCs w:val="18"/>
              </w:rPr>
            </w:pPr>
            <w:r w:rsidRPr="00921ED0">
              <w:rPr>
                <w:sz w:val="18"/>
              </w:rPr>
              <w:t>2900</w:t>
            </w:r>
          </w:p>
        </w:tc>
        <w:tc>
          <w:tcPr>
            <w:tcW w:w="1361" w:type="dxa"/>
          </w:tcPr>
          <w:p w:rsidR="005624E3" w:rsidRPr="00921ED0" w:rsidRDefault="005624E3" w:rsidP="00101A80">
            <w:pPr>
              <w:tabs>
                <w:tab w:val="decimal" w:pos="990"/>
              </w:tabs>
              <w:overflowPunct w:val="0"/>
              <w:adjustRightInd w:val="0"/>
              <w:spacing w:before="80" w:after="80"/>
              <w:ind w:left="113" w:right="113"/>
              <w:textAlignment w:val="baseline"/>
              <w:rPr>
                <w:sz w:val="18"/>
                <w:szCs w:val="18"/>
              </w:rPr>
            </w:pPr>
            <w:r w:rsidRPr="00921ED0">
              <w:rPr>
                <w:sz w:val="18"/>
              </w:rPr>
              <w:t>3731</w:t>
            </w:r>
          </w:p>
        </w:tc>
        <w:tc>
          <w:tcPr>
            <w:tcW w:w="1361" w:type="dxa"/>
          </w:tcPr>
          <w:p w:rsidR="005624E3" w:rsidRPr="00921ED0" w:rsidRDefault="005624E3" w:rsidP="00101A80">
            <w:pPr>
              <w:tabs>
                <w:tab w:val="decimal" w:pos="848"/>
              </w:tabs>
              <w:overflowPunct w:val="0"/>
              <w:adjustRightInd w:val="0"/>
              <w:spacing w:before="80" w:after="80"/>
              <w:ind w:left="113" w:right="113"/>
              <w:textAlignment w:val="baseline"/>
              <w:rPr>
                <w:sz w:val="18"/>
                <w:szCs w:val="18"/>
              </w:rPr>
            </w:pPr>
            <w:r w:rsidRPr="00921ED0">
              <w:rPr>
                <w:sz w:val="18"/>
              </w:rPr>
              <w:t>1500</w:t>
            </w:r>
          </w:p>
        </w:tc>
      </w:tr>
      <w:tr w:rsidR="005624E3" w:rsidRPr="00921ED0" w:rsidTr="00101A80">
        <w:tc>
          <w:tcPr>
            <w:tcW w:w="1361" w:type="dxa"/>
          </w:tcPr>
          <w:p w:rsidR="005624E3" w:rsidRPr="00921ED0" w:rsidRDefault="005624E3" w:rsidP="00101A80">
            <w:pPr>
              <w:overflowPunct w:val="0"/>
              <w:adjustRightInd w:val="0"/>
              <w:spacing w:before="80" w:after="80"/>
              <w:jc w:val="center"/>
              <w:textAlignment w:val="baseline"/>
              <w:rPr>
                <w:sz w:val="18"/>
                <w:szCs w:val="18"/>
              </w:rPr>
            </w:pPr>
            <w:r w:rsidRPr="00921ED0">
              <w:rPr>
                <w:sz w:val="18"/>
              </w:rPr>
              <w:t>Bárka</w:t>
            </w:r>
          </w:p>
        </w:tc>
        <w:tc>
          <w:tcPr>
            <w:tcW w:w="1361" w:type="dxa"/>
          </w:tcPr>
          <w:p w:rsidR="005624E3" w:rsidRPr="00921ED0" w:rsidRDefault="005624E3" w:rsidP="00101A80">
            <w:pPr>
              <w:tabs>
                <w:tab w:val="decimal" w:pos="709"/>
              </w:tabs>
              <w:overflowPunct w:val="0"/>
              <w:adjustRightInd w:val="0"/>
              <w:spacing w:before="80" w:after="80"/>
              <w:ind w:left="113" w:right="113"/>
              <w:textAlignment w:val="baseline"/>
              <w:rPr>
                <w:sz w:val="18"/>
                <w:szCs w:val="18"/>
              </w:rPr>
            </w:pPr>
            <w:r w:rsidRPr="00921ED0">
              <w:rPr>
                <w:sz w:val="18"/>
              </w:rPr>
              <w:t>76,5</w:t>
            </w:r>
          </w:p>
        </w:tc>
        <w:tc>
          <w:tcPr>
            <w:tcW w:w="1361" w:type="dxa"/>
          </w:tcPr>
          <w:p w:rsidR="005624E3" w:rsidRPr="00921ED0" w:rsidRDefault="005624E3" w:rsidP="00101A80">
            <w:pPr>
              <w:tabs>
                <w:tab w:val="decimal" w:pos="708"/>
              </w:tabs>
              <w:overflowPunct w:val="0"/>
              <w:adjustRightInd w:val="0"/>
              <w:spacing w:before="80" w:after="80"/>
              <w:ind w:left="113" w:right="113"/>
              <w:textAlignment w:val="baseline"/>
              <w:rPr>
                <w:sz w:val="18"/>
                <w:szCs w:val="18"/>
              </w:rPr>
            </w:pPr>
            <w:r w:rsidRPr="00921ED0">
              <w:rPr>
                <w:sz w:val="18"/>
              </w:rPr>
              <w:t>11,4</w:t>
            </w:r>
          </w:p>
        </w:tc>
        <w:tc>
          <w:tcPr>
            <w:tcW w:w="1361" w:type="dxa"/>
          </w:tcPr>
          <w:p w:rsidR="005624E3" w:rsidRPr="00921ED0" w:rsidRDefault="005624E3" w:rsidP="00101A80">
            <w:pPr>
              <w:tabs>
                <w:tab w:val="decimal" w:pos="737"/>
              </w:tabs>
              <w:overflowPunct w:val="0"/>
              <w:adjustRightInd w:val="0"/>
              <w:spacing w:before="80" w:after="80"/>
              <w:ind w:left="113" w:right="113"/>
              <w:textAlignment w:val="baseline"/>
              <w:rPr>
                <w:sz w:val="18"/>
                <w:szCs w:val="18"/>
              </w:rPr>
            </w:pPr>
            <w:r w:rsidRPr="00921ED0">
              <w:rPr>
                <w:sz w:val="18"/>
              </w:rPr>
              <w:t>3,7</w:t>
            </w:r>
          </w:p>
        </w:tc>
        <w:tc>
          <w:tcPr>
            <w:tcW w:w="1361" w:type="dxa"/>
          </w:tcPr>
          <w:p w:rsidR="005624E3" w:rsidRPr="00921ED0" w:rsidRDefault="005624E3" w:rsidP="00101A80">
            <w:pPr>
              <w:tabs>
                <w:tab w:val="decimal" w:pos="849"/>
              </w:tabs>
              <w:overflowPunct w:val="0"/>
              <w:adjustRightInd w:val="0"/>
              <w:spacing w:before="80" w:after="80"/>
              <w:ind w:left="113" w:right="113"/>
              <w:textAlignment w:val="baseline"/>
              <w:rPr>
                <w:sz w:val="18"/>
                <w:szCs w:val="18"/>
              </w:rPr>
            </w:pPr>
            <w:r w:rsidRPr="00921ED0">
              <w:rPr>
                <w:sz w:val="18"/>
              </w:rPr>
              <w:t>2600</w:t>
            </w:r>
          </w:p>
        </w:tc>
        <w:tc>
          <w:tcPr>
            <w:tcW w:w="1361" w:type="dxa"/>
          </w:tcPr>
          <w:p w:rsidR="005624E3" w:rsidRPr="00921ED0" w:rsidRDefault="005624E3" w:rsidP="00101A80">
            <w:pPr>
              <w:tabs>
                <w:tab w:val="decimal" w:pos="990"/>
              </w:tabs>
              <w:overflowPunct w:val="0"/>
              <w:adjustRightInd w:val="0"/>
              <w:spacing w:before="80" w:after="80"/>
              <w:ind w:left="113" w:right="113"/>
              <w:textAlignment w:val="baseline"/>
              <w:rPr>
                <w:sz w:val="18"/>
                <w:szCs w:val="18"/>
              </w:rPr>
            </w:pPr>
            <w:r w:rsidRPr="00921ED0">
              <w:rPr>
                <w:sz w:val="18"/>
              </w:rPr>
              <w:t>2743</w:t>
            </w:r>
          </w:p>
        </w:tc>
        <w:tc>
          <w:tcPr>
            <w:tcW w:w="1361" w:type="dxa"/>
          </w:tcPr>
          <w:p w:rsidR="005624E3" w:rsidRPr="00921ED0" w:rsidRDefault="005624E3" w:rsidP="00101A80">
            <w:pPr>
              <w:tabs>
                <w:tab w:val="decimal" w:pos="198"/>
              </w:tabs>
              <w:overflowPunct w:val="0"/>
              <w:adjustRightInd w:val="0"/>
              <w:spacing w:before="80" w:after="80"/>
              <w:ind w:left="113" w:right="113"/>
              <w:jc w:val="center"/>
              <w:textAlignment w:val="baseline"/>
              <w:rPr>
                <w:sz w:val="18"/>
                <w:szCs w:val="18"/>
              </w:rPr>
            </w:pPr>
            <w:r w:rsidRPr="00921ED0">
              <w:rPr>
                <w:sz w:val="18"/>
              </w:rPr>
              <w:t>-</w:t>
            </w:r>
          </w:p>
        </w:tc>
      </w:tr>
      <w:tr w:rsidR="005624E3" w:rsidRPr="00921ED0" w:rsidTr="00101A80">
        <w:tc>
          <w:tcPr>
            <w:tcW w:w="1361" w:type="dxa"/>
          </w:tcPr>
          <w:p w:rsidR="005624E3" w:rsidRPr="00921ED0" w:rsidRDefault="005624E3" w:rsidP="00101A80">
            <w:pPr>
              <w:overflowPunct w:val="0"/>
              <w:adjustRightInd w:val="0"/>
              <w:spacing w:before="80" w:after="80"/>
              <w:jc w:val="center"/>
              <w:textAlignment w:val="baseline"/>
              <w:rPr>
                <w:sz w:val="18"/>
                <w:szCs w:val="18"/>
              </w:rPr>
            </w:pPr>
            <w:r w:rsidRPr="00921ED0">
              <w:rPr>
                <w:sz w:val="18"/>
              </w:rPr>
              <w:t>Kötelék</w:t>
            </w:r>
          </w:p>
        </w:tc>
        <w:tc>
          <w:tcPr>
            <w:tcW w:w="1361" w:type="dxa"/>
          </w:tcPr>
          <w:p w:rsidR="005624E3" w:rsidRPr="00921ED0" w:rsidRDefault="005624E3" w:rsidP="00101A80">
            <w:pPr>
              <w:tabs>
                <w:tab w:val="decimal" w:pos="709"/>
              </w:tabs>
              <w:overflowPunct w:val="0"/>
              <w:adjustRightInd w:val="0"/>
              <w:spacing w:before="80" w:after="80"/>
              <w:ind w:left="113" w:right="113"/>
              <w:textAlignment w:val="baseline"/>
              <w:rPr>
                <w:sz w:val="18"/>
                <w:szCs w:val="18"/>
              </w:rPr>
            </w:pPr>
            <w:r w:rsidRPr="00921ED0">
              <w:rPr>
                <w:sz w:val="18"/>
              </w:rPr>
              <w:t>110</w:t>
            </w:r>
          </w:p>
        </w:tc>
        <w:tc>
          <w:tcPr>
            <w:tcW w:w="1361" w:type="dxa"/>
          </w:tcPr>
          <w:p w:rsidR="005624E3" w:rsidRPr="00921ED0" w:rsidRDefault="005624E3" w:rsidP="00101A80">
            <w:pPr>
              <w:tabs>
                <w:tab w:val="decimal" w:pos="708"/>
              </w:tabs>
              <w:overflowPunct w:val="0"/>
              <w:adjustRightInd w:val="0"/>
              <w:spacing w:before="80" w:after="80"/>
              <w:ind w:left="113" w:right="113"/>
              <w:textAlignment w:val="baseline"/>
              <w:rPr>
                <w:sz w:val="18"/>
                <w:szCs w:val="18"/>
              </w:rPr>
            </w:pPr>
            <w:r w:rsidRPr="00921ED0">
              <w:rPr>
                <w:sz w:val="18"/>
              </w:rPr>
              <w:t>22,8</w:t>
            </w:r>
          </w:p>
        </w:tc>
        <w:tc>
          <w:tcPr>
            <w:tcW w:w="1361" w:type="dxa"/>
          </w:tcPr>
          <w:p w:rsidR="005624E3" w:rsidRPr="00921ED0" w:rsidRDefault="005624E3" w:rsidP="00101A80">
            <w:pPr>
              <w:tabs>
                <w:tab w:val="decimal" w:pos="737"/>
              </w:tabs>
              <w:overflowPunct w:val="0"/>
              <w:adjustRightInd w:val="0"/>
              <w:spacing w:before="80" w:after="80"/>
              <w:ind w:left="113" w:right="113"/>
              <w:textAlignment w:val="baseline"/>
              <w:rPr>
                <w:sz w:val="18"/>
                <w:szCs w:val="18"/>
              </w:rPr>
            </w:pPr>
            <w:r w:rsidRPr="00921ED0">
              <w:rPr>
                <w:sz w:val="18"/>
              </w:rPr>
              <w:t>3,7</w:t>
            </w:r>
          </w:p>
        </w:tc>
        <w:tc>
          <w:tcPr>
            <w:tcW w:w="1361" w:type="dxa"/>
          </w:tcPr>
          <w:p w:rsidR="005624E3" w:rsidRPr="00921ED0" w:rsidRDefault="005624E3" w:rsidP="00101A80">
            <w:pPr>
              <w:tabs>
                <w:tab w:val="decimal" w:pos="849"/>
              </w:tabs>
              <w:overflowPunct w:val="0"/>
              <w:adjustRightInd w:val="0"/>
              <w:spacing w:before="80" w:after="80"/>
              <w:ind w:left="113" w:right="113"/>
              <w:textAlignment w:val="baseline"/>
              <w:rPr>
                <w:sz w:val="18"/>
                <w:szCs w:val="18"/>
              </w:rPr>
            </w:pPr>
            <w:r w:rsidRPr="00921ED0">
              <w:rPr>
                <w:sz w:val="18"/>
              </w:rPr>
              <w:t>5500</w:t>
            </w:r>
          </w:p>
        </w:tc>
        <w:tc>
          <w:tcPr>
            <w:tcW w:w="1361" w:type="dxa"/>
          </w:tcPr>
          <w:p w:rsidR="005624E3" w:rsidRPr="00921ED0" w:rsidRDefault="005624E3" w:rsidP="00101A80">
            <w:pPr>
              <w:tabs>
                <w:tab w:val="decimal" w:pos="990"/>
              </w:tabs>
              <w:overflowPunct w:val="0"/>
              <w:adjustRightInd w:val="0"/>
              <w:spacing w:before="80" w:after="80"/>
              <w:ind w:left="113" w:right="113"/>
              <w:textAlignment w:val="baseline"/>
              <w:rPr>
                <w:sz w:val="18"/>
                <w:szCs w:val="18"/>
              </w:rPr>
            </w:pPr>
            <w:r w:rsidRPr="00921ED0">
              <w:rPr>
                <w:sz w:val="18"/>
              </w:rPr>
              <w:t>6474</w:t>
            </w:r>
          </w:p>
        </w:tc>
        <w:tc>
          <w:tcPr>
            <w:tcW w:w="1361" w:type="dxa"/>
          </w:tcPr>
          <w:p w:rsidR="005624E3" w:rsidRPr="00921ED0" w:rsidRDefault="005624E3" w:rsidP="00101A80">
            <w:pPr>
              <w:tabs>
                <w:tab w:val="decimal" w:pos="848"/>
              </w:tabs>
              <w:overflowPunct w:val="0"/>
              <w:adjustRightInd w:val="0"/>
              <w:spacing w:before="80" w:after="80"/>
              <w:ind w:left="113" w:right="113"/>
              <w:textAlignment w:val="baseline"/>
              <w:rPr>
                <w:sz w:val="18"/>
                <w:szCs w:val="18"/>
              </w:rPr>
            </w:pPr>
            <w:r w:rsidRPr="00921ED0">
              <w:rPr>
                <w:sz w:val="18"/>
              </w:rPr>
              <w:t>1500</w:t>
            </w:r>
          </w:p>
        </w:tc>
      </w:tr>
    </w:tbl>
    <w:p w:rsidR="005624E3" w:rsidRPr="00921ED0" w:rsidRDefault="005624E3" w:rsidP="005624E3">
      <w:pPr>
        <w:overflowPunct w:val="0"/>
        <w:adjustRightInd w:val="0"/>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ind w:left="567" w:hanging="567"/>
        <w:textAlignment w:val="baseline"/>
        <w:rPr>
          <w:szCs w:val="20"/>
        </w:rPr>
      </w:pPr>
      <w:r w:rsidRPr="00921ED0">
        <w:tab/>
        <w:t>Az önjáró hajó propulziós rendszere:  lekerekített kilépő peremű, új típusú gyűrű</w:t>
      </w:r>
    </w:p>
    <w:p w:rsidR="005624E3" w:rsidRPr="00921ED0" w:rsidRDefault="005624E3" w:rsidP="005624E3">
      <w:pPr>
        <w:tabs>
          <w:tab w:val="left" w:pos="960"/>
          <w:tab w:val="left" w:pos="1344"/>
          <w:tab w:val="left" w:pos="7680"/>
        </w:tabs>
        <w:overflowPunct w:val="0"/>
        <w:adjustRightInd w:val="0"/>
        <w:spacing w:line="240" w:lineRule="exact"/>
        <w:ind w:left="567" w:hanging="567"/>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ind w:left="567" w:hanging="567"/>
        <w:textAlignment w:val="baseline"/>
        <w:rPr>
          <w:szCs w:val="20"/>
        </w:rPr>
      </w:pPr>
      <w:r w:rsidRPr="00921ED0">
        <w:tab/>
        <w:t xml:space="preserve">* </w:t>
      </w:r>
      <m:oMath>
        <m:r>
          <w:rPr>
            <w:rFonts w:ascii="Cambria Math" w:hAnsi="Cambria Math"/>
            <w:szCs w:val="20"/>
          </w:rPr>
          <m:t>Tgf</m:t>
        </m:r>
      </m:oMath>
      <w:r w:rsidRPr="00921ED0">
        <w:t xml:space="preserve"> = hordképesség.</w:t>
      </w: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2.</w:t>
      </w:r>
      <w:r w:rsidRPr="00921ED0">
        <w:tab/>
      </w:r>
      <w:r w:rsidRPr="00921ED0">
        <w:rPr>
          <w:b/>
          <w:color w:val="000000"/>
        </w:rPr>
        <w:t>A megállási manőver során mért értékek</w:t>
      </w:r>
    </w:p>
    <w:p w:rsidR="005624E3" w:rsidRPr="00921ED0" w:rsidRDefault="005624E3" w:rsidP="005624E3">
      <w:pPr>
        <w:overflowPunct w:val="0"/>
        <w:adjustRightInd w:val="0"/>
        <w:ind w:left="567" w:hanging="567"/>
        <w:textAlignment w:val="baseline"/>
        <w:rPr>
          <w:szCs w:val="20"/>
        </w:rPr>
      </w:pPr>
    </w:p>
    <w:p w:rsidR="005624E3" w:rsidRPr="00921ED0" w:rsidRDefault="005624E3" w:rsidP="005624E3">
      <w:pPr>
        <w:overflowPunct w:val="0"/>
        <w:adjustRightInd w:val="0"/>
        <w:ind w:left="567" w:hanging="567"/>
        <w:textAlignment w:val="baseline"/>
        <w:rPr>
          <w:szCs w:val="20"/>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hanging="567"/>
        <w:textAlignment w:val="baseline"/>
        <w:rPr>
          <w:szCs w:val="20"/>
          <w:lang w:val="pt-PT"/>
        </w:rPr>
      </w:pPr>
      <w:r w:rsidRPr="00921ED0">
        <w:tab/>
      </w:r>
      <w:r w:rsidRPr="00166EA9">
        <w:rPr>
          <w:lang w:val="pt-PT"/>
        </w:rPr>
        <w:t>Áramlási sebesség:</w:t>
      </w:r>
      <w:r w:rsidRPr="00166EA9">
        <w:rPr>
          <w:lang w:val="pt-PT"/>
        </w:rP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sub>
            <m:r>
              <w:rPr>
                <w:rFonts w:ascii="Cambria Math" w:hAnsi="Cambria Math"/>
                <w:szCs w:val="20"/>
              </w:rPr>
              <m:t>IST</m:t>
            </m:r>
          </m:sub>
        </m:sSub>
      </m:oMath>
      <w:r w:rsidRPr="00166EA9">
        <w:rPr>
          <w:lang w:val="pt-PT"/>
        </w:rPr>
        <w:tab/>
        <w:t>=</w:t>
      </w:r>
      <w:r w:rsidRPr="00166EA9">
        <w:rPr>
          <w:lang w:val="pt-PT"/>
        </w:rPr>
        <w:tab/>
        <w:t>1,4 m/s</w:t>
      </w:r>
      <w:r w:rsidRPr="00166EA9">
        <w:rPr>
          <w:lang w:val="pt-PT"/>
        </w:rPr>
        <w:tab/>
      </w:r>
      <w:r w:rsidRPr="00921ED0">
        <w:rPr>
          <w:szCs w:val="20"/>
        </w:rPr>
        <w:sym w:font="Symbol" w:char="F0BB"/>
      </w:r>
      <w:r w:rsidRPr="00166EA9">
        <w:rPr>
          <w:lang w:val="pt-PT"/>
        </w:rPr>
        <w:t xml:space="preserve"> 5,1 km/h</w:t>
      </w:r>
    </w:p>
    <w:p w:rsidR="005624E3" w:rsidRPr="00166EA9" w:rsidRDefault="005624E3" w:rsidP="005624E3">
      <w:pPr>
        <w:tabs>
          <w:tab w:val="left" w:pos="5387"/>
          <w:tab w:val="left" w:pos="6379"/>
          <w:tab w:val="left" w:pos="6663"/>
          <w:tab w:val="left" w:pos="7513"/>
        </w:tabs>
        <w:overflowPunct w:val="0"/>
        <w:adjustRightInd w:val="0"/>
        <w:spacing w:line="240" w:lineRule="exact"/>
        <w:ind w:left="567" w:hanging="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hanging="567"/>
        <w:textAlignment w:val="baseline"/>
        <w:rPr>
          <w:szCs w:val="20"/>
          <w:lang w:val="pt-PT"/>
        </w:rPr>
      </w:pPr>
      <w:r w:rsidRPr="00166EA9">
        <w:rPr>
          <w:lang w:val="pt-PT"/>
        </w:rPr>
        <w:tab/>
        <w:t xml:space="preserve">A hajó sebessége (a vízhez viszonyítva): </w:t>
      </w:r>
      <w:r w:rsidRPr="00166EA9">
        <w:rPr>
          <w:lang w:val="pt-PT"/>
        </w:rP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m:t>
                </m:r>
              </m:sub>
            </m:sSub>
          </m:e>
          <m:sub>
            <m:r>
              <w:rPr>
                <w:rFonts w:ascii="Cambria Math" w:hAnsi="Cambria Math"/>
                <w:szCs w:val="20"/>
              </w:rPr>
              <m:t>IST</m:t>
            </m:r>
          </m:sub>
        </m:sSub>
      </m:oMath>
      <w:r w:rsidRPr="00166EA9">
        <w:rPr>
          <w:lang w:val="pt-PT"/>
        </w:rPr>
        <w:tab/>
        <w:t>=</w:t>
      </w:r>
      <w:r w:rsidRPr="00166EA9">
        <w:rPr>
          <w:lang w:val="pt-PT"/>
        </w:rPr>
        <w:tab/>
        <w:t>3,5 m/s</w:t>
      </w:r>
      <w:r w:rsidRPr="00166EA9">
        <w:rPr>
          <w:lang w:val="pt-PT"/>
        </w:rPr>
        <w:tab/>
      </w:r>
      <w:r w:rsidRPr="00921ED0">
        <w:rPr>
          <w:szCs w:val="20"/>
        </w:rPr>
        <w:sym w:font="Symbol" w:char="F0BB"/>
      </w:r>
      <w:r w:rsidRPr="00166EA9">
        <w:rPr>
          <w:lang w:val="pt-PT"/>
        </w:rPr>
        <w:t xml:space="preserve"> 12,5 km/h</w:t>
      </w:r>
    </w:p>
    <w:p w:rsidR="005624E3" w:rsidRPr="00166EA9" w:rsidRDefault="005624E3" w:rsidP="005624E3">
      <w:pPr>
        <w:tabs>
          <w:tab w:val="left" w:pos="5387"/>
          <w:tab w:val="left" w:pos="6379"/>
          <w:tab w:val="left" w:pos="6663"/>
          <w:tab w:val="left" w:pos="7513"/>
        </w:tabs>
        <w:overflowPunct w:val="0"/>
        <w:adjustRightInd w:val="0"/>
        <w:spacing w:line="240" w:lineRule="atLeast"/>
        <w:ind w:left="567" w:hanging="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hanging="567"/>
        <w:textAlignment w:val="baseline"/>
        <w:rPr>
          <w:szCs w:val="20"/>
          <w:lang w:val="pt-PT"/>
        </w:rPr>
      </w:pPr>
      <w:r w:rsidRPr="00166EA9">
        <w:rPr>
          <w:lang w:val="pt-PT"/>
        </w:rPr>
        <w:tab/>
        <w:t>A hajó sebessége: (a parthoz viszonyítva):</w:t>
      </w:r>
      <w:r w:rsidRPr="00166EA9">
        <w:rPr>
          <w:lang w:val="pt-PT"/>
        </w:rP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e>
          <m:sub>
            <m:r>
              <w:rPr>
                <w:rFonts w:ascii="Cambria Math" w:hAnsi="Cambria Math"/>
                <w:szCs w:val="20"/>
              </w:rPr>
              <m:t>IST</m:t>
            </m:r>
          </m:sub>
        </m:sSub>
      </m:oMath>
      <w:r w:rsidRPr="00166EA9">
        <w:rPr>
          <w:lang w:val="pt-PT"/>
        </w:rPr>
        <w:t xml:space="preserve"> </w:t>
      </w:r>
      <w:r w:rsidRPr="00166EA9">
        <w:rPr>
          <w:lang w:val="pt-PT"/>
        </w:rPr>
        <w:tab/>
        <w:t>=</w:t>
      </w:r>
      <w:r w:rsidRPr="00166EA9">
        <w:rPr>
          <w:lang w:val="pt-PT"/>
        </w:rPr>
        <w:tab/>
        <w:t>4,9 m/s</w:t>
      </w:r>
      <w:r w:rsidRPr="00166EA9">
        <w:rPr>
          <w:lang w:val="pt-PT"/>
        </w:rPr>
        <w:tab/>
      </w:r>
      <w:r w:rsidRPr="00921ED0">
        <w:rPr>
          <w:szCs w:val="20"/>
        </w:rPr>
        <w:sym w:font="Symbol" w:char="F0BB"/>
      </w:r>
      <w:r w:rsidRPr="00166EA9">
        <w:rPr>
          <w:lang w:val="pt-PT"/>
        </w:rPr>
        <w:t xml:space="preserve"> 17,6 km/h</w:t>
      </w:r>
    </w:p>
    <w:p w:rsidR="005624E3" w:rsidRPr="00166EA9" w:rsidRDefault="005624E3" w:rsidP="005624E3">
      <w:pPr>
        <w:tabs>
          <w:tab w:val="left" w:pos="5387"/>
          <w:tab w:val="left" w:pos="6379"/>
          <w:tab w:val="left" w:pos="6663"/>
          <w:tab w:val="left" w:pos="7513"/>
        </w:tabs>
        <w:overflowPunct w:val="0"/>
        <w:adjustRightInd w:val="0"/>
        <w:spacing w:line="240" w:lineRule="atLeast"/>
        <w:ind w:left="567" w:hanging="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hanging="567"/>
        <w:textAlignment w:val="baseline"/>
        <w:rPr>
          <w:szCs w:val="20"/>
          <w:lang w:val="pt-PT"/>
        </w:rPr>
      </w:pPr>
      <w:r w:rsidRPr="00166EA9">
        <w:rPr>
          <w:lang w:val="pt-PT"/>
        </w:rPr>
        <w:tab/>
        <w:t>Az irányváltás (mért) időtartama (</w:t>
      </w:r>
      <m:oMath>
        <m:r>
          <w:rPr>
            <w:rFonts w:ascii="Cambria Math" w:hAnsi="Cambria Math"/>
            <w:szCs w:val="20"/>
          </w:rPr>
          <m:t>A</m:t>
        </m:r>
      </m:oMath>
      <w:r w:rsidRPr="00166EA9">
        <w:rPr>
          <w:lang w:val="pt-PT"/>
        </w:rPr>
        <w:t xml:space="preserve"> ponttól </w:t>
      </w:r>
      <m:oMath>
        <m:r>
          <w:rPr>
            <w:rFonts w:ascii="Cambria Math" w:hAnsi="Cambria Math"/>
            <w:szCs w:val="20"/>
          </w:rPr>
          <m:t>C</m:t>
        </m:r>
      </m:oMath>
      <w:r w:rsidRPr="00166EA9">
        <w:rPr>
          <w:lang w:val="pt-PT"/>
        </w:rPr>
        <w:t xml:space="preserve"> pontig):</w:t>
      </w:r>
      <w:r w:rsidRPr="00166EA9">
        <w:rPr>
          <w:lang w:val="pt-PT"/>
        </w:rPr>
        <w:tab/>
      </w:r>
      <m:oMath>
        <m:r>
          <w:rPr>
            <w:rFonts w:ascii="Cambria Math" w:hAnsi="Cambria Math"/>
            <w:szCs w:val="20"/>
          </w:rPr>
          <m:t>t</m:t>
        </m:r>
        <m:r>
          <w:rPr>
            <w:rFonts w:ascii="Cambria Math" w:hAnsi="Cambria Math"/>
            <w:position w:val="-6"/>
            <w:sz w:val="16"/>
            <w:szCs w:val="20"/>
          </w:rPr>
          <m:t>I</m:t>
        </m:r>
      </m:oMath>
      <w:r w:rsidRPr="00166EA9">
        <w:rPr>
          <w:lang w:val="pt-PT"/>
        </w:rPr>
        <w:t xml:space="preserve"> </w:t>
      </w:r>
      <w:r w:rsidRPr="00166EA9">
        <w:rPr>
          <w:lang w:val="pt-PT"/>
        </w:rPr>
        <w:tab/>
        <w:t>=</w:t>
      </w:r>
      <w:r w:rsidRPr="00166EA9">
        <w:rPr>
          <w:lang w:val="pt-PT"/>
        </w:rPr>
        <w:tab/>
        <w:t>16 s</w:t>
      </w:r>
    </w:p>
    <w:p w:rsidR="005624E3" w:rsidRPr="00166EA9" w:rsidRDefault="005624E3" w:rsidP="005624E3">
      <w:pPr>
        <w:tabs>
          <w:tab w:val="left" w:pos="5387"/>
          <w:tab w:val="left" w:pos="6379"/>
          <w:tab w:val="left" w:pos="6663"/>
          <w:tab w:val="left" w:pos="7513"/>
        </w:tabs>
        <w:overflowPunct w:val="0"/>
        <w:adjustRightInd w:val="0"/>
        <w:ind w:left="567" w:hanging="567"/>
        <w:textAlignment w:val="baseline"/>
        <w:rPr>
          <w:szCs w:val="20"/>
          <w:lang w:val="pt-PT"/>
        </w:rPr>
      </w:pPr>
    </w:p>
    <w:p w:rsidR="005624E3" w:rsidRPr="00166EA9" w:rsidRDefault="005624E3" w:rsidP="005624E3">
      <w:pPr>
        <w:tabs>
          <w:tab w:val="left" w:pos="5529"/>
          <w:tab w:val="left" w:pos="6521"/>
          <w:tab w:val="left" w:pos="6804"/>
          <w:tab w:val="left" w:pos="8364"/>
        </w:tabs>
        <w:overflowPunct w:val="0"/>
        <w:adjustRightInd w:val="0"/>
        <w:spacing w:line="240" w:lineRule="atLeast"/>
        <w:ind w:left="567" w:hanging="567"/>
        <w:textAlignment w:val="baseline"/>
        <w:rPr>
          <w:szCs w:val="20"/>
          <w:lang w:val="pt-PT"/>
        </w:rPr>
      </w:pPr>
      <w:r w:rsidRPr="00166EA9">
        <w:rPr>
          <w:lang w:val="pt-PT"/>
        </w:rPr>
        <w:tab/>
        <w:t>Megállási távolság a vízhez viszonyítva: (</w:t>
      </w:r>
      <m:oMath>
        <m:r>
          <w:rPr>
            <w:rFonts w:ascii="Cambria Math" w:hAnsi="Cambria Math"/>
            <w:szCs w:val="20"/>
          </w:rPr>
          <m:t>A</m:t>
        </m:r>
      </m:oMath>
      <w:r w:rsidRPr="00166EA9">
        <w:rPr>
          <w:lang w:val="pt-PT"/>
        </w:rPr>
        <w:t xml:space="preserve"> és </w:t>
      </w:r>
      <m:oMath>
        <m:r>
          <w:rPr>
            <w:rFonts w:ascii="Cambria Math" w:hAnsi="Cambria Math"/>
            <w:szCs w:val="20"/>
          </w:rPr>
          <m:t>D</m:t>
        </m:r>
      </m:oMath>
      <w:r w:rsidRPr="00166EA9">
        <w:rPr>
          <w:lang w:val="pt-PT"/>
        </w:rPr>
        <w:t xml:space="preserve"> pont között):</w:t>
      </w:r>
      <w:r w:rsidRPr="00166EA9">
        <w:rPr>
          <w:lang w:val="pt-PT"/>
        </w:rPr>
        <w:tab/>
      </w:r>
      <m:oMath>
        <m:r>
          <w:rPr>
            <w:rFonts w:ascii="Cambria Math" w:hAnsi="Cambria Math"/>
            <w:szCs w:val="20"/>
          </w:rPr>
          <m:t>s</m:t>
        </m:r>
        <m:r>
          <w:rPr>
            <w:rFonts w:ascii="Cambria Math" w:hAnsi="Cambria Math"/>
            <w:position w:val="-6"/>
            <w:sz w:val="16"/>
            <w:szCs w:val="20"/>
          </w:rPr>
          <m:t>MESSUNG</m:t>
        </m:r>
      </m:oMath>
      <w:r w:rsidRPr="00166EA9">
        <w:rPr>
          <w:lang w:val="pt-PT"/>
        </w:rPr>
        <w:t xml:space="preserve"> </w:t>
      </w:r>
      <w:r w:rsidRPr="00166EA9">
        <w:rPr>
          <w:lang w:val="pt-PT"/>
        </w:rPr>
        <w:tab/>
        <w:t>=</w:t>
      </w:r>
      <w:r w:rsidRPr="00166EA9">
        <w:rPr>
          <w:lang w:val="pt-PT"/>
        </w:rPr>
        <w:tab/>
        <w:t>340 m</w:t>
      </w:r>
    </w:p>
    <w:p w:rsidR="005624E3" w:rsidRPr="00166EA9" w:rsidRDefault="005624E3" w:rsidP="005624E3">
      <w:pPr>
        <w:tabs>
          <w:tab w:val="left" w:pos="5387"/>
          <w:tab w:val="left" w:pos="6379"/>
          <w:tab w:val="left" w:pos="6663"/>
          <w:tab w:val="left" w:pos="7513"/>
        </w:tabs>
        <w:overflowPunct w:val="0"/>
        <w:adjustRightInd w:val="0"/>
        <w:spacing w:line="240" w:lineRule="atLeast"/>
        <w:ind w:left="567" w:hanging="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hanging="567"/>
        <w:textAlignment w:val="baseline"/>
        <w:rPr>
          <w:szCs w:val="20"/>
          <w:lang w:val="pt-PT"/>
        </w:rPr>
      </w:pPr>
      <w:r w:rsidRPr="00166EA9">
        <w:rPr>
          <w:lang w:val="pt-PT"/>
        </w:rPr>
        <w:tab/>
        <w:t>Terhelési viszonyok (becslés is lehet):</w:t>
      </w:r>
      <w:r w:rsidRPr="00166EA9">
        <w:rPr>
          <w:lang w:val="pt-PT"/>
        </w:rPr>
        <w:tab/>
      </w:r>
      <m:oMath>
        <m:r>
          <w:rPr>
            <w:rFonts w:ascii="Cambria Math" w:hAnsi="Cambria Math"/>
            <w:szCs w:val="20"/>
          </w:rPr>
          <m:t>D</m:t>
        </m:r>
        <m:r>
          <w:rPr>
            <w:rFonts w:ascii="Cambria Math" w:hAnsi="Cambria Math"/>
            <w:position w:val="-6"/>
            <w:sz w:val="16"/>
            <w:szCs w:val="20"/>
          </w:rPr>
          <m:t>IST</m:t>
        </m:r>
      </m:oMath>
      <w:r w:rsidRPr="00166EA9">
        <w:rPr>
          <w:lang w:val="pt-PT"/>
        </w:rPr>
        <w:t xml:space="preserve"> </w:t>
      </w:r>
      <w:r w:rsidRPr="00166EA9">
        <w:rPr>
          <w:lang w:val="pt-PT"/>
        </w:rPr>
        <w:tab/>
        <w:t>=</w:t>
      </w:r>
      <w:r w:rsidRPr="00166EA9">
        <w:rPr>
          <w:lang w:val="pt-PT"/>
        </w:rPr>
        <w:tab/>
        <w:t>5179 m</w:t>
      </w:r>
      <w:r w:rsidRPr="00166EA9">
        <w:rPr>
          <w:position w:val="6"/>
          <w:sz w:val="16"/>
          <w:lang w:val="pt-PT"/>
        </w:rPr>
        <w:t>3</w:t>
      </w:r>
      <w:r w:rsidRPr="00166EA9">
        <w:rPr>
          <w:lang w:val="pt-PT"/>
        </w:rPr>
        <w:tab/>
      </w:r>
      <w:r w:rsidRPr="00921ED0">
        <w:rPr>
          <w:szCs w:val="20"/>
        </w:rPr>
        <w:sym w:font="Symbol" w:char="F0BB"/>
      </w:r>
      <w:r w:rsidRPr="00166EA9">
        <w:rPr>
          <w:lang w:val="pt-PT"/>
        </w:rPr>
        <w:t xml:space="preserve"> 0,8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oMath>
    </w:p>
    <w:p w:rsidR="005624E3" w:rsidRPr="00166EA9" w:rsidRDefault="005624E3" w:rsidP="005624E3">
      <w:pPr>
        <w:tabs>
          <w:tab w:val="left" w:pos="5387"/>
          <w:tab w:val="left" w:pos="6379"/>
          <w:tab w:val="left" w:pos="6663"/>
          <w:tab w:val="left" w:pos="7230"/>
          <w:tab w:val="left" w:pos="7513"/>
        </w:tabs>
        <w:overflowPunct w:val="0"/>
        <w:adjustRightInd w:val="0"/>
        <w:spacing w:line="240" w:lineRule="atLeast"/>
        <w:ind w:left="567" w:hanging="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hanging="567"/>
        <w:textAlignment w:val="baseline"/>
        <w:rPr>
          <w:szCs w:val="20"/>
          <w:lang w:val="pt-PT"/>
        </w:rPr>
      </w:pPr>
      <w:r w:rsidRPr="00166EA9">
        <w:rPr>
          <w:lang w:val="pt-PT"/>
        </w:rPr>
        <w:tab/>
        <w:t>A kötelék tényleges merülése:</w:t>
      </w:r>
      <w:r w:rsidRPr="00166EA9">
        <w:rPr>
          <w:lang w:val="pt-PT"/>
        </w:rPr>
        <w:tab/>
      </w:r>
      <m:oMath>
        <m:r>
          <w:rPr>
            <w:rFonts w:ascii="Cambria Math" w:hAnsi="Cambria Math"/>
            <w:szCs w:val="20"/>
          </w:rPr>
          <m:t>T</m:t>
        </m:r>
        <m:r>
          <w:rPr>
            <w:rFonts w:ascii="Cambria Math" w:hAnsi="Cambria Math"/>
            <w:position w:val="-6"/>
            <w:sz w:val="16"/>
            <w:szCs w:val="20"/>
          </w:rPr>
          <m:t>IST</m:t>
        </m:r>
      </m:oMath>
      <w:r w:rsidRPr="00166EA9">
        <w:rPr>
          <w:lang w:val="pt-PT"/>
        </w:rPr>
        <w:tab/>
        <w:t>=</w:t>
      </w:r>
      <w:r w:rsidRPr="00166EA9">
        <w:rPr>
          <w:lang w:val="pt-PT"/>
        </w:rPr>
        <w:tab/>
        <w:t>2,96 m</w:t>
      </w:r>
      <w:r w:rsidRPr="00166EA9">
        <w:rPr>
          <w:lang w:val="pt-PT"/>
        </w:rPr>
        <w:tab/>
      </w:r>
      <w:r w:rsidRPr="00921ED0">
        <w:rPr>
          <w:szCs w:val="20"/>
        </w:rPr>
        <w:sym w:font="Symbol" w:char="F0BB"/>
      </w:r>
      <w:r w:rsidRPr="00166EA9">
        <w:rPr>
          <w:lang w:val="pt-PT"/>
        </w:rPr>
        <w:t xml:space="preserve"> 0,8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max</m:t>
            </m:r>
          </m:sub>
        </m:sSub>
      </m:oMath>
    </w:p>
    <w:p w:rsidR="005624E3" w:rsidRPr="00166EA9" w:rsidRDefault="005624E3" w:rsidP="005624E3">
      <w:pPr>
        <w:overflowPunct w:val="0"/>
        <w:adjustRightInd w:val="0"/>
        <w:spacing w:line="240" w:lineRule="exact"/>
        <w:ind w:left="567" w:hanging="567"/>
        <w:textAlignment w:val="baseline"/>
        <w:rPr>
          <w:szCs w:val="20"/>
          <w:lang w:val="pt-PT"/>
        </w:rPr>
      </w:pPr>
    </w:p>
    <w:p w:rsidR="005624E3" w:rsidRPr="00166EA9" w:rsidRDefault="005624E3" w:rsidP="005624E3">
      <w:pPr>
        <w:overflowPunct w:val="0"/>
        <w:adjustRightInd w:val="0"/>
        <w:ind w:left="567" w:hanging="567"/>
        <w:textAlignment w:val="baseline"/>
        <w:rPr>
          <w:szCs w:val="20"/>
          <w:lang w:val="pt-PT"/>
        </w:rPr>
      </w:pPr>
    </w:p>
    <w:p w:rsidR="005624E3" w:rsidRPr="00166EA9" w:rsidRDefault="005624E3" w:rsidP="005624E3">
      <w:pPr>
        <w:overflowPunct w:val="0"/>
        <w:adjustRightInd w:val="0"/>
        <w:textAlignment w:val="baseline"/>
        <w:rPr>
          <w:szCs w:val="20"/>
          <w:lang w:val="pt-PT"/>
        </w:rPr>
      </w:pPr>
      <w:r w:rsidRPr="00166EA9">
        <w:rPr>
          <w:lang w:val="pt-PT"/>
        </w:rPr>
        <w:br w:type="page"/>
      </w:r>
    </w:p>
    <w:p w:rsidR="005624E3" w:rsidRPr="00921ED0" w:rsidRDefault="005624E3" w:rsidP="005624E3">
      <w:pPr>
        <w:spacing w:line="240" w:lineRule="atLeast"/>
        <w:ind w:left="567" w:hanging="567"/>
        <w:rPr>
          <w:rFonts w:cs="Arial"/>
          <w:color w:val="000000"/>
          <w:szCs w:val="20"/>
        </w:rPr>
      </w:pPr>
      <w:r w:rsidRPr="00921ED0">
        <w:rPr>
          <w:b/>
          <w:color w:val="000000"/>
        </w:rPr>
        <w:t>3.</w:t>
      </w:r>
      <w:r w:rsidRPr="00921ED0">
        <w:tab/>
      </w:r>
      <w:r w:rsidRPr="00921ED0">
        <w:rPr>
          <w:b/>
          <w:noProof/>
          <w:color w:val="000000"/>
        </w:rPr>
        <w:t xml:space="preserve">A 2.1. a) vagy a 2.1. b) pont szerinti határértéket össze kell hasonlítani a következővel: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NORM</m:t>
            </m:r>
          </m:sub>
        </m:sSub>
      </m:oMath>
    </w:p>
    <w:p w:rsidR="005624E3" w:rsidRPr="00921ED0" w:rsidRDefault="005624E3" w:rsidP="005624E3">
      <w:pPr>
        <w:tabs>
          <w:tab w:val="left" w:pos="567"/>
        </w:tabs>
        <w:overflowPunct w:val="0"/>
        <w:adjustRightInd w:val="0"/>
        <w:ind w:left="284" w:hanging="284"/>
        <w:textAlignment w:val="baseline"/>
        <w:rPr>
          <w:szCs w:val="20"/>
        </w:rPr>
      </w:pPr>
    </w:p>
    <w:p w:rsidR="005624E3" w:rsidRPr="00921ED0" w:rsidRDefault="005624E3" w:rsidP="005624E3">
      <w:pPr>
        <w:overflowPunct w:val="0"/>
        <w:adjustRightInd w:val="0"/>
        <w:spacing w:line="240" w:lineRule="exact"/>
        <w:ind w:left="567"/>
        <w:textAlignment w:val="baseline"/>
        <w:rPr>
          <w:szCs w:val="20"/>
        </w:rPr>
      </w:pPr>
      <w:r w:rsidRPr="00921ED0">
        <w:t xml:space="preserve">Mivel </w:t>
      </w:r>
      <m:oMath>
        <m:r>
          <w:rPr>
            <w:rFonts w:ascii="Cambria Math" w:hAnsi="Cambria Math"/>
            <w:szCs w:val="20"/>
          </w:rPr>
          <m:t>B &gt; 11,45 m</m:t>
        </m:r>
      </m:oMath>
      <w:r w:rsidRPr="00921ED0">
        <w:t xml:space="preserve"> és mivel a kötelék áramló vízben halad, erre a kötelékre a 2.1. a) pont alapján a következő vonatkozik:</w:t>
      </w:r>
    </w:p>
    <w:p w:rsidR="005624E3" w:rsidRPr="00921ED0" w:rsidRDefault="005624E3" w:rsidP="005624E3">
      <w:pPr>
        <w:tabs>
          <w:tab w:val="left" w:pos="567"/>
        </w:tabs>
        <w:overflowPunct w:val="0"/>
        <w:adjustRightInd w:val="0"/>
        <w:ind w:left="284" w:hanging="284"/>
        <w:textAlignment w:val="baseline"/>
        <w:rPr>
          <w:szCs w:val="20"/>
        </w:rPr>
      </w:pPr>
    </w:p>
    <w:p w:rsidR="005624E3" w:rsidRPr="00921ED0" w:rsidRDefault="005624E3" w:rsidP="005624E3">
      <w:pPr>
        <w:tabs>
          <w:tab w:val="left" w:pos="567"/>
          <w:tab w:val="left" w:pos="3402"/>
        </w:tabs>
        <w:overflowPunct w:val="0"/>
        <w:adjustRightInd w:val="0"/>
        <w:spacing w:line="240" w:lineRule="atLeast"/>
        <w:ind w:left="567"/>
        <w:textAlignment w:val="baseline"/>
        <w:rPr>
          <w:szCs w:val="20"/>
        </w:rPr>
      </w:pPr>
      <m:oMathPara>
        <m:oMath>
          <m:r>
            <w:rPr>
              <w:rFonts w:ascii="Cambria Math" w:hAnsi="Cambria Math"/>
              <w:szCs w:val="20"/>
            </w:rPr>
            <m:t>s</m:t>
          </m:r>
          <m:r>
            <w:rPr>
              <w:rFonts w:ascii="Cambria Math" w:hAnsi="Cambria Math"/>
              <w:position w:val="-6"/>
              <w:sz w:val="16"/>
              <w:szCs w:val="20"/>
            </w:rPr>
            <m:t>NORM</m:t>
          </m:r>
          <m:r>
            <w:rPr>
              <w:rFonts w:ascii="Cambria Math" w:hAnsi="Cambria Math"/>
              <w:szCs w:val="20"/>
            </w:rPr>
            <m:t xml:space="preserve">  </m:t>
          </m:r>
          <m:r>
            <w:rPr>
              <w:rFonts w:ascii="Cambria Math" w:hAnsi="Cambria Math"/>
              <w:i/>
              <w:szCs w:val="20"/>
            </w:rPr>
            <w:sym w:font="Symbol" w:char="F0A3"/>
          </m:r>
          <m:r>
            <w:rPr>
              <w:rFonts w:ascii="Cambria Math" w:hAnsi="Cambria Math"/>
              <w:szCs w:val="20"/>
            </w:rPr>
            <m:t xml:space="preserve">  550 m</m:t>
          </m:r>
        </m:oMath>
      </m:oMathPara>
    </w:p>
    <w:p w:rsidR="005624E3" w:rsidRPr="00921ED0" w:rsidRDefault="005624E3" w:rsidP="005624E3">
      <w:pPr>
        <w:tabs>
          <w:tab w:val="left" w:pos="454"/>
          <w:tab w:val="left" w:pos="567"/>
        </w:tabs>
        <w:overflowPunct w:val="0"/>
        <w:adjustRightInd w:val="0"/>
        <w:spacing w:line="240" w:lineRule="exact"/>
        <w:ind w:left="284" w:hanging="284"/>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4.</w:t>
      </w:r>
      <w:r w:rsidRPr="00921ED0">
        <w:tab/>
      </w:r>
      <w:r w:rsidRPr="00921ED0">
        <w:rPr>
          <w:b/>
          <w:color w:val="000000"/>
        </w:rPr>
        <w:t>A korrigált megállási távolság megállapítása a normál körülményekkel összehasonlítva</w:t>
      </w:r>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921ED0" w:rsidRDefault="005624E3" w:rsidP="005624E3">
      <w:pPr>
        <w:tabs>
          <w:tab w:val="left" w:pos="567"/>
        </w:tabs>
        <w:overflowPunct w:val="0"/>
        <w:adjustRightInd w:val="0"/>
        <w:spacing w:line="240" w:lineRule="exact"/>
        <w:ind w:left="992"/>
        <w:textAlignment w:val="baseline"/>
        <w:rPr>
          <w:szCs w:val="20"/>
        </w:rPr>
      </w:pPr>
      <w:r w:rsidRPr="00921ED0">
        <w:t>-</w:t>
      </w:r>
      <w:r w:rsidRPr="00921ED0">
        <w:tab/>
      </w:r>
      <w:r w:rsidRPr="00921ED0">
        <w:rPr>
          <w:b/>
        </w:rPr>
        <w:t>Mért</w:t>
      </w:r>
      <w:r w:rsidRPr="00921ED0">
        <w:t xml:space="preserve"> érték az 1. mellékletnek megfelelően (lásd: 2. pont)</w:t>
      </w:r>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921ED0" w:rsidRDefault="005624E3" w:rsidP="005624E3">
      <w:pPr>
        <w:tabs>
          <w:tab w:val="left" w:pos="454"/>
          <w:tab w:val="left" w:pos="3402"/>
        </w:tabs>
        <w:overflowPunct w:val="0"/>
        <w:adjustRightInd w:val="0"/>
        <w:spacing w:line="240" w:lineRule="atLeast"/>
        <w:ind w:left="454" w:hanging="454"/>
        <w:textAlignment w:val="baseline"/>
        <w:rPr>
          <w:szCs w:val="20"/>
        </w:rPr>
      </w:pPr>
      <w:r w:rsidRPr="00921ED0">
        <w:tab/>
      </w:r>
      <w:r w:rsidRPr="00921ED0">
        <w:tab/>
      </w:r>
      <m:oMath>
        <m:r>
          <w:rPr>
            <w:rFonts w:ascii="Cambria Math" w:hAnsi="Cambria Math"/>
            <w:szCs w:val="20"/>
          </w:rPr>
          <m:t>s</m:t>
        </m:r>
        <m:r>
          <w:rPr>
            <w:rFonts w:ascii="Cambria Math" w:hAnsi="Cambria Math"/>
            <w:position w:val="-6"/>
            <w:sz w:val="16"/>
            <w:szCs w:val="20"/>
          </w:rPr>
          <m:t>MESSUNG</m:t>
        </m:r>
        <m:r>
          <w:rPr>
            <w:rFonts w:ascii="Cambria Math" w:hAnsi="Cambria Math"/>
            <w:szCs w:val="20"/>
          </w:rPr>
          <m:t xml:space="preserve"> = 340 m</m:t>
        </m:r>
      </m:oMath>
    </w:p>
    <w:p w:rsidR="005624E3" w:rsidRPr="00921ED0" w:rsidRDefault="005624E3" w:rsidP="005624E3">
      <w:pPr>
        <w:tabs>
          <w:tab w:val="left" w:pos="284"/>
          <w:tab w:val="left" w:pos="567"/>
        </w:tabs>
        <w:overflowPunct w:val="0"/>
        <w:adjustRightInd w:val="0"/>
        <w:spacing w:line="240" w:lineRule="atLeast"/>
        <w:ind w:left="992"/>
        <w:textAlignment w:val="baseline"/>
        <w:rPr>
          <w:b/>
          <w:szCs w:val="20"/>
        </w:rPr>
      </w:pPr>
      <w:r w:rsidRPr="00921ED0">
        <w:rPr>
          <w:b/>
        </w:rPr>
        <w:t>-</w:t>
      </w:r>
      <w:r w:rsidRPr="00921ED0">
        <w:tab/>
      </w:r>
      <w:r w:rsidRPr="00921ED0">
        <w:rPr>
          <w:b/>
        </w:rPr>
        <w:t>Kiszámítandó:</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3142CA" w:rsidP="005624E3">
      <w:pPr>
        <w:tabs>
          <w:tab w:val="left" w:pos="3402"/>
        </w:tabs>
        <w:overflowPunct w:val="0"/>
        <w:adjustRightInd w:val="0"/>
        <w:spacing w:line="240" w:lineRule="exact"/>
        <w:ind w:left="1417"/>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rsidR="005624E3" w:rsidRPr="00921ED0">
        <w:t xml:space="preserve"> az alábbiak összegeként:</w:t>
      </w:r>
    </w:p>
    <w:p w:rsidR="005624E3" w:rsidRPr="00921ED0" w:rsidRDefault="005624E3" w:rsidP="005624E3">
      <w:pPr>
        <w:tabs>
          <w:tab w:val="left" w:pos="567"/>
          <w:tab w:val="left" w:pos="3402"/>
        </w:tabs>
        <w:overflowPunct w:val="0"/>
        <w:adjustRightInd w:val="0"/>
        <w:spacing w:line="240" w:lineRule="exact"/>
        <w:ind w:left="1417"/>
        <w:textAlignment w:val="baseline"/>
        <w:rPr>
          <w:szCs w:val="20"/>
        </w:rPr>
      </w:pPr>
    </w:p>
    <w:p w:rsidR="005624E3" w:rsidRPr="00921ED0" w:rsidRDefault="003142CA" w:rsidP="005624E3">
      <w:pPr>
        <w:tabs>
          <w:tab w:val="left" w:pos="3402"/>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rsidR="005624E3" w:rsidRPr="00921ED0">
        <w:tab/>
        <w:t xml:space="preserve">(a 2. melléklet 4.1. képletének megfelelően,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oMath>
      <w:r w:rsidR="005624E3" w:rsidRPr="00921ED0">
        <w:t xml:space="preserve"> alkalmazásával)</w:t>
      </w:r>
    </w:p>
    <w:p w:rsidR="005624E3" w:rsidRPr="00921ED0" w:rsidRDefault="005624E3" w:rsidP="005624E3">
      <w:pPr>
        <w:tabs>
          <w:tab w:val="left" w:pos="567"/>
          <w:tab w:val="left" w:pos="3402"/>
          <w:tab w:val="left" w:pos="3544"/>
        </w:tabs>
        <w:overflowPunct w:val="0"/>
        <w:adjustRightInd w:val="0"/>
        <w:spacing w:line="240" w:lineRule="atLeast"/>
        <w:ind w:left="1417"/>
        <w:textAlignment w:val="baseline"/>
        <w:rPr>
          <w:szCs w:val="20"/>
        </w:rPr>
      </w:pPr>
    </w:p>
    <w:p w:rsidR="005624E3" w:rsidRPr="00921ED0" w:rsidRDefault="005624E3" w:rsidP="005624E3">
      <w:pPr>
        <w:tabs>
          <w:tab w:val="left" w:pos="3402"/>
        </w:tabs>
        <w:overflowPunct w:val="0"/>
        <w:adjustRightInd w:val="0"/>
        <w:spacing w:line="240" w:lineRule="atLeast"/>
        <w:ind w:left="3402" w:hanging="2410"/>
        <w:textAlignment w:val="baseline"/>
        <w:rPr>
          <w:szCs w:val="20"/>
        </w:rPr>
      </w:pPr>
      <w:r w:rsidRPr="00921ED0">
        <w:t xml:space="preserve">és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rsidRPr="00921ED0">
        <w:tab/>
        <w:t xml:space="preserve">(a 2. melléklet 4.2., 4.3., 4.4., 4.5. és 4.6. képletének megfelelően,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II</m:t>
                </m:r>
              </m:sub>
            </m:sSub>
          </m:e>
          <m:sub>
            <m:r>
              <w:rPr>
                <w:rFonts w:ascii="Cambria Math" w:hAnsi="Cambria Math"/>
                <w:noProof/>
              </w:rPr>
              <m:t>IST</m:t>
            </m:r>
          </m:sub>
        </m:sSub>
      </m:oMath>
      <w:r w:rsidRPr="00921ED0">
        <w:t xml:space="preserv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STR</m:t>
                </m:r>
              </m:sub>
            </m:sSub>
          </m:e>
          <m:sub>
            <m:r>
              <w:rPr>
                <w:rFonts w:ascii="Cambria Math" w:hAnsi="Cambria Math"/>
                <w:noProof/>
              </w:rPr>
              <m:t>IST</m:t>
            </m:r>
          </m:sub>
        </m:sSub>
      </m:oMath>
      <w:r w:rsidRPr="00921ED0">
        <w:t xml:space="preserve">, </w:t>
      </w:r>
      <m:oMath>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Pr="00921ED0">
        <w:t xml:space="preserve"> tényleges sebességek alkalmazásával)</w:t>
      </w:r>
    </w:p>
    <w:p w:rsidR="005624E3" w:rsidRPr="00921ED0" w:rsidRDefault="005624E3" w:rsidP="005624E3">
      <w:pPr>
        <w:tabs>
          <w:tab w:val="left" w:pos="454"/>
          <w:tab w:val="left" w:pos="3402"/>
        </w:tabs>
        <w:overflowPunct w:val="0"/>
        <w:adjustRightInd w:val="0"/>
        <w:spacing w:line="240" w:lineRule="atLeast"/>
        <w:ind w:left="1417"/>
        <w:textAlignment w:val="baseline"/>
        <w:rPr>
          <w:szCs w:val="20"/>
        </w:rPr>
      </w:pPr>
    </w:p>
    <w:p w:rsidR="005624E3" w:rsidRPr="00921ED0" w:rsidRDefault="003142CA" w:rsidP="005624E3">
      <w:pPr>
        <w:tabs>
          <w:tab w:val="left" w:pos="567"/>
          <w:tab w:val="left" w:pos="3402"/>
        </w:tabs>
        <w:overflowPunct w:val="0"/>
        <w:adjustRightInd w:val="0"/>
        <w:spacing w:line="240" w:lineRule="atLeast"/>
        <w:ind w:left="1417"/>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005624E3" w:rsidRPr="00921ED0">
        <w:t xml:space="preserve"> az alábbiak összegeként:</w:t>
      </w:r>
    </w:p>
    <w:p w:rsidR="005624E3" w:rsidRPr="00921ED0" w:rsidRDefault="005624E3" w:rsidP="005624E3">
      <w:pPr>
        <w:tabs>
          <w:tab w:val="left" w:pos="567"/>
          <w:tab w:val="left" w:pos="3402"/>
        </w:tabs>
        <w:overflowPunct w:val="0"/>
        <w:adjustRightInd w:val="0"/>
        <w:spacing w:line="240" w:lineRule="atLeast"/>
        <w:ind w:left="1417"/>
        <w:textAlignment w:val="baseline"/>
        <w:rPr>
          <w:szCs w:val="20"/>
        </w:rPr>
      </w:pPr>
    </w:p>
    <w:p w:rsidR="005624E3" w:rsidRPr="00921ED0" w:rsidRDefault="003142CA" w:rsidP="005624E3">
      <w:pPr>
        <w:tabs>
          <w:tab w:val="left" w:pos="567"/>
          <w:tab w:val="left" w:pos="3402"/>
          <w:tab w:val="left" w:pos="3544"/>
        </w:tabs>
        <w:overflowPunct w:val="0"/>
        <w:adjustRightInd w:val="0"/>
        <w:spacing w:line="240" w:lineRule="atLeast"/>
        <w:ind w:left="1417"/>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oMath>
      <w:r w:rsidR="005624E3" w:rsidRPr="00921ED0">
        <w:t xml:space="preserve"> </w:t>
      </w:r>
      <w:r w:rsidR="005624E3" w:rsidRPr="00921ED0">
        <w:tab/>
        <w:t xml:space="preserve">(a 2. melléklet 4.1. képletének megfelelően,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SOLL</m:t>
            </m:r>
          </m:sub>
        </m:sSub>
      </m:oMath>
      <w:r w:rsidR="005624E3" w:rsidRPr="00921ED0">
        <w:t xml:space="preserve"> alkalmazásával)</w:t>
      </w:r>
    </w:p>
    <w:p w:rsidR="005624E3" w:rsidRPr="00921ED0" w:rsidRDefault="005624E3" w:rsidP="005624E3">
      <w:pPr>
        <w:tabs>
          <w:tab w:val="left" w:pos="567"/>
          <w:tab w:val="left" w:pos="3402"/>
        </w:tabs>
        <w:overflowPunct w:val="0"/>
        <w:adjustRightInd w:val="0"/>
        <w:spacing w:line="240" w:lineRule="atLeast"/>
        <w:ind w:left="1417"/>
        <w:textAlignment w:val="baseline"/>
        <w:rPr>
          <w:szCs w:val="20"/>
        </w:rPr>
      </w:pPr>
    </w:p>
    <w:p w:rsidR="005624E3" w:rsidRPr="00921ED0" w:rsidRDefault="003142CA" w:rsidP="005624E3">
      <w:pPr>
        <w:tabs>
          <w:tab w:val="left" w:pos="567"/>
          <w:tab w:val="left" w:pos="3402"/>
          <w:tab w:val="left" w:pos="3544"/>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SOLL</m:t>
            </m:r>
          </m:sub>
        </m:sSub>
      </m:oMath>
      <w:r w:rsidR="005624E3" w:rsidRPr="00921ED0">
        <w:tab/>
        <w:t xml:space="preserve">(a 2. melléklet 4.2–4.6. képletének megfelelően, az utasítás 2.1. pontja szerinti referenciasebességgel, és tekintettel arra, hogy a terhelési viszonyok meghaladják a maximális terhelés 70 %-át (≈ 80 %):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005624E3" w:rsidRPr="00921ED0">
        <w:t xml:space="preserve"> és </w:t>
      </w:r>
      <m:oMath>
        <m:sSub>
          <m:sSubPr>
            <m:ctrlPr>
              <w:rPr>
                <w:rFonts w:ascii="Cambria Math" w:hAnsi="Cambria Math"/>
                <w:i/>
                <w:noProof/>
              </w:rPr>
            </m:ctrlPr>
          </m:sSubPr>
          <m:e>
            <m:r>
              <w:rPr>
                <w:rFonts w:ascii="Cambria Math" w:hAnsi="Cambria Math"/>
                <w:noProof/>
              </w:rPr>
              <m:t>T</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T</m:t>
            </m:r>
          </m:e>
          <m:sub>
            <m:r>
              <w:rPr>
                <w:rFonts w:ascii="Cambria Math" w:hAnsi="Cambria Math"/>
                <w:noProof/>
              </w:rPr>
              <m:t>IST</m:t>
            </m:r>
          </m:sub>
        </m:sSub>
      </m:oMath>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284"/>
        </w:tabs>
        <w:overflowPunct w:val="0"/>
        <w:adjustRightInd w:val="0"/>
        <w:spacing w:line="240" w:lineRule="exact"/>
        <w:ind w:left="992"/>
        <w:textAlignment w:val="baseline"/>
        <w:rPr>
          <w:szCs w:val="20"/>
        </w:rPr>
      </w:pPr>
      <w:r w:rsidRPr="00921ED0">
        <w:t>-</w:t>
      </w:r>
      <w:r w:rsidRPr="00921ED0">
        <w:tab/>
      </w:r>
      <w:r w:rsidRPr="00921ED0">
        <w:rPr>
          <w:b/>
        </w:rPr>
        <w:t>Ellenőrizendő:</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3142CA" w:rsidP="005624E3">
      <w:pPr>
        <w:tabs>
          <w:tab w:val="left" w:pos="454"/>
        </w:tabs>
        <w:overflowPunct w:val="0"/>
        <w:adjustRightInd w:val="0"/>
        <w:spacing w:line="240" w:lineRule="atLeast"/>
        <w:ind w:left="454" w:hanging="454"/>
        <w:textAlignment w:val="baseline"/>
        <w:rPr>
          <w:szCs w:val="20"/>
        </w:rPr>
      </w:pPr>
      <m:oMathPara>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 ≤550 m</m:t>
          </m:r>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br w:type="page"/>
      </w:r>
      <w:r w:rsidRPr="00921ED0">
        <w:rPr>
          <w:b/>
          <w:color w:val="000000"/>
        </w:rPr>
        <w:t>4.1.</w:t>
      </w:r>
      <w:r w:rsidRPr="00921ED0">
        <w:tab/>
      </w:r>
      <w:r w:rsidRPr="00921ED0">
        <w:rPr>
          <w:b/>
          <w:color w:val="000000"/>
        </w:rPr>
        <w:t>A 2. mellékletből vett, számításhoz használt együtthatók</w:t>
      </w:r>
    </w:p>
    <w:p w:rsidR="005624E3" w:rsidRPr="00921ED0" w:rsidRDefault="005624E3" w:rsidP="005624E3">
      <w:pPr>
        <w:tabs>
          <w:tab w:val="left" w:pos="0"/>
        </w:tabs>
        <w:overflowPunct w:val="0"/>
        <w:adjustRightInd w:val="0"/>
        <w:spacing w:line="240" w:lineRule="exact"/>
        <w:ind w:left="567"/>
        <w:textAlignment w:val="baseline"/>
        <w:rPr>
          <w:szCs w:val="20"/>
        </w:rPr>
      </w:pPr>
    </w:p>
    <w:p w:rsidR="005624E3" w:rsidRPr="00921ED0" w:rsidRDefault="005624E3" w:rsidP="005624E3">
      <w:pPr>
        <w:overflowPunct w:val="0"/>
        <w:adjustRightInd w:val="0"/>
        <w:spacing w:line="240" w:lineRule="exact"/>
        <w:ind w:left="567"/>
        <w:textAlignment w:val="baseline"/>
        <w:rPr>
          <w:szCs w:val="20"/>
        </w:rPr>
      </w:pPr>
      <w:r w:rsidRPr="00921ED0">
        <w:t>1. táblázat</w:t>
      </w:r>
    </w:p>
    <w:p w:rsidR="005624E3" w:rsidRPr="00921ED0" w:rsidRDefault="005624E3" w:rsidP="005624E3">
      <w:pPr>
        <w:tabs>
          <w:tab w:val="left" w:pos="0"/>
        </w:tabs>
        <w:overflowPunct w:val="0"/>
        <w:adjustRightInd w:val="0"/>
        <w:spacing w:line="240" w:lineRule="exact"/>
        <w:ind w:left="567"/>
        <w:textAlignment w:val="baseline"/>
        <w:rPr>
          <w:szCs w:val="20"/>
        </w:rPr>
      </w:pPr>
    </w:p>
    <w:p w:rsidR="005624E3" w:rsidRPr="00921ED0" w:rsidRDefault="005624E3" w:rsidP="005624E3">
      <w:pPr>
        <w:tabs>
          <w:tab w:val="left" w:pos="2694"/>
          <w:tab w:val="left" w:pos="3119"/>
          <w:tab w:val="left" w:pos="3544"/>
        </w:tabs>
        <w:overflowPunct w:val="0"/>
        <w:adjustRightInd w:val="0"/>
        <w:spacing w:line="240" w:lineRule="atLeast"/>
        <w:ind w:left="567"/>
        <w:textAlignment w:val="baseline"/>
        <w:rPr>
          <w:szCs w:val="20"/>
        </w:rPr>
      </w:pPr>
      <w:r w:rsidRPr="00921ED0">
        <w:t xml:space="preserve">a következő kiszámításához: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rsidRPr="00921ED0">
        <w:t xml:space="preserve"> és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oMath>
      <w:r w:rsidRPr="00921ED0">
        <w:t xml:space="preserve"> </w:t>
      </w:r>
      <w:r w:rsidRPr="00921ED0">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r>
          <w:rPr>
            <w:rFonts w:ascii="Cambria Math" w:hAnsi="Cambria Math"/>
            <w:szCs w:val="20"/>
          </w:rPr>
          <m:t xml:space="preserve"> </m:t>
        </m:r>
      </m:oMath>
      <w:r w:rsidRPr="00921ED0">
        <w:tab/>
        <w:t>=</w:t>
      </w:r>
      <w:r w:rsidRPr="00921ED0">
        <w:tab/>
        <w:t>0,95</w:t>
      </w:r>
    </w:p>
    <w:p w:rsidR="005624E3" w:rsidRPr="00921ED0" w:rsidRDefault="005624E3" w:rsidP="005624E3">
      <w:pPr>
        <w:overflowPunct w:val="0"/>
        <w:adjustRightInd w:val="0"/>
        <w:spacing w:line="240" w:lineRule="atLeast"/>
        <w:ind w:left="567"/>
        <w:textAlignment w:val="baseline"/>
        <w:rPr>
          <w:szCs w:val="20"/>
        </w:rPr>
      </w:pPr>
    </w:p>
    <w:p w:rsidR="005624E3" w:rsidRPr="00921ED0" w:rsidRDefault="005624E3" w:rsidP="005624E3">
      <w:pPr>
        <w:tabs>
          <w:tab w:val="left" w:pos="851"/>
          <w:tab w:val="left" w:pos="2127"/>
          <w:tab w:val="left" w:pos="4111"/>
        </w:tabs>
        <w:overflowPunct w:val="0"/>
        <w:adjustRightInd w:val="0"/>
        <w:spacing w:line="240" w:lineRule="atLeast"/>
        <w:ind w:left="567"/>
        <w:textAlignment w:val="baseline"/>
        <w:rPr>
          <w:szCs w:val="20"/>
        </w:rPr>
      </w:pPr>
      <w:r w:rsidRPr="00921ED0">
        <w:t xml:space="preserve">a következő kiszámításához: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rsidRPr="00921ED0">
        <w:t xml:space="preserve"> és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SOLL</m:t>
            </m:r>
          </m:sub>
        </m:sSub>
      </m:oMath>
    </w:p>
    <w:p w:rsidR="005624E3" w:rsidRPr="00921ED0" w:rsidRDefault="003142CA" w:rsidP="005624E3">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w:r w:rsidR="005624E3" w:rsidRPr="00921ED0">
        <w:tab/>
        <w:t>=</w:t>
      </w:r>
      <w:r w:rsidR="005624E3" w:rsidRPr="00921ED0">
        <w:tab/>
        <w:t>0,12</w:t>
      </w:r>
    </w:p>
    <w:p w:rsidR="005624E3" w:rsidRPr="00921ED0" w:rsidRDefault="003142CA" w:rsidP="005624E3">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w:r w:rsidR="005624E3" w:rsidRPr="00921ED0">
        <w:tab/>
        <w:t>=</w:t>
      </w:r>
      <w:r w:rsidR="005624E3" w:rsidRPr="00921ED0">
        <w:tab/>
        <w:t>1,15</w:t>
      </w:r>
    </w:p>
    <w:p w:rsidR="005624E3" w:rsidRPr="00921ED0" w:rsidRDefault="003142CA" w:rsidP="005624E3">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005624E3" w:rsidRPr="00921ED0">
        <w:tab/>
        <w:t>=</w:t>
      </w:r>
      <w:r w:rsidR="005624E3" w:rsidRPr="00921ED0">
        <w:tab/>
        <w:t>0,48</w:t>
      </w:r>
    </w:p>
    <w:p w:rsidR="005624E3" w:rsidRPr="00921ED0" w:rsidRDefault="003142CA" w:rsidP="005624E3">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005624E3" w:rsidRPr="00921ED0">
        <w:tab/>
        <w:t>=</w:t>
      </w:r>
      <w:r w:rsidR="005624E3" w:rsidRPr="00921ED0">
        <w:tab/>
        <w:t>0,85</w:t>
      </w:r>
    </w:p>
    <w:p w:rsidR="005624E3" w:rsidRPr="00921ED0" w:rsidRDefault="003142CA" w:rsidP="005624E3">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w:r w:rsidR="005624E3" w:rsidRPr="00921ED0">
        <w:tab/>
        <w:t>=</w:t>
      </w:r>
      <w:r w:rsidR="005624E3" w:rsidRPr="00921ED0">
        <w:tab/>
        <w:t>0,55</w:t>
      </w:r>
    </w:p>
    <w:p w:rsidR="005624E3" w:rsidRPr="00921ED0" w:rsidRDefault="005624E3" w:rsidP="005624E3">
      <w:pPr>
        <w:tabs>
          <w:tab w:val="left" w:pos="0"/>
        </w:tabs>
        <w:overflowPunct w:val="0"/>
        <w:adjustRightInd w:val="0"/>
        <w:spacing w:line="240" w:lineRule="exact"/>
        <w:ind w:left="567"/>
        <w:textAlignment w:val="baseline"/>
        <w:rPr>
          <w:szCs w:val="20"/>
        </w:rPr>
      </w:pPr>
    </w:p>
    <w:p w:rsidR="005624E3" w:rsidRPr="00921ED0" w:rsidRDefault="005624E3" w:rsidP="005624E3">
      <w:pPr>
        <w:overflowPunct w:val="0"/>
        <w:adjustRightInd w:val="0"/>
        <w:spacing w:line="240" w:lineRule="exact"/>
        <w:ind w:left="567"/>
        <w:textAlignment w:val="baseline"/>
        <w:rPr>
          <w:szCs w:val="20"/>
        </w:rPr>
      </w:pPr>
      <w:r w:rsidRPr="00921ED0">
        <w:t>2. táblázat (lekerekített kilépő peremű, új típusú gyűrű esetében)</w:t>
      </w:r>
    </w:p>
    <w:p w:rsidR="005624E3" w:rsidRPr="00921ED0" w:rsidRDefault="005624E3" w:rsidP="005624E3">
      <w:pPr>
        <w:tabs>
          <w:tab w:val="left" w:pos="0"/>
        </w:tabs>
        <w:overflowPunct w:val="0"/>
        <w:adjustRightInd w:val="0"/>
        <w:spacing w:line="240" w:lineRule="exact"/>
        <w:ind w:left="567"/>
        <w:textAlignment w:val="baseline"/>
        <w:rPr>
          <w:szCs w:val="20"/>
        </w:rPr>
      </w:pPr>
    </w:p>
    <w:p w:rsidR="005624E3" w:rsidRPr="00921ED0" w:rsidRDefault="005624E3" w:rsidP="005624E3">
      <w:pPr>
        <w:overflowPunct w:val="0"/>
        <w:adjustRightInd w:val="0"/>
        <w:spacing w:line="240" w:lineRule="exact"/>
        <w:ind w:left="567"/>
        <w:textAlignment w:val="baseline"/>
        <w:rPr>
          <w:szCs w:val="20"/>
        </w:rPr>
      </w:pPr>
      <m:oMath>
        <m:r>
          <w:rPr>
            <w:rFonts w:ascii="Cambria Math" w:hAnsi="Cambria Math"/>
            <w:szCs w:val="20"/>
          </w:rPr>
          <m:t>f</m:t>
        </m:r>
      </m:oMath>
      <w:r w:rsidRPr="00921ED0">
        <w:t xml:space="preserve"> = 0,118</w:t>
      </w:r>
    </w:p>
    <w:p w:rsidR="005624E3" w:rsidRPr="00921ED0" w:rsidRDefault="005624E3" w:rsidP="005624E3">
      <w:pPr>
        <w:tabs>
          <w:tab w:val="left" w:pos="0"/>
        </w:tabs>
        <w:overflowPunct w:val="0"/>
        <w:adjustRightInd w:val="0"/>
        <w:spacing w:line="240" w:lineRule="exact"/>
        <w:ind w:left="567"/>
        <w:textAlignment w:val="baseline"/>
        <w:rPr>
          <w:szCs w:val="20"/>
        </w:rPr>
      </w:pPr>
    </w:p>
    <w:p w:rsidR="005624E3" w:rsidRPr="00921ED0" w:rsidRDefault="005624E3" w:rsidP="005624E3">
      <w:pPr>
        <w:tabs>
          <w:tab w:val="left" w:pos="0"/>
        </w:tabs>
        <w:overflowPunct w:val="0"/>
        <w:adjustRightInd w:val="0"/>
        <w:spacing w:line="240" w:lineRule="exact"/>
        <w:ind w:left="567"/>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4.2.</w:t>
      </w:r>
      <w:r w:rsidRPr="00921ED0">
        <w:tab/>
      </w:r>
      <w:r w:rsidRPr="00921ED0">
        <w:rPr>
          <w:b/>
          <w:noProof/>
          <w:color w:val="000000"/>
        </w:rPr>
        <w:t xml:space="preserve">A következő kiszámítása: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IST</m:t>
            </m:r>
          </m:sub>
        </m:sSub>
      </m:oMath>
    </w:p>
    <w:p w:rsidR="005624E3" w:rsidRPr="00921ED0" w:rsidRDefault="005624E3" w:rsidP="005624E3">
      <w:pPr>
        <w:tabs>
          <w:tab w:val="left" w:pos="992"/>
        </w:tabs>
        <w:overflowPunct w:val="0"/>
        <w:adjustRightInd w:val="0"/>
        <w:spacing w:line="240" w:lineRule="atLeast"/>
        <w:ind w:left="992"/>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a)</w:t>
      </w:r>
      <w:r w:rsidRPr="00921ED0">
        <w:tab/>
      </w:r>
      <m:oMath>
        <m:sSub>
          <m:sSubPr>
            <m:ctrlPr>
              <w:rPr>
                <w:rFonts w:ascii="Cambria Math" w:hAnsi="Cambria Math" w:cs="Arial"/>
                <w:szCs w:val="20"/>
              </w:rPr>
            </m:ctrlPr>
          </m:sSubPr>
          <m:e>
            <m:sSub>
              <m:sSubPr>
                <m:ctrlPr>
                  <w:rPr>
                    <w:rFonts w:ascii="Cambria Math" w:hAnsi="Cambria Math" w:cs="Arial"/>
                    <w:szCs w:val="20"/>
                  </w:rPr>
                </m:ctrlPr>
              </m:sSubPr>
              <m:e>
                <m:r>
                  <m:rPr>
                    <m:sty m:val="p"/>
                  </m:rPr>
                  <w:rPr>
                    <w:rFonts w:ascii="Cambria Math" w:hAnsi="Cambria Math" w:cs="Arial"/>
                    <w:szCs w:val="20"/>
                  </w:rPr>
                  <m:t>s</m:t>
                </m:r>
              </m:e>
              <m:sub>
                <m:r>
                  <m:rPr>
                    <m:sty m:val="p"/>
                  </m:rPr>
                  <w:rPr>
                    <w:rFonts w:ascii="Cambria Math" w:hAnsi="Cambria Math" w:cs="Arial"/>
                    <w:szCs w:val="20"/>
                  </w:rPr>
                  <m:t>I</m:t>
                </m:r>
              </m:sub>
            </m:sSub>
          </m:e>
          <m:sub>
            <m:r>
              <m:rPr>
                <m:sty m:val="p"/>
              </m:rPr>
              <w:rPr>
                <w:rFonts w:ascii="Cambria Math" w:hAnsi="Cambria Math" w:cs="Arial"/>
                <w:szCs w:val="20"/>
              </w:rPr>
              <m:t>IST</m:t>
            </m:r>
          </m:sub>
        </m:sSub>
      </m:oMath>
      <w:r w:rsidRPr="00921ED0">
        <w:t xml:space="preserve">  a megállási manőver során mért értékekkel (4.1. képlet)</w:t>
      </w:r>
    </w:p>
    <w:p w:rsidR="005624E3" w:rsidRPr="00921ED0" w:rsidRDefault="003142CA" w:rsidP="005624E3">
      <w:pPr>
        <w:tabs>
          <w:tab w:val="left" w:pos="992"/>
          <w:tab w:val="left" w:pos="1560"/>
          <w:tab w:val="left" w:pos="1985"/>
        </w:tabs>
        <w:overflowPunct w:val="0"/>
        <w:adjustRightInd w:val="0"/>
        <w:spacing w:before="60" w:line="240" w:lineRule="atLeast"/>
        <w:ind w:left="992" w:firstLine="1"/>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1</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t</m:t>
            </m:r>
          </m:e>
          <m:sub>
            <m:sSub>
              <m:sSubPr>
                <m:ctrlPr>
                  <w:rPr>
                    <w:rFonts w:ascii="Cambria Math" w:hAnsi="Cambria Math"/>
                    <w:i/>
                    <w:noProof/>
                  </w:rPr>
                </m:ctrlPr>
              </m:sSubPr>
              <m:e>
                <m:r>
                  <w:rPr>
                    <w:rFonts w:ascii="Cambria Math" w:hAnsi="Cambria Math"/>
                    <w:noProof/>
                  </w:rPr>
                  <m:t>I</m:t>
                </m:r>
              </m:e>
              <m:sub>
                <m:r>
                  <w:rPr>
                    <w:rFonts w:ascii="Cambria Math" w:hAnsi="Cambria Math"/>
                    <w:noProof/>
                  </w:rPr>
                  <m:t>IST</m:t>
                </m:r>
              </m:sub>
            </m:sSub>
          </m:sub>
        </m:sSub>
      </m:oMath>
      <w:r w:rsidR="005624E3" w:rsidRPr="00921ED0">
        <w:t xml:space="preserve"> </w:t>
      </w:r>
    </w:p>
    <w:p w:rsidR="005624E3" w:rsidRPr="00921ED0" w:rsidRDefault="003142CA" w:rsidP="005624E3">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=0,95 ∙4,9 ∙16=74,5 m</m:t>
          </m:r>
        </m:oMath>
      </m:oMathPara>
    </w:p>
    <w:p w:rsidR="005624E3" w:rsidRPr="00921ED0" w:rsidRDefault="005624E3" w:rsidP="005624E3">
      <w:pPr>
        <w:tabs>
          <w:tab w:val="left" w:pos="992"/>
        </w:tabs>
        <w:overflowPunct w:val="0"/>
        <w:adjustRightInd w:val="0"/>
        <w:spacing w:line="240" w:lineRule="atLeast"/>
        <w:ind w:left="992"/>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b)</w:t>
      </w:r>
      <w:r w:rsidRPr="00921ED0">
        <w:tab/>
        <w:t xml:space="preserve">Képlet a következő kiszámításához: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p>
    <w:p w:rsidR="005624E3" w:rsidRPr="00921ED0" w:rsidRDefault="003142CA" w:rsidP="005624E3">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2</m:t>
              </m:r>
            </m:sub>
          </m:sSub>
          <m:r>
            <w:rPr>
              <w:rFonts w:ascii="Cambria Math" w:hAnsi="Cambria Math"/>
              <w:noProof/>
            </w:rPr>
            <m:t xml:space="preserve"> ∙ </m:t>
          </m:r>
          <m:sSub>
            <m:sSubPr>
              <m:ctrlPr>
                <w:rPr>
                  <w:rFonts w:ascii="Cambria Math" w:hAnsi="Cambria Math"/>
                  <w:i/>
                  <w:noProof/>
                </w:rPr>
              </m:ctrlPr>
            </m:sSubPr>
            <m:e>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r>
                <w:rPr>
                  <w:rFonts w:ascii="Cambria Math" w:hAnsi="Cambria Math"/>
                  <w:noProof/>
                </w:rPr>
                <m:t xml:space="preserve"> ∙g</m:t>
              </m:r>
            </m:num>
            <m:den>
              <m:sSub>
                <m:sSubPr>
                  <m:ctrlPr>
                    <w:rPr>
                      <w:rFonts w:ascii="Cambria Math" w:hAnsi="Cambria Math"/>
                      <w:i/>
                      <w:noProof/>
                    </w:rPr>
                  </m:ctrlPr>
                </m:sSubPr>
                <m:e>
                  <m:r>
                    <w:rPr>
                      <w:rFonts w:ascii="Cambria Math" w:hAnsi="Cambria Math"/>
                      <w:noProof/>
                    </w:rPr>
                    <m:t>k</m:t>
                  </m:r>
                </m:e>
                <m:sub>
                  <m:r>
                    <w:rPr>
                      <w:rFonts w:ascii="Cambria Math" w:hAnsi="Cambria Math"/>
                      <w:noProof/>
                    </w:rPr>
                    <m:t>3</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F</m:t>
                  </m:r>
                </m:e>
                <m:sub>
                  <m:r>
                    <w:rPr>
                      <w:rFonts w:ascii="Cambria Math" w:hAnsi="Cambria Math"/>
                      <w:noProof/>
                    </w:rPr>
                    <m:t>POR</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R</m:t>
                  </m:r>
                </m:e>
                <m:sub>
                  <m:sSub>
                    <m:sSubPr>
                      <m:ctrlPr>
                        <w:rPr>
                          <w:rFonts w:ascii="Cambria Math" w:hAnsi="Cambria Math"/>
                          <w:i/>
                          <w:noProof/>
                        </w:rPr>
                      </m:ctrlPr>
                    </m:sSubPr>
                    <m:e>
                      <m:r>
                        <w:rPr>
                          <w:rFonts w:ascii="Cambria Math" w:hAnsi="Cambria Math"/>
                          <w:noProof/>
                        </w:rPr>
                        <m:t>TmII</m:t>
                      </m:r>
                    </m:e>
                    <m:sub>
                      <m:r>
                        <w:rPr>
                          <w:rFonts w:ascii="Cambria Math" w:hAnsi="Cambria Math"/>
                          <w:noProof/>
                        </w:rPr>
                        <m:t>IST</m:t>
                      </m:r>
                    </m:sub>
                  </m:sSub>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den>
          </m:f>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4</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num>
                <m:den>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sub>
                  </m:sSub>
                </m:den>
              </m:f>
            </m:e>
          </m:d>
        </m:oMath>
      </m:oMathPara>
    </w:p>
    <w:p w:rsidR="005624E3" w:rsidRPr="00921ED0" w:rsidRDefault="005624E3" w:rsidP="005624E3">
      <w:pPr>
        <w:tabs>
          <w:tab w:val="left" w:pos="284"/>
        </w:tabs>
        <w:overflowPunct w:val="0"/>
        <w:adjustRightInd w:val="0"/>
        <w:spacing w:line="240" w:lineRule="atLeast"/>
        <w:ind w:left="284" w:hanging="284"/>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c)</w:t>
      </w:r>
      <w:r w:rsidRPr="00921ED0">
        <w:tab/>
        <w:t xml:space="preserve">Az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oMath>
      <w:r w:rsidRPr="00921ED0">
        <w:t xml:space="preserve"> kiszámítása a 2. melléklet 3. táblázata és 4.3. képlete szerint</w:t>
      </w:r>
    </w:p>
    <w:p w:rsidR="005624E3" w:rsidRPr="00921ED0" w:rsidRDefault="003142CA" w:rsidP="005624E3">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5179</m:t>
              </m:r>
            </m:e>
            <m:sup>
              <m:r>
                <w:rPr>
                  <w:rFonts w:ascii="Cambria Math" w:hAnsi="Cambria Math"/>
                  <w:szCs w:val="20"/>
                </w:rPr>
                <m:t>1/3</m:t>
              </m:r>
            </m:sup>
          </m:sSup>
          <m:r>
            <w:rPr>
              <w:rFonts w:ascii="Cambria Math" w:hAnsi="Cambria Math"/>
              <w:szCs w:val="20"/>
            </w:rPr>
            <m:t xml:space="preserve">=17,3 </m:t>
          </m:r>
          <m:d>
            <m:dPr>
              <m:begChr m:val="["/>
              <m:endChr m:val="]"/>
              <m:ctrlPr>
                <w:rPr>
                  <w:rFonts w:ascii="Cambria Math" w:hAnsi="Cambria Math"/>
                  <w:i/>
                  <w:szCs w:val="20"/>
                </w:rPr>
              </m:ctrlPr>
            </m:dPr>
            <m:e>
              <m:r>
                <w:rPr>
                  <w:rFonts w:ascii="Cambria Math" w:hAnsi="Cambria Math"/>
                  <w:szCs w:val="20"/>
                </w:rPr>
                <m:t>m</m:t>
              </m:r>
            </m:e>
          </m:d>
        </m:oMath>
      </m:oMathPara>
    </w:p>
    <w:p w:rsidR="005624E3" w:rsidRPr="00921ED0" w:rsidRDefault="003142CA" w:rsidP="005624E3">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d>
            <m:dPr>
              <m:ctrlPr>
                <w:rPr>
                  <w:rFonts w:ascii="Cambria Math" w:hAnsi="Cambria Math"/>
                  <w:i/>
                  <w:szCs w:val="20"/>
                </w:rPr>
              </m:ctrlPr>
            </m:dPr>
            <m:e>
              <m:r>
                <w:rPr>
                  <w:rFonts w:ascii="Cambria Math" w:hAnsi="Cambria Math"/>
                  <w:szCs w:val="20"/>
                </w:rPr>
                <m:t xml:space="preserve">B+2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e>
          </m:d>
          <m:r>
            <w:rPr>
              <w:rFonts w:ascii="Cambria Math" w:hAnsi="Cambria Math"/>
              <w:szCs w:val="20"/>
            </w:rPr>
            <m:t xml:space="preserve">=17,3 ∙ </m:t>
          </m:r>
          <m:d>
            <m:dPr>
              <m:ctrlPr>
                <w:rPr>
                  <w:rFonts w:ascii="Cambria Math" w:hAnsi="Cambria Math"/>
                  <w:i/>
                  <w:szCs w:val="20"/>
                </w:rPr>
              </m:ctrlPr>
            </m:dPr>
            <m:e>
              <m:r>
                <w:rPr>
                  <w:rFonts w:ascii="Cambria Math" w:hAnsi="Cambria Math"/>
                  <w:szCs w:val="20"/>
                </w:rPr>
                <m:t>22,8+5,92</m:t>
              </m:r>
            </m:e>
          </m:d>
          <m:r>
            <w:rPr>
              <w:rFonts w:ascii="Cambria Math" w:hAnsi="Cambria Math"/>
              <w:szCs w:val="20"/>
            </w:rPr>
            <m:t xml:space="preserve">=496,8 </m:t>
          </m:r>
          <m:d>
            <m:dPr>
              <m:begChr m:val="["/>
              <m:endChr m:val="]"/>
              <m:ctrlPr>
                <w:rPr>
                  <w:rFonts w:ascii="Cambria Math" w:hAnsi="Cambria Math"/>
                  <w:i/>
                  <w:szCs w:val="20"/>
                </w:rPr>
              </m:ctrlPr>
            </m:dPr>
            <m:e>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e>
          </m:d>
        </m:oMath>
      </m:oMathPara>
    </w:p>
    <w:p w:rsidR="005624E3" w:rsidRPr="00921ED0" w:rsidRDefault="005624E3" w:rsidP="005624E3">
      <w:pPr>
        <w:tabs>
          <w:tab w:val="left" w:pos="284"/>
        </w:tabs>
        <w:overflowPunct w:val="0"/>
        <w:adjustRightInd w:val="0"/>
        <w:spacing w:line="240" w:lineRule="exact"/>
        <w:ind w:left="1276" w:hanging="284"/>
        <w:textAlignment w:val="baseline"/>
        <w:rPr>
          <w:szCs w:val="20"/>
        </w:rPr>
      </w:pPr>
    </w:p>
    <w:p w:rsidR="005624E3" w:rsidRPr="00166EA9" w:rsidRDefault="005624E3" w:rsidP="005624E3">
      <w:pPr>
        <w:tabs>
          <w:tab w:val="left" w:pos="284"/>
          <w:tab w:val="left" w:pos="3119"/>
          <w:tab w:val="left" w:pos="4678"/>
        </w:tabs>
        <w:overflowPunct w:val="0"/>
        <w:adjustRightInd w:val="0"/>
        <w:spacing w:line="240" w:lineRule="atLeast"/>
        <w:ind w:left="1276" w:hanging="284"/>
        <w:textAlignment w:val="baseline"/>
        <w:rPr>
          <w:szCs w:val="20"/>
          <w:lang w:val="pl-PL"/>
        </w:rPr>
      </w:pPr>
      <w:r w:rsidRPr="00166EA9">
        <w:rPr>
          <w:lang w:val="pl-PL"/>
        </w:rPr>
        <w:t>a 3. táblázat szerint</w:t>
      </w:r>
      <w:r w:rsidRPr="00166EA9">
        <w:rPr>
          <w:lang w:val="pl-PL"/>
        </w:rPr>
        <w:tab/>
      </w: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lang w:val="pl-PL"/>
                  </w:rPr>
                  <m:t>2</m:t>
                </m:r>
              </m:sup>
            </m:sSup>
          </m:den>
        </m:f>
        <m:r>
          <w:rPr>
            <w:rFonts w:ascii="Cambria Math" w:hAnsi="Cambria Math"/>
            <w:szCs w:val="20"/>
            <w:lang w:val="pl-PL"/>
          </w:rPr>
          <m:t xml:space="preserve">=10,8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kN</m:t>
                </m:r>
                <m:r>
                  <w:rPr>
                    <w:rFonts w:ascii="Cambria Math" w:hAnsi="Cambria Math"/>
                    <w:szCs w:val="20"/>
                    <w:lang w:val="pl-PL"/>
                  </w:rPr>
                  <m:t xml:space="preserve"> ∙ </m:t>
                </m:r>
                <m:sSup>
                  <m:sSupPr>
                    <m:ctrlPr>
                      <w:rPr>
                        <w:rFonts w:ascii="Cambria Math" w:hAnsi="Cambria Math"/>
                        <w:i/>
                        <w:szCs w:val="20"/>
                      </w:rPr>
                    </m:ctrlPr>
                  </m:sSupPr>
                  <m:e>
                    <m:r>
                      <w:rPr>
                        <w:rFonts w:ascii="Cambria Math" w:hAnsi="Cambria Math"/>
                        <w:szCs w:val="20"/>
                      </w:rPr>
                      <m:t>s</m:t>
                    </m:r>
                  </m:e>
                  <m:sup>
                    <m:r>
                      <w:rPr>
                        <w:rFonts w:ascii="Cambria Math" w:hAnsi="Cambria Math"/>
                        <w:szCs w:val="20"/>
                        <w:lang w:val="pl-PL"/>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lang w:val="pl-PL"/>
                      </w:rPr>
                      <m:t>2</m:t>
                    </m:r>
                  </m:sup>
                </m:sSup>
              </m:den>
            </m:f>
          </m:e>
        </m:d>
      </m:oMath>
    </w:p>
    <w:p w:rsidR="005624E3" w:rsidRPr="00166EA9" w:rsidRDefault="005624E3" w:rsidP="005624E3">
      <w:pPr>
        <w:tabs>
          <w:tab w:val="left" w:pos="992"/>
        </w:tabs>
        <w:overflowPunct w:val="0"/>
        <w:adjustRightInd w:val="0"/>
        <w:spacing w:line="240" w:lineRule="atLeast"/>
        <w:ind w:left="992" w:firstLine="1"/>
        <w:textAlignment w:val="baseline"/>
        <w:rPr>
          <w:lang w:val="pl-PL"/>
        </w:rPr>
      </w:pPr>
    </w:p>
    <w:p w:rsidR="005624E3" w:rsidRPr="00921ED0" w:rsidRDefault="003142CA" w:rsidP="005624E3">
      <w:pPr>
        <w:tabs>
          <w:tab w:val="left" w:pos="992"/>
        </w:tabs>
        <w:overflowPunct w:val="0"/>
        <w:adjustRightInd w:val="0"/>
        <w:spacing w:line="240" w:lineRule="atLeast"/>
        <w:ind w:left="992" w:firstLine="1"/>
        <w:textAlignment w:val="baseline"/>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r>
            <w:rPr>
              <w:rFonts w:ascii="Cambria Math" w:hAnsi="Cambria Math"/>
              <w:noProof/>
            </w:rPr>
            <m:t>=4,9-1,4=3,5 m/s</m:t>
          </m:r>
        </m:oMath>
      </m:oMathPara>
    </w:p>
    <w:p w:rsidR="005624E3" w:rsidRPr="00921ED0" w:rsidRDefault="005624E3" w:rsidP="005624E3">
      <w:pPr>
        <w:tabs>
          <w:tab w:val="left" w:pos="992"/>
        </w:tabs>
        <w:overflowPunct w:val="0"/>
        <w:adjustRightInd w:val="0"/>
        <w:spacing w:line="240" w:lineRule="atLeast"/>
        <w:ind w:left="992" w:firstLine="1"/>
        <w:textAlignment w:val="baseline"/>
      </w:pPr>
    </w:p>
    <w:p w:rsidR="005624E3" w:rsidRPr="00921ED0" w:rsidRDefault="003142CA" w:rsidP="005624E3">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num>
            <m:den>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den>
          </m:f>
          <m:r>
            <w:rPr>
              <w:rFonts w:ascii="Cambria Math" w:hAnsi="Cambria Math"/>
              <w:noProof/>
            </w:rPr>
            <m:t xml:space="preserve"> ∙ </m:t>
          </m:r>
          <m:sSup>
            <m:sSupPr>
              <m:ctrlPr>
                <w:rPr>
                  <w:rFonts w:ascii="Cambria Math" w:hAnsi="Cambria Math"/>
                  <w:i/>
                  <w:noProof/>
                </w:rPr>
              </m:ctrlPr>
            </m:sSupPr>
            <m:e>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7</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k</m:t>
                      </m:r>
                    </m:e>
                    <m:sub>
                      <m:r>
                        <w:rPr>
                          <w:rFonts w:ascii="Cambria Math" w:hAnsi="Cambria Math"/>
                          <w:noProof/>
                        </w:rPr>
                        <m:t>6</m:t>
                      </m:r>
                    </m:sub>
                  </m:sSub>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e>
                  </m:d>
                </m:e>
              </m:d>
            </m:e>
            <m:sup>
              <m:r>
                <w:rPr>
                  <w:rFonts w:ascii="Cambria Math" w:hAnsi="Cambria Math"/>
                  <w:noProof/>
                </w:rPr>
                <m:t>2</m:t>
              </m:r>
            </m:sup>
          </m:sSup>
          <m:r>
            <w:rPr>
              <w:rFonts w:ascii="Cambria Math" w:hAnsi="Cambria Math"/>
              <w:noProof/>
            </w:rPr>
            <m:t xml:space="preserve">= 10,8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∙3,5</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28,8 </m:t>
          </m:r>
          <m:d>
            <m:dPr>
              <m:begChr m:val="["/>
              <m:endChr m:val="]"/>
              <m:ctrlPr>
                <w:rPr>
                  <w:rFonts w:ascii="Cambria Math" w:hAnsi="Cambria Math"/>
                  <w:b/>
                  <w:i/>
                  <w:noProof/>
                </w:rPr>
              </m:ctrlPr>
            </m:dPr>
            <m:e>
              <m:r>
                <m:rPr>
                  <m:sty m:val="bi"/>
                </m:rPr>
                <w:rPr>
                  <w:rFonts w:ascii="Cambria Math" w:hAnsi="Cambria Math"/>
                  <w:noProof/>
                </w:rPr>
                <m:t>kN</m:t>
              </m:r>
            </m:e>
          </m:d>
        </m:oMath>
      </m:oMathPara>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r w:rsidRPr="00921ED0">
        <w:br w:type="page"/>
      </w: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d)</w:t>
      </w:r>
      <w:r w:rsidRPr="00921ED0">
        <w:tab/>
        <w:t xml:space="preserve">Az </w:t>
      </w: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oMath>
      <w:r w:rsidRPr="00921ED0">
        <w:t xml:space="preserve"> lejtési ellenállás kiszámítása a 4.4. képlet szerint</w:t>
      </w:r>
    </w:p>
    <w:p w:rsidR="005624E3" w:rsidRPr="00921ED0" w:rsidRDefault="005624E3" w:rsidP="005624E3">
      <w:pPr>
        <w:tabs>
          <w:tab w:val="left" w:pos="992"/>
        </w:tabs>
        <w:overflowPunct w:val="0"/>
        <w:adjustRightInd w:val="0"/>
        <w:spacing w:line="240" w:lineRule="atLeast"/>
        <w:ind w:left="992"/>
        <w:textAlignment w:val="baseline"/>
        <w:rPr>
          <w:szCs w:val="20"/>
        </w:rPr>
      </w:pPr>
    </w:p>
    <w:p w:rsidR="005624E3" w:rsidRPr="00921ED0" w:rsidRDefault="003142CA" w:rsidP="005624E3">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r>
            <w:rPr>
              <w:rFonts w:ascii="Cambria Math" w:hAnsi="Cambria Math"/>
              <w:sz w:val="16"/>
              <w:szCs w:val="20"/>
            </w:rPr>
            <m:t xml:space="preserve"> </m:t>
          </m:r>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 </m:t>
          </m:r>
          <m:d>
            <m:dPr>
              <m:ctrlPr>
                <w:rPr>
                  <w:rFonts w:ascii="Cambria Math" w:hAnsi="Cambria Math"/>
                  <w:i/>
                  <w:szCs w:val="20"/>
                </w:rPr>
              </m:ctrlPr>
            </m:dPr>
            <m:e>
              <m:r>
                <w:rPr>
                  <w:rFonts w:ascii="Cambria Math" w:hAnsi="Cambria Math"/>
                  <w:szCs w:val="20"/>
                </w:rPr>
                <m:t xml:space="preserve">0,16 ∙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 ∙ ρ ∙g</m:t>
              </m:r>
            </m:e>
          </m:d>
          <m:r>
            <w:rPr>
              <w:rFonts w:ascii="Cambria Math" w:hAnsi="Cambria Math"/>
              <w:szCs w:val="20"/>
            </w:rPr>
            <m:t>=</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∙(0,16 ∙</m:t>
          </m:r>
          <m:r>
            <m:rPr>
              <m:sty m:val="bi"/>
            </m:rPr>
            <w:rPr>
              <w:rFonts w:ascii="Cambria Math" w:hAnsi="Cambria Math"/>
              <w:position w:val="6"/>
              <w:szCs w:val="20"/>
            </w:rPr>
            <m:t xml:space="preserve"> </m:t>
          </m:r>
          <m:r>
            <w:rPr>
              <w:rFonts w:ascii="Cambria Math" w:hAnsi="Cambria Math"/>
              <w:szCs w:val="20"/>
            </w:rPr>
            <m:t xml:space="preserve">5179 ∙ 1000 ∙ 9,81)= </m:t>
          </m:r>
          <m:r>
            <m:rPr>
              <m:sty m:val="bi"/>
            </m:rPr>
            <w:rPr>
              <w:rFonts w:ascii="Cambria Math" w:hAnsi="Cambria Math"/>
              <w:szCs w:val="20"/>
              <w:u w:val="single"/>
            </w:rPr>
            <m:t>8,13</m:t>
          </m:r>
          <m:r>
            <m:rPr>
              <m:sty m:val="bi"/>
            </m:rPr>
            <w:rPr>
              <w:rFonts w:ascii="Cambria Math" w:hAnsi="Cambria Math"/>
              <w:szCs w:val="20"/>
            </w:rPr>
            <m:t xml:space="preserve">  [kN]</m:t>
          </m:r>
        </m:oMath>
      </m:oMathPara>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166EA9" w:rsidRDefault="005624E3" w:rsidP="005624E3">
      <w:pPr>
        <w:tabs>
          <w:tab w:val="left" w:pos="992"/>
        </w:tabs>
        <w:overflowPunct w:val="0"/>
        <w:adjustRightInd w:val="0"/>
        <w:spacing w:line="240" w:lineRule="atLeast"/>
        <w:ind w:left="992"/>
        <w:textAlignment w:val="baseline"/>
        <w:rPr>
          <w:szCs w:val="20"/>
          <w:lang w:val="pt-PT"/>
        </w:rPr>
      </w:pPr>
      <w:r w:rsidRPr="00166EA9">
        <w:rPr>
          <w:lang w:val="pt-PT"/>
        </w:rPr>
        <w:t>e)</w:t>
      </w:r>
      <w:r w:rsidRPr="00166EA9">
        <w:rPr>
          <w:lang w:val="pt-PT"/>
        </w:rPr>
        <w:tab/>
        <w:t xml:space="preserve">A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rsidRPr="00166EA9">
        <w:rPr>
          <w:lang w:val="pt-PT"/>
        </w:rPr>
        <w:t xml:space="preserve"> kiszámítása a 4.5. képlet szerint</w:t>
      </w:r>
    </w:p>
    <w:p w:rsidR="005624E3" w:rsidRPr="00166EA9" w:rsidRDefault="005624E3" w:rsidP="005624E3">
      <w:pPr>
        <w:overflowPunct w:val="0"/>
        <w:adjustRightInd w:val="0"/>
        <w:spacing w:line="240" w:lineRule="atLeast"/>
        <w:ind w:left="992"/>
        <w:textAlignment w:val="baseline"/>
        <w:rPr>
          <w:szCs w:val="20"/>
          <w:lang w:val="pt-PT"/>
        </w:rPr>
      </w:pPr>
    </w:p>
    <w:p w:rsidR="005624E3" w:rsidRPr="00921ED0" w:rsidRDefault="003142CA" w:rsidP="005624E3">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IST</m:t>
                      </m:r>
                    </m:sub>
                  </m:sSub>
                </m:sub>
              </m:sSub>
            </m:e>
          </m:d>
          <m:r>
            <w:rPr>
              <w:rFonts w:ascii="Cambria Math" w:hAnsi="Cambria Math"/>
              <w:szCs w:val="20"/>
            </w:rPr>
            <m:t xml:space="preserve">= </m:t>
          </m:r>
          <m:d>
            <m:dPr>
              <m:ctrlPr>
                <w:rPr>
                  <w:rFonts w:ascii="Cambria Math" w:hAnsi="Cambria Math"/>
                  <w:i/>
                  <w:szCs w:val="20"/>
                </w:rPr>
              </m:ctrlPr>
            </m:dPr>
            <m:e>
              <m:r>
                <w:rPr>
                  <w:rFonts w:ascii="Cambria Math" w:hAnsi="Cambria Math"/>
                  <w:szCs w:val="20"/>
                </w:rPr>
                <m:t>0,85 ∙3,5</m:t>
              </m:r>
            </m:e>
          </m:d>
          <m:r>
            <w:rPr>
              <w:rFonts w:ascii="Cambria Math" w:hAnsi="Cambria Math"/>
              <w:szCs w:val="20"/>
            </w:rPr>
            <m:t xml:space="preserve">=2,97 </m:t>
          </m:r>
          <m:d>
            <m:dPr>
              <m:begChr m:val="["/>
              <m:endChr m:val="]"/>
              <m:ctrlPr>
                <w:rPr>
                  <w:rFonts w:ascii="Cambria Math" w:hAnsi="Cambria Math"/>
                  <w:i/>
                  <w:szCs w:val="20"/>
                </w:rPr>
              </m:ctrlPr>
            </m:dPr>
            <m:e>
              <m:r>
                <w:rPr>
                  <w:rFonts w:ascii="Cambria Math" w:hAnsi="Cambria Math"/>
                  <w:szCs w:val="20"/>
                </w:rPr>
                <m:t>m/s</m:t>
              </m:r>
            </m:e>
          </m:d>
        </m:oMath>
      </m:oMathPara>
    </w:p>
    <w:p w:rsidR="005624E3" w:rsidRPr="00921ED0" w:rsidRDefault="005624E3" w:rsidP="005624E3">
      <w:pPr>
        <w:overflowPunct w:val="0"/>
        <w:adjustRightInd w:val="0"/>
        <w:spacing w:line="240" w:lineRule="exact"/>
        <w:ind w:left="993"/>
        <w:textAlignment w:val="baseline"/>
        <w:rPr>
          <w:szCs w:val="20"/>
        </w:rPr>
      </w:pPr>
    </w:p>
    <w:p w:rsidR="005624E3" w:rsidRPr="00921ED0" w:rsidRDefault="003142CA" w:rsidP="005624E3">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=8,85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m/s</m:t>
                  </m:r>
                </m:e>
              </m:d>
            </m:e>
            <m:sup>
              <m:r>
                <w:rPr>
                  <w:rFonts w:ascii="Cambria Math" w:hAnsi="Cambria Math"/>
                  <w:szCs w:val="20"/>
                </w:rPr>
                <m:t>2</m:t>
              </m:r>
            </m:sup>
          </m:sSup>
        </m:oMath>
      </m:oMathPara>
    </w:p>
    <w:p w:rsidR="005624E3" w:rsidRPr="00921ED0" w:rsidRDefault="005624E3" w:rsidP="005624E3">
      <w:pPr>
        <w:tabs>
          <w:tab w:val="left" w:pos="1418"/>
        </w:tabs>
        <w:overflowPunct w:val="0"/>
        <w:adjustRightInd w:val="0"/>
        <w:spacing w:line="240" w:lineRule="atLeast"/>
        <w:ind w:left="1417"/>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f)</w:t>
      </w:r>
      <w:r w:rsidRPr="00921ED0">
        <w:tab/>
        <w:t xml:space="preserve">Az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Pr="00921ED0">
        <w:t xml:space="preserve"> kiszámítása a 4.6. képlet és a 2. táblázat szerint</w:t>
      </w: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3142CA" w:rsidP="005624E3">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=0,118 ∙1500=</m:t>
          </m:r>
          <m:r>
            <m:rPr>
              <m:sty m:val="bi"/>
            </m:rPr>
            <w:rPr>
              <w:rFonts w:ascii="Cambria Math" w:hAnsi="Cambria Math"/>
              <w:szCs w:val="20"/>
            </w:rPr>
            <m:t xml:space="preserve">177 </m:t>
          </m:r>
          <m:d>
            <m:dPr>
              <m:begChr m:val="["/>
              <m:endChr m:val="]"/>
              <m:ctrlPr>
                <w:rPr>
                  <w:rFonts w:ascii="Cambria Math" w:hAnsi="Cambria Math"/>
                  <w:b/>
                  <w:i/>
                  <w:szCs w:val="20"/>
                </w:rPr>
              </m:ctrlPr>
            </m:dPr>
            <m:e>
              <m:r>
                <m:rPr>
                  <m:sty m:val="bi"/>
                </m:rPr>
                <w:rPr>
                  <w:rFonts w:ascii="Cambria Math" w:hAnsi="Cambria Math"/>
                  <w:szCs w:val="20"/>
                </w:rPr>
                <m:t>kN</m:t>
              </m:r>
            </m:e>
          </m:d>
        </m:oMath>
      </m:oMathPara>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g)</w:t>
      </w:r>
      <w:r w:rsidRPr="00921ED0">
        <w:tab/>
        <w:t xml:space="preserve">Az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rsidRPr="00921ED0">
        <w:t xml:space="preserve"> kiszámítása a b) képlettel és a c), d), e) és f) eredményeinek felhasználásával</w:t>
      </w:r>
    </w:p>
    <w:p w:rsidR="005624E3" w:rsidRPr="00921ED0" w:rsidRDefault="005624E3" w:rsidP="005624E3">
      <w:pPr>
        <w:tabs>
          <w:tab w:val="left" w:pos="992"/>
        </w:tabs>
        <w:overflowPunct w:val="0"/>
        <w:adjustRightInd w:val="0"/>
        <w:spacing w:line="240" w:lineRule="atLeast"/>
        <w:ind w:left="992"/>
        <w:textAlignment w:val="baseline"/>
        <w:rPr>
          <w:szCs w:val="20"/>
        </w:rPr>
      </w:pPr>
    </w:p>
    <w:p w:rsidR="005624E3" w:rsidRPr="00921ED0" w:rsidRDefault="003142CA" w:rsidP="005624E3">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∙8,85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1,4</m:t>
                      </m:r>
                    </m:num>
                    <m:den>
                      <m:r>
                        <w:rPr>
                          <w:rFonts w:ascii="Cambria Math" w:hAnsi="Cambria Math"/>
                          <w:szCs w:val="20"/>
                        </w:rPr>
                        <m:t>2,97</m:t>
                      </m:r>
                    </m:den>
                  </m:f>
                </m:e>
              </m:d>
            </m:num>
            <m:den>
              <m:r>
                <w:rPr>
                  <w:rFonts w:ascii="Cambria Math" w:hAnsi="Cambria Math"/>
                  <w:szCs w:val="20"/>
                </w:rPr>
                <m:t>1,15 ∙177+28,8-8,13</m:t>
              </m:r>
            </m:den>
          </m:f>
          <m:r>
            <w:rPr>
              <w:rFonts w:ascii="Cambria Math" w:hAnsi="Cambria Math"/>
              <w:szCs w:val="20"/>
            </w:rPr>
            <m:t xml:space="preserve"> ∙ 5179</m:t>
          </m:r>
        </m:oMath>
      </m:oMathPara>
    </w:p>
    <w:p w:rsidR="005624E3" w:rsidRPr="00921ED0" w:rsidRDefault="005624E3" w:rsidP="005624E3">
      <w:pPr>
        <w:tabs>
          <w:tab w:val="left" w:pos="992"/>
        </w:tabs>
        <w:overflowPunct w:val="0"/>
        <w:adjustRightInd w:val="0"/>
        <w:spacing w:line="240" w:lineRule="atLeast"/>
        <w:ind w:left="992"/>
        <w:textAlignment w:val="baseline"/>
        <w:rPr>
          <w:szCs w:val="20"/>
        </w:rPr>
      </w:pPr>
    </w:p>
    <w:p w:rsidR="005624E3" w:rsidRPr="00921ED0" w:rsidRDefault="003142CA" w:rsidP="005624E3">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m:t>
          </m:r>
          <m:r>
            <m:rPr>
              <m:sty m:val="bi"/>
            </m:rPr>
            <w:rPr>
              <w:rFonts w:ascii="Cambria Math" w:hAnsi="Cambria Math"/>
              <w:szCs w:val="20"/>
            </w:rPr>
            <m:t>228,9 m</m:t>
          </m:r>
        </m:oMath>
      </m:oMathPara>
    </w:p>
    <w:p w:rsidR="005624E3" w:rsidRPr="00921ED0" w:rsidRDefault="005624E3" w:rsidP="005624E3">
      <w:pPr>
        <w:tabs>
          <w:tab w:val="left" w:pos="992"/>
        </w:tabs>
        <w:overflowPunct w:val="0"/>
        <w:adjustRightInd w:val="0"/>
        <w:spacing w:line="240" w:lineRule="atLeast"/>
        <w:ind w:left="992"/>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h)</w:t>
      </w:r>
      <w:r w:rsidRPr="00921ED0">
        <w:tab/>
        <w:t>A teljes távolság kiszámítása a 3.1. képlet szerint</w:t>
      </w:r>
    </w:p>
    <w:p w:rsidR="005624E3" w:rsidRPr="00921ED0" w:rsidRDefault="005624E3" w:rsidP="005624E3">
      <w:pPr>
        <w:tabs>
          <w:tab w:val="left" w:pos="992"/>
        </w:tabs>
        <w:overflowPunct w:val="0"/>
        <w:adjustRightInd w:val="0"/>
        <w:spacing w:line="240" w:lineRule="atLeast"/>
        <w:ind w:left="992"/>
        <w:textAlignment w:val="baseline"/>
        <w:rPr>
          <w:szCs w:val="20"/>
        </w:rPr>
      </w:pPr>
    </w:p>
    <w:p w:rsidR="005624E3" w:rsidRPr="00921ED0" w:rsidRDefault="003142CA" w:rsidP="005624E3">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IST</m:t>
                  </m:r>
                </m:sub>
              </m:sSub>
            </m:sub>
          </m:sSub>
          <m:r>
            <w:rPr>
              <w:rFonts w:ascii="Cambria Math" w:hAnsi="Cambria Math"/>
              <w:szCs w:val="20"/>
            </w:rPr>
            <m:t>=74,51+228,9=</m:t>
          </m:r>
          <m:r>
            <m:rPr>
              <m:sty m:val="bi"/>
            </m:rPr>
            <w:rPr>
              <w:rFonts w:ascii="Cambria Math" w:hAnsi="Cambria Math"/>
              <w:szCs w:val="20"/>
            </w:rPr>
            <m:t>303,4 m</m:t>
          </m:r>
        </m:oMath>
      </m:oMathPara>
    </w:p>
    <w:p w:rsidR="005624E3" w:rsidRPr="00921ED0" w:rsidRDefault="005624E3" w:rsidP="003142CA">
      <w:pPr>
        <w:overflowPunct w:val="0"/>
        <w:adjustRightInd w:val="0"/>
        <w:spacing w:line="240" w:lineRule="exact"/>
        <w:ind w:leftChars="283" w:left="624" w:hanging="1"/>
        <w:textAlignment w:val="baseline"/>
        <w:rPr>
          <w:szCs w:val="20"/>
        </w:rPr>
      </w:pPr>
    </w:p>
    <w:p w:rsidR="005624E3" w:rsidRPr="00921ED0" w:rsidRDefault="005624E3" w:rsidP="005624E3">
      <w:pPr>
        <w:tabs>
          <w:tab w:val="left" w:pos="454"/>
        </w:tabs>
        <w:overflowPunct w:val="0"/>
        <w:adjustRightInd w:val="0"/>
        <w:spacing w:line="240" w:lineRule="exact"/>
        <w:ind w:left="567"/>
        <w:textAlignment w:val="baseline"/>
        <w:rPr>
          <w:szCs w:val="20"/>
        </w:rPr>
      </w:pPr>
      <w:r w:rsidRPr="00921ED0">
        <w:rPr>
          <w:b/>
        </w:rPr>
        <w:t>Észrevétel</w:t>
      </w:r>
    </w:p>
    <w:p w:rsidR="005624E3" w:rsidRPr="00921ED0" w:rsidRDefault="005624E3" w:rsidP="005624E3">
      <w:pPr>
        <w:tabs>
          <w:tab w:val="left" w:pos="454"/>
        </w:tabs>
        <w:overflowPunct w:val="0"/>
        <w:adjustRightInd w:val="0"/>
        <w:spacing w:line="240" w:lineRule="exact"/>
        <w:ind w:left="567"/>
        <w:textAlignment w:val="baseline"/>
        <w:rPr>
          <w:szCs w:val="20"/>
        </w:rPr>
      </w:pPr>
    </w:p>
    <w:p w:rsidR="005624E3" w:rsidRPr="00921ED0" w:rsidRDefault="005624E3" w:rsidP="005624E3">
      <w:pPr>
        <w:tabs>
          <w:tab w:val="left" w:pos="567"/>
        </w:tabs>
        <w:overflowPunct w:val="0"/>
        <w:adjustRightInd w:val="0"/>
        <w:spacing w:line="240" w:lineRule="atLeast"/>
        <w:ind w:left="567"/>
        <w:textAlignment w:val="baseline"/>
        <w:rPr>
          <w:szCs w:val="20"/>
        </w:rPr>
      </w:pPr>
      <w:r w:rsidRPr="00921ED0">
        <w:rPr>
          <w:i/>
          <w:noProof/>
        </w:rPr>
        <w:t>Megjegyzés:</w:t>
      </w:r>
      <w:r w:rsidRPr="00921ED0">
        <w:t xml:space="preserve"> Az (</w:t>
      </w:r>
      <m:oMath>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oMath>
      <w:r w:rsidRPr="00921ED0">
        <w:t xml:space="preserve">) tag – amely </w:t>
      </w:r>
      <m:oMath>
        <m:r>
          <w:rPr>
            <w:rFonts w:ascii="Cambria Math" w:hAnsi="Cambria Math"/>
            <w:noProof/>
          </w:rPr>
          <m:t>D</m:t>
        </m:r>
      </m:oMath>
      <w:r w:rsidRPr="00921ED0">
        <w:t xml:space="preserve">-nek függvénye – itt a 20,67 kN értéket veszi fel, így nyilvánvalóan viszonylag kicsi a 203,55 kN értéket felvevő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Pr="00921ED0">
        <w:t xml:space="preserve"> taghoz képest, ezért egyszerűsítési célból </w:t>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oMath>
      <w:r w:rsidRPr="00921ED0">
        <w:t xml:space="preserve"> arányosnak tekinthető </w:t>
      </w:r>
      <m:oMath>
        <m:r>
          <w:rPr>
            <w:rFonts w:ascii="Cambria Math" w:hAnsi="Cambria Math"/>
            <w:noProof/>
          </w:rPr>
          <m:t>D</m:t>
        </m:r>
      </m:oMath>
      <w:r w:rsidRPr="00921ED0">
        <w:t xml:space="preserve">-vel, vagyis </w:t>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r>
          <w:rPr>
            <w:rFonts w:ascii="Cambria Math" w:hAnsi="Cambria Math"/>
            <w:szCs w:val="20"/>
          </w:rPr>
          <m:t>=Const ∙ D</m:t>
        </m:r>
      </m:oMath>
      <w:r w:rsidRPr="00921ED0">
        <w:t>.</w:t>
      </w:r>
    </w:p>
    <w:p w:rsidR="005624E3" w:rsidRPr="00921ED0" w:rsidRDefault="005624E3" w:rsidP="003142CA">
      <w:pPr>
        <w:tabs>
          <w:tab w:val="left" w:pos="454"/>
        </w:tabs>
        <w:overflowPunct w:val="0"/>
        <w:adjustRightInd w:val="0"/>
        <w:spacing w:line="240" w:lineRule="exact"/>
        <w:ind w:leftChars="567" w:left="1701" w:hanging="454"/>
        <w:textAlignment w:val="baseline"/>
        <w:rPr>
          <w:szCs w:val="20"/>
        </w:rPr>
      </w:pPr>
      <w:r w:rsidRPr="00921ED0">
        <w:br w:type="page"/>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4.3.</w:t>
      </w:r>
      <w:r w:rsidRPr="00921ED0">
        <w:tab/>
      </w:r>
      <w:r w:rsidRPr="00921ED0">
        <w:rPr>
          <w:b/>
          <w:noProof/>
          <w:color w:val="000000"/>
        </w:rPr>
        <w:t xml:space="preserve">A következő kiszámítása: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SOLL</m:t>
            </m:r>
          </m:sub>
        </m:sSub>
      </m:oMath>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567"/>
        </w:tabs>
        <w:overflowPunct w:val="0"/>
        <w:adjustRightInd w:val="0"/>
        <w:spacing w:line="240" w:lineRule="atLeast"/>
        <w:ind w:left="567"/>
        <w:textAlignment w:val="baseline"/>
        <w:rPr>
          <w:szCs w:val="20"/>
        </w:rPr>
      </w:pPr>
      <w:r w:rsidRPr="00921ED0">
        <w:t>Kezdeti értékek:</w:t>
      </w:r>
    </w:p>
    <w:p w:rsidR="005624E3" w:rsidRPr="00921ED0" w:rsidRDefault="005624E3" w:rsidP="005624E3">
      <w:pPr>
        <w:tabs>
          <w:tab w:val="left" w:pos="567"/>
        </w:tabs>
        <w:overflowPunct w:val="0"/>
        <w:adjustRightInd w:val="0"/>
        <w:spacing w:line="240" w:lineRule="atLeast"/>
        <w:ind w:left="567"/>
        <w:textAlignment w:val="baseline"/>
        <w:rPr>
          <w:szCs w:val="20"/>
        </w:rPr>
      </w:pPr>
    </w:p>
    <w:p w:rsidR="005624E3" w:rsidRPr="00921ED0" w:rsidRDefault="003142CA" w:rsidP="005624E3">
      <w:pPr>
        <w:tabs>
          <w:tab w:val="left" w:pos="567"/>
          <w:tab w:val="left" w:pos="4962"/>
        </w:tabs>
        <w:overflowPunct w:val="0"/>
        <w:adjustRightInd w:val="0"/>
        <w:spacing w:line="240" w:lineRule="atLeast"/>
        <w:ind w:left="567"/>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=1,5 m/s  ≈  5,4  km/h</m:t>
        </m:r>
      </m:oMath>
      <w:r w:rsidR="005624E3" w:rsidRPr="00921ED0">
        <w:tab/>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oMath>
      <w:r w:rsidR="005624E3" w:rsidRPr="00921ED0">
        <w:t xml:space="preserve"> =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=5179 </m:t>
        </m:r>
        <m:sSup>
          <m:sSupPr>
            <m:ctrlPr>
              <w:rPr>
                <w:rFonts w:ascii="Cambria Math" w:hAnsi="Cambria Math"/>
                <w:i/>
                <w:szCs w:val="20"/>
              </w:rPr>
            </m:ctrlPr>
          </m:sSupPr>
          <m:e>
            <m:r>
              <w:rPr>
                <w:rFonts w:ascii="Cambria Math" w:hAnsi="Cambria Math"/>
                <w:szCs w:val="20"/>
              </w:rPr>
              <m:t>m</m:t>
            </m:r>
          </m:e>
          <m:sup>
            <m:r>
              <w:rPr>
                <w:rFonts w:ascii="Cambria Math" w:hAnsi="Cambria Math"/>
                <w:szCs w:val="20"/>
              </w:rPr>
              <m:t>3</m:t>
            </m:r>
          </m:sup>
        </m:sSup>
      </m:oMath>
    </w:p>
    <w:p w:rsidR="005624E3" w:rsidRPr="00921ED0" w:rsidRDefault="005624E3" w:rsidP="005624E3">
      <w:pPr>
        <w:tabs>
          <w:tab w:val="left" w:pos="567"/>
        </w:tabs>
        <w:overflowPunct w:val="0"/>
        <w:adjustRightInd w:val="0"/>
        <w:spacing w:line="240" w:lineRule="atLeast"/>
        <w:ind w:left="567"/>
        <w:textAlignment w:val="baseline"/>
        <w:rPr>
          <w:szCs w:val="20"/>
        </w:rPr>
      </w:pPr>
    </w:p>
    <w:p w:rsidR="005624E3" w:rsidRPr="00921ED0" w:rsidRDefault="003142CA" w:rsidP="005624E3">
      <w:pPr>
        <w:tabs>
          <w:tab w:val="left" w:pos="567"/>
          <w:tab w:val="left" w:pos="4962"/>
        </w:tabs>
        <w:overflowPunct w:val="0"/>
        <w:adjustRightInd w:val="0"/>
        <w:spacing w:line="240" w:lineRule="atLeast"/>
        <w:ind w:left="567"/>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sub>
        </m:sSub>
        <m:r>
          <w:rPr>
            <w:rFonts w:ascii="Cambria Math" w:hAnsi="Cambria Math"/>
            <w:szCs w:val="20"/>
          </w:rPr>
          <m:t>=3,6 m/s  ≈  13  km/h</m:t>
        </m:r>
      </m:oMath>
      <w:r w:rsidR="005624E3" w:rsidRPr="00921ED0">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SOLL</m:t>
            </m:r>
          </m:sub>
        </m:sSub>
      </m:oMath>
      <w:r w:rsidR="005624E3" w:rsidRPr="00921ED0">
        <w:t xml:space="preserve"> =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r>
          <w:rPr>
            <w:rFonts w:ascii="Cambria Math" w:hAnsi="Cambria Math"/>
            <w:szCs w:val="20"/>
          </w:rPr>
          <m:t>=2,96 m</m:t>
        </m:r>
      </m:oMath>
    </w:p>
    <w:p w:rsidR="005624E3" w:rsidRPr="00921ED0" w:rsidRDefault="005624E3" w:rsidP="005624E3">
      <w:pPr>
        <w:tabs>
          <w:tab w:val="left" w:pos="567"/>
        </w:tabs>
        <w:overflowPunct w:val="0"/>
        <w:adjustRightInd w:val="0"/>
        <w:spacing w:line="240" w:lineRule="atLeast"/>
        <w:ind w:left="567"/>
        <w:textAlignment w:val="baseline"/>
        <w:rPr>
          <w:szCs w:val="20"/>
        </w:rPr>
      </w:pPr>
    </w:p>
    <w:p w:rsidR="005624E3" w:rsidRPr="00921ED0" w:rsidRDefault="003142CA" w:rsidP="005624E3">
      <w:pPr>
        <w:tabs>
          <w:tab w:val="left" w:pos="567"/>
        </w:tabs>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=5,1 m/s  ≈  18,4  km/h</m:t>
          </m:r>
        </m:oMath>
      </m:oMathPara>
    </w:p>
    <w:p w:rsidR="005624E3" w:rsidRPr="00921ED0" w:rsidRDefault="005624E3" w:rsidP="005624E3">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rPr>
      </w:pPr>
    </w:p>
    <w:p w:rsidR="005624E3" w:rsidRPr="00166EA9" w:rsidRDefault="005624E3" w:rsidP="005624E3">
      <w:pPr>
        <w:tabs>
          <w:tab w:val="left" w:pos="992"/>
          <w:tab w:val="left" w:pos="1843"/>
          <w:tab w:val="left" w:pos="2127"/>
        </w:tabs>
        <w:overflowPunct w:val="0"/>
        <w:adjustRightInd w:val="0"/>
        <w:spacing w:line="240" w:lineRule="atLeast"/>
        <w:ind w:left="992"/>
        <w:textAlignment w:val="baseline"/>
        <w:rPr>
          <w:szCs w:val="20"/>
          <w:lang w:val="pt-PT"/>
        </w:rPr>
      </w:pPr>
      <w:r w:rsidRPr="00166EA9">
        <w:rPr>
          <w:lang w:val="pt-PT"/>
        </w:rPr>
        <w:t>a)</w:t>
      </w:r>
      <w:r w:rsidRPr="00166EA9">
        <w:rPr>
          <w:lang w:val="pt-PT"/>
        </w:rPr>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lang w:val="pt-PT"/>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t-PT"/>
              </w:rPr>
              <m:t>1</m:t>
            </m:r>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w:p>
    <w:p w:rsidR="005624E3" w:rsidRPr="00166EA9" w:rsidRDefault="005624E3" w:rsidP="005624E3">
      <w:pPr>
        <w:tabs>
          <w:tab w:val="left" w:pos="992"/>
          <w:tab w:val="left" w:pos="1843"/>
          <w:tab w:val="left" w:pos="2127"/>
        </w:tabs>
        <w:overflowPunct w:val="0"/>
        <w:adjustRightInd w:val="0"/>
        <w:spacing w:line="240" w:lineRule="atLeast"/>
        <w:ind w:left="992"/>
        <w:textAlignment w:val="baseline"/>
        <w:rPr>
          <w:szCs w:val="20"/>
          <w:lang w:val="pt-PT"/>
        </w:rPr>
      </w:pPr>
    </w:p>
    <w:p w:rsidR="005624E3" w:rsidRPr="00921ED0" w:rsidRDefault="003142CA" w:rsidP="005624E3">
      <w:pPr>
        <w:tabs>
          <w:tab w:val="left" w:pos="992"/>
          <w:tab w:val="left" w:pos="1843"/>
          <w:tab w:val="left" w:pos="2127"/>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=0,95 ∙5,1 ∙16=</m:t>
          </m:r>
          <m:r>
            <m:rPr>
              <m:sty m:val="bi"/>
            </m:rPr>
            <w:rPr>
              <w:rFonts w:ascii="Cambria Math" w:hAnsi="Cambria Math"/>
              <w:szCs w:val="20"/>
            </w:rPr>
            <m:t>77,50 m</m:t>
          </m:r>
        </m:oMath>
      </m:oMathPara>
    </w:p>
    <w:p w:rsidR="005624E3" w:rsidRPr="00921ED0" w:rsidRDefault="005624E3" w:rsidP="005624E3">
      <w:pPr>
        <w:tabs>
          <w:tab w:val="left" w:pos="284"/>
          <w:tab w:val="left" w:pos="851"/>
          <w:tab w:val="left" w:pos="1134"/>
          <w:tab w:val="left" w:pos="1843"/>
          <w:tab w:val="left" w:pos="2268"/>
          <w:tab w:val="left" w:pos="3261"/>
        </w:tabs>
        <w:overflowPunct w:val="0"/>
        <w:adjustRightInd w:val="0"/>
        <w:spacing w:line="240" w:lineRule="exact"/>
        <w:ind w:left="284" w:hanging="284"/>
        <w:textAlignment w:val="baseline"/>
        <w:rPr>
          <w:szCs w:val="20"/>
        </w:rPr>
      </w:pPr>
    </w:p>
    <w:p w:rsidR="005624E3" w:rsidRPr="00166EA9" w:rsidRDefault="005624E3" w:rsidP="005624E3">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pl-PL"/>
        </w:rPr>
      </w:pPr>
      <w:r w:rsidRPr="00166EA9">
        <w:rPr>
          <w:lang w:val="pl-PL"/>
        </w:rPr>
        <w:t>b)</w:t>
      </w:r>
      <w:r w:rsidRPr="00166EA9">
        <w:rPr>
          <w:lang w:val="pl-PL"/>
        </w:rPr>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2</m:t>
            </m:r>
          </m:sub>
        </m:sSub>
        <m:r>
          <w:rPr>
            <w:rFonts w:ascii="Cambria Math" w:hAnsi="Cambria Math"/>
            <w:szCs w:val="20"/>
            <w:lang w:val="pl-PL"/>
          </w:rPr>
          <m:t xml:space="preserve"> ∙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lang w:val="pl-PL"/>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l-PL"/>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r>
              <w:rPr>
                <w:rFonts w:ascii="Cambria Math" w:hAnsi="Cambria Math"/>
                <w:szCs w:val="20"/>
                <w:lang w:val="pl-PL"/>
              </w:rPr>
              <m:t xml:space="preserve"> ∙  </m:t>
            </m:r>
            <m:r>
              <w:rPr>
                <w:rFonts w:ascii="Cambria Math" w:hAnsi="Cambria Math"/>
                <w:szCs w:val="20"/>
              </w:rPr>
              <m:t>g</m:t>
            </m:r>
          </m:num>
          <m:den>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3</m:t>
                </m:r>
              </m:sub>
            </m:sSub>
            <m:r>
              <w:rPr>
                <w:rFonts w:ascii="Cambria Math" w:hAnsi="Cambria Math"/>
                <w:szCs w:val="20"/>
                <w:lang w:val="pl-PL"/>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R</m:t>
                </m:r>
              </m:e>
              <m:sub>
                <m:sSub>
                  <m:sSubPr>
                    <m:ctrlPr>
                      <w:rPr>
                        <w:rFonts w:ascii="Cambria Math" w:hAnsi="Cambria Math"/>
                        <w:i/>
                        <w:szCs w:val="20"/>
                      </w:rPr>
                    </m:ctrlPr>
                  </m:sSubPr>
                  <m:e>
                    <m:r>
                      <w:rPr>
                        <w:rFonts w:ascii="Cambria Math" w:hAnsi="Cambria Math"/>
                        <w:szCs w:val="20"/>
                      </w:rPr>
                      <m:t>TmII</m:t>
                    </m:r>
                  </m:e>
                  <m:sub>
                    <m:r>
                      <w:rPr>
                        <w:rFonts w:ascii="Cambria Math" w:hAnsi="Cambria Math"/>
                        <w:szCs w:val="20"/>
                      </w:rPr>
                      <m:t>SOLL</m:t>
                    </m:r>
                  </m:sub>
                </m:sSub>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den>
        </m:f>
        <m:r>
          <w:rPr>
            <w:rFonts w:ascii="Cambria Math" w:hAnsi="Cambria Math"/>
            <w:szCs w:val="20"/>
            <w:lang w:val="pl-PL"/>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4</m:t>
                </m:r>
              </m:sub>
            </m:sSub>
            <m:r>
              <w:rPr>
                <w:rFonts w:ascii="Cambria Math" w:hAnsi="Cambria Math"/>
                <w:szCs w:val="20"/>
                <w:lang w:val="pl-PL"/>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num>
              <m:den>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den>
            </m:f>
          </m:e>
        </m:d>
      </m:oMath>
    </w:p>
    <w:p w:rsidR="005624E3" w:rsidRPr="00166EA9" w:rsidRDefault="005624E3" w:rsidP="005624E3">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pl-PL"/>
        </w:rPr>
      </w:pPr>
    </w:p>
    <w:p w:rsidR="005624E3" w:rsidRPr="00166EA9" w:rsidRDefault="005624E3" w:rsidP="005624E3">
      <w:pPr>
        <w:tabs>
          <w:tab w:val="left" w:pos="992"/>
        </w:tabs>
        <w:overflowPunct w:val="0"/>
        <w:adjustRightInd w:val="0"/>
        <w:spacing w:before="60" w:line="240" w:lineRule="atLeast"/>
        <w:ind w:left="992"/>
        <w:textAlignment w:val="baseline"/>
        <w:rPr>
          <w:szCs w:val="20"/>
          <w:lang w:val="pl-PL"/>
        </w:rPr>
      </w:pPr>
      <w:r w:rsidRPr="00166EA9">
        <w:rPr>
          <w:lang w:val="pl-PL"/>
        </w:rPr>
        <w:t>c)</w:t>
      </w:r>
      <w:r w:rsidRPr="00166EA9">
        <w:rPr>
          <w:lang w:val="pl-PL"/>
        </w:rPr>
        <w:tab/>
        <w:t xml:space="preserve">A következő kiszámítása: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oMath>
    </w:p>
    <w:p w:rsidR="005624E3" w:rsidRPr="00166EA9" w:rsidRDefault="005624E3" w:rsidP="005624E3">
      <w:pPr>
        <w:overflowPunct w:val="0"/>
        <w:adjustRightInd w:val="0"/>
        <w:spacing w:line="240" w:lineRule="atLeast"/>
        <w:ind w:left="993"/>
        <w:textAlignment w:val="baseline"/>
        <w:rPr>
          <w:szCs w:val="20"/>
          <w:lang w:val="pl-PL"/>
        </w:rPr>
      </w:pPr>
    </w:p>
    <w:p w:rsidR="005624E3" w:rsidRPr="00921ED0" w:rsidRDefault="003142CA" w:rsidP="005624E3">
      <w:pPr>
        <w:overflowPunct w:val="0"/>
        <w:adjustRightInd w:val="0"/>
        <w:spacing w:line="240" w:lineRule="atLeast"/>
        <w:ind w:left="993"/>
        <w:textAlignment w:val="baseline"/>
        <w:rPr>
          <w:szCs w:val="20"/>
        </w:rPr>
      </w:pP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r>
          <w:rPr>
            <w:rFonts w:ascii="Cambria Math" w:hAnsi="Cambria Math"/>
            <w:szCs w:val="20"/>
          </w:rPr>
          <m:t xml:space="preserve">=10,8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w:r w:rsidR="005624E3" w:rsidRPr="00921ED0">
        <w:tab/>
        <w:t xml:space="preserve">a 4.2. pont szerint, mivel </w:t>
      </w:r>
      <m:oMath>
        <m:r>
          <w:rPr>
            <w:rFonts w:ascii="Cambria Math" w:hAnsi="Cambria Math"/>
            <w:szCs w:val="20"/>
          </w:rPr>
          <m:t>B</m:t>
        </m:r>
      </m:oMath>
      <w:r w:rsidR="005624E3" w:rsidRPr="00921ED0">
        <w:t xml:space="preserve">, </w:t>
      </w:r>
      <m:oMath>
        <m:r>
          <w:rPr>
            <w:rFonts w:ascii="Cambria Math" w:hAnsi="Cambria Math"/>
            <w:szCs w:val="20"/>
          </w:rPr>
          <m:t>D</m:t>
        </m:r>
      </m:oMath>
      <w:r w:rsidR="005624E3" w:rsidRPr="00921ED0">
        <w:t xml:space="preserve"> és </w:t>
      </w:r>
      <m:oMath>
        <m:r>
          <w:rPr>
            <w:rFonts w:ascii="Cambria Math" w:hAnsi="Cambria Math"/>
            <w:szCs w:val="20"/>
          </w:rPr>
          <m:t>T</m:t>
        </m:r>
      </m:oMath>
      <w:r w:rsidR="005624E3" w:rsidRPr="00921ED0">
        <w:t xml:space="preserve"> változatlan</w:t>
      </w:r>
    </w:p>
    <w:p w:rsidR="005624E3" w:rsidRPr="00921ED0" w:rsidRDefault="005624E3" w:rsidP="005624E3">
      <w:pPr>
        <w:overflowPunct w:val="0"/>
        <w:adjustRightInd w:val="0"/>
        <w:spacing w:line="240" w:lineRule="exact"/>
        <w:textAlignment w:val="baseline"/>
        <w:rPr>
          <w:szCs w:val="20"/>
        </w:rPr>
      </w:pPr>
    </w:p>
    <w:p w:rsidR="005624E3" w:rsidRPr="00921ED0" w:rsidRDefault="003142CA" w:rsidP="005624E3">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 xml:space="preserve">=3,6 </m:t>
          </m:r>
          <m:d>
            <m:dPr>
              <m:begChr m:val="["/>
              <m:endChr m:val="]"/>
              <m:ctrlPr>
                <w:rPr>
                  <w:rFonts w:ascii="Cambria Math" w:hAnsi="Cambria Math"/>
                  <w:i/>
                  <w:szCs w:val="20"/>
                </w:rPr>
              </m:ctrlPr>
            </m:dPr>
            <m:e>
              <m:r>
                <w:rPr>
                  <w:rFonts w:ascii="Cambria Math" w:hAnsi="Cambria Math"/>
                  <w:szCs w:val="20"/>
                </w:rPr>
                <m:t>m/s</m:t>
              </m:r>
            </m:e>
          </m:d>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3142CA" w:rsidP="005624E3">
      <w:pPr>
        <w:overflowPunct w:val="0"/>
        <w:adjustRightInd w:val="0"/>
        <w:spacing w:line="240" w:lineRule="atLeast"/>
        <w:ind w:left="85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num>
            <m:den>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den>
          </m:f>
          <m:r>
            <w:rPr>
              <w:rFonts w:ascii="Cambria Math" w:hAnsi="Cambria Math"/>
              <w:noProof/>
            </w:rPr>
            <m:t xml:space="preserve"> ∙ </m:t>
          </m:r>
          <m:sSup>
            <m:sSupPr>
              <m:ctrlPr>
                <w:rPr>
                  <w:rFonts w:ascii="Cambria Math" w:hAnsi="Cambria Math"/>
                  <w:i/>
                  <w:noProof/>
                </w:rPr>
              </m:ctrlPr>
            </m:sSupPr>
            <m:e>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7</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k</m:t>
                      </m:r>
                    </m:e>
                    <m:sub>
                      <m:r>
                        <w:rPr>
                          <w:rFonts w:ascii="Cambria Math" w:hAnsi="Cambria Math"/>
                          <w:noProof/>
                        </w:rPr>
                        <m:t>6</m:t>
                      </m:r>
                    </m:sub>
                  </m:sSub>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SOLL</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SOLL</m:t>
                              </m:r>
                            </m:sub>
                          </m:sSub>
                        </m:sub>
                      </m:sSub>
                    </m:e>
                  </m:d>
                </m:e>
              </m:d>
            </m:e>
            <m:sup>
              <m:r>
                <w:rPr>
                  <w:rFonts w:ascii="Cambria Math" w:hAnsi="Cambria Math"/>
                  <w:noProof/>
                </w:rPr>
                <m:t>2</m:t>
              </m:r>
            </m:sup>
          </m:sSup>
          <m:r>
            <w:rPr>
              <w:rFonts w:ascii="Cambria Math" w:hAnsi="Cambria Math"/>
              <w:noProof/>
            </w:rPr>
            <m:t xml:space="preserve">=10,8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∙3,6</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30,99 </m:t>
          </m:r>
          <m:d>
            <m:dPr>
              <m:begChr m:val="["/>
              <m:endChr m:val="]"/>
              <m:ctrlPr>
                <w:rPr>
                  <w:rFonts w:ascii="Cambria Math" w:hAnsi="Cambria Math"/>
                  <w:b/>
                  <w:i/>
                  <w:noProof/>
                </w:rPr>
              </m:ctrlPr>
            </m:dPr>
            <m:e>
              <m:r>
                <m:rPr>
                  <m:sty m:val="bi"/>
                </m:rPr>
                <w:rPr>
                  <w:rFonts w:ascii="Cambria Math" w:hAnsi="Cambria Math"/>
                  <w:noProof/>
                </w:rPr>
                <m:t>kN</m:t>
              </m:r>
            </m:e>
          </m:d>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992"/>
        </w:tabs>
        <w:overflowPunct w:val="0"/>
        <w:adjustRightInd w:val="0"/>
        <w:spacing w:before="60" w:line="240" w:lineRule="atLeast"/>
        <w:ind w:left="992"/>
        <w:textAlignment w:val="baseline"/>
        <w:rPr>
          <w:szCs w:val="20"/>
        </w:rPr>
      </w:pPr>
      <w:r w:rsidRPr="00921ED0">
        <w:t>d)</w:t>
      </w:r>
      <w:r w:rsidRPr="00921ED0">
        <w:tab/>
        <w:t xml:space="preserve">A lejtésnek tulajdonítható </w:t>
      </w:r>
      <m:oMath>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oMath>
      <w:r w:rsidRPr="00921ED0">
        <w:t xml:space="preserve"> ellenállás a 4.2. pont szerint</w:t>
      </w:r>
    </w:p>
    <w:p w:rsidR="005624E3" w:rsidRPr="00921ED0" w:rsidRDefault="005624E3" w:rsidP="005624E3">
      <w:pPr>
        <w:tabs>
          <w:tab w:val="left" w:pos="992"/>
        </w:tabs>
        <w:overflowPunct w:val="0"/>
        <w:adjustRightInd w:val="0"/>
        <w:spacing w:line="240" w:lineRule="atLeast"/>
        <w:ind w:left="992"/>
        <w:textAlignment w:val="baseline"/>
        <w:rPr>
          <w:szCs w:val="20"/>
        </w:rPr>
      </w:pPr>
    </w:p>
    <w:p w:rsidR="005624E3" w:rsidRPr="00166EA9" w:rsidRDefault="005624E3" w:rsidP="005624E3">
      <w:pPr>
        <w:tabs>
          <w:tab w:val="left" w:pos="992"/>
        </w:tabs>
        <w:overflowPunct w:val="0"/>
        <w:adjustRightInd w:val="0"/>
        <w:spacing w:before="60" w:line="240" w:lineRule="atLeast"/>
        <w:ind w:left="992"/>
        <w:textAlignment w:val="baseline"/>
        <w:rPr>
          <w:szCs w:val="20"/>
          <w:lang w:val="pt-PT"/>
        </w:rPr>
      </w:pPr>
      <w:r w:rsidRPr="00166EA9">
        <w:rPr>
          <w:lang w:val="pt-PT"/>
        </w:rPr>
        <w:t>e)</w:t>
      </w:r>
      <w:r w:rsidRPr="00166EA9">
        <w:rPr>
          <w:lang w:val="pt-PT"/>
        </w:rPr>
        <w:tab/>
        <w:t xml:space="preserve">A következő kiszámítása: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p>
    <w:p w:rsidR="005624E3" w:rsidRPr="00166EA9" w:rsidRDefault="005624E3" w:rsidP="005624E3">
      <w:pPr>
        <w:tabs>
          <w:tab w:val="left" w:pos="454"/>
        </w:tabs>
        <w:overflowPunct w:val="0"/>
        <w:adjustRightInd w:val="0"/>
        <w:spacing w:line="240" w:lineRule="atLeast"/>
        <w:ind w:left="454" w:firstLine="539"/>
        <w:textAlignment w:val="baseline"/>
        <w:rPr>
          <w:szCs w:val="20"/>
          <w:lang w:val="pt-PT"/>
        </w:rPr>
      </w:pPr>
    </w:p>
    <w:p w:rsidR="005624E3" w:rsidRPr="00166EA9" w:rsidRDefault="003142CA" w:rsidP="005624E3">
      <w:pPr>
        <w:overflowPunct w:val="0"/>
        <w:adjustRightInd w:val="0"/>
        <w:spacing w:line="240" w:lineRule="atLeast"/>
        <w:ind w:left="993"/>
        <w:textAlignment w:val="baseline"/>
        <w:rPr>
          <w:szCs w:val="20"/>
          <w:lang w:val="pt-PT"/>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t-PT"/>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t-PT"/>
              </w:rPr>
              <m:t>6</m:t>
            </m:r>
          </m:sub>
        </m:sSub>
        <m:r>
          <w:rPr>
            <w:rFonts w:ascii="Cambria Math" w:hAnsi="Cambria Math"/>
            <w:szCs w:val="20"/>
            <w:lang w:val="pt-PT"/>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lang w:val="pt-PT"/>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e>
        </m:d>
        <m:r>
          <w:rPr>
            <w:rFonts w:ascii="Cambria Math" w:hAnsi="Cambria Math"/>
            <w:szCs w:val="20"/>
            <w:lang w:val="pt-PT"/>
          </w:rPr>
          <m:t>=0,85 ∙3,6=</m:t>
        </m:r>
        <m:r>
          <m:rPr>
            <m:sty m:val="bi"/>
          </m:rPr>
          <w:rPr>
            <w:rFonts w:ascii="Cambria Math" w:hAnsi="Cambria Math"/>
            <w:szCs w:val="20"/>
          </w:rPr>
          <m:t>3</m:t>
        </m:r>
        <m:r>
          <m:rPr>
            <m:sty m:val="bi"/>
          </m:rPr>
          <w:rPr>
            <w:rFonts w:ascii="Cambria Math" w:hAnsi="Cambria Math"/>
            <w:szCs w:val="20"/>
            <w:lang w:val="pt-PT"/>
          </w:rPr>
          <m:t>,</m:t>
        </m:r>
        <m:r>
          <m:rPr>
            <m:sty m:val="bi"/>
          </m:rPr>
          <w:rPr>
            <w:rFonts w:ascii="Cambria Math" w:hAnsi="Cambria Math"/>
            <w:szCs w:val="20"/>
          </w:rPr>
          <m:t>06</m:t>
        </m:r>
        <m:r>
          <w:rPr>
            <w:rFonts w:ascii="Cambria Math" w:hAnsi="Cambria Math"/>
            <w:szCs w:val="20"/>
            <w:lang w:val="pt-PT"/>
          </w:rPr>
          <m:t xml:space="preserve"> </m:t>
        </m:r>
        <m:d>
          <m:dPr>
            <m:begChr m:val="["/>
            <m:endChr m:val="]"/>
            <m:ctrlPr>
              <w:rPr>
                <w:rFonts w:ascii="Cambria Math" w:hAnsi="Cambria Math"/>
                <w:i/>
                <w:szCs w:val="20"/>
              </w:rPr>
            </m:ctrlPr>
          </m:dPr>
          <m:e>
            <m:r>
              <w:rPr>
                <w:rFonts w:ascii="Cambria Math" w:hAnsi="Cambria Math"/>
                <w:szCs w:val="20"/>
              </w:rPr>
              <m:t>m</m:t>
            </m:r>
            <m:r>
              <w:rPr>
                <w:rFonts w:ascii="Cambria Math" w:hAnsi="Cambria Math"/>
                <w:szCs w:val="20"/>
                <w:lang w:val="pt-PT"/>
              </w:rPr>
              <m:t>/</m:t>
            </m:r>
            <m:r>
              <w:rPr>
                <w:rFonts w:ascii="Cambria Math" w:hAnsi="Cambria Math"/>
                <w:szCs w:val="20"/>
              </w:rPr>
              <m:t>s</m:t>
            </m:r>
          </m:e>
        </m:d>
        <m:r>
          <w:rPr>
            <w:rFonts w:ascii="Cambria Math" w:hAnsi="Cambria Math"/>
            <w:szCs w:val="20"/>
            <w:lang w:val="pt-PT"/>
          </w:rPr>
          <m:t>,</m:t>
        </m:r>
      </m:oMath>
      <w:r w:rsidR="005624E3" w:rsidRPr="00166EA9">
        <w:rPr>
          <w:lang w:val="pt-PT"/>
        </w:rPr>
        <w:t xml:space="preserve">  </w:t>
      </w: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lang w:val="pt-PT"/>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t-PT"/>
          </w:rPr>
          <m:t xml:space="preserve">=9,36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m:t>
                </m:r>
                <m:r>
                  <w:rPr>
                    <w:rFonts w:ascii="Cambria Math" w:hAnsi="Cambria Math"/>
                    <w:szCs w:val="20"/>
                    <w:lang w:val="pt-PT"/>
                  </w:rPr>
                  <m:t>/</m:t>
                </m:r>
                <m:r>
                  <w:rPr>
                    <w:rFonts w:ascii="Cambria Math" w:hAnsi="Cambria Math"/>
                    <w:szCs w:val="20"/>
                  </w:rPr>
                  <m:t>s</m:t>
                </m:r>
              </m:e>
            </m:d>
          </m:e>
          <m:sup>
            <m:r>
              <w:rPr>
                <w:rFonts w:ascii="Cambria Math" w:hAnsi="Cambria Math"/>
                <w:szCs w:val="20"/>
                <w:lang w:val="pt-PT"/>
              </w:rPr>
              <m:t>2</m:t>
            </m:r>
          </m:sup>
        </m:sSup>
      </m:oMath>
    </w:p>
    <w:p w:rsidR="005624E3" w:rsidRPr="00166EA9" w:rsidRDefault="005624E3" w:rsidP="005624E3">
      <w:pPr>
        <w:tabs>
          <w:tab w:val="left" w:pos="0"/>
        </w:tabs>
        <w:overflowPunct w:val="0"/>
        <w:adjustRightInd w:val="0"/>
        <w:spacing w:line="240" w:lineRule="exact"/>
        <w:ind w:left="454" w:hanging="454"/>
        <w:textAlignment w:val="baseline"/>
        <w:rPr>
          <w:szCs w:val="20"/>
          <w:lang w:val="pt-PT"/>
        </w:rPr>
      </w:pPr>
    </w:p>
    <w:p w:rsidR="005624E3" w:rsidRPr="00166EA9" w:rsidRDefault="005624E3" w:rsidP="005624E3">
      <w:pPr>
        <w:tabs>
          <w:tab w:val="left" w:pos="992"/>
        </w:tabs>
        <w:overflowPunct w:val="0"/>
        <w:adjustRightInd w:val="0"/>
        <w:spacing w:before="60" w:line="240" w:lineRule="atLeast"/>
        <w:ind w:left="992"/>
        <w:textAlignment w:val="baseline"/>
        <w:rPr>
          <w:szCs w:val="20"/>
          <w:lang w:val="pl-PL"/>
        </w:rPr>
      </w:pPr>
      <w:r w:rsidRPr="00166EA9">
        <w:rPr>
          <w:lang w:val="pl-PL"/>
        </w:rPr>
        <w:t>f)</w:t>
      </w:r>
      <w:r w:rsidRPr="00166EA9">
        <w:rPr>
          <w:lang w:val="pl-PL"/>
        </w:rPr>
        <w:tab/>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Pr="00166EA9">
        <w:rPr>
          <w:lang w:val="pl-PL"/>
        </w:rPr>
        <w:t xml:space="preserve"> a 4.2. pontnak megfelelően</w:t>
      </w:r>
    </w:p>
    <w:p w:rsidR="005624E3" w:rsidRPr="00166EA9" w:rsidRDefault="005624E3" w:rsidP="005624E3">
      <w:pPr>
        <w:tabs>
          <w:tab w:val="left" w:pos="454"/>
        </w:tabs>
        <w:overflowPunct w:val="0"/>
        <w:adjustRightInd w:val="0"/>
        <w:spacing w:line="240" w:lineRule="exact"/>
        <w:ind w:left="454" w:hanging="454"/>
        <w:textAlignment w:val="baseline"/>
        <w:rPr>
          <w:szCs w:val="20"/>
          <w:lang w:val="pl-PL"/>
        </w:rPr>
      </w:pPr>
    </w:p>
    <w:p w:rsidR="005624E3" w:rsidRPr="00166EA9" w:rsidRDefault="005624E3" w:rsidP="005624E3">
      <w:pPr>
        <w:tabs>
          <w:tab w:val="left" w:pos="284"/>
        </w:tabs>
        <w:overflowPunct w:val="0"/>
        <w:adjustRightInd w:val="0"/>
        <w:spacing w:line="240" w:lineRule="exact"/>
        <w:ind w:left="284" w:hanging="284"/>
        <w:textAlignment w:val="baseline"/>
        <w:rPr>
          <w:szCs w:val="20"/>
          <w:lang w:val="pl-PL"/>
        </w:rPr>
      </w:pPr>
    </w:p>
    <w:p w:rsidR="005624E3" w:rsidRPr="00166EA9" w:rsidRDefault="005624E3" w:rsidP="005624E3">
      <w:pPr>
        <w:tabs>
          <w:tab w:val="left" w:pos="992"/>
        </w:tabs>
        <w:overflowPunct w:val="0"/>
        <w:adjustRightInd w:val="0"/>
        <w:spacing w:line="240" w:lineRule="atLeast"/>
        <w:ind w:left="992"/>
        <w:textAlignment w:val="baseline"/>
        <w:rPr>
          <w:szCs w:val="20"/>
          <w:lang w:val="pl-PL"/>
        </w:rPr>
      </w:pPr>
      <w:r w:rsidRPr="00166EA9">
        <w:rPr>
          <w:lang w:val="pl-PL"/>
        </w:rPr>
        <w:br w:type="page"/>
      </w:r>
    </w:p>
    <w:p w:rsidR="005624E3" w:rsidRPr="00166EA9" w:rsidRDefault="005624E3" w:rsidP="005624E3">
      <w:pPr>
        <w:tabs>
          <w:tab w:val="left" w:pos="992"/>
        </w:tabs>
        <w:overflowPunct w:val="0"/>
        <w:adjustRightInd w:val="0"/>
        <w:spacing w:before="60" w:line="240" w:lineRule="atLeast"/>
        <w:ind w:left="992"/>
        <w:textAlignment w:val="baseline"/>
        <w:rPr>
          <w:szCs w:val="20"/>
          <w:lang w:val="pl-PL"/>
        </w:rPr>
      </w:pPr>
      <w:r w:rsidRPr="00166EA9">
        <w:rPr>
          <w:lang w:val="pl-PL"/>
        </w:rPr>
        <w:t>g)</w:t>
      </w:r>
      <w:r w:rsidRPr="00166EA9">
        <w:rPr>
          <w:lang w:val="pl-PL"/>
        </w:rPr>
        <w:tab/>
        <w:t xml:space="preserve">Az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r w:rsidRPr="00166EA9">
        <w:rPr>
          <w:lang w:val="pl-PL"/>
        </w:rPr>
        <w:t xml:space="preserve"> kiszámítása a b) képlet és a c)–f) pont eredményének használatával</w:t>
      </w:r>
    </w:p>
    <w:p w:rsidR="005624E3" w:rsidRPr="00166EA9" w:rsidRDefault="005624E3" w:rsidP="005624E3">
      <w:pPr>
        <w:overflowPunct w:val="0"/>
        <w:adjustRightInd w:val="0"/>
        <w:spacing w:line="240" w:lineRule="exact"/>
        <w:ind w:left="993"/>
        <w:textAlignment w:val="baseline"/>
        <w:rPr>
          <w:szCs w:val="20"/>
          <w:lang w:val="pl-PL"/>
        </w:rPr>
      </w:pPr>
    </w:p>
    <w:p w:rsidR="005624E3" w:rsidRPr="00921ED0" w:rsidRDefault="003142CA" w:rsidP="005624E3">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∙9,36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1,5</m:t>
                      </m:r>
                    </m:num>
                    <m:den>
                      <m:r>
                        <w:rPr>
                          <w:rFonts w:ascii="Cambria Math" w:hAnsi="Cambria Math"/>
                          <w:szCs w:val="20"/>
                        </w:rPr>
                        <m:t>3,06</m:t>
                      </m:r>
                    </m:den>
                  </m:f>
                </m:e>
              </m:d>
            </m:num>
            <m:den>
              <m:r>
                <w:rPr>
                  <w:rFonts w:ascii="Cambria Math" w:hAnsi="Cambria Math"/>
                  <w:szCs w:val="20"/>
                </w:rPr>
                <m:t>1,15 ∙177+30,99-8,13</m:t>
              </m:r>
            </m:den>
          </m:f>
          <m:r>
            <w:rPr>
              <w:rFonts w:ascii="Cambria Math" w:hAnsi="Cambria Math"/>
              <w:szCs w:val="20"/>
            </w:rPr>
            <m:t xml:space="preserve"> ∙5179</m:t>
          </m:r>
        </m:oMath>
      </m:oMathPara>
    </w:p>
    <w:p w:rsidR="005624E3" w:rsidRPr="00921ED0" w:rsidRDefault="005624E3" w:rsidP="005624E3">
      <w:pPr>
        <w:tabs>
          <w:tab w:val="left" w:pos="454"/>
        </w:tabs>
        <w:overflowPunct w:val="0"/>
        <w:adjustRightInd w:val="0"/>
        <w:spacing w:line="240" w:lineRule="atLeast"/>
        <w:ind w:left="454" w:hanging="454"/>
        <w:textAlignment w:val="baseline"/>
        <w:rPr>
          <w:szCs w:val="20"/>
        </w:rPr>
      </w:pPr>
      <w:r w:rsidRPr="00921ED0">
        <w:rPr>
          <w:noProof/>
          <w:szCs w:val="20"/>
        </w:rPr>
        <mc:AlternateContent>
          <mc:Choice Requires="wps">
            <w:drawing>
              <wp:anchor distT="0" distB="0" distL="114300" distR="114300" simplePos="0" relativeHeight="251684864" behindDoc="0" locked="0" layoutInCell="1" allowOverlap="1" wp14:anchorId="308B782D" wp14:editId="718E2ED6">
                <wp:simplePos x="0" y="0"/>
                <wp:positionH relativeFrom="column">
                  <wp:posOffset>898221</wp:posOffset>
                </wp:positionH>
                <wp:positionV relativeFrom="paragraph">
                  <wp:posOffset>138430</wp:posOffset>
                </wp:positionV>
                <wp:extent cx="90807" cy="413785"/>
                <wp:effectExtent l="0" t="8890" r="14605" b="14605"/>
                <wp:wrapNone/>
                <wp:docPr id="155"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7" cy="413785"/>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27" o:spid="_x0000_s1026" type="#_x0000_t88" style="position:absolute;margin-left:70.75pt;margin-top:10.9pt;width:7.15pt;height:32.6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" adj="1989"/>
            </w:pict>
          </mc:Fallback>
        </mc:AlternateContent>
      </w:r>
    </w:p>
    <w:p w:rsidR="005624E3" w:rsidRPr="00921ED0" w:rsidRDefault="005624E3" w:rsidP="005624E3">
      <w:pPr>
        <w:overflowPunct w:val="0"/>
        <w:adjustRightInd w:val="0"/>
        <w:spacing w:line="240" w:lineRule="exact"/>
        <w:ind w:left="993"/>
        <w:textAlignment w:val="baseline"/>
        <w:rPr>
          <w:szCs w:val="20"/>
        </w:rPr>
      </w:pPr>
      <m:oMathPara>
        <m:oMathParaPr>
          <m:jc m:val="left"/>
        </m:oMathParaPr>
        <m:oMath>
          <m:r>
            <w:rPr>
              <w:rFonts w:ascii="Cambria Math" w:hAnsi="Cambria Math"/>
              <w:szCs w:val="20"/>
            </w:rPr>
            <m:t>=0,0472 ∙5179=</m:t>
          </m:r>
          <m:r>
            <m:rPr>
              <m:sty m:val="bi"/>
            </m:rPr>
            <w:rPr>
              <w:rFonts w:ascii="Cambria Math" w:hAnsi="Cambria Math"/>
              <w:szCs w:val="20"/>
            </w:rPr>
            <m:t>244,5 m</m:t>
          </m:r>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3142CA" w:rsidP="005624E3">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992"/>
        </w:tabs>
        <w:overflowPunct w:val="0"/>
        <w:adjustRightInd w:val="0"/>
        <w:spacing w:before="60" w:line="240" w:lineRule="atLeast"/>
        <w:ind w:left="992"/>
        <w:textAlignment w:val="baseline"/>
        <w:rPr>
          <w:szCs w:val="20"/>
        </w:rPr>
      </w:pPr>
      <w:r w:rsidRPr="00921ED0">
        <w:t>h)</w:t>
      </w:r>
      <w:r w:rsidRPr="00921ED0">
        <w:tab/>
        <w:t>A teljes távolság kiszámítása</w:t>
      </w:r>
    </w:p>
    <w:p w:rsidR="005624E3" w:rsidRPr="00921ED0" w:rsidRDefault="005624E3" w:rsidP="005624E3">
      <w:pPr>
        <w:tabs>
          <w:tab w:val="left" w:pos="992"/>
        </w:tabs>
        <w:overflowPunct w:val="0"/>
        <w:adjustRightInd w:val="0"/>
        <w:spacing w:line="240" w:lineRule="atLeast"/>
        <w:ind w:left="992"/>
        <w:textAlignment w:val="baseline"/>
        <w:rPr>
          <w:szCs w:val="20"/>
        </w:rPr>
      </w:pPr>
    </w:p>
    <w:p w:rsidR="005624E3" w:rsidRPr="00921ED0" w:rsidRDefault="003142CA" w:rsidP="005624E3">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b/>
                  <w:i/>
                  <w:szCs w:val="20"/>
                </w:rPr>
              </m:ctrlPr>
            </m:sSubPr>
            <m:e>
              <m:r>
                <m:rPr>
                  <m:sty m:val="bi"/>
                </m:rPr>
                <w:rPr>
                  <w:rFonts w:ascii="Cambria Math" w:hAnsi="Cambria Math"/>
                  <w:szCs w:val="20"/>
                </w:rPr>
                <m:t>s</m:t>
              </m:r>
            </m:e>
            <m:sub>
              <m:r>
                <m:rPr>
                  <m:sty m:val="bi"/>
                </m:rPr>
                <w:rPr>
                  <w:rFonts w:ascii="Cambria Math" w:hAnsi="Cambria Math"/>
                  <w:szCs w:val="20"/>
                </w:rPr>
                <m:t>SOLL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=77,5+244,5=</m:t>
          </m:r>
          <m:r>
            <m:rPr>
              <m:sty m:val="bi"/>
            </m:rPr>
            <w:rPr>
              <w:rFonts w:ascii="Cambria Math" w:hAnsi="Cambria Math"/>
              <w:szCs w:val="20"/>
            </w:rPr>
            <m:t>322 m</m:t>
          </m:r>
        </m:oMath>
      </m:oMathPara>
    </w:p>
    <w:p w:rsidR="005624E3" w:rsidRPr="00921ED0" w:rsidRDefault="005624E3" w:rsidP="005624E3">
      <w:pPr>
        <w:overflowPunct w:val="0"/>
        <w:adjustRightInd w:val="0"/>
        <w:spacing w:line="240" w:lineRule="exact"/>
        <w:ind w:left="567" w:hanging="567"/>
        <w:textAlignment w:val="baseline"/>
        <w:rPr>
          <w:position w:val="6"/>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4.4.</w:t>
      </w:r>
      <w:r w:rsidRPr="00921ED0">
        <w:tab/>
      </w:r>
      <w:r w:rsidRPr="00921ED0">
        <w:rPr>
          <w:b/>
          <w:color w:val="000000"/>
        </w:rPr>
        <w:t xml:space="preserve">Az engedélyezett megállási távolságnak való megfelelés ellenőrzése – normál körülmények, </w:t>
      </w:r>
      <m:oMath>
        <m:sSub>
          <m:sSubPr>
            <m:ctrlPr>
              <w:rPr>
                <w:rFonts w:ascii="Cambria Math" w:hAnsi="Cambria Math" w:cs="Arial"/>
                <w:b/>
                <w:i/>
                <w:color w:val="000000"/>
                <w:szCs w:val="20"/>
              </w:rPr>
            </m:ctrlPr>
          </m:sSubPr>
          <m:e>
            <m:r>
              <m:rPr>
                <m:sty m:val="bi"/>
              </m:rPr>
              <w:rPr>
                <w:rFonts w:ascii="Cambria Math" w:hAnsi="Cambria Math" w:cs="Arial"/>
                <w:color w:val="000000"/>
                <w:szCs w:val="20"/>
              </w:rPr>
              <m:t>s</m:t>
            </m:r>
          </m:e>
          <m:sub>
            <m:r>
              <m:rPr>
                <m:sty m:val="bi"/>
              </m:rPr>
              <w:rPr>
                <w:rFonts w:ascii="Cambria Math" w:hAnsi="Cambria Math" w:cs="Arial"/>
                <w:color w:val="000000"/>
                <w:szCs w:val="20"/>
              </w:rPr>
              <m:t>NORM</m:t>
            </m:r>
          </m:sub>
        </m:sSub>
      </m:oMath>
      <w:r w:rsidRPr="00921ED0">
        <w:rPr>
          <w:b/>
          <w:color w:val="000000"/>
        </w:rPr>
        <w:t xml:space="preserve"> </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567"/>
        </w:tabs>
        <w:overflowPunct w:val="0"/>
        <w:adjustRightInd w:val="0"/>
        <w:spacing w:line="240" w:lineRule="atLeast"/>
        <w:ind w:left="567"/>
        <w:textAlignment w:val="baseline"/>
        <w:rPr>
          <w:szCs w:val="20"/>
        </w:rPr>
      </w:pPr>
      <w:r w:rsidRPr="00921ED0">
        <w:t>a 2. melléklet 2.1. képlete szerint</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3142CA" w:rsidP="005624E3">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=340 ∙ </m:t>
          </m:r>
          <m:f>
            <m:fPr>
              <m:ctrlPr>
                <w:rPr>
                  <w:rFonts w:ascii="Cambria Math" w:hAnsi="Cambria Math"/>
                  <w:i/>
                  <w:szCs w:val="20"/>
                </w:rPr>
              </m:ctrlPr>
            </m:fPr>
            <m:num>
              <m:r>
                <w:rPr>
                  <w:rFonts w:ascii="Cambria Math" w:hAnsi="Cambria Math"/>
                  <w:szCs w:val="20"/>
                </w:rPr>
                <m:t>322</m:t>
              </m:r>
            </m:num>
            <m:den>
              <m:r>
                <w:rPr>
                  <w:rFonts w:ascii="Cambria Math" w:hAnsi="Cambria Math"/>
                  <w:szCs w:val="20"/>
                </w:rPr>
                <m:t>303,4</m:t>
              </m:r>
            </m:den>
          </m:f>
          <m:r>
            <w:rPr>
              <w:rFonts w:ascii="Cambria Math" w:hAnsi="Cambria Math"/>
              <w:szCs w:val="20"/>
            </w:rPr>
            <m:t>=</m:t>
          </m:r>
          <m:r>
            <m:rPr>
              <m:sty m:val="bi"/>
            </m:rPr>
            <w:rPr>
              <w:rFonts w:ascii="Cambria Math" w:hAnsi="Cambria Math"/>
              <w:szCs w:val="20"/>
            </w:rPr>
            <m:t>360,8 m &lt;550 m</m:t>
          </m:r>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567"/>
        </w:tabs>
        <w:overflowPunct w:val="0"/>
        <w:adjustRightInd w:val="0"/>
        <w:spacing w:line="240" w:lineRule="atLeast"/>
        <w:ind w:left="1134" w:hanging="567"/>
        <w:textAlignment w:val="baseline"/>
        <w:rPr>
          <w:b/>
          <w:bCs/>
          <w:szCs w:val="20"/>
        </w:rPr>
      </w:pPr>
      <w:r w:rsidRPr="00921ED0">
        <w:rPr>
          <w:b/>
        </w:rPr>
        <w:t>Következtetés:</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567"/>
        </w:tabs>
        <w:overflowPunct w:val="0"/>
        <w:adjustRightInd w:val="0"/>
        <w:spacing w:line="240" w:lineRule="atLeast"/>
        <w:ind w:left="567"/>
        <w:textAlignment w:val="baseline"/>
        <w:rPr>
          <w:szCs w:val="20"/>
        </w:rPr>
      </w:pPr>
      <w:r w:rsidRPr="00921ED0">
        <w:t>A hajó az engedélyezett határértéket messze nem érte el, vagyis:</w:t>
      </w:r>
    </w:p>
    <w:p w:rsidR="005624E3" w:rsidRPr="00921ED0" w:rsidRDefault="005624E3" w:rsidP="005624E3">
      <w:pPr>
        <w:tabs>
          <w:tab w:val="left" w:pos="992"/>
        </w:tabs>
        <w:overflowPunct w:val="0"/>
        <w:adjustRightInd w:val="0"/>
        <w:spacing w:before="60" w:line="240" w:lineRule="atLeast"/>
        <w:ind w:left="992"/>
        <w:textAlignment w:val="baseline"/>
        <w:rPr>
          <w:szCs w:val="20"/>
        </w:rPr>
      </w:pPr>
      <w:r w:rsidRPr="00921ED0">
        <w:t>-</w:t>
      </w:r>
      <w:r w:rsidRPr="00921ED0">
        <w:tab/>
        <w:t>a folyásirányú hajózás korlátozás nélkül engedélyezhető a tényleges terhelési feltételek mellett (</w:t>
      </w:r>
      <m:oMath>
        <m:r>
          <w:rPr>
            <w:rFonts w:ascii="Cambria Math" w:hAnsi="Cambria Math"/>
            <w:szCs w:val="20"/>
          </w:rPr>
          <m:t xml:space="preserve">0,8 ∙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oMath>
      <w:r w:rsidRPr="00921ED0">
        <w:t>),</w:t>
      </w:r>
    </w:p>
    <w:p w:rsidR="005624E3" w:rsidRPr="00921ED0" w:rsidRDefault="005624E3" w:rsidP="005624E3">
      <w:pPr>
        <w:tabs>
          <w:tab w:val="left" w:pos="992"/>
        </w:tabs>
        <w:overflowPunct w:val="0"/>
        <w:adjustRightInd w:val="0"/>
        <w:spacing w:before="60" w:line="240" w:lineRule="atLeast"/>
        <w:ind w:left="992"/>
        <w:textAlignment w:val="baseline"/>
        <w:rPr>
          <w:szCs w:val="20"/>
        </w:rPr>
      </w:pPr>
      <w:r w:rsidRPr="00921ED0">
        <w:t>-</w:t>
      </w:r>
      <w:r w:rsidRPr="00921ED0">
        <w:tab/>
        <w:t>magasabb terhelés is engedélyezhető, mely az alábbi 5. pont alapján számítható ki.</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454"/>
        </w:tabs>
        <w:overflowPunct w:val="0"/>
        <w:adjustRightInd w:val="0"/>
        <w:spacing w:line="240" w:lineRule="exact"/>
        <w:ind w:left="454" w:hanging="454"/>
        <w:textAlignment w:val="baseline"/>
        <w:rPr>
          <w:szCs w:val="20"/>
        </w:rPr>
      </w:pPr>
      <w:r w:rsidRPr="00921ED0">
        <w:br w:type="page"/>
      </w:r>
    </w:p>
    <w:p w:rsidR="005624E3" w:rsidRPr="00921ED0" w:rsidRDefault="005624E3" w:rsidP="005624E3">
      <w:pPr>
        <w:spacing w:line="240" w:lineRule="atLeast"/>
        <w:ind w:left="567" w:hanging="567"/>
        <w:rPr>
          <w:rFonts w:cs="Arial"/>
          <w:b/>
          <w:color w:val="000000"/>
          <w:szCs w:val="20"/>
        </w:rPr>
      </w:pPr>
      <w:r w:rsidRPr="00921ED0">
        <w:rPr>
          <w:b/>
          <w:color w:val="000000"/>
        </w:rPr>
        <w:t>5.</w:t>
      </w:r>
      <w:r w:rsidRPr="00921ED0">
        <w:tab/>
      </w:r>
      <w:r w:rsidRPr="00921ED0">
        <w:rPr>
          <w:b/>
          <w:color w:val="000000"/>
        </w:rPr>
        <w:t xml:space="preserve">A </w:t>
      </w:r>
      <m:oMath>
        <m:sSub>
          <m:sSubPr>
            <m:ctrlPr>
              <w:rPr>
                <w:rFonts w:ascii="Cambria Math" w:hAnsi="Cambria Math" w:cs="Arial"/>
                <w:b/>
                <w:i/>
                <w:color w:val="000000"/>
                <w:szCs w:val="20"/>
              </w:rPr>
            </m:ctrlPr>
          </m:sSubPr>
          <m:e>
            <m:r>
              <m:rPr>
                <m:sty m:val="bi"/>
              </m:rPr>
              <w:rPr>
                <w:rFonts w:ascii="Cambria Math" w:hAnsi="Cambria Math" w:cs="Arial"/>
                <w:color w:val="000000"/>
                <w:szCs w:val="20"/>
              </w:rPr>
              <m:t>D</m:t>
            </m:r>
          </m:e>
          <m:sub>
            <m:r>
              <m:rPr>
                <m:sty m:val="bi"/>
              </m:rPr>
              <w:rPr>
                <w:rFonts w:ascii="Cambria Math" w:hAnsi="Cambria Math" w:cs="Arial"/>
                <w:color w:val="000000"/>
                <w:szCs w:val="20"/>
              </w:rPr>
              <m:t>IST</m:t>
            </m:r>
          </m:sub>
        </m:sSub>
      </m:oMath>
      <w:r w:rsidRPr="00921ED0">
        <w:rPr>
          <w:b/>
          <w:color w:val="000000"/>
        </w:rPr>
        <w:t xml:space="preserve"> lehetséges növelése folyásirányú hajózás esetén</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3142CA" w:rsidP="005624E3">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=550 m</m:t>
          </m:r>
        </m:oMath>
      </m:oMathPara>
    </w:p>
    <w:p w:rsidR="005624E3" w:rsidRPr="00921ED0" w:rsidRDefault="005624E3" w:rsidP="005624E3">
      <w:pPr>
        <w:tabs>
          <w:tab w:val="left" w:pos="454"/>
        </w:tabs>
        <w:overflowPunct w:val="0"/>
        <w:adjustRightInd w:val="0"/>
        <w:spacing w:line="240" w:lineRule="atLeast"/>
        <w:ind w:left="454" w:hanging="454"/>
        <w:textAlignment w:val="baseline"/>
        <w:rPr>
          <w:szCs w:val="20"/>
        </w:rPr>
      </w:pPr>
    </w:p>
    <w:p w:rsidR="005624E3" w:rsidRPr="00921ED0" w:rsidRDefault="003142CA" w:rsidP="005624E3">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=550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den>
          </m:f>
          <m:r>
            <w:rPr>
              <w:rFonts w:ascii="Cambria Math" w:hAnsi="Cambria Math"/>
              <w:szCs w:val="20"/>
            </w:rPr>
            <m:t xml:space="preserve">=550 ∙ </m:t>
          </m:r>
          <m:f>
            <m:fPr>
              <m:ctrlPr>
                <w:rPr>
                  <w:rFonts w:ascii="Cambria Math" w:hAnsi="Cambria Math"/>
                  <w:i/>
                  <w:szCs w:val="20"/>
                </w:rPr>
              </m:ctrlPr>
            </m:fPr>
            <m:num>
              <m:r>
                <w:rPr>
                  <w:rFonts w:ascii="Cambria Math" w:hAnsi="Cambria Math"/>
                  <w:szCs w:val="20"/>
                </w:rPr>
                <m:t>303,4</m:t>
              </m:r>
            </m:num>
            <m:den>
              <m:r>
                <w:rPr>
                  <w:rFonts w:ascii="Cambria Math" w:hAnsi="Cambria Math"/>
                  <w:szCs w:val="20"/>
                </w:rPr>
                <m:t>340</m:t>
              </m:r>
            </m:den>
          </m:f>
          <m:r>
            <w:rPr>
              <w:rFonts w:ascii="Cambria Math" w:hAnsi="Cambria Math"/>
              <w:szCs w:val="20"/>
            </w:rPr>
            <m:t>=490,8 m</m:t>
          </m:r>
        </m:oMath>
      </m:oMathPara>
    </w:p>
    <w:p w:rsidR="005624E3" w:rsidRPr="00921ED0" w:rsidRDefault="005624E3" w:rsidP="005624E3">
      <w:pPr>
        <w:tabs>
          <w:tab w:val="left" w:pos="454"/>
        </w:tabs>
        <w:overflowPunct w:val="0"/>
        <w:adjustRightInd w:val="0"/>
        <w:spacing w:line="240" w:lineRule="atLeast"/>
        <w:ind w:left="454" w:hanging="454"/>
        <w:textAlignment w:val="baseline"/>
        <w:rPr>
          <w:szCs w:val="20"/>
        </w:rPr>
      </w:pPr>
    </w:p>
    <w:p w:rsidR="005624E3" w:rsidRPr="00921ED0" w:rsidRDefault="005624E3" w:rsidP="005624E3">
      <w:pPr>
        <w:tabs>
          <w:tab w:val="left" w:pos="567"/>
          <w:tab w:val="left" w:pos="2127"/>
          <w:tab w:val="left" w:pos="2410"/>
        </w:tabs>
        <w:overflowPunct w:val="0"/>
        <w:adjustRightInd w:val="0"/>
        <w:spacing w:line="240" w:lineRule="atLeast"/>
        <w:ind w:left="567" w:hanging="567"/>
        <w:textAlignment w:val="baseline"/>
        <w:rPr>
          <w:szCs w:val="20"/>
        </w:rPr>
      </w:pPr>
      <w:r w:rsidRPr="00921ED0">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m:t>
        </m:r>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r>
          <w:rPr>
            <w:rFonts w:ascii="Cambria Math" w:hAnsi="Cambria Math"/>
            <w:szCs w:val="20"/>
          </w:rPr>
          <m:t xml:space="preserve"> ∙D</m:t>
        </m:r>
      </m:oMath>
      <w:r w:rsidRPr="00921ED0">
        <w:t xml:space="preserve"> esetén, a 4.2. pontban található megjegyzés szerint</w:t>
      </w:r>
    </w:p>
    <w:p w:rsidR="005624E3" w:rsidRPr="00921ED0" w:rsidRDefault="005624E3" w:rsidP="005624E3">
      <w:pPr>
        <w:tabs>
          <w:tab w:val="left" w:pos="454"/>
        </w:tabs>
        <w:overflowPunct w:val="0"/>
        <w:adjustRightInd w:val="0"/>
        <w:spacing w:line="240" w:lineRule="atLeast"/>
        <w:ind w:left="454" w:hanging="454"/>
        <w:textAlignment w:val="baseline"/>
        <w:rPr>
          <w:szCs w:val="20"/>
        </w:rPr>
      </w:pPr>
    </w:p>
    <w:p w:rsidR="005624E3" w:rsidRPr="00921ED0" w:rsidRDefault="003142CA" w:rsidP="005624E3">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+0,0472 ∙ </m:t>
          </m:r>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e>
              </m:d>
            </m:e>
            <m:sub>
              <m:r>
                <w:rPr>
                  <w:rFonts w:ascii="Cambria Math" w:hAnsi="Cambria Math"/>
                  <w:szCs w:val="20"/>
                </w:rPr>
                <m:t>Limite</m:t>
              </m:r>
            </m:sub>
          </m:sSub>
        </m:oMath>
      </m:oMathPara>
    </w:p>
    <w:p w:rsidR="005624E3" w:rsidRPr="00921ED0" w:rsidRDefault="005624E3" w:rsidP="005624E3">
      <w:pPr>
        <w:tabs>
          <w:tab w:val="left" w:pos="454"/>
        </w:tabs>
        <w:overflowPunct w:val="0"/>
        <w:adjustRightInd w:val="0"/>
        <w:spacing w:line="240" w:lineRule="atLeast"/>
        <w:ind w:left="454" w:hanging="454"/>
        <w:textAlignment w:val="baseline"/>
        <w:rPr>
          <w:position w:val="6"/>
          <w:szCs w:val="20"/>
        </w:rPr>
      </w:pPr>
    </w:p>
    <w:p w:rsidR="005624E3" w:rsidRPr="00921ED0" w:rsidRDefault="005624E3" w:rsidP="005624E3">
      <w:pPr>
        <w:tabs>
          <w:tab w:val="left" w:pos="567"/>
        </w:tabs>
        <w:overflowPunct w:val="0"/>
        <w:adjustRightInd w:val="0"/>
        <w:spacing w:line="240" w:lineRule="atLeast"/>
        <w:ind w:left="567" w:hanging="567"/>
        <w:textAlignment w:val="baseline"/>
        <w:rPr>
          <w:szCs w:val="20"/>
        </w:rPr>
      </w:pPr>
      <w:r w:rsidRPr="00921ED0">
        <w:tab/>
        <w:t>Ezért</w:t>
      </w:r>
    </w:p>
    <w:p w:rsidR="005624E3" w:rsidRPr="00921ED0" w:rsidRDefault="005624E3" w:rsidP="005624E3">
      <w:pPr>
        <w:overflowPunct w:val="0"/>
        <w:adjustRightInd w:val="0"/>
        <w:spacing w:line="240" w:lineRule="atLeast"/>
        <w:ind w:left="567"/>
        <w:textAlignment w:val="baseline"/>
        <w:rPr>
          <w:szCs w:val="20"/>
        </w:rPr>
      </w:pPr>
    </w:p>
    <w:p w:rsidR="005624E3" w:rsidRPr="00921ED0" w:rsidRDefault="003142CA" w:rsidP="005624E3">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num>
            <m:den>
              <m:r>
                <w:rPr>
                  <w:rFonts w:ascii="Cambria Math" w:hAnsi="Cambria Math"/>
                  <w:szCs w:val="20"/>
                </w:rPr>
                <m:t>0,0472</m:t>
              </m:r>
            </m:den>
          </m:f>
          <m:r>
            <w:rPr>
              <w:rFonts w:ascii="Cambria Math" w:hAnsi="Cambria Math"/>
              <w:szCs w:val="20"/>
            </w:rPr>
            <m:t xml:space="preserve">= </m:t>
          </m:r>
          <m:f>
            <m:fPr>
              <m:ctrlPr>
                <w:rPr>
                  <w:rFonts w:ascii="Cambria Math" w:hAnsi="Cambria Math"/>
                  <w:i/>
                  <w:szCs w:val="20"/>
                </w:rPr>
              </m:ctrlPr>
            </m:fPr>
            <m:num>
              <m:r>
                <w:rPr>
                  <w:rFonts w:ascii="Cambria Math" w:hAnsi="Cambria Math"/>
                  <w:szCs w:val="20"/>
                </w:rPr>
                <m:t>490,8-77,5</m:t>
              </m:r>
            </m:num>
            <m:den>
              <m:r>
                <w:rPr>
                  <w:rFonts w:ascii="Cambria Math" w:hAnsi="Cambria Math"/>
                  <w:szCs w:val="20"/>
                </w:rPr>
                <m:t>0,0472</m:t>
              </m:r>
            </m:den>
          </m:f>
          <m:r>
            <w:rPr>
              <w:rFonts w:ascii="Cambria Math" w:hAnsi="Cambria Math"/>
              <w:szCs w:val="20"/>
            </w:rPr>
            <m:t>=</m:t>
          </m:r>
          <m:r>
            <m:rPr>
              <m:sty m:val="bi"/>
            </m:rPr>
            <w:rPr>
              <w:rFonts w:ascii="Cambria Math" w:hAnsi="Cambria Math"/>
              <w:szCs w:val="20"/>
            </w:rPr>
            <m:t xml:space="preserve">8756 </m:t>
          </m:r>
          <m:sSup>
            <m:sSupPr>
              <m:ctrlPr>
                <w:rPr>
                  <w:rFonts w:ascii="Cambria Math" w:hAnsi="Cambria Math"/>
                  <w:b/>
                  <w:i/>
                  <w:szCs w:val="20"/>
                </w:rPr>
              </m:ctrlPr>
            </m:sSupPr>
            <m:e>
              <m:r>
                <m:rPr>
                  <m:sty m:val="bi"/>
                </m:rPr>
                <w:rPr>
                  <w:rFonts w:ascii="Cambria Math" w:hAnsi="Cambria Math"/>
                  <w:szCs w:val="20"/>
                </w:rPr>
                <m:t>m</m:t>
              </m:r>
            </m:e>
            <m:sup>
              <m:r>
                <m:rPr>
                  <m:sty m:val="bi"/>
                </m:rPr>
                <w:rPr>
                  <w:rFonts w:ascii="Cambria Math" w:hAnsi="Cambria Math"/>
                  <w:szCs w:val="20"/>
                </w:rPr>
                <m:t>3</m:t>
              </m:r>
            </m:sup>
          </m:sSup>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567"/>
        </w:tabs>
        <w:overflowPunct w:val="0"/>
        <w:adjustRightInd w:val="0"/>
        <w:spacing w:line="240" w:lineRule="exact"/>
        <w:ind w:left="567" w:hanging="567"/>
        <w:textAlignment w:val="baseline"/>
        <w:rPr>
          <w:szCs w:val="20"/>
        </w:rPr>
      </w:pPr>
      <w:r w:rsidRPr="00921ED0">
        <w:tab/>
        <w:t>Ebből következik, hogy:</w:t>
      </w:r>
    </w:p>
    <w:p w:rsidR="005624E3" w:rsidRPr="00921ED0" w:rsidRDefault="005624E3" w:rsidP="005624E3">
      <w:pPr>
        <w:tabs>
          <w:tab w:val="left" w:pos="567"/>
        </w:tabs>
        <w:overflowPunct w:val="0"/>
        <w:adjustRightInd w:val="0"/>
        <w:spacing w:line="240" w:lineRule="exact"/>
        <w:ind w:left="567" w:hanging="567"/>
        <w:textAlignment w:val="baseline"/>
        <w:rPr>
          <w:szCs w:val="20"/>
        </w:rPr>
      </w:pPr>
    </w:p>
    <w:p w:rsidR="005624E3" w:rsidRPr="00921ED0" w:rsidRDefault="005624E3" w:rsidP="005624E3">
      <w:pPr>
        <w:spacing w:line="240" w:lineRule="atLeast"/>
        <w:ind w:left="567"/>
      </w:pPr>
      <w:r w:rsidRPr="00921ED0">
        <w:t xml:space="preserve">Mivel </w:t>
      </w: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&gt;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r>
          <w:rPr>
            <w:rFonts w:ascii="Cambria Math" w:hAnsi="Cambria Math"/>
            <w:szCs w:val="20"/>
          </w:rPr>
          <m:t xml:space="preserve"> </m:t>
        </m:r>
        <m:d>
          <m:dPr>
            <m:ctrlPr>
              <w:rPr>
                <w:rFonts w:ascii="Cambria Math" w:hAnsi="Cambria Math"/>
                <w:i/>
                <w:szCs w:val="20"/>
              </w:rPr>
            </m:ctrlPr>
          </m:dPr>
          <m:e>
            <m:r>
              <w:rPr>
                <w:rFonts w:ascii="Cambria Math" w:hAnsi="Cambria Math"/>
                <w:szCs w:val="20"/>
              </w:rPr>
              <m:t>8756 &gt;6474</m:t>
            </m:r>
          </m:e>
        </m:d>
      </m:oMath>
      <w:r w:rsidRPr="00921ED0">
        <w:t xml:space="preserve">, ez az alakzat (lásd: 1. pont) </w:t>
      </w:r>
      <w:r w:rsidRPr="00921ED0">
        <w:rPr>
          <w:noProof/>
          <w:u w:val="single"/>
        </w:rPr>
        <w:t>engedélyezhető folyásirányú hajózásra teljes terheléssel</w:t>
      </w:r>
      <w:r w:rsidRPr="00921ED0">
        <w:t xml:space="preserve">. </w:t>
      </w:r>
      <w:r w:rsidRPr="00921ED0">
        <w:br/>
      </w:r>
    </w:p>
    <w:p w:rsidR="005624E3" w:rsidRPr="00921ED0" w:rsidRDefault="005624E3" w:rsidP="005624E3">
      <w:pPr>
        <w:tabs>
          <w:tab w:val="left" w:pos="454"/>
        </w:tabs>
        <w:overflowPunct w:val="0"/>
        <w:adjustRightInd w:val="0"/>
        <w:spacing w:line="240" w:lineRule="atLeast"/>
        <w:ind w:left="454" w:hanging="454"/>
        <w:textAlignment w:val="baseline"/>
        <w:rPr>
          <w:szCs w:val="20"/>
        </w:rPr>
      </w:pPr>
    </w:p>
    <w:p w:rsidR="005624E3" w:rsidRPr="00921ED0" w:rsidRDefault="005624E3" w:rsidP="005624E3">
      <w:pPr>
        <w:tabs>
          <w:tab w:val="left" w:pos="454"/>
        </w:tabs>
        <w:overflowPunct w:val="0"/>
        <w:adjustRightInd w:val="0"/>
        <w:spacing w:line="240" w:lineRule="atLeast"/>
        <w:ind w:left="454" w:hanging="454"/>
        <w:textAlignment w:val="baseline"/>
        <w:rPr>
          <w:szCs w:val="20"/>
        </w:rPr>
      </w:pPr>
    </w:p>
    <w:p w:rsidR="005624E3" w:rsidRPr="00921ED0" w:rsidRDefault="005624E3" w:rsidP="005624E3">
      <w:pPr>
        <w:spacing w:line="240" w:lineRule="atLeast"/>
        <w:ind w:left="567" w:hanging="567"/>
        <w:sectPr w:rsidR="005624E3" w:rsidRPr="00921ED0" w:rsidSect="00D45887">
          <w:headerReference w:type="default" r:id="rId128"/>
          <w:headerReference w:type="first" r:id="rId129"/>
          <w:pgSz w:w="11907" w:h="16840" w:code="9"/>
          <w:pgMar w:top="1418" w:right="1418" w:bottom="1418" w:left="1418" w:header="680" w:footer="680" w:gutter="0"/>
          <w:cols w:space="720"/>
          <w:noEndnote/>
          <w:titlePg/>
        </w:sectPr>
      </w:pPr>
    </w:p>
    <w:p w:rsidR="005624E3" w:rsidRPr="00921ED0" w:rsidRDefault="005624E3" w:rsidP="005624E3">
      <w:pPr>
        <w:pStyle w:val="ES-Titre4prESIexple"/>
      </w:pPr>
      <w:r w:rsidRPr="00921ED0">
        <w:t>II. példa</w:t>
      </w:r>
    </w:p>
    <w:p w:rsidR="005624E3" w:rsidRPr="00921ED0" w:rsidRDefault="005624E3" w:rsidP="005624E3">
      <w:pPr>
        <w:spacing w:line="240" w:lineRule="atLeast"/>
        <w:ind w:left="567" w:hanging="567"/>
      </w:pPr>
    </w:p>
    <w:p w:rsidR="005624E3" w:rsidRPr="00921ED0" w:rsidRDefault="005624E3" w:rsidP="005624E3">
      <w:pPr>
        <w:tabs>
          <w:tab w:val="left" w:pos="567"/>
        </w:tabs>
        <w:overflowPunct w:val="0"/>
        <w:adjustRightInd w:val="0"/>
        <w:spacing w:line="240" w:lineRule="exact"/>
        <w:ind w:left="567" w:hanging="567"/>
        <w:textAlignment w:val="baseline"/>
        <w:rPr>
          <w:b/>
          <w:szCs w:val="20"/>
        </w:rPr>
      </w:pPr>
      <w:r w:rsidRPr="00921ED0">
        <w:rPr>
          <w:b/>
        </w:rPr>
        <w:t>1.</w:t>
      </w:r>
      <w:r w:rsidRPr="00921ED0">
        <w:tab/>
      </w:r>
      <w:r w:rsidRPr="00921ED0">
        <w:rPr>
          <w:b/>
        </w:rPr>
        <w:t>A hajók és a kötelék adatai</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567"/>
          <w:tab w:val="left" w:pos="1843"/>
        </w:tabs>
        <w:overflowPunct w:val="0"/>
        <w:adjustRightInd w:val="0"/>
        <w:spacing w:line="240" w:lineRule="atLeast"/>
        <w:ind w:left="567"/>
        <w:textAlignment w:val="baseline"/>
        <w:rPr>
          <w:szCs w:val="20"/>
        </w:rPr>
      </w:pPr>
      <w:r w:rsidRPr="00921ED0">
        <w:t>Alakzat: nagy meghajtó önjáró hajó</w:t>
      </w:r>
    </w:p>
    <w:p w:rsidR="005624E3" w:rsidRPr="00921ED0" w:rsidRDefault="005624E3" w:rsidP="005624E3">
      <w:pPr>
        <w:tabs>
          <w:tab w:val="left" w:pos="567"/>
          <w:tab w:val="left" w:pos="1843"/>
        </w:tabs>
        <w:overflowPunct w:val="0"/>
        <w:adjustRightInd w:val="0"/>
        <w:spacing w:line="240" w:lineRule="atLeast"/>
        <w:ind w:left="567"/>
        <w:textAlignment w:val="baseline"/>
        <w:rPr>
          <w:szCs w:val="20"/>
        </w:rPr>
      </w:pPr>
      <w:r w:rsidRPr="00921ED0">
        <w:t>két bárka egymás mellett elöl, és</w:t>
      </w:r>
    </w:p>
    <w:p w:rsidR="005624E3" w:rsidRPr="00921ED0" w:rsidRDefault="005624E3" w:rsidP="005624E3">
      <w:pPr>
        <w:tabs>
          <w:tab w:val="left" w:pos="567"/>
          <w:tab w:val="left" w:pos="1843"/>
        </w:tabs>
        <w:overflowPunct w:val="0"/>
        <w:adjustRightInd w:val="0"/>
        <w:spacing w:line="240" w:lineRule="atLeast"/>
        <w:ind w:left="567"/>
        <w:textAlignment w:val="baseline"/>
        <w:rPr>
          <w:szCs w:val="20"/>
        </w:rPr>
      </w:pPr>
      <w:r w:rsidRPr="00921ED0">
        <w:t>egy bárka az oldalához csatolva.</w:t>
      </w:r>
    </w:p>
    <w:p w:rsidR="005624E3" w:rsidRPr="00921ED0" w:rsidRDefault="005624E3" w:rsidP="005624E3">
      <w:pPr>
        <w:overflowPunct w:val="0"/>
        <w:adjustRightInd w:val="0"/>
        <w:textAlignment w:val="baseline"/>
        <w:rPr>
          <w:szCs w:val="20"/>
        </w:rPr>
      </w:pPr>
    </w:p>
    <w:tbl>
      <w:tblPr>
        <w:tblW w:w="9527" w:type="dxa"/>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5624E3" w:rsidRPr="00921ED0" w:rsidTr="00101A80">
        <w:tc>
          <w:tcPr>
            <w:tcW w:w="1361" w:type="dxa"/>
          </w:tcPr>
          <w:p w:rsidR="005624E3" w:rsidRPr="00921ED0" w:rsidRDefault="005624E3" w:rsidP="00101A80">
            <w:pPr>
              <w:overflowPunct w:val="0"/>
              <w:adjustRightInd w:val="0"/>
              <w:spacing w:before="80" w:after="80"/>
              <w:jc w:val="center"/>
              <w:textAlignment w:val="baseline"/>
              <w:rPr>
                <w:sz w:val="18"/>
                <w:szCs w:val="18"/>
              </w:rPr>
            </w:pP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 w:val="18"/>
                  <w:szCs w:val="18"/>
                </w:rPr>
                <m:t>L</m:t>
              </m:r>
            </m:oMath>
            <w:r w:rsidRPr="00921ED0">
              <w:rPr>
                <w:sz w:val="18"/>
              </w:rPr>
              <w:t xml:space="preserve"> [m]</w:t>
            </w: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 w:val="18"/>
                  <w:szCs w:val="18"/>
                </w:rPr>
                <m:t>B</m:t>
              </m:r>
            </m:oMath>
            <w:r w:rsidRPr="00921ED0">
              <w:rPr>
                <w:sz w:val="18"/>
              </w:rPr>
              <w:t xml:space="preserve"> [m]</w:t>
            </w: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 w:val="18"/>
                  <w:szCs w:val="18"/>
                </w:rPr>
                <m:t>T</m:t>
              </m:r>
              <m:r>
                <w:rPr>
                  <w:rFonts w:ascii="Cambria Math" w:hAnsi="Cambria Math"/>
                  <w:position w:val="-6"/>
                  <w:sz w:val="16"/>
                  <w:szCs w:val="18"/>
                </w:rPr>
                <m:t>max</m:t>
              </m:r>
            </m:oMath>
            <w:r w:rsidRPr="00921ED0">
              <w:rPr>
                <w:sz w:val="18"/>
              </w:rPr>
              <w:t xml:space="preserve"> [m]</w:t>
            </w: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Cs w:val="20"/>
                </w:rPr>
                <m:t>Tgf</m:t>
              </m:r>
              <m:r>
                <w:rPr>
                  <w:rFonts w:ascii="Cambria Math" w:hAnsi="Cambria Math"/>
                  <w:position w:val="6"/>
                  <w:sz w:val="18"/>
                  <w:szCs w:val="18"/>
                </w:rPr>
                <m:t>*</m:t>
              </m:r>
              <m:r>
                <w:rPr>
                  <w:rFonts w:ascii="Cambria Math" w:hAnsi="Cambria Math"/>
                  <w:position w:val="-6"/>
                  <w:sz w:val="16"/>
                  <w:szCs w:val="18"/>
                </w:rPr>
                <m:t>max</m:t>
              </m:r>
            </m:oMath>
            <w:r w:rsidRPr="00921ED0">
              <w:rPr>
                <w:sz w:val="18"/>
              </w:rPr>
              <w:t xml:space="preserve"> [t]</w:t>
            </w:r>
          </w:p>
        </w:tc>
        <w:tc>
          <w:tcPr>
            <w:tcW w:w="1361" w:type="dxa"/>
          </w:tcPr>
          <w:p w:rsidR="005624E3" w:rsidRPr="00921ED0" w:rsidRDefault="005624E3" w:rsidP="00101A80">
            <w:pPr>
              <w:overflowPunct w:val="0"/>
              <w:adjustRightInd w:val="0"/>
              <w:spacing w:before="80" w:after="80"/>
              <w:jc w:val="center"/>
              <w:textAlignment w:val="baseline"/>
              <w:rPr>
                <w:sz w:val="18"/>
                <w:szCs w:val="18"/>
              </w:rPr>
            </w:pPr>
            <m:oMath>
              <m:r>
                <w:rPr>
                  <w:rFonts w:ascii="Cambria Math" w:hAnsi="Cambria Math"/>
                  <w:sz w:val="18"/>
                  <w:szCs w:val="18"/>
                </w:rPr>
                <m:t>D</m:t>
              </m:r>
              <m:r>
                <w:rPr>
                  <w:rFonts w:ascii="Cambria Math" w:hAnsi="Cambria Math"/>
                  <w:position w:val="-6"/>
                  <w:sz w:val="16"/>
                  <w:szCs w:val="18"/>
                </w:rPr>
                <m:t>max</m:t>
              </m:r>
            </m:oMath>
            <w:r w:rsidRPr="00921ED0">
              <w:rPr>
                <w:sz w:val="18"/>
              </w:rPr>
              <w:t xml:space="preserve"> [m</w:t>
            </w:r>
            <w:r w:rsidRPr="00921ED0">
              <w:rPr>
                <w:position w:val="6"/>
                <w:sz w:val="16"/>
              </w:rPr>
              <w:t>3</w:t>
            </w:r>
            <w:r w:rsidRPr="00921ED0">
              <w:rPr>
                <w:sz w:val="18"/>
              </w:rPr>
              <w:t>]</w:t>
            </w:r>
          </w:p>
        </w:tc>
        <w:tc>
          <w:tcPr>
            <w:tcW w:w="1361" w:type="dxa"/>
          </w:tcPr>
          <w:p w:rsidR="005624E3" w:rsidRPr="00921ED0" w:rsidRDefault="005624E3" w:rsidP="00101A80">
            <w:pPr>
              <w:overflowPunct w:val="0"/>
              <w:adjustRightInd w:val="0"/>
              <w:spacing w:before="80" w:after="80"/>
              <w:jc w:val="center"/>
              <w:textAlignment w:val="baseline"/>
              <w:rPr>
                <w:sz w:val="18"/>
                <w:szCs w:val="18"/>
              </w:rPr>
            </w:pPr>
            <w:r w:rsidRPr="00921ED0">
              <w:rPr>
                <w:sz w:val="18"/>
              </w:rPr>
              <w:t>P</w:t>
            </w:r>
            <w:r w:rsidRPr="00921ED0">
              <w:rPr>
                <w:position w:val="-6"/>
                <w:sz w:val="16"/>
              </w:rPr>
              <w:t>B</w:t>
            </w:r>
            <w:r w:rsidRPr="00921ED0">
              <w:rPr>
                <w:sz w:val="18"/>
              </w:rPr>
              <w:t xml:space="preserve"> [kW]</w:t>
            </w:r>
          </w:p>
        </w:tc>
      </w:tr>
      <w:tr w:rsidR="005624E3" w:rsidRPr="00921ED0" w:rsidTr="00101A80">
        <w:tc>
          <w:tcPr>
            <w:tcW w:w="1361" w:type="dxa"/>
          </w:tcPr>
          <w:p w:rsidR="005624E3" w:rsidRPr="00921ED0" w:rsidRDefault="005624E3" w:rsidP="00101A80">
            <w:pPr>
              <w:overflowPunct w:val="0"/>
              <w:adjustRightInd w:val="0"/>
              <w:spacing w:before="80" w:after="80"/>
              <w:ind w:left="57"/>
              <w:textAlignment w:val="baseline"/>
              <w:rPr>
                <w:sz w:val="18"/>
                <w:szCs w:val="18"/>
              </w:rPr>
            </w:pPr>
            <w:r w:rsidRPr="00921ED0">
              <w:rPr>
                <w:sz w:val="18"/>
              </w:rPr>
              <w:t>Önjáró hajó</w:t>
            </w:r>
          </w:p>
        </w:tc>
        <w:tc>
          <w:tcPr>
            <w:tcW w:w="1361" w:type="dxa"/>
          </w:tcPr>
          <w:p w:rsidR="005624E3" w:rsidRPr="00921ED0" w:rsidRDefault="005624E3" w:rsidP="00101A80">
            <w:pPr>
              <w:tabs>
                <w:tab w:val="decimal" w:pos="709"/>
              </w:tabs>
              <w:overflowPunct w:val="0"/>
              <w:adjustRightInd w:val="0"/>
              <w:spacing w:before="80" w:after="80"/>
              <w:ind w:left="113" w:right="113"/>
              <w:textAlignment w:val="baseline"/>
              <w:rPr>
                <w:sz w:val="18"/>
                <w:szCs w:val="18"/>
              </w:rPr>
            </w:pPr>
            <w:r w:rsidRPr="00921ED0">
              <w:rPr>
                <w:sz w:val="18"/>
              </w:rPr>
              <w:t>110</w:t>
            </w:r>
          </w:p>
        </w:tc>
        <w:tc>
          <w:tcPr>
            <w:tcW w:w="1361" w:type="dxa"/>
          </w:tcPr>
          <w:p w:rsidR="005624E3" w:rsidRPr="00921ED0" w:rsidRDefault="005624E3" w:rsidP="00101A80">
            <w:pPr>
              <w:tabs>
                <w:tab w:val="decimal" w:pos="708"/>
              </w:tabs>
              <w:overflowPunct w:val="0"/>
              <w:adjustRightInd w:val="0"/>
              <w:spacing w:before="80" w:after="80"/>
              <w:ind w:left="113" w:right="113"/>
              <w:textAlignment w:val="baseline"/>
              <w:rPr>
                <w:sz w:val="18"/>
                <w:szCs w:val="18"/>
              </w:rPr>
            </w:pPr>
            <w:r w:rsidRPr="00921ED0">
              <w:rPr>
                <w:sz w:val="18"/>
              </w:rPr>
              <w:t>11,4</w:t>
            </w:r>
          </w:p>
        </w:tc>
        <w:tc>
          <w:tcPr>
            <w:tcW w:w="1361" w:type="dxa"/>
          </w:tcPr>
          <w:p w:rsidR="005624E3" w:rsidRPr="00921ED0" w:rsidRDefault="005624E3" w:rsidP="00101A80">
            <w:pPr>
              <w:tabs>
                <w:tab w:val="decimal" w:pos="737"/>
              </w:tabs>
              <w:overflowPunct w:val="0"/>
              <w:adjustRightInd w:val="0"/>
              <w:spacing w:before="80" w:after="80"/>
              <w:ind w:left="113" w:right="113"/>
              <w:textAlignment w:val="baseline"/>
              <w:rPr>
                <w:sz w:val="18"/>
                <w:szCs w:val="18"/>
              </w:rPr>
            </w:pPr>
            <w:r w:rsidRPr="00921ED0">
              <w:rPr>
                <w:sz w:val="18"/>
              </w:rPr>
              <w:t>3,5</w:t>
            </w:r>
          </w:p>
        </w:tc>
        <w:tc>
          <w:tcPr>
            <w:tcW w:w="1361" w:type="dxa"/>
          </w:tcPr>
          <w:p w:rsidR="005624E3" w:rsidRPr="00921ED0" w:rsidRDefault="005624E3" w:rsidP="00101A80">
            <w:pPr>
              <w:tabs>
                <w:tab w:val="decimal" w:pos="849"/>
              </w:tabs>
              <w:overflowPunct w:val="0"/>
              <w:adjustRightInd w:val="0"/>
              <w:spacing w:before="80" w:after="80"/>
              <w:ind w:left="113" w:right="113"/>
              <w:textAlignment w:val="baseline"/>
              <w:rPr>
                <w:sz w:val="18"/>
                <w:szCs w:val="18"/>
              </w:rPr>
            </w:pPr>
            <w:r w:rsidRPr="00921ED0">
              <w:rPr>
                <w:sz w:val="18"/>
              </w:rPr>
              <w:t>2900</w:t>
            </w:r>
          </w:p>
        </w:tc>
        <w:tc>
          <w:tcPr>
            <w:tcW w:w="1361" w:type="dxa"/>
          </w:tcPr>
          <w:p w:rsidR="005624E3" w:rsidRPr="00921ED0" w:rsidRDefault="005624E3" w:rsidP="00101A80">
            <w:pPr>
              <w:tabs>
                <w:tab w:val="decimal" w:pos="990"/>
              </w:tabs>
              <w:overflowPunct w:val="0"/>
              <w:adjustRightInd w:val="0"/>
              <w:spacing w:before="80" w:after="80"/>
              <w:ind w:left="113" w:right="113"/>
              <w:textAlignment w:val="baseline"/>
              <w:rPr>
                <w:sz w:val="18"/>
                <w:szCs w:val="18"/>
              </w:rPr>
            </w:pPr>
            <w:r w:rsidRPr="00921ED0">
              <w:rPr>
                <w:sz w:val="18"/>
              </w:rPr>
              <w:t>3731</w:t>
            </w:r>
          </w:p>
        </w:tc>
        <w:tc>
          <w:tcPr>
            <w:tcW w:w="1361" w:type="dxa"/>
          </w:tcPr>
          <w:p w:rsidR="005624E3" w:rsidRPr="00921ED0" w:rsidRDefault="005624E3" w:rsidP="00101A80">
            <w:pPr>
              <w:tabs>
                <w:tab w:val="decimal" w:pos="848"/>
              </w:tabs>
              <w:overflowPunct w:val="0"/>
              <w:adjustRightInd w:val="0"/>
              <w:spacing w:before="80" w:after="80"/>
              <w:ind w:left="113" w:right="113"/>
              <w:textAlignment w:val="baseline"/>
              <w:rPr>
                <w:sz w:val="18"/>
                <w:szCs w:val="18"/>
              </w:rPr>
            </w:pPr>
            <w:r w:rsidRPr="00921ED0">
              <w:rPr>
                <w:sz w:val="18"/>
              </w:rPr>
              <w:t>1500</w:t>
            </w:r>
          </w:p>
        </w:tc>
      </w:tr>
      <w:tr w:rsidR="005624E3" w:rsidRPr="00921ED0" w:rsidTr="00101A80">
        <w:tc>
          <w:tcPr>
            <w:tcW w:w="1361" w:type="dxa"/>
          </w:tcPr>
          <w:p w:rsidR="005624E3" w:rsidRPr="00921ED0" w:rsidRDefault="005624E3" w:rsidP="00101A80">
            <w:pPr>
              <w:overflowPunct w:val="0"/>
              <w:adjustRightInd w:val="0"/>
              <w:spacing w:before="80" w:after="80"/>
              <w:ind w:left="57"/>
              <w:textAlignment w:val="baseline"/>
              <w:rPr>
                <w:sz w:val="18"/>
                <w:szCs w:val="18"/>
              </w:rPr>
            </w:pPr>
            <w:r w:rsidRPr="00921ED0">
              <w:rPr>
                <w:sz w:val="18"/>
              </w:rPr>
              <w:t>Az egyes bárkák</w:t>
            </w:r>
          </w:p>
        </w:tc>
        <w:tc>
          <w:tcPr>
            <w:tcW w:w="1361" w:type="dxa"/>
          </w:tcPr>
          <w:p w:rsidR="005624E3" w:rsidRPr="00921ED0" w:rsidRDefault="005624E3" w:rsidP="00101A80">
            <w:pPr>
              <w:tabs>
                <w:tab w:val="decimal" w:pos="709"/>
              </w:tabs>
              <w:overflowPunct w:val="0"/>
              <w:adjustRightInd w:val="0"/>
              <w:spacing w:before="80" w:after="80"/>
              <w:ind w:left="113" w:right="113"/>
              <w:textAlignment w:val="baseline"/>
              <w:rPr>
                <w:sz w:val="18"/>
                <w:szCs w:val="18"/>
              </w:rPr>
            </w:pPr>
            <w:r w:rsidRPr="00921ED0">
              <w:rPr>
                <w:sz w:val="18"/>
              </w:rPr>
              <w:t>76,5</w:t>
            </w:r>
          </w:p>
        </w:tc>
        <w:tc>
          <w:tcPr>
            <w:tcW w:w="1361" w:type="dxa"/>
          </w:tcPr>
          <w:p w:rsidR="005624E3" w:rsidRPr="00921ED0" w:rsidRDefault="005624E3" w:rsidP="00101A80">
            <w:pPr>
              <w:tabs>
                <w:tab w:val="decimal" w:pos="708"/>
              </w:tabs>
              <w:overflowPunct w:val="0"/>
              <w:adjustRightInd w:val="0"/>
              <w:spacing w:before="80" w:after="80"/>
              <w:ind w:left="113" w:right="113"/>
              <w:textAlignment w:val="baseline"/>
              <w:rPr>
                <w:sz w:val="18"/>
                <w:szCs w:val="18"/>
              </w:rPr>
            </w:pPr>
            <w:r w:rsidRPr="00921ED0">
              <w:rPr>
                <w:sz w:val="18"/>
              </w:rPr>
              <w:t>11,4</w:t>
            </w:r>
          </w:p>
        </w:tc>
        <w:tc>
          <w:tcPr>
            <w:tcW w:w="1361" w:type="dxa"/>
          </w:tcPr>
          <w:p w:rsidR="005624E3" w:rsidRPr="00921ED0" w:rsidRDefault="005624E3" w:rsidP="00101A80">
            <w:pPr>
              <w:tabs>
                <w:tab w:val="decimal" w:pos="737"/>
              </w:tabs>
              <w:overflowPunct w:val="0"/>
              <w:adjustRightInd w:val="0"/>
              <w:spacing w:before="80" w:after="80"/>
              <w:ind w:left="113" w:right="113"/>
              <w:textAlignment w:val="baseline"/>
              <w:rPr>
                <w:sz w:val="18"/>
                <w:szCs w:val="18"/>
              </w:rPr>
            </w:pPr>
            <w:r w:rsidRPr="00921ED0">
              <w:rPr>
                <w:sz w:val="18"/>
              </w:rPr>
              <w:t>3,7</w:t>
            </w:r>
          </w:p>
        </w:tc>
        <w:tc>
          <w:tcPr>
            <w:tcW w:w="1361" w:type="dxa"/>
          </w:tcPr>
          <w:p w:rsidR="005624E3" w:rsidRPr="00921ED0" w:rsidRDefault="005624E3" w:rsidP="00101A80">
            <w:pPr>
              <w:tabs>
                <w:tab w:val="decimal" w:pos="849"/>
              </w:tabs>
              <w:overflowPunct w:val="0"/>
              <w:adjustRightInd w:val="0"/>
              <w:spacing w:before="80" w:after="80"/>
              <w:ind w:left="113" w:right="113"/>
              <w:textAlignment w:val="baseline"/>
              <w:rPr>
                <w:sz w:val="18"/>
                <w:szCs w:val="18"/>
              </w:rPr>
            </w:pPr>
            <w:r w:rsidRPr="00921ED0">
              <w:rPr>
                <w:sz w:val="18"/>
              </w:rPr>
              <w:t>2600</w:t>
            </w:r>
          </w:p>
        </w:tc>
        <w:tc>
          <w:tcPr>
            <w:tcW w:w="1361" w:type="dxa"/>
          </w:tcPr>
          <w:p w:rsidR="005624E3" w:rsidRPr="00921ED0" w:rsidRDefault="005624E3" w:rsidP="00101A80">
            <w:pPr>
              <w:tabs>
                <w:tab w:val="decimal" w:pos="990"/>
              </w:tabs>
              <w:overflowPunct w:val="0"/>
              <w:adjustRightInd w:val="0"/>
              <w:spacing w:before="80" w:after="80"/>
              <w:ind w:left="113" w:right="113"/>
              <w:textAlignment w:val="baseline"/>
              <w:rPr>
                <w:sz w:val="18"/>
                <w:szCs w:val="18"/>
              </w:rPr>
            </w:pPr>
            <w:r w:rsidRPr="00921ED0">
              <w:rPr>
                <w:sz w:val="18"/>
              </w:rPr>
              <w:t>2743</w:t>
            </w:r>
          </w:p>
        </w:tc>
        <w:tc>
          <w:tcPr>
            <w:tcW w:w="1361" w:type="dxa"/>
          </w:tcPr>
          <w:p w:rsidR="005624E3" w:rsidRPr="00921ED0" w:rsidRDefault="005624E3" w:rsidP="00101A80">
            <w:pPr>
              <w:tabs>
                <w:tab w:val="decimal" w:pos="198"/>
              </w:tabs>
              <w:overflowPunct w:val="0"/>
              <w:adjustRightInd w:val="0"/>
              <w:spacing w:before="80" w:after="80"/>
              <w:ind w:left="113" w:right="113"/>
              <w:jc w:val="center"/>
              <w:textAlignment w:val="baseline"/>
              <w:rPr>
                <w:sz w:val="18"/>
                <w:szCs w:val="18"/>
              </w:rPr>
            </w:pPr>
            <w:r w:rsidRPr="00921ED0">
              <w:rPr>
                <w:sz w:val="18"/>
              </w:rPr>
              <w:t>-</w:t>
            </w:r>
          </w:p>
        </w:tc>
      </w:tr>
      <w:tr w:rsidR="005624E3" w:rsidRPr="00921ED0" w:rsidTr="00101A80">
        <w:tc>
          <w:tcPr>
            <w:tcW w:w="1361" w:type="dxa"/>
          </w:tcPr>
          <w:p w:rsidR="005624E3" w:rsidRPr="00921ED0" w:rsidRDefault="005624E3" w:rsidP="00101A80">
            <w:pPr>
              <w:overflowPunct w:val="0"/>
              <w:adjustRightInd w:val="0"/>
              <w:spacing w:before="80" w:after="80"/>
              <w:ind w:left="57"/>
              <w:textAlignment w:val="baseline"/>
              <w:rPr>
                <w:sz w:val="18"/>
                <w:szCs w:val="18"/>
              </w:rPr>
            </w:pPr>
            <w:r w:rsidRPr="00921ED0">
              <w:rPr>
                <w:sz w:val="18"/>
              </w:rPr>
              <w:t>Kötelék</w:t>
            </w:r>
          </w:p>
        </w:tc>
        <w:tc>
          <w:tcPr>
            <w:tcW w:w="1361" w:type="dxa"/>
          </w:tcPr>
          <w:p w:rsidR="005624E3" w:rsidRPr="00921ED0" w:rsidRDefault="005624E3" w:rsidP="00101A80">
            <w:pPr>
              <w:tabs>
                <w:tab w:val="decimal" w:pos="709"/>
              </w:tabs>
              <w:overflowPunct w:val="0"/>
              <w:adjustRightInd w:val="0"/>
              <w:spacing w:before="80" w:after="80"/>
              <w:ind w:left="113" w:right="113"/>
              <w:textAlignment w:val="baseline"/>
              <w:rPr>
                <w:sz w:val="18"/>
                <w:szCs w:val="18"/>
              </w:rPr>
            </w:pPr>
            <w:r w:rsidRPr="00921ED0">
              <w:rPr>
                <w:sz w:val="18"/>
              </w:rPr>
              <w:t>186,5</w:t>
            </w:r>
          </w:p>
        </w:tc>
        <w:tc>
          <w:tcPr>
            <w:tcW w:w="1361" w:type="dxa"/>
          </w:tcPr>
          <w:p w:rsidR="005624E3" w:rsidRPr="00921ED0" w:rsidRDefault="005624E3" w:rsidP="00101A80">
            <w:pPr>
              <w:tabs>
                <w:tab w:val="decimal" w:pos="708"/>
              </w:tabs>
              <w:overflowPunct w:val="0"/>
              <w:adjustRightInd w:val="0"/>
              <w:spacing w:before="80" w:after="80"/>
              <w:ind w:left="113" w:right="113"/>
              <w:textAlignment w:val="baseline"/>
              <w:rPr>
                <w:sz w:val="18"/>
                <w:szCs w:val="18"/>
              </w:rPr>
            </w:pPr>
            <w:r w:rsidRPr="00921ED0">
              <w:rPr>
                <w:sz w:val="18"/>
              </w:rPr>
              <w:t>22,8</w:t>
            </w:r>
          </w:p>
        </w:tc>
        <w:tc>
          <w:tcPr>
            <w:tcW w:w="1361" w:type="dxa"/>
          </w:tcPr>
          <w:p w:rsidR="005624E3" w:rsidRPr="00921ED0" w:rsidRDefault="005624E3" w:rsidP="00101A80">
            <w:pPr>
              <w:tabs>
                <w:tab w:val="decimal" w:pos="737"/>
              </w:tabs>
              <w:overflowPunct w:val="0"/>
              <w:adjustRightInd w:val="0"/>
              <w:spacing w:before="80" w:after="80"/>
              <w:ind w:left="113" w:right="113"/>
              <w:textAlignment w:val="baseline"/>
              <w:rPr>
                <w:sz w:val="18"/>
                <w:szCs w:val="18"/>
              </w:rPr>
            </w:pPr>
            <w:r w:rsidRPr="00921ED0">
              <w:rPr>
                <w:sz w:val="18"/>
              </w:rPr>
              <w:t>3,7</w:t>
            </w:r>
          </w:p>
        </w:tc>
        <w:tc>
          <w:tcPr>
            <w:tcW w:w="1361" w:type="dxa"/>
          </w:tcPr>
          <w:p w:rsidR="005624E3" w:rsidRPr="00921ED0" w:rsidRDefault="005624E3" w:rsidP="00101A80">
            <w:pPr>
              <w:tabs>
                <w:tab w:val="decimal" w:pos="849"/>
              </w:tabs>
              <w:overflowPunct w:val="0"/>
              <w:adjustRightInd w:val="0"/>
              <w:spacing w:before="80" w:after="80"/>
              <w:ind w:left="113" w:right="113"/>
              <w:textAlignment w:val="baseline"/>
              <w:rPr>
                <w:sz w:val="18"/>
                <w:szCs w:val="18"/>
              </w:rPr>
            </w:pPr>
            <w:r w:rsidRPr="00921ED0">
              <w:rPr>
                <w:sz w:val="18"/>
              </w:rPr>
              <w:t>10700</w:t>
            </w:r>
          </w:p>
        </w:tc>
        <w:tc>
          <w:tcPr>
            <w:tcW w:w="1361" w:type="dxa"/>
          </w:tcPr>
          <w:p w:rsidR="005624E3" w:rsidRPr="00921ED0" w:rsidRDefault="005624E3" w:rsidP="00101A80">
            <w:pPr>
              <w:tabs>
                <w:tab w:val="decimal" w:pos="990"/>
              </w:tabs>
              <w:overflowPunct w:val="0"/>
              <w:adjustRightInd w:val="0"/>
              <w:spacing w:before="80" w:after="80"/>
              <w:ind w:left="113" w:right="113"/>
              <w:textAlignment w:val="baseline"/>
              <w:rPr>
                <w:sz w:val="18"/>
                <w:szCs w:val="18"/>
              </w:rPr>
            </w:pPr>
            <w:r w:rsidRPr="00921ED0">
              <w:rPr>
                <w:sz w:val="18"/>
              </w:rPr>
              <w:t>11960</w:t>
            </w:r>
          </w:p>
        </w:tc>
        <w:tc>
          <w:tcPr>
            <w:tcW w:w="1361" w:type="dxa"/>
          </w:tcPr>
          <w:p w:rsidR="005624E3" w:rsidRPr="00921ED0" w:rsidRDefault="005624E3" w:rsidP="00101A80">
            <w:pPr>
              <w:tabs>
                <w:tab w:val="decimal" w:pos="848"/>
              </w:tabs>
              <w:overflowPunct w:val="0"/>
              <w:adjustRightInd w:val="0"/>
              <w:spacing w:before="80" w:after="80"/>
              <w:ind w:left="113" w:right="113"/>
              <w:textAlignment w:val="baseline"/>
              <w:rPr>
                <w:sz w:val="18"/>
                <w:szCs w:val="18"/>
              </w:rPr>
            </w:pPr>
            <w:r w:rsidRPr="00921ED0">
              <w:rPr>
                <w:sz w:val="18"/>
              </w:rPr>
              <w:t>1500</w:t>
            </w:r>
          </w:p>
        </w:tc>
      </w:tr>
    </w:tbl>
    <w:p w:rsidR="005624E3" w:rsidRPr="00921ED0" w:rsidRDefault="005624E3" w:rsidP="005624E3">
      <w:pPr>
        <w:overflowPunct w:val="0"/>
        <w:adjustRightInd w:val="0"/>
        <w:textAlignment w:val="baseline"/>
        <w:rPr>
          <w:szCs w:val="20"/>
        </w:rPr>
      </w:pPr>
    </w:p>
    <w:p w:rsidR="005624E3" w:rsidRPr="00921ED0" w:rsidRDefault="005624E3" w:rsidP="005624E3">
      <w:pPr>
        <w:tabs>
          <w:tab w:val="left" w:pos="960"/>
          <w:tab w:val="left" w:pos="1344"/>
          <w:tab w:val="left" w:pos="7680"/>
        </w:tabs>
        <w:overflowPunct w:val="0"/>
        <w:adjustRightInd w:val="0"/>
        <w:spacing w:line="240" w:lineRule="exact"/>
        <w:ind w:left="567"/>
        <w:textAlignment w:val="baseline"/>
        <w:rPr>
          <w:szCs w:val="20"/>
        </w:rPr>
      </w:pPr>
      <w:r w:rsidRPr="00921ED0">
        <w:t>Az önjáró hajó propulziós rendszere: lekerekített kilépő peremű, új típusú gyűrű.</w:t>
      </w:r>
    </w:p>
    <w:p w:rsidR="005624E3" w:rsidRPr="00921ED0" w:rsidRDefault="005624E3" w:rsidP="005624E3">
      <w:pPr>
        <w:tabs>
          <w:tab w:val="left" w:pos="960"/>
          <w:tab w:val="left" w:pos="1344"/>
          <w:tab w:val="left" w:pos="7680"/>
        </w:tabs>
        <w:overflowPunct w:val="0"/>
        <w:adjustRightInd w:val="0"/>
        <w:spacing w:line="240" w:lineRule="exact"/>
        <w:ind w:left="567"/>
        <w:textAlignment w:val="baseline"/>
        <w:rPr>
          <w:position w:val="6"/>
          <w:szCs w:val="20"/>
        </w:rPr>
      </w:pPr>
    </w:p>
    <w:p w:rsidR="005624E3" w:rsidRPr="00921ED0" w:rsidRDefault="005624E3" w:rsidP="005624E3">
      <w:pPr>
        <w:tabs>
          <w:tab w:val="left" w:pos="960"/>
          <w:tab w:val="left" w:pos="1344"/>
          <w:tab w:val="left" w:pos="7680"/>
        </w:tabs>
        <w:overflowPunct w:val="0"/>
        <w:adjustRightInd w:val="0"/>
        <w:spacing w:line="240" w:lineRule="exact"/>
        <w:ind w:left="567"/>
        <w:textAlignment w:val="baseline"/>
        <w:rPr>
          <w:szCs w:val="20"/>
        </w:rPr>
      </w:pPr>
      <w:r w:rsidRPr="00921ED0">
        <w:t xml:space="preserve">* </w:t>
      </w:r>
      <m:oMath>
        <m:r>
          <w:rPr>
            <w:rFonts w:ascii="Cambria Math" w:hAnsi="Cambria Math"/>
            <w:szCs w:val="20"/>
          </w:rPr>
          <m:t xml:space="preserve"> Tgf</m:t>
        </m:r>
      </m:oMath>
      <w:r w:rsidRPr="00921ED0">
        <w:t xml:space="preserve"> = hordképesség</w:t>
      </w:r>
    </w:p>
    <w:p w:rsidR="005624E3" w:rsidRPr="00921ED0" w:rsidRDefault="005624E3" w:rsidP="005624E3">
      <w:pPr>
        <w:tabs>
          <w:tab w:val="left" w:pos="960"/>
          <w:tab w:val="left" w:pos="1344"/>
          <w:tab w:val="left" w:pos="7680"/>
        </w:tabs>
        <w:overflowPunct w:val="0"/>
        <w:adjustRightInd w:val="0"/>
        <w:spacing w:line="240" w:lineRule="exact"/>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2.</w:t>
      </w:r>
      <w:r w:rsidRPr="00921ED0">
        <w:tab/>
      </w:r>
      <w:r w:rsidRPr="00921ED0">
        <w:rPr>
          <w:b/>
          <w:color w:val="000000"/>
        </w:rPr>
        <w:t>A megállási manőver során mért értékek</w:t>
      </w:r>
    </w:p>
    <w:p w:rsidR="005624E3" w:rsidRPr="00921ED0" w:rsidRDefault="005624E3" w:rsidP="005624E3">
      <w:pPr>
        <w:overflowPunct w:val="0"/>
        <w:adjustRightInd w:val="0"/>
        <w:textAlignment w:val="baseline"/>
        <w:rPr>
          <w:szCs w:val="20"/>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r w:rsidRPr="00166EA9">
        <w:rPr>
          <w:lang w:val="pt-PT"/>
        </w:rPr>
        <w:t>Áramlási sebesség:</w:t>
      </w:r>
      <w:r w:rsidRPr="00166EA9">
        <w:rPr>
          <w:lang w:val="pt-PT"/>
        </w:rP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sub>
            <m:r>
              <w:rPr>
                <w:rFonts w:ascii="Cambria Math" w:hAnsi="Cambria Math"/>
                <w:szCs w:val="20"/>
              </w:rPr>
              <m:t>IST</m:t>
            </m:r>
          </m:sub>
        </m:sSub>
      </m:oMath>
      <w:r w:rsidRPr="00166EA9">
        <w:rPr>
          <w:lang w:val="pt-PT"/>
        </w:rPr>
        <w:tab/>
        <w:t>=</w:t>
      </w:r>
      <w:r w:rsidRPr="00166EA9">
        <w:rPr>
          <w:lang w:val="pt-PT"/>
        </w:rPr>
        <w:tab/>
        <w:t>1,4 m/s</w:t>
      </w:r>
      <w:r w:rsidRPr="00166EA9">
        <w:rPr>
          <w:lang w:val="pt-PT"/>
        </w:rPr>
        <w:tab/>
      </w:r>
      <w:r w:rsidRPr="00921ED0">
        <w:rPr>
          <w:szCs w:val="20"/>
        </w:rPr>
        <w:sym w:font="Symbol" w:char="F0BB"/>
      </w:r>
      <w:r w:rsidRPr="00166EA9">
        <w:rPr>
          <w:lang w:val="pt-PT"/>
        </w:rPr>
        <w:t xml:space="preserve"> 5,1 km/h</w:t>
      </w: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r w:rsidRPr="00166EA9">
        <w:rPr>
          <w:lang w:val="pt-PT"/>
        </w:rPr>
        <w:t xml:space="preserve">A hajó sebessége (a vízhez viszonyítva): </w:t>
      </w:r>
      <w:r w:rsidRPr="00166EA9">
        <w:rPr>
          <w:lang w:val="pt-PT"/>
        </w:rP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m:t>
                </m:r>
              </m:sub>
            </m:sSub>
          </m:e>
          <m:sub>
            <m:r>
              <w:rPr>
                <w:rFonts w:ascii="Cambria Math" w:hAnsi="Cambria Math"/>
                <w:szCs w:val="20"/>
              </w:rPr>
              <m:t>IST</m:t>
            </m:r>
          </m:sub>
        </m:sSub>
      </m:oMath>
      <w:r w:rsidRPr="00166EA9">
        <w:rPr>
          <w:lang w:val="pt-PT"/>
        </w:rPr>
        <w:tab/>
        <w:t>=</w:t>
      </w:r>
      <w:r w:rsidRPr="00166EA9">
        <w:rPr>
          <w:lang w:val="pt-PT"/>
        </w:rPr>
        <w:tab/>
        <w:t>3,5 m/s</w:t>
      </w:r>
      <w:r w:rsidRPr="00166EA9">
        <w:rPr>
          <w:lang w:val="pt-PT"/>
        </w:rPr>
        <w:tab/>
      </w:r>
      <w:r w:rsidRPr="00921ED0">
        <w:rPr>
          <w:szCs w:val="20"/>
        </w:rPr>
        <w:sym w:font="Symbol" w:char="F0BB"/>
      </w:r>
      <w:r w:rsidRPr="00166EA9">
        <w:rPr>
          <w:lang w:val="pt-PT"/>
        </w:rPr>
        <w:t xml:space="preserve"> 12,5 km/h</w:t>
      </w: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r w:rsidRPr="00166EA9">
        <w:rPr>
          <w:lang w:val="pt-PT"/>
        </w:rPr>
        <w:t>A hajó sebessége (a parthoz viszonyítva):</w:t>
      </w:r>
      <w:r w:rsidRPr="00166EA9">
        <w:rPr>
          <w:lang w:val="pt-PT"/>
        </w:rP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e>
          <m:sub>
            <m:r>
              <w:rPr>
                <w:rFonts w:ascii="Cambria Math" w:hAnsi="Cambria Math"/>
                <w:szCs w:val="20"/>
              </w:rPr>
              <m:t>IST</m:t>
            </m:r>
          </m:sub>
        </m:sSub>
      </m:oMath>
      <w:r w:rsidRPr="00166EA9">
        <w:rPr>
          <w:lang w:val="pt-PT"/>
        </w:rPr>
        <w:tab/>
        <w:t>=</w:t>
      </w:r>
      <w:r w:rsidRPr="00166EA9">
        <w:rPr>
          <w:lang w:val="pt-PT"/>
        </w:rPr>
        <w:tab/>
        <w:t>4,9 m/s</w:t>
      </w:r>
      <w:r w:rsidRPr="00166EA9">
        <w:rPr>
          <w:lang w:val="pt-PT"/>
        </w:rPr>
        <w:tab/>
      </w:r>
      <w:r w:rsidRPr="00921ED0">
        <w:rPr>
          <w:szCs w:val="20"/>
        </w:rPr>
        <w:sym w:font="Symbol" w:char="F0BB"/>
      </w:r>
      <w:r w:rsidRPr="00166EA9">
        <w:rPr>
          <w:lang w:val="pt-PT"/>
        </w:rPr>
        <w:t xml:space="preserve"> 17,6 km/h</w:t>
      </w: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r w:rsidRPr="00166EA9">
        <w:rPr>
          <w:lang w:val="pt-PT"/>
        </w:rPr>
        <w:t>Az irányváltás (mért) időtartama (</w:t>
      </w:r>
      <m:oMath>
        <m:r>
          <w:rPr>
            <w:rFonts w:ascii="Cambria Math" w:hAnsi="Cambria Math"/>
            <w:szCs w:val="20"/>
          </w:rPr>
          <m:t>A</m:t>
        </m:r>
      </m:oMath>
      <w:r w:rsidRPr="00166EA9">
        <w:rPr>
          <w:lang w:val="pt-PT"/>
        </w:rPr>
        <w:t xml:space="preserve"> ponttól </w:t>
      </w:r>
      <m:oMath>
        <m:r>
          <w:rPr>
            <w:rFonts w:ascii="Cambria Math" w:hAnsi="Cambria Math"/>
            <w:szCs w:val="20"/>
          </w:rPr>
          <m:t>C</m:t>
        </m:r>
      </m:oMath>
      <w:r w:rsidRPr="00166EA9">
        <w:rPr>
          <w:lang w:val="pt-PT"/>
        </w:rPr>
        <w:t xml:space="preserve"> pontig):</w:t>
      </w:r>
      <w:r w:rsidRPr="00166EA9">
        <w:rPr>
          <w:lang w:val="pt-PT"/>
        </w:rPr>
        <w:tab/>
      </w:r>
      <m:oMath>
        <m:r>
          <w:rPr>
            <w:rFonts w:ascii="Cambria Math" w:hAnsi="Cambria Math"/>
            <w:szCs w:val="20"/>
          </w:rPr>
          <m:t>t</m:t>
        </m:r>
        <m:r>
          <w:rPr>
            <w:rFonts w:ascii="Cambria Math" w:hAnsi="Cambria Math"/>
            <w:position w:val="-6"/>
            <w:sz w:val="16"/>
            <w:szCs w:val="20"/>
          </w:rPr>
          <m:t>I</m:t>
        </m:r>
      </m:oMath>
      <w:r w:rsidRPr="00166EA9">
        <w:rPr>
          <w:lang w:val="pt-PT"/>
        </w:rPr>
        <w:tab/>
        <w:t>=</w:t>
      </w:r>
      <w:r w:rsidRPr="00166EA9">
        <w:rPr>
          <w:lang w:val="pt-PT"/>
        </w:rPr>
        <w:tab/>
        <w:t>16 s</w:t>
      </w: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r w:rsidRPr="00166EA9">
        <w:rPr>
          <w:lang w:val="pt-PT"/>
        </w:rPr>
        <w:t>Megállási távolság a vízhez viszonyítva: (</w:t>
      </w:r>
      <m:oMath>
        <m:r>
          <w:rPr>
            <w:rFonts w:ascii="Cambria Math" w:hAnsi="Cambria Math"/>
            <w:szCs w:val="20"/>
          </w:rPr>
          <m:t>A</m:t>
        </m:r>
      </m:oMath>
      <w:r w:rsidRPr="00166EA9">
        <w:rPr>
          <w:lang w:val="pt-PT"/>
        </w:rPr>
        <w:t xml:space="preserve"> és </w:t>
      </w:r>
      <m:oMath>
        <m:r>
          <w:rPr>
            <w:rFonts w:ascii="Cambria Math" w:hAnsi="Cambria Math"/>
            <w:szCs w:val="20"/>
          </w:rPr>
          <m:t>D</m:t>
        </m:r>
      </m:oMath>
      <w:r w:rsidRPr="00166EA9">
        <w:rPr>
          <w:lang w:val="pt-PT"/>
        </w:rPr>
        <w:t xml:space="preserve"> pont között):</w:t>
      </w:r>
      <w:r w:rsidRPr="00166EA9">
        <w:rPr>
          <w:lang w:val="pt-PT"/>
        </w:rPr>
        <w:tab/>
      </w:r>
      <m:oMath>
        <m:r>
          <w:rPr>
            <w:rFonts w:ascii="Cambria Math" w:hAnsi="Cambria Math"/>
            <w:szCs w:val="20"/>
          </w:rPr>
          <m:t>s</m:t>
        </m:r>
        <m:r>
          <w:rPr>
            <w:rFonts w:ascii="Cambria Math" w:hAnsi="Cambria Math"/>
            <w:position w:val="-6"/>
            <w:sz w:val="16"/>
            <w:szCs w:val="20"/>
          </w:rPr>
          <m:t>MESSUNG</m:t>
        </m:r>
      </m:oMath>
      <w:r w:rsidRPr="00166EA9">
        <w:rPr>
          <w:lang w:val="pt-PT"/>
        </w:rPr>
        <w:tab/>
        <w:t>=</w:t>
      </w:r>
      <w:r w:rsidRPr="00166EA9">
        <w:rPr>
          <w:lang w:val="pt-PT"/>
        </w:rPr>
        <w:tab/>
        <w:t>580 m</w:t>
      </w: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r w:rsidRPr="00166EA9">
        <w:rPr>
          <w:lang w:val="pt-PT"/>
        </w:rPr>
        <w:t xml:space="preserve">Terhelési viszonyok (becslés is lehet): </w:t>
      </w:r>
      <w:r w:rsidRPr="00166EA9">
        <w:rPr>
          <w:lang w:val="pt-PT"/>
        </w:rPr>
        <w:tab/>
      </w:r>
      <m:oMath>
        <m:r>
          <w:rPr>
            <w:rFonts w:ascii="Cambria Math" w:hAnsi="Cambria Math"/>
            <w:szCs w:val="20"/>
          </w:rPr>
          <m:t>D</m:t>
        </m:r>
        <m:r>
          <w:rPr>
            <w:rFonts w:ascii="Cambria Math" w:hAnsi="Cambria Math"/>
            <w:position w:val="-6"/>
            <w:sz w:val="16"/>
            <w:szCs w:val="20"/>
          </w:rPr>
          <m:t>IST</m:t>
        </m:r>
      </m:oMath>
      <w:r w:rsidRPr="00166EA9">
        <w:rPr>
          <w:lang w:val="pt-PT"/>
        </w:rPr>
        <w:tab/>
        <w:t>=</w:t>
      </w:r>
      <w:r w:rsidRPr="00166EA9">
        <w:rPr>
          <w:lang w:val="pt-PT"/>
        </w:rPr>
        <w:tab/>
        <w:t>9568 m</w:t>
      </w:r>
      <w:r w:rsidRPr="00166EA9">
        <w:rPr>
          <w:position w:val="6"/>
          <w:sz w:val="16"/>
          <w:lang w:val="pt-PT"/>
        </w:rPr>
        <w:t>3</w:t>
      </w:r>
      <w:r w:rsidRPr="00166EA9">
        <w:rPr>
          <w:lang w:val="pt-PT"/>
        </w:rPr>
        <w:tab/>
      </w:r>
      <w:r w:rsidRPr="00921ED0">
        <w:rPr>
          <w:szCs w:val="20"/>
        </w:rPr>
        <w:sym w:font="Symbol" w:char="F0BB"/>
      </w:r>
      <w:r w:rsidRPr="00166EA9">
        <w:rPr>
          <w:lang w:val="pt-PT"/>
        </w:rPr>
        <w:t xml:space="preserve"> 0,8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oMath>
    </w:p>
    <w:p w:rsidR="005624E3" w:rsidRPr="00166EA9" w:rsidRDefault="005624E3" w:rsidP="005624E3">
      <w:pPr>
        <w:tabs>
          <w:tab w:val="left" w:pos="5387"/>
          <w:tab w:val="left" w:pos="6379"/>
          <w:tab w:val="left" w:pos="6663"/>
          <w:tab w:val="left" w:pos="7230"/>
          <w:tab w:val="left" w:pos="7513"/>
        </w:tabs>
        <w:overflowPunct w:val="0"/>
        <w:adjustRightInd w:val="0"/>
        <w:spacing w:line="240" w:lineRule="atLeast"/>
        <w:ind w:left="567"/>
        <w:textAlignment w:val="baseline"/>
        <w:rPr>
          <w:szCs w:val="20"/>
          <w:lang w:val="pt-PT"/>
        </w:rPr>
      </w:pPr>
    </w:p>
    <w:p w:rsidR="005624E3" w:rsidRPr="00166EA9" w:rsidRDefault="005624E3" w:rsidP="005624E3">
      <w:pPr>
        <w:tabs>
          <w:tab w:val="left" w:pos="5387"/>
          <w:tab w:val="left" w:pos="6379"/>
          <w:tab w:val="left" w:pos="6663"/>
          <w:tab w:val="left" w:pos="7513"/>
        </w:tabs>
        <w:overflowPunct w:val="0"/>
        <w:adjustRightInd w:val="0"/>
        <w:spacing w:line="240" w:lineRule="atLeast"/>
        <w:ind w:left="567"/>
        <w:textAlignment w:val="baseline"/>
        <w:rPr>
          <w:szCs w:val="20"/>
          <w:lang w:val="pt-PT"/>
        </w:rPr>
      </w:pPr>
      <w:r w:rsidRPr="00166EA9">
        <w:rPr>
          <w:lang w:val="pt-PT"/>
        </w:rPr>
        <w:t>A kötelék tényleges merülése:</w:t>
      </w:r>
      <w:r w:rsidRPr="00166EA9">
        <w:rPr>
          <w:lang w:val="pt-PT"/>
        </w:rPr>
        <w:tab/>
      </w:r>
      <m:oMath>
        <m:r>
          <w:rPr>
            <w:rFonts w:ascii="Cambria Math" w:hAnsi="Cambria Math"/>
            <w:szCs w:val="20"/>
          </w:rPr>
          <m:t>T</m:t>
        </m:r>
        <m:r>
          <w:rPr>
            <w:rFonts w:ascii="Cambria Math" w:hAnsi="Cambria Math"/>
            <w:position w:val="-6"/>
            <w:sz w:val="16"/>
            <w:szCs w:val="20"/>
          </w:rPr>
          <m:t>IST</m:t>
        </m:r>
      </m:oMath>
      <w:r w:rsidRPr="00166EA9">
        <w:rPr>
          <w:lang w:val="pt-PT"/>
        </w:rPr>
        <w:tab/>
        <w:t>=</w:t>
      </w:r>
      <w:r w:rsidRPr="00166EA9">
        <w:rPr>
          <w:lang w:val="pt-PT"/>
        </w:rPr>
        <w:tab/>
        <w:t>2,96 m</w:t>
      </w:r>
      <w:r w:rsidRPr="00166EA9">
        <w:rPr>
          <w:lang w:val="pt-PT"/>
        </w:rPr>
        <w:tab/>
      </w:r>
      <w:r w:rsidRPr="00921ED0">
        <w:rPr>
          <w:szCs w:val="20"/>
        </w:rPr>
        <w:sym w:font="Symbol" w:char="F0BB"/>
      </w:r>
      <w:r w:rsidRPr="00166EA9">
        <w:rPr>
          <w:lang w:val="pt-PT"/>
        </w:rPr>
        <w:t xml:space="preserve"> 0,8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max</m:t>
            </m:r>
          </m:sub>
        </m:sSub>
      </m:oMath>
    </w:p>
    <w:p w:rsidR="005624E3" w:rsidRPr="00166EA9" w:rsidRDefault="005624E3" w:rsidP="005624E3">
      <w:pPr>
        <w:overflowPunct w:val="0"/>
        <w:adjustRightInd w:val="0"/>
        <w:textAlignment w:val="baseline"/>
        <w:rPr>
          <w:szCs w:val="20"/>
          <w:lang w:val="pt-PT"/>
        </w:rPr>
      </w:pPr>
    </w:p>
    <w:p w:rsidR="005624E3" w:rsidRPr="00921ED0" w:rsidRDefault="005624E3" w:rsidP="005624E3">
      <w:pPr>
        <w:spacing w:line="240" w:lineRule="atLeast"/>
        <w:ind w:left="567" w:hanging="567"/>
        <w:rPr>
          <w:rFonts w:cs="Arial"/>
          <w:b/>
          <w:color w:val="000000"/>
          <w:szCs w:val="20"/>
        </w:rPr>
      </w:pPr>
      <w:r w:rsidRPr="00921ED0">
        <w:rPr>
          <w:b/>
          <w:color w:val="000000"/>
        </w:rPr>
        <w:t>3.</w:t>
      </w:r>
      <w:r w:rsidRPr="00921ED0">
        <w:tab/>
      </w:r>
      <w:r w:rsidRPr="00921ED0">
        <w:rPr>
          <w:b/>
          <w:color w:val="000000"/>
        </w:rPr>
        <w:t xml:space="preserve">A 2.1. a) vagy a 2.1. b) pont szerinti határértéket össze kell hasonlítani a következővel: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NORM</m:t>
            </m:r>
          </m:sub>
        </m:sSub>
      </m:oMath>
    </w:p>
    <w:p w:rsidR="005624E3" w:rsidRPr="00921ED0" w:rsidRDefault="005624E3" w:rsidP="005624E3">
      <w:pPr>
        <w:tabs>
          <w:tab w:val="left" w:pos="567"/>
        </w:tabs>
        <w:overflowPunct w:val="0"/>
        <w:adjustRightInd w:val="0"/>
        <w:ind w:left="567" w:hanging="567"/>
        <w:textAlignment w:val="baseline"/>
        <w:rPr>
          <w:szCs w:val="20"/>
        </w:rPr>
      </w:pPr>
    </w:p>
    <w:p w:rsidR="005624E3" w:rsidRPr="00921ED0" w:rsidRDefault="005624E3" w:rsidP="005624E3">
      <w:pPr>
        <w:overflowPunct w:val="0"/>
        <w:adjustRightInd w:val="0"/>
        <w:spacing w:line="240" w:lineRule="exact"/>
        <w:ind w:left="567"/>
        <w:textAlignment w:val="baseline"/>
        <w:rPr>
          <w:szCs w:val="20"/>
        </w:rPr>
      </w:pPr>
      <w:r w:rsidRPr="00921ED0">
        <w:t xml:space="preserve">Mivel </w:t>
      </w:r>
      <m:oMath>
        <m:r>
          <w:rPr>
            <w:rFonts w:ascii="Cambria Math" w:hAnsi="Cambria Math"/>
            <w:szCs w:val="20"/>
          </w:rPr>
          <m:t>B &gt; 11,45 m</m:t>
        </m:r>
      </m:oMath>
      <w:r w:rsidRPr="00921ED0">
        <w:t xml:space="preserve"> és mivel a kötelék áramló vízben halad, erre a kötelékre a 2.1. a) pont alapján a következő vonatkozik:</w:t>
      </w:r>
    </w:p>
    <w:p w:rsidR="005624E3" w:rsidRPr="00921ED0" w:rsidRDefault="005624E3" w:rsidP="005624E3">
      <w:pPr>
        <w:tabs>
          <w:tab w:val="left" w:pos="567"/>
        </w:tabs>
        <w:overflowPunct w:val="0"/>
        <w:adjustRightInd w:val="0"/>
        <w:ind w:left="567" w:hanging="567"/>
        <w:textAlignment w:val="baseline"/>
        <w:rPr>
          <w:szCs w:val="20"/>
        </w:rPr>
      </w:pPr>
    </w:p>
    <w:p w:rsidR="005624E3" w:rsidRPr="00921ED0" w:rsidRDefault="005624E3" w:rsidP="005624E3">
      <w:pPr>
        <w:tabs>
          <w:tab w:val="left" w:pos="567"/>
          <w:tab w:val="left" w:pos="3402"/>
        </w:tabs>
        <w:overflowPunct w:val="0"/>
        <w:adjustRightInd w:val="0"/>
        <w:spacing w:line="240" w:lineRule="atLeast"/>
        <w:ind w:left="567"/>
        <w:textAlignment w:val="baseline"/>
        <w:rPr>
          <w:szCs w:val="20"/>
        </w:rPr>
      </w:pPr>
      <m:oMathPara>
        <m:oMath>
          <m:r>
            <w:rPr>
              <w:rFonts w:ascii="Cambria Math" w:hAnsi="Cambria Math"/>
              <w:szCs w:val="20"/>
            </w:rPr>
            <m:t>s</m:t>
          </m:r>
          <m:r>
            <w:rPr>
              <w:rFonts w:ascii="Cambria Math" w:hAnsi="Cambria Math"/>
              <w:position w:val="-6"/>
              <w:sz w:val="16"/>
              <w:szCs w:val="20"/>
            </w:rPr>
            <m:t>NORM</m:t>
          </m:r>
          <m:r>
            <w:rPr>
              <w:rFonts w:ascii="Cambria Math" w:hAnsi="Cambria Math"/>
              <w:szCs w:val="20"/>
            </w:rPr>
            <m:t xml:space="preserve">  </m:t>
          </m:r>
          <m:r>
            <w:rPr>
              <w:rFonts w:ascii="Cambria Math" w:hAnsi="Cambria Math"/>
              <w:i/>
              <w:szCs w:val="20"/>
            </w:rPr>
            <w:sym w:font="Symbol" w:char="F0A3"/>
          </m:r>
          <m:r>
            <w:rPr>
              <w:rFonts w:ascii="Cambria Math" w:hAnsi="Cambria Math"/>
              <w:szCs w:val="20"/>
            </w:rPr>
            <m:t xml:space="preserve">  550 m</m:t>
          </m:r>
        </m:oMath>
      </m:oMathPara>
    </w:p>
    <w:p w:rsidR="005624E3" w:rsidRPr="00921ED0" w:rsidRDefault="005624E3" w:rsidP="005624E3">
      <w:pPr>
        <w:tabs>
          <w:tab w:val="left" w:pos="454"/>
          <w:tab w:val="left" w:pos="567"/>
        </w:tabs>
        <w:overflowPunct w:val="0"/>
        <w:adjustRightInd w:val="0"/>
        <w:spacing w:line="240" w:lineRule="exact"/>
        <w:ind w:left="567" w:hanging="567"/>
        <w:textAlignment w:val="baseline"/>
        <w:rPr>
          <w:szCs w:val="20"/>
        </w:rPr>
      </w:pPr>
    </w:p>
    <w:p w:rsidR="005624E3" w:rsidRPr="00921ED0" w:rsidRDefault="005624E3" w:rsidP="005624E3">
      <w:pPr>
        <w:tabs>
          <w:tab w:val="left" w:pos="454"/>
          <w:tab w:val="left" w:pos="567"/>
        </w:tabs>
        <w:overflowPunct w:val="0"/>
        <w:adjustRightInd w:val="0"/>
        <w:spacing w:line="240" w:lineRule="exact"/>
        <w:ind w:left="567" w:hanging="567"/>
        <w:textAlignment w:val="baseline"/>
        <w:rPr>
          <w:szCs w:val="20"/>
        </w:rPr>
      </w:pPr>
      <w:r w:rsidRPr="00921ED0">
        <w:br w:type="page"/>
      </w:r>
    </w:p>
    <w:p w:rsidR="005624E3" w:rsidRPr="00921ED0" w:rsidRDefault="005624E3" w:rsidP="005624E3">
      <w:pPr>
        <w:spacing w:line="240" w:lineRule="atLeast"/>
        <w:ind w:left="567" w:hanging="567"/>
        <w:rPr>
          <w:rFonts w:cs="Arial"/>
          <w:b/>
          <w:color w:val="000000"/>
          <w:szCs w:val="20"/>
        </w:rPr>
      </w:pPr>
      <w:r w:rsidRPr="00921ED0">
        <w:rPr>
          <w:b/>
          <w:color w:val="000000"/>
        </w:rPr>
        <w:t>4.</w:t>
      </w:r>
      <w:r w:rsidRPr="00921ED0">
        <w:tab/>
      </w:r>
      <w:r w:rsidRPr="00921ED0">
        <w:rPr>
          <w:b/>
          <w:color w:val="000000"/>
        </w:rPr>
        <w:t>A korrigált megállási távolság megállapítása a normál körülményekkel összehasonlítva</w:t>
      </w:r>
    </w:p>
    <w:p w:rsidR="005624E3" w:rsidRPr="00921ED0" w:rsidRDefault="005624E3" w:rsidP="005624E3">
      <w:pPr>
        <w:overflowPunct w:val="0"/>
        <w:adjustRightInd w:val="0"/>
        <w:spacing w:line="240" w:lineRule="exact"/>
        <w:ind w:left="567" w:hanging="567"/>
        <w:textAlignment w:val="baseline"/>
        <w:rPr>
          <w:szCs w:val="20"/>
        </w:rPr>
      </w:pPr>
    </w:p>
    <w:p w:rsidR="005624E3" w:rsidRPr="00921ED0" w:rsidRDefault="005624E3" w:rsidP="005624E3">
      <w:pPr>
        <w:tabs>
          <w:tab w:val="left" w:pos="567"/>
        </w:tabs>
        <w:overflowPunct w:val="0"/>
        <w:adjustRightInd w:val="0"/>
        <w:spacing w:line="240" w:lineRule="exact"/>
        <w:ind w:left="992"/>
        <w:textAlignment w:val="baseline"/>
        <w:rPr>
          <w:szCs w:val="20"/>
        </w:rPr>
      </w:pPr>
      <w:r w:rsidRPr="00921ED0">
        <w:t>-</w:t>
      </w:r>
      <w:r w:rsidRPr="00921ED0">
        <w:tab/>
      </w:r>
      <w:r w:rsidRPr="00921ED0">
        <w:rPr>
          <w:b/>
        </w:rPr>
        <w:t>Mért érték</w:t>
      </w:r>
      <w:r w:rsidRPr="00921ED0">
        <w:t>:</w:t>
      </w:r>
    </w:p>
    <w:p w:rsidR="005624E3" w:rsidRPr="00921ED0" w:rsidRDefault="005624E3" w:rsidP="005624E3">
      <w:pPr>
        <w:tabs>
          <w:tab w:val="left" w:pos="284"/>
        </w:tabs>
        <w:overflowPunct w:val="0"/>
        <w:adjustRightInd w:val="0"/>
        <w:spacing w:line="240" w:lineRule="exact"/>
        <w:ind w:left="992"/>
        <w:textAlignment w:val="baseline"/>
        <w:rPr>
          <w:szCs w:val="20"/>
        </w:rPr>
      </w:pPr>
    </w:p>
    <w:p w:rsidR="005624E3" w:rsidRPr="00921ED0" w:rsidRDefault="005624E3" w:rsidP="005624E3">
      <w:pPr>
        <w:tabs>
          <w:tab w:val="left" w:pos="454"/>
          <w:tab w:val="left" w:pos="3402"/>
        </w:tabs>
        <w:overflowPunct w:val="0"/>
        <w:adjustRightInd w:val="0"/>
        <w:spacing w:line="240" w:lineRule="exact"/>
        <w:ind w:left="992"/>
        <w:textAlignment w:val="baseline"/>
        <w:rPr>
          <w:szCs w:val="20"/>
        </w:rPr>
      </w:pPr>
      <m:oMathPara>
        <m:oMath>
          <m:r>
            <w:rPr>
              <w:rFonts w:ascii="Cambria Math" w:hAnsi="Cambria Math"/>
              <w:szCs w:val="20"/>
            </w:rPr>
            <m:t>s</m:t>
          </m:r>
          <m:r>
            <w:rPr>
              <w:rFonts w:ascii="Cambria Math" w:hAnsi="Cambria Math"/>
              <w:position w:val="-6"/>
              <w:sz w:val="16"/>
              <w:szCs w:val="20"/>
            </w:rPr>
            <m:t>MESSUNG</m:t>
          </m:r>
          <m:r>
            <w:rPr>
              <w:rFonts w:ascii="Cambria Math" w:hAnsi="Cambria Math"/>
              <w:szCs w:val="20"/>
            </w:rPr>
            <m:t xml:space="preserve"> = 580 m</m:t>
          </m:r>
        </m:oMath>
      </m:oMathPara>
    </w:p>
    <w:p w:rsidR="005624E3" w:rsidRPr="00921ED0" w:rsidRDefault="005624E3" w:rsidP="005624E3">
      <w:pPr>
        <w:tabs>
          <w:tab w:val="left" w:pos="454"/>
        </w:tabs>
        <w:overflowPunct w:val="0"/>
        <w:adjustRightInd w:val="0"/>
        <w:spacing w:line="240" w:lineRule="exact"/>
        <w:ind w:left="992"/>
        <w:textAlignment w:val="baseline"/>
        <w:rPr>
          <w:szCs w:val="20"/>
        </w:rPr>
      </w:pPr>
    </w:p>
    <w:p w:rsidR="005624E3" w:rsidRPr="00921ED0" w:rsidRDefault="005624E3" w:rsidP="005624E3">
      <w:pPr>
        <w:tabs>
          <w:tab w:val="left" w:pos="284"/>
          <w:tab w:val="left" w:pos="567"/>
        </w:tabs>
        <w:overflowPunct w:val="0"/>
        <w:adjustRightInd w:val="0"/>
        <w:spacing w:line="240" w:lineRule="exact"/>
        <w:ind w:left="992"/>
        <w:textAlignment w:val="baseline"/>
        <w:rPr>
          <w:b/>
          <w:szCs w:val="20"/>
        </w:rPr>
      </w:pPr>
      <w:r w:rsidRPr="00921ED0">
        <w:rPr>
          <w:b/>
        </w:rPr>
        <w:t>-</w:t>
      </w:r>
      <w:r w:rsidRPr="00921ED0">
        <w:tab/>
      </w:r>
      <w:r w:rsidRPr="00921ED0">
        <w:rPr>
          <w:b/>
        </w:rPr>
        <w:t>Elvégzendő számítások:</w:t>
      </w:r>
    </w:p>
    <w:p w:rsidR="005624E3" w:rsidRPr="00921ED0" w:rsidRDefault="005624E3" w:rsidP="005624E3">
      <w:pPr>
        <w:tabs>
          <w:tab w:val="left" w:pos="567"/>
        </w:tabs>
        <w:overflowPunct w:val="0"/>
        <w:adjustRightInd w:val="0"/>
        <w:spacing w:line="240" w:lineRule="exact"/>
        <w:ind w:left="992"/>
        <w:textAlignment w:val="baseline"/>
        <w:rPr>
          <w:szCs w:val="20"/>
        </w:rPr>
      </w:pPr>
    </w:p>
    <w:p w:rsidR="005624E3" w:rsidRPr="00921ED0" w:rsidRDefault="003142CA" w:rsidP="005624E3">
      <w:pPr>
        <w:tabs>
          <w:tab w:val="left" w:pos="567"/>
          <w:tab w:val="left" w:pos="1276"/>
          <w:tab w:val="left" w:pos="4111"/>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rsidR="005624E3" w:rsidRPr="00921ED0">
        <w:t xml:space="preserve"> az alábbiak összegeként:</w:t>
      </w:r>
    </w:p>
    <w:p w:rsidR="005624E3" w:rsidRPr="00921ED0" w:rsidRDefault="005624E3" w:rsidP="005624E3">
      <w:pPr>
        <w:tabs>
          <w:tab w:val="left" w:pos="567"/>
          <w:tab w:val="left" w:pos="1276"/>
          <w:tab w:val="left" w:pos="4111"/>
        </w:tabs>
        <w:overflowPunct w:val="0"/>
        <w:adjustRightInd w:val="0"/>
        <w:spacing w:line="240" w:lineRule="atLeast"/>
        <w:ind w:left="3402" w:hanging="2410"/>
        <w:textAlignment w:val="baseline"/>
        <w:rPr>
          <w:szCs w:val="20"/>
        </w:rPr>
      </w:pPr>
    </w:p>
    <w:p w:rsidR="005624E3" w:rsidRPr="00921ED0" w:rsidRDefault="003142CA" w:rsidP="005624E3">
      <w:pPr>
        <w:tabs>
          <w:tab w:val="left" w:pos="567"/>
          <w:tab w:val="left" w:pos="4111"/>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rsidR="005624E3" w:rsidRPr="00921ED0">
        <w:t xml:space="preserve"> </w:t>
      </w:r>
      <w:r w:rsidR="005624E3" w:rsidRPr="00921ED0">
        <w:tab/>
        <w:t xml:space="preserve">(a 2. melléklet 4.1. képletének megfelelően,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oMath>
      <w:r w:rsidR="005624E3" w:rsidRPr="00921ED0">
        <w:t xml:space="preserve"> használatával)</w:t>
      </w:r>
    </w:p>
    <w:p w:rsidR="005624E3" w:rsidRPr="00921ED0" w:rsidRDefault="005624E3" w:rsidP="005624E3">
      <w:pPr>
        <w:tabs>
          <w:tab w:val="left" w:pos="567"/>
          <w:tab w:val="left" w:pos="1276"/>
          <w:tab w:val="left" w:pos="4111"/>
        </w:tabs>
        <w:overflowPunct w:val="0"/>
        <w:adjustRightInd w:val="0"/>
        <w:spacing w:line="240" w:lineRule="atLeast"/>
        <w:ind w:left="3402" w:hanging="2410"/>
        <w:textAlignment w:val="baseline"/>
        <w:rPr>
          <w:szCs w:val="20"/>
        </w:rPr>
      </w:pPr>
    </w:p>
    <w:p w:rsidR="005624E3" w:rsidRPr="00921ED0" w:rsidRDefault="005624E3" w:rsidP="005624E3">
      <w:pPr>
        <w:tabs>
          <w:tab w:val="left" w:pos="567"/>
          <w:tab w:val="left" w:pos="1276"/>
          <w:tab w:val="left" w:pos="4111"/>
        </w:tabs>
        <w:overflowPunct w:val="0"/>
        <w:adjustRightInd w:val="0"/>
        <w:spacing w:line="240" w:lineRule="atLeast"/>
        <w:ind w:left="3402" w:hanging="2410"/>
        <w:textAlignment w:val="baseline"/>
        <w:rPr>
          <w:szCs w:val="20"/>
        </w:rPr>
      </w:pPr>
      <w:r w:rsidRPr="00921ED0">
        <w:t xml:space="preserve">és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rsidRPr="00921ED0">
        <w:tab/>
        <w:t xml:space="preserve">(a 2. melléklet 4.2., 4.3., 4.4., 4.5. és 4.6. képletének megfelelően,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oMath>
      <w:r w:rsidRPr="00921ED0">
        <w:t xml:space="preserve"> (lásd: fenti 2. pont) és </w:t>
      </w:r>
      <m:oMath>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Pr="00921ED0">
        <w:t xml:space="preserve"> tényleges sebességek használatával).</w:t>
      </w:r>
    </w:p>
    <w:p w:rsidR="005624E3" w:rsidRPr="00921ED0" w:rsidRDefault="005624E3" w:rsidP="005624E3">
      <w:pPr>
        <w:tabs>
          <w:tab w:val="left" w:pos="454"/>
        </w:tabs>
        <w:overflowPunct w:val="0"/>
        <w:adjustRightInd w:val="0"/>
        <w:spacing w:line="240" w:lineRule="atLeast"/>
        <w:ind w:left="3402" w:hanging="2410"/>
        <w:textAlignment w:val="baseline"/>
        <w:rPr>
          <w:szCs w:val="20"/>
        </w:rPr>
      </w:pPr>
    </w:p>
    <w:p w:rsidR="005624E3" w:rsidRPr="00921ED0" w:rsidRDefault="003142CA" w:rsidP="005624E3">
      <w:pPr>
        <w:tabs>
          <w:tab w:val="left" w:pos="567"/>
          <w:tab w:val="left" w:pos="1560"/>
          <w:tab w:val="left" w:pos="4111"/>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005624E3" w:rsidRPr="00921ED0">
        <w:t>:</w:t>
      </w:r>
      <w:r w:rsidR="005624E3" w:rsidRPr="00921ED0">
        <w:tab/>
        <w:t xml:space="preserve">a következők összege: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r>
          <w:rPr>
            <w:rFonts w:ascii="Cambria Math" w:hAnsi="Cambria Math"/>
          </w:rPr>
          <m:t xml:space="preserve">+ </m:t>
        </m:r>
        <m:sSub>
          <m:sSubPr>
            <m:ctrlPr>
              <w:rPr>
                <w:rFonts w:ascii="Cambria Math" w:hAnsi="Cambria Math"/>
                <w:i/>
              </w:rPr>
            </m:ctrlPr>
          </m:sSubPr>
          <m:e>
            <m:r>
              <w:rPr>
                <w:rFonts w:ascii="Cambria Math" w:hAnsi="Cambria Math"/>
              </w:rPr>
              <m:t>s</m:t>
            </m:r>
          </m:e>
          <m:sub>
            <m:sSub>
              <m:sSubPr>
                <m:ctrlPr>
                  <w:rPr>
                    <w:rFonts w:ascii="Cambria Math" w:hAnsi="Cambria Math"/>
                    <w:i/>
                  </w:rPr>
                </m:ctrlPr>
              </m:sSubPr>
              <m:e>
                <m:r>
                  <w:rPr>
                    <w:rFonts w:ascii="Cambria Math" w:hAnsi="Cambria Math"/>
                  </w:rPr>
                  <m:t>II</m:t>
                </m:r>
              </m:e>
              <m:sub>
                <m:r>
                  <w:rPr>
                    <w:rFonts w:ascii="Cambria Math" w:hAnsi="Cambria Math"/>
                  </w:rPr>
                  <m:t>SOLL</m:t>
                </m:r>
              </m:sub>
            </m:sSub>
          </m:sub>
        </m:sSub>
      </m:oMath>
      <w:r w:rsidR="005624E3" w:rsidRPr="00921ED0">
        <w:tab/>
        <w:t>(a 2. melléklet 4.1–4.6. képlete szerint, referenciasebességekkel és a 2. mellékletnek megfelelően, mivel a terhelés nagyobb, mint a maximum 70 %-a,</w:t>
      </w:r>
    </w:p>
    <w:p w:rsidR="005624E3" w:rsidRPr="00166EA9" w:rsidRDefault="005624E3" w:rsidP="005624E3">
      <w:pPr>
        <w:tabs>
          <w:tab w:val="left" w:pos="567"/>
          <w:tab w:val="left" w:pos="4111"/>
        </w:tabs>
        <w:overflowPunct w:val="0"/>
        <w:adjustRightInd w:val="0"/>
        <w:spacing w:line="240" w:lineRule="atLeast"/>
        <w:ind w:left="3402" w:hanging="2410"/>
        <w:textAlignment w:val="baseline"/>
        <w:rPr>
          <w:szCs w:val="20"/>
          <w:lang w:val="es-ES"/>
        </w:rPr>
      </w:pPr>
      <w:r w:rsidRPr="00921ED0">
        <w:tab/>
      </w:r>
      <w:r w:rsidRPr="00166EA9">
        <w:rPr>
          <w:lang w:val="es-ES"/>
        </w:rPr>
        <w:t xml:space="preserve">ahol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SOLL</m:t>
            </m:r>
          </m:sub>
        </m:sSub>
        <m:r>
          <w:rPr>
            <w:rFonts w:ascii="Cambria Math" w:hAnsi="Cambria Math"/>
            <w:noProof/>
            <w:lang w:val="es-ES"/>
          </w:rPr>
          <m:t xml:space="preserve">= </m:t>
        </m:r>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Pr="00166EA9">
        <w:rPr>
          <w:lang w:val="es-ES"/>
        </w:rPr>
        <w:t xml:space="preserve"> és </w:t>
      </w:r>
      <m:oMath>
        <m:sSub>
          <m:sSubPr>
            <m:ctrlPr>
              <w:rPr>
                <w:rFonts w:ascii="Cambria Math" w:hAnsi="Cambria Math"/>
                <w:i/>
                <w:noProof/>
              </w:rPr>
            </m:ctrlPr>
          </m:sSubPr>
          <m:e>
            <m:r>
              <w:rPr>
                <w:rFonts w:ascii="Cambria Math" w:hAnsi="Cambria Math"/>
                <w:noProof/>
              </w:rPr>
              <m:t>T</m:t>
            </m:r>
          </m:e>
          <m:sub>
            <m:r>
              <w:rPr>
                <w:rFonts w:ascii="Cambria Math" w:hAnsi="Cambria Math"/>
                <w:noProof/>
              </w:rPr>
              <m:t>SOLL</m:t>
            </m:r>
          </m:sub>
        </m:sSub>
        <m:r>
          <w:rPr>
            <w:rFonts w:ascii="Cambria Math" w:hAnsi="Cambria Math"/>
            <w:noProof/>
            <w:lang w:val="es-ES"/>
          </w:rPr>
          <m:t xml:space="preserve">= </m:t>
        </m:r>
        <m:sSub>
          <m:sSubPr>
            <m:ctrlPr>
              <w:rPr>
                <w:rFonts w:ascii="Cambria Math" w:hAnsi="Cambria Math"/>
                <w:i/>
                <w:noProof/>
              </w:rPr>
            </m:ctrlPr>
          </m:sSubPr>
          <m:e>
            <m:r>
              <w:rPr>
                <w:rFonts w:ascii="Cambria Math" w:hAnsi="Cambria Math"/>
                <w:noProof/>
              </w:rPr>
              <m:t>T</m:t>
            </m:r>
          </m:e>
          <m:sub>
            <m:r>
              <w:rPr>
                <w:rFonts w:ascii="Cambria Math" w:hAnsi="Cambria Math"/>
                <w:noProof/>
              </w:rPr>
              <m:t>IST</m:t>
            </m:r>
          </m:sub>
        </m:sSub>
      </m:oMath>
      <w:r w:rsidRPr="00166EA9">
        <w:rPr>
          <w:lang w:val="es-ES"/>
        </w:rPr>
        <w:t>)</w:t>
      </w:r>
    </w:p>
    <w:p w:rsidR="005624E3" w:rsidRPr="00166EA9" w:rsidRDefault="005624E3" w:rsidP="005624E3">
      <w:pPr>
        <w:tabs>
          <w:tab w:val="left" w:pos="454"/>
        </w:tabs>
        <w:overflowPunct w:val="0"/>
        <w:adjustRightInd w:val="0"/>
        <w:spacing w:line="240" w:lineRule="atLeast"/>
        <w:ind w:left="454" w:hanging="454"/>
        <w:textAlignment w:val="baseline"/>
        <w:rPr>
          <w:szCs w:val="20"/>
          <w:lang w:val="es-ES"/>
        </w:rPr>
      </w:pPr>
    </w:p>
    <w:p w:rsidR="005624E3" w:rsidRPr="00166EA9" w:rsidRDefault="005624E3" w:rsidP="005624E3">
      <w:pPr>
        <w:tabs>
          <w:tab w:val="left" w:pos="284"/>
        </w:tabs>
        <w:overflowPunct w:val="0"/>
        <w:adjustRightInd w:val="0"/>
        <w:spacing w:line="240" w:lineRule="atLeast"/>
        <w:ind w:left="992"/>
        <w:textAlignment w:val="baseline"/>
        <w:rPr>
          <w:szCs w:val="20"/>
          <w:lang w:val="es-ES"/>
        </w:rPr>
      </w:pPr>
      <w:r w:rsidRPr="00166EA9">
        <w:rPr>
          <w:lang w:val="es-ES"/>
        </w:rPr>
        <w:t>-</w:t>
      </w:r>
      <w:r w:rsidRPr="00166EA9">
        <w:rPr>
          <w:lang w:val="es-ES"/>
        </w:rPr>
        <w:tab/>
      </w:r>
      <w:r w:rsidRPr="00166EA9">
        <w:rPr>
          <w:b/>
          <w:lang w:val="es-ES"/>
        </w:rPr>
        <w:t>Ellenőrizendő:</w:t>
      </w:r>
    </w:p>
    <w:p w:rsidR="005624E3" w:rsidRPr="00166EA9" w:rsidRDefault="005624E3" w:rsidP="005624E3">
      <w:pPr>
        <w:tabs>
          <w:tab w:val="left" w:pos="454"/>
        </w:tabs>
        <w:overflowPunct w:val="0"/>
        <w:adjustRightInd w:val="0"/>
        <w:spacing w:line="240" w:lineRule="atLeast"/>
        <w:ind w:left="454" w:hanging="454"/>
        <w:textAlignment w:val="baseline"/>
        <w:rPr>
          <w:szCs w:val="20"/>
          <w:lang w:val="es-ES"/>
        </w:rPr>
      </w:pPr>
    </w:p>
    <w:p w:rsidR="005624E3" w:rsidRPr="00166EA9" w:rsidRDefault="003142CA" w:rsidP="005624E3">
      <w:pPr>
        <w:tabs>
          <w:tab w:val="left" w:pos="454"/>
        </w:tabs>
        <w:overflowPunct w:val="0"/>
        <w:adjustRightInd w:val="0"/>
        <w:spacing w:line="240" w:lineRule="atLeast"/>
        <w:ind w:left="454" w:hanging="454"/>
        <w:jc w:val="center"/>
        <w:textAlignment w:val="baseline"/>
        <w:rPr>
          <w:szCs w:val="20"/>
          <w:lang w:val="es-ES"/>
        </w:rPr>
      </w:p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lang w:val="es-ES"/>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lang w:val="es-ES"/>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lang w:val="es-ES"/>
          </w:rPr>
          <m:t xml:space="preserve"> ≤550 </m:t>
        </m:r>
        <m:r>
          <w:rPr>
            <w:rFonts w:ascii="Cambria Math" w:hAnsi="Cambria Math"/>
            <w:szCs w:val="20"/>
          </w:rPr>
          <m:t>m</m:t>
        </m:r>
      </m:oMath>
      <w:r w:rsidR="005624E3" w:rsidRPr="00166EA9">
        <w:rPr>
          <w:lang w:val="es-ES"/>
        </w:rPr>
        <w:t xml:space="preserve"> , egyébként</w:t>
      </w:r>
    </w:p>
    <w:p w:rsidR="005624E3" w:rsidRPr="00166EA9" w:rsidRDefault="005624E3" w:rsidP="005624E3">
      <w:pPr>
        <w:tabs>
          <w:tab w:val="left" w:pos="454"/>
          <w:tab w:val="center" w:pos="3828"/>
        </w:tabs>
        <w:overflowPunct w:val="0"/>
        <w:adjustRightInd w:val="0"/>
        <w:spacing w:line="240" w:lineRule="atLeast"/>
        <w:ind w:left="454" w:hanging="454"/>
        <w:textAlignment w:val="baseline"/>
        <w:rPr>
          <w:szCs w:val="20"/>
          <w:lang w:val="es-ES"/>
        </w:rPr>
      </w:pPr>
    </w:p>
    <w:p w:rsidR="005624E3" w:rsidRPr="00166EA9" w:rsidRDefault="005624E3" w:rsidP="005624E3">
      <w:pPr>
        <w:tabs>
          <w:tab w:val="left" w:pos="284"/>
        </w:tabs>
        <w:overflowPunct w:val="0"/>
        <w:adjustRightInd w:val="0"/>
        <w:spacing w:line="240" w:lineRule="atLeast"/>
        <w:ind w:left="992"/>
        <w:textAlignment w:val="baseline"/>
        <w:rPr>
          <w:b/>
          <w:szCs w:val="20"/>
          <w:lang w:val="es-ES"/>
        </w:rPr>
      </w:pPr>
      <w:r w:rsidRPr="00166EA9">
        <w:rPr>
          <w:b/>
          <w:lang w:val="es-ES"/>
        </w:rPr>
        <w:t>-</w:t>
      </w:r>
      <w:r w:rsidRPr="00166EA9">
        <w:rPr>
          <w:lang w:val="es-ES"/>
        </w:rPr>
        <w:tab/>
      </w:r>
      <w:r w:rsidRPr="00166EA9">
        <w:rPr>
          <w:b/>
          <w:lang w:val="es-ES"/>
        </w:rPr>
        <w:t>Kiszámítandó:</w:t>
      </w:r>
    </w:p>
    <w:p w:rsidR="005624E3" w:rsidRPr="00166EA9" w:rsidRDefault="005624E3" w:rsidP="005624E3">
      <w:pPr>
        <w:tabs>
          <w:tab w:val="left" w:pos="454"/>
        </w:tabs>
        <w:overflowPunct w:val="0"/>
        <w:adjustRightInd w:val="0"/>
        <w:spacing w:line="240" w:lineRule="atLeast"/>
        <w:ind w:left="454" w:hanging="454"/>
        <w:textAlignment w:val="baseline"/>
        <w:rPr>
          <w:szCs w:val="20"/>
          <w:lang w:val="es-ES"/>
        </w:rPr>
      </w:pPr>
    </w:p>
    <w:p w:rsidR="005624E3" w:rsidRPr="00166EA9" w:rsidRDefault="003142CA" w:rsidP="005624E3">
      <w:pPr>
        <w:tabs>
          <w:tab w:val="left" w:pos="454"/>
          <w:tab w:val="left" w:pos="1418"/>
          <w:tab w:val="left" w:pos="1843"/>
        </w:tabs>
        <w:overflowPunct w:val="0"/>
        <w:adjustRightInd w:val="0"/>
        <w:spacing w:line="240" w:lineRule="atLeast"/>
        <w:ind w:left="992"/>
        <w:textAlignment w:val="baseline"/>
        <w:rPr>
          <w:szCs w:val="20"/>
          <w:lang w:val="es-ES"/>
        </w:rPr>
      </w:p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lang w:val="es-ES"/>
                  </w:rPr>
                  <m:t>*</m:t>
                </m:r>
              </m:sup>
            </m:sSup>
          </m:e>
          <m:sub>
            <m:r>
              <w:rPr>
                <w:rFonts w:ascii="Cambria Math" w:hAnsi="Cambria Math"/>
                <w:szCs w:val="20"/>
              </w:rPr>
              <m:t>NORM</m:t>
            </m:r>
          </m:sub>
        </m:sSub>
      </m:oMath>
      <w:r w:rsidR="005624E3" w:rsidRPr="00166EA9">
        <w:rPr>
          <w:lang w:val="es-ES"/>
        </w:rPr>
        <w:tab/>
        <w:t>=</w:t>
      </w:r>
      <w:r w:rsidR="005624E3" w:rsidRPr="00166EA9">
        <w:rPr>
          <w:lang w:val="es-ES"/>
        </w:rPr>
        <w:tab/>
        <w:t xml:space="preserve">550 m a </w:t>
      </w:r>
      <m:oMath>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005624E3" w:rsidRPr="00166EA9">
        <w:rPr>
          <w:lang w:val="es-ES"/>
        </w:rPr>
        <w:t xml:space="preserve"> csökkentésével </w:t>
      </w:r>
      <m:oMath>
        <m:sSup>
          <m:sSupPr>
            <m:ctrlPr>
              <w:rPr>
                <w:rFonts w:ascii="Cambria Math" w:hAnsi="Cambria Math"/>
                <w:i/>
                <w:szCs w:val="20"/>
              </w:rPr>
            </m:ctrlPr>
          </m:sSupPr>
          <m:e>
            <m:r>
              <w:rPr>
                <w:rFonts w:ascii="Cambria Math" w:hAnsi="Cambria Math"/>
                <w:szCs w:val="20"/>
              </w:rPr>
              <m:t>D</m:t>
            </m:r>
          </m:e>
          <m:sup>
            <m:r>
              <w:rPr>
                <w:rFonts w:ascii="Cambria Math" w:hAnsi="Cambria Math"/>
                <w:szCs w:val="20"/>
                <w:lang w:val="es-ES"/>
              </w:rPr>
              <m:t>*</m:t>
            </m:r>
          </m:sup>
        </m:sSup>
      </m:oMath>
      <w:r w:rsidR="005624E3" w:rsidRPr="00166EA9">
        <w:rPr>
          <w:lang w:val="es-ES"/>
        </w:rPr>
        <w:t>-re.</w:t>
      </w:r>
    </w:p>
    <w:p w:rsidR="005624E3" w:rsidRPr="00166EA9" w:rsidRDefault="005624E3" w:rsidP="005624E3">
      <w:pPr>
        <w:tabs>
          <w:tab w:val="left" w:pos="454"/>
        </w:tabs>
        <w:overflowPunct w:val="0"/>
        <w:adjustRightInd w:val="0"/>
        <w:spacing w:line="240" w:lineRule="atLeast"/>
        <w:ind w:left="454" w:hanging="454"/>
        <w:textAlignment w:val="baseline"/>
        <w:rPr>
          <w:szCs w:val="20"/>
          <w:lang w:val="es-ES"/>
        </w:rPr>
      </w:pPr>
    </w:p>
    <w:p w:rsidR="005624E3" w:rsidRPr="00166EA9" w:rsidRDefault="005624E3" w:rsidP="005624E3">
      <w:pPr>
        <w:tabs>
          <w:tab w:val="left" w:pos="454"/>
        </w:tabs>
        <w:overflowPunct w:val="0"/>
        <w:adjustRightInd w:val="0"/>
        <w:spacing w:line="240" w:lineRule="atLeast"/>
        <w:ind w:left="454" w:hanging="454"/>
        <w:textAlignment w:val="baseline"/>
        <w:rPr>
          <w:szCs w:val="20"/>
          <w:lang w:val="es-ES"/>
        </w:rPr>
      </w:pPr>
    </w:p>
    <w:p w:rsidR="005624E3" w:rsidRPr="00166EA9" w:rsidRDefault="005624E3" w:rsidP="005624E3">
      <w:pPr>
        <w:spacing w:line="240" w:lineRule="atLeast"/>
        <w:ind w:left="567" w:hanging="567"/>
        <w:rPr>
          <w:rFonts w:cs="Arial"/>
          <w:b/>
          <w:color w:val="000000"/>
          <w:szCs w:val="20"/>
          <w:lang w:val="es-ES"/>
        </w:rPr>
      </w:pPr>
      <w:r w:rsidRPr="00166EA9">
        <w:rPr>
          <w:b/>
          <w:color w:val="000000"/>
          <w:lang w:val="es-ES"/>
        </w:rPr>
        <w:t>4.1.</w:t>
      </w:r>
      <w:r w:rsidRPr="00166EA9">
        <w:rPr>
          <w:lang w:val="es-ES"/>
        </w:rPr>
        <w:tab/>
      </w:r>
      <w:r w:rsidRPr="00166EA9">
        <w:rPr>
          <w:b/>
          <w:color w:val="000000"/>
          <w:lang w:val="es-ES"/>
        </w:rPr>
        <w:t>A számításhoz használt, 2. melléklet szerinti együtthatók</w:t>
      </w:r>
    </w:p>
    <w:p w:rsidR="005624E3" w:rsidRPr="00166EA9" w:rsidRDefault="005624E3" w:rsidP="005624E3">
      <w:pPr>
        <w:tabs>
          <w:tab w:val="left" w:pos="284"/>
          <w:tab w:val="left" w:pos="567"/>
        </w:tabs>
        <w:overflowPunct w:val="0"/>
        <w:adjustRightInd w:val="0"/>
        <w:spacing w:line="240" w:lineRule="exact"/>
        <w:ind w:left="284" w:hanging="284"/>
        <w:textAlignment w:val="baseline"/>
        <w:rPr>
          <w:szCs w:val="20"/>
          <w:lang w:val="es-ES"/>
        </w:rPr>
      </w:pPr>
    </w:p>
    <w:p w:rsidR="005624E3" w:rsidRPr="00166EA9" w:rsidRDefault="005624E3" w:rsidP="005624E3">
      <w:pPr>
        <w:tabs>
          <w:tab w:val="left" w:pos="567"/>
        </w:tabs>
        <w:overflowPunct w:val="0"/>
        <w:adjustRightInd w:val="0"/>
        <w:spacing w:line="240" w:lineRule="atLeast"/>
        <w:ind w:left="567"/>
        <w:textAlignment w:val="baseline"/>
        <w:rPr>
          <w:szCs w:val="20"/>
          <w:lang w:val="es-ES"/>
        </w:rPr>
      </w:pPr>
      <w:r w:rsidRPr="00166EA9">
        <w:rPr>
          <w:lang w:val="es-ES"/>
        </w:rPr>
        <w:t>1. táblázat</w:t>
      </w:r>
    </w:p>
    <w:p w:rsidR="005624E3" w:rsidRPr="00166EA9" w:rsidRDefault="005624E3" w:rsidP="005624E3">
      <w:pPr>
        <w:tabs>
          <w:tab w:val="left" w:pos="0"/>
          <w:tab w:val="left" w:pos="284"/>
        </w:tabs>
        <w:overflowPunct w:val="0"/>
        <w:adjustRightInd w:val="0"/>
        <w:spacing w:line="240" w:lineRule="exact"/>
        <w:ind w:left="284" w:hanging="284"/>
        <w:textAlignment w:val="baseline"/>
        <w:rPr>
          <w:szCs w:val="20"/>
          <w:lang w:val="es-ES"/>
        </w:rPr>
      </w:pPr>
    </w:p>
    <w:p w:rsidR="005624E3" w:rsidRPr="00166EA9" w:rsidRDefault="005624E3" w:rsidP="005624E3">
      <w:pPr>
        <w:tabs>
          <w:tab w:val="left" w:pos="567"/>
          <w:tab w:val="left" w:pos="2694"/>
          <w:tab w:val="left" w:pos="3119"/>
          <w:tab w:val="left" w:pos="3544"/>
        </w:tabs>
        <w:overflowPunct w:val="0"/>
        <w:adjustRightInd w:val="0"/>
        <w:spacing w:line="240" w:lineRule="atLeast"/>
        <w:ind w:left="567"/>
        <w:textAlignment w:val="baseline"/>
        <w:rPr>
          <w:szCs w:val="20"/>
          <w:lang w:val="es-ES"/>
        </w:rPr>
      </w:pPr>
      <w:r w:rsidRPr="00166EA9">
        <w:rPr>
          <w:lang w:val="es-ES"/>
        </w:rPr>
        <w:t xml:space="preserve">a következő kiszámításához: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rsidRPr="00166EA9">
        <w:rPr>
          <w:lang w:val="es-ES"/>
        </w:rPr>
        <w:t xml:space="preserve"> és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oMath>
      <w:r w:rsidRPr="00166EA9">
        <w:rPr>
          <w:lang w:val="es-ES"/>
        </w:rPr>
        <w:t xml:space="preserve"> </w:t>
      </w:r>
      <w:r w:rsidRPr="00166EA9">
        <w:rPr>
          <w:lang w:val="es-ES"/>
        </w:rP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es-ES"/>
              </w:rPr>
              <m:t>1</m:t>
            </m:r>
          </m:sub>
        </m:sSub>
      </m:oMath>
      <w:r w:rsidRPr="00166EA9">
        <w:rPr>
          <w:lang w:val="es-ES"/>
        </w:rPr>
        <w:tab/>
        <w:t>=</w:t>
      </w:r>
      <w:r w:rsidRPr="00166EA9">
        <w:rPr>
          <w:lang w:val="es-ES"/>
        </w:rPr>
        <w:tab/>
        <w:t>0,95</w:t>
      </w:r>
    </w:p>
    <w:p w:rsidR="005624E3" w:rsidRPr="00166EA9" w:rsidRDefault="005624E3" w:rsidP="005624E3">
      <w:pPr>
        <w:tabs>
          <w:tab w:val="left" w:pos="567"/>
        </w:tabs>
        <w:overflowPunct w:val="0"/>
        <w:adjustRightInd w:val="0"/>
        <w:spacing w:line="240" w:lineRule="atLeast"/>
        <w:ind w:left="567"/>
        <w:textAlignment w:val="baseline"/>
        <w:rPr>
          <w:szCs w:val="20"/>
          <w:lang w:val="es-ES"/>
        </w:rPr>
      </w:pPr>
    </w:p>
    <w:p w:rsidR="005624E3" w:rsidRPr="00166EA9" w:rsidRDefault="005624E3" w:rsidP="005624E3">
      <w:pPr>
        <w:tabs>
          <w:tab w:val="left" w:pos="567"/>
        </w:tabs>
        <w:overflowPunct w:val="0"/>
        <w:adjustRightInd w:val="0"/>
        <w:spacing w:line="240" w:lineRule="atLeast"/>
        <w:ind w:left="567"/>
        <w:textAlignment w:val="baseline"/>
        <w:rPr>
          <w:szCs w:val="20"/>
          <w:lang w:val="es-ES"/>
        </w:rPr>
      </w:pPr>
      <w:r w:rsidRPr="00166EA9">
        <w:rPr>
          <w:lang w:val="es-ES"/>
        </w:rPr>
        <w:t xml:space="preserve">a következő kiszámításához: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rsidRPr="00166EA9">
        <w:rPr>
          <w:lang w:val="es-ES"/>
        </w:rPr>
        <w:t xml:space="preserve"> és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SOLL</m:t>
            </m:r>
          </m:sub>
        </m:sSub>
      </m:oMath>
    </w:p>
    <w:p w:rsidR="005624E3" w:rsidRPr="00166EA9" w:rsidRDefault="003142CA" w:rsidP="005624E3">
      <w:pPr>
        <w:tabs>
          <w:tab w:val="left" w:pos="2694"/>
          <w:tab w:val="left" w:pos="3119"/>
          <w:tab w:val="left" w:pos="3544"/>
        </w:tabs>
        <w:overflowPunct w:val="0"/>
        <w:adjustRightInd w:val="0"/>
        <w:spacing w:line="240" w:lineRule="atLeast"/>
        <w:ind w:left="2694"/>
        <w:textAlignment w:val="baseline"/>
        <w:rPr>
          <w:szCs w:val="20"/>
          <w:lang w:val="es-ES"/>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es-ES"/>
              </w:rPr>
              <m:t>2</m:t>
            </m:r>
          </m:sub>
        </m:sSub>
      </m:oMath>
      <w:r w:rsidR="005624E3" w:rsidRPr="00166EA9">
        <w:rPr>
          <w:lang w:val="es-ES"/>
        </w:rPr>
        <w:tab/>
        <w:t>=</w:t>
      </w:r>
      <w:r w:rsidR="005624E3" w:rsidRPr="00166EA9">
        <w:rPr>
          <w:lang w:val="es-ES"/>
        </w:rPr>
        <w:tab/>
        <w:t>0,12</w:t>
      </w:r>
    </w:p>
    <w:p w:rsidR="005624E3" w:rsidRPr="00166EA9" w:rsidRDefault="003142CA" w:rsidP="005624E3">
      <w:pPr>
        <w:tabs>
          <w:tab w:val="left" w:pos="2694"/>
          <w:tab w:val="left" w:pos="3119"/>
          <w:tab w:val="left" w:pos="3544"/>
        </w:tabs>
        <w:overflowPunct w:val="0"/>
        <w:adjustRightInd w:val="0"/>
        <w:spacing w:line="240" w:lineRule="atLeast"/>
        <w:ind w:left="2694"/>
        <w:textAlignment w:val="baseline"/>
        <w:rPr>
          <w:szCs w:val="20"/>
          <w:lang w:val="es-ES"/>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es-ES"/>
              </w:rPr>
              <m:t>3</m:t>
            </m:r>
          </m:sub>
        </m:sSub>
      </m:oMath>
      <w:r w:rsidR="005624E3" w:rsidRPr="00166EA9">
        <w:rPr>
          <w:lang w:val="es-ES"/>
        </w:rPr>
        <w:tab/>
        <w:t>=</w:t>
      </w:r>
      <w:r w:rsidR="005624E3" w:rsidRPr="00166EA9">
        <w:rPr>
          <w:lang w:val="es-ES"/>
        </w:rPr>
        <w:tab/>
        <w:t>1,15</w:t>
      </w:r>
    </w:p>
    <w:p w:rsidR="005624E3" w:rsidRPr="00166EA9" w:rsidRDefault="003142CA" w:rsidP="005624E3">
      <w:pPr>
        <w:tabs>
          <w:tab w:val="left" w:pos="2694"/>
          <w:tab w:val="left" w:pos="3119"/>
          <w:tab w:val="left" w:pos="3544"/>
        </w:tabs>
        <w:overflowPunct w:val="0"/>
        <w:adjustRightInd w:val="0"/>
        <w:spacing w:line="240" w:lineRule="atLeast"/>
        <w:ind w:left="2694"/>
        <w:textAlignment w:val="baseline"/>
        <w:rPr>
          <w:szCs w:val="20"/>
          <w:lang w:val="es-ES"/>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es-ES"/>
              </w:rPr>
              <m:t>4</m:t>
            </m:r>
          </m:sub>
        </m:sSub>
      </m:oMath>
      <w:r w:rsidR="005624E3" w:rsidRPr="00166EA9">
        <w:rPr>
          <w:lang w:val="es-ES"/>
        </w:rPr>
        <w:tab/>
        <w:t>=</w:t>
      </w:r>
      <w:r w:rsidR="005624E3" w:rsidRPr="00166EA9">
        <w:rPr>
          <w:lang w:val="es-ES"/>
        </w:rPr>
        <w:tab/>
        <w:t>0,48</w:t>
      </w:r>
    </w:p>
    <w:p w:rsidR="005624E3" w:rsidRPr="00166EA9" w:rsidRDefault="003142CA" w:rsidP="005624E3">
      <w:pPr>
        <w:tabs>
          <w:tab w:val="left" w:pos="2694"/>
          <w:tab w:val="left" w:pos="3119"/>
          <w:tab w:val="left" w:pos="3544"/>
        </w:tabs>
        <w:overflowPunct w:val="0"/>
        <w:adjustRightInd w:val="0"/>
        <w:spacing w:line="240" w:lineRule="atLeast"/>
        <w:ind w:left="2694"/>
        <w:textAlignment w:val="baseline"/>
        <w:rPr>
          <w:szCs w:val="20"/>
          <w:lang w:val="es-ES"/>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es-ES"/>
              </w:rPr>
              <m:t>6</m:t>
            </m:r>
          </m:sub>
        </m:sSub>
      </m:oMath>
      <w:r w:rsidR="005624E3" w:rsidRPr="00166EA9">
        <w:rPr>
          <w:lang w:val="es-ES"/>
        </w:rPr>
        <w:tab/>
        <w:t>=</w:t>
      </w:r>
      <w:r w:rsidR="005624E3" w:rsidRPr="00166EA9">
        <w:rPr>
          <w:lang w:val="es-ES"/>
        </w:rPr>
        <w:tab/>
        <w:t>0,85</w:t>
      </w:r>
    </w:p>
    <w:p w:rsidR="005624E3" w:rsidRPr="00166EA9" w:rsidRDefault="003142CA" w:rsidP="005624E3">
      <w:pPr>
        <w:tabs>
          <w:tab w:val="left" w:pos="2694"/>
          <w:tab w:val="left" w:pos="3119"/>
          <w:tab w:val="left" w:pos="3544"/>
        </w:tabs>
        <w:overflowPunct w:val="0"/>
        <w:adjustRightInd w:val="0"/>
        <w:spacing w:line="240" w:lineRule="atLeast"/>
        <w:ind w:left="2694"/>
        <w:textAlignment w:val="baseline"/>
        <w:rPr>
          <w:szCs w:val="20"/>
          <w:lang w:val="es-ES"/>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es-ES"/>
              </w:rPr>
              <m:t>7</m:t>
            </m:r>
          </m:sub>
        </m:sSub>
      </m:oMath>
      <w:r w:rsidR="005624E3" w:rsidRPr="00166EA9">
        <w:rPr>
          <w:lang w:val="es-ES"/>
        </w:rPr>
        <w:tab/>
        <w:t>=</w:t>
      </w:r>
      <w:r w:rsidR="005624E3" w:rsidRPr="00166EA9">
        <w:rPr>
          <w:lang w:val="es-ES"/>
        </w:rPr>
        <w:tab/>
        <w:t>0,55</w:t>
      </w:r>
    </w:p>
    <w:p w:rsidR="005624E3" w:rsidRPr="00166EA9" w:rsidRDefault="005624E3" w:rsidP="005624E3">
      <w:pPr>
        <w:tabs>
          <w:tab w:val="left" w:pos="454"/>
        </w:tabs>
        <w:overflowPunct w:val="0"/>
        <w:adjustRightInd w:val="0"/>
        <w:spacing w:line="240" w:lineRule="exact"/>
        <w:ind w:left="454" w:hanging="454"/>
        <w:textAlignment w:val="baseline"/>
        <w:rPr>
          <w:szCs w:val="20"/>
          <w:lang w:val="es-ES"/>
        </w:rPr>
      </w:pPr>
    </w:p>
    <w:p w:rsidR="005624E3" w:rsidRPr="00166EA9" w:rsidRDefault="005624E3" w:rsidP="005624E3">
      <w:pPr>
        <w:tabs>
          <w:tab w:val="left" w:pos="567"/>
        </w:tabs>
        <w:overflowPunct w:val="0"/>
        <w:adjustRightInd w:val="0"/>
        <w:spacing w:line="240" w:lineRule="atLeast"/>
        <w:ind w:left="567"/>
        <w:textAlignment w:val="baseline"/>
        <w:rPr>
          <w:szCs w:val="20"/>
          <w:lang w:val="es-ES"/>
        </w:rPr>
      </w:pPr>
      <w:r w:rsidRPr="00166EA9">
        <w:rPr>
          <w:lang w:val="es-ES"/>
        </w:rPr>
        <w:t>2. táblázat (lekerekített kilépő peremű, új típusú gyűrű esetében)</w:t>
      </w:r>
    </w:p>
    <w:p w:rsidR="005624E3" w:rsidRPr="00166EA9" w:rsidRDefault="005624E3" w:rsidP="005624E3">
      <w:pPr>
        <w:tabs>
          <w:tab w:val="left" w:pos="567"/>
        </w:tabs>
        <w:overflowPunct w:val="0"/>
        <w:adjustRightInd w:val="0"/>
        <w:spacing w:line="240" w:lineRule="atLeast"/>
        <w:ind w:left="567"/>
        <w:textAlignment w:val="baseline"/>
        <w:rPr>
          <w:szCs w:val="20"/>
          <w:lang w:val="es-ES"/>
        </w:rPr>
      </w:pPr>
    </w:p>
    <w:p w:rsidR="005624E3" w:rsidRPr="00166EA9" w:rsidRDefault="005624E3" w:rsidP="005624E3">
      <w:pPr>
        <w:tabs>
          <w:tab w:val="left" w:pos="567"/>
        </w:tabs>
        <w:overflowPunct w:val="0"/>
        <w:adjustRightInd w:val="0"/>
        <w:spacing w:line="240" w:lineRule="atLeast"/>
        <w:ind w:left="567"/>
        <w:textAlignment w:val="baseline"/>
        <w:rPr>
          <w:szCs w:val="20"/>
          <w:lang w:val="es-ES"/>
        </w:rPr>
      </w:pPr>
      <m:oMath>
        <m:r>
          <w:rPr>
            <w:rFonts w:ascii="Cambria Math" w:hAnsi="Cambria Math"/>
            <w:szCs w:val="20"/>
          </w:rPr>
          <m:t>f</m:t>
        </m:r>
      </m:oMath>
      <w:r w:rsidRPr="00166EA9">
        <w:rPr>
          <w:lang w:val="es-ES"/>
        </w:rPr>
        <w:t xml:space="preserve"> = 0,118</w:t>
      </w:r>
    </w:p>
    <w:p w:rsidR="005624E3" w:rsidRPr="00166EA9" w:rsidRDefault="005624E3" w:rsidP="005624E3">
      <w:pPr>
        <w:tabs>
          <w:tab w:val="left" w:pos="454"/>
        </w:tabs>
        <w:overflowPunct w:val="0"/>
        <w:adjustRightInd w:val="0"/>
        <w:spacing w:line="240" w:lineRule="exact"/>
        <w:ind w:left="454" w:hanging="454"/>
        <w:textAlignment w:val="baseline"/>
        <w:rPr>
          <w:szCs w:val="20"/>
          <w:lang w:val="es-ES"/>
        </w:rPr>
      </w:pPr>
    </w:p>
    <w:p w:rsidR="005624E3" w:rsidRPr="00166EA9" w:rsidRDefault="005624E3" w:rsidP="005624E3">
      <w:pPr>
        <w:tabs>
          <w:tab w:val="left" w:pos="454"/>
        </w:tabs>
        <w:overflowPunct w:val="0"/>
        <w:adjustRightInd w:val="0"/>
        <w:spacing w:line="240" w:lineRule="exact"/>
        <w:ind w:left="454" w:hanging="454"/>
        <w:textAlignment w:val="baseline"/>
        <w:rPr>
          <w:szCs w:val="20"/>
          <w:lang w:val="es-ES"/>
        </w:rPr>
      </w:pPr>
      <w:r w:rsidRPr="00166EA9">
        <w:rPr>
          <w:lang w:val="es-ES"/>
        </w:rPr>
        <w:br w:type="page"/>
      </w:r>
    </w:p>
    <w:p w:rsidR="005624E3" w:rsidRPr="00166EA9" w:rsidRDefault="005624E3" w:rsidP="005624E3">
      <w:pPr>
        <w:spacing w:line="240" w:lineRule="atLeast"/>
        <w:ind w:left="567" w:hanging="567"/>
        <w:rPr>
          <w:rFonts w:cs="Arial"/>
          <w:b/>
          <w:color w:val="000000"/>
          <w:szCs w:val="20"/>
          <w:lang w:val="es-ES"/>
        </w:rPr>
      </w:pPr>
      <w:r w:rsidRPr="00166EA9">
        <w:rPr>
          <w:b/>
          <w:color w:val="000000"/>
          <w:lang w:val="es-ES"/>
        </w:rPr>
        <w:t>4.2.</w:t>
      </w:r>
      <w:r w:rsidRPr="00166EA9">
        <w:rPr>
          <w:lang w:val="es-ES"/>
        </w:rPr>
        <w:tab/>
      </w:r>
      <w:r w:rsidRPr="00166EA9">
        <w:rPr>
          <w:b/>
          <w:color w:val="000000"/>
          <w:lang w:val="es-ES"/>
        </w:rPr>
        <w:t xml:space="preserve">A következő kiszámítása: </w:t>
      </w:r>
      <m:oMath>
        <m:sSub>
          <m:sSubPr>
            <m:ctrlPr>
              <w:rPr>
                <w:rFonts w:ascii="Cambria Math" w:hAnsi="Cambria Math" w:cs="Arial"/>
                <w:b/>
                <w:i/>
                <w:noProof/>
                <w:color w:val="000000"/>
                <w:szCs w:val="20"/>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IST</m:t>
            </m:r>
          </m:sub>
        </m:sSub>
      </m:oMath>
    </w:p>
    <w:p w:rsidR="005624E3" w:rsidRPr="00166EA9" w:rsidRDefault="005624E3" w:rsidP="005624E3">
      <w:pPr>
        <w:tabs>
          <w:tab w:val="left" w:pos="454"/>
        </w:tabs>
        <w:overflowPunct w:val="0"/>
        <w:adjustRightInd w:val="0"/>
        <w:spacing w:line="240" w:lineRule="exact"/>
        <w:ind w:left="454" w:hanging="454"/>
        <w:textAlignment w:val="baseline"/>
        <w:rPr>
          <w:szCs w:val="20"/>
          <w:lang w:val="es-ES"/>
        </w:rPr>
      </w:pPr>
    </w:p>
    <w:p w:rsidR="005624E3" w:rsidRPr="00166EA9" w:rsidRDefault="005624E3" w:rsidP="005624E3">
      <w:pPr>
        <w:tabs>
          <w:tab w:val="left" w:pos="992"/>
        </w:tabs>
        <w:overflowPunct w:val="0"/>
        <w:adjustRightInd w:val="0"/>
        <w:spacing w:line="240" w:lineRule="atLeast"/>
        <w:ind w:left="992"/>
        <w:textAlignment w:val="baseline"/>
        <w:rPr>
          <w:szCs w:val="20"/>
          <w:lang w:val="es-ES"/>
        </w:rPr>
      </w:pPr>
      <w:r w:rsidRPr="00166EA9">
        <w:rPr>
          <w:lang w:val="es-ES"/>
        </w:rPr>
        <w:t>a)</w:t>
      </w:r>
      <w:r w:rsidRPr="00166EA9">
        <w:rPr>
          <w:lang w:val="es-ES"/>
        </w:rPr>
        <w:tab/>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rsidRPr="00166EA9">
        <w:rPr>
          <w:lang w:val="es-ES"/>
        </w:rPr>
        <w:t xml:space="preserve"> a megállási manőver során mért értékek felhasználásával</w:t>
      </w:r>
    </w:p>
    <w:p w:rsidR="005624E3" w:rsidRPr="00166EA9" w:rsidRDefault="005624E3" w:rsidP="005624E3">
      <w:pPr>
        <w:tabs>
          <w:tab w:val="left" w:pos="284"/>
          <w:tab w:val="left" w:pos="851"/>
          <w:tab w:val="left" w:pos="1134"/>
          <w:tab w:val="left" w:pos="3261"/>
        </w:tabs>
        <w:overflowPunct w:val="0"/>
        <w:adjustRightInd w:val="0"/>
        <w:spacing w:line="240" w:lineRule="exact"/>
        <w:ind w:left="284" w:hanging="284"/>
        <w:textAlignment w:val="baseline"/>
        <w:rPr>
          <w:szCs w:val="20"/>
          <w:lang w:val="es-ES"/>
        </w:rPr>
      </w:pPr>
    </w:p>
    <w:p w:rsidR="005624E3" w:rsidRPr="00921ED0" w:rsidRDefault="003142CA" w:rsidP="005624E3">
      <w:pPr>
        <w:overflowPunct w:val="0"/>
        <w:adjustRightInd w:val="0"/>
        <w:spacing w:line="240" w:lineRule="atLeast"/>
        <w:ind w:left="993"/>
        <w:textAlignment w:val="baseline"/>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1</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t</m:t>
              </m:r>
            </m:e>
            <m:sub>
              <m:sSub>
                <m:sSubPr>
                  <m:ctrlPr>
                    <w:rPr>
                      <w:rFonts w:ascii="Cambria Math" w:hAnsi="Cambria Math"/>
                      <w:i/>
                      <w:noProof/>
                    </w:rPr>
                  </m:ctrlPr>
                </m:sSubPr>
                <m:e>
                  <m:r>
                    <w:rPr>
                      <w:rFonts w:ascii="Cambria Math" w:hAnsi="Cambria Math"/>
                      <w:noProof/>
                    </w:rPr>
                    <m:t>I</m:t>
                  </m:r>
                </m:e>
                <m:sub>
                  <m:r>
                    <w:rPr>
                      <w:rFonts w:ascii="Cambria Math" w:hAnsi="Cambria Math"/>
                      <w:noProof/>
                    </w:rPr>
                    <m:t>IST</m:t>
                  </m:r>
                </m:sub>
              </m:sSub>
            </m:sub>
          </m:sSub>
        </m:oMath>
      </m:oMathPara>
    </w:p>
    <w:p w:rsidR="005624E3" w:rsidRPr="00921ED0" w:rsidRDefault="003142CA" w:rsidP="005624E3">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=0,95 ∙4,8 ∙16=73 m</m:t>
          </m:r>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b)</w:t>
      </w:r>
      <w:r w:rsidRPr="00921ED0">
        <w:tab/>
        <w:t xml:space="preserve">Képlet a következő kiszámításához: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p>
    <w:p w:rsidR="005624E3" w:rsidRPr="00921ED0" w:rsidRDefault="003142CA" w:rsidP="005624E3">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2</m:t>
              </m:r>
            </m:sub>
          </m:sSub>
          <m:r>
            <w:rPr>
              <w:rFonts w:ascii="Cambria Math" w:hAnsi="Cambria Math"/>
              <w:noProof/>
            </w:rPr>
            <m:t xml:space="preserve"> ∙ </m:t>
          </m:r>
          <m:sSub>
            <m:sSubPr>
              <m:ctrlPr>
                <w:rPr>
                  <w:rFonts w:ascii="Cambria Math" w:hAnsi="Cambria Math"/>
                  <w:i/>
                  <w:noProof/>
                </w:rPr>
              </m:ctrlPr>
            </m:sSubPr>
            <m:e>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r>
                <w:rPr>
                  <w:rFonts w:ascii="Cambria Math" w:hAnsi="Cambria Math"/>
                  <w:noProof/>
                </w:rPr>
                <m:t xml:space="preserve"> ∙g</m:t>
              </m:r>
            </m:num>
            <m:den>
              <m:sSub>
                <m:sSubPr>
                  <m:ctrlPr>
                    <w:rPr>
                      <w:rFonts w:ascii="Cambria Math" w:hAnsi="Cambria Math"/>
                      <w:i/>
                      <w:noProof/>
                    </w:rPr>
                  </m:ctrlPr>
                </m:sSubPr>
                <m:e>
                  <m:r>
                    <w:rPr>
                      <w:rFonts w:ascii="Cambria Math" w:hAnsi="Cambria Math"/>
                      <w:noProof/>
                    </w:rPr>
                    <m:t>k</m:t>
                  </m:r>
                </m:e>
                <m:sub>
                  <m:r>
                    <w:rPr>
                      <w:rFonts w:ascii="Cambria Math" w:hAnsi="Cambria Math"/>
                      <w:noProof/>
                    </w:rPr>
                    <m:t>3</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F</m:t>
                  </m:r>
                </m:e>
                <m:sub>
                  <m:r>
                    <w:rPr>
                      <w:rFonts w:ascii="Cambria Math" w:hAnsi="Cambria Math"/>
                      <w:noProof/>
                    </w:rPr>
                    <m:t>POR</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R</m:t>
                  </m:r>
                </m:e>
                <m:sub>
                  <m:sSub>
                    <m:sSubPr>
                      <m:ctrlPr>
                        <w:rPr>
                          <w:rFonts w:ascii="Cambria Math" w:hAnsi="Cambria Math"/>
                          <w:i/>
                          <w:noProof/>
                        </w:rPr>
                      </m:ctrlPr>
                    </m:sSubPr>
                    <m:e>
                      <m:r>
                        <w:rPr>
                          <w:rFonts w:ascii="Cambria Math" w:hAnsi="Cambria Math"/>
                          <w:noProof/>
                        </w:rPr>
                        <m:t>TmII</m:t>
                      </m:r>
                    </m:e>
                    <m:sub>
                      <m:r>
                        <w:rPr>
                          <w:rFonts w:ascii="Cambria Math" w:hAnsi="Cambria Math"/>
                          <w:noProof/>
                        </w:rPr>
                        <m:t>IST</m:t>
                      </m:r>
                    </m:sub>
                  </m:sSub>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den>
          </m:f>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4</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num>
                <m:den>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sub>
                  </m:sSub>
                </m:den>
              </m:f>
            </m:e>
          </m:d>
        </m:oMath>
      </m:oMathPara>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c)</w:t>
      </w:r>
      <w:r w:rsidRPr="00921ED0">
        <w:tab/>
        <w:t xml:space="preserve">Az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oMath>
      <w:r w:rsidRPr="00921ED0">
        <w:t xml:space="preserve"> kiszámítása a 2. melléklet 3. táblázata és 4.3. képlete szerint</w:t>
      </w:r>
    </w:p>
    <w:p w:rsidR="005624E3" w:rsidRPr="00921ED0" w:rsidRDefault="003142CA" w:rsidP="005624E3">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9568</m:t>
              </m:r>
            </m:e>
            <m:sup>
              <m:r>
                <w:rPr>
                  <w:rFonts w:ascii="Cambria Math" w:hAnsi="Cambria Math"/>
                  <w:szCs w:val="20"/>
                </w:rPr>
                <m:t>1/3</m:t>
              </m:r>
            </m:sup>
          </m:sSup>
          <m:r>
            <w:rPr>
              <w:rFonts w:ascii="Cambria Math" w:hAnsi="Cambria Math"/>
              <w:szCs w:val="20"/>
            </w:rPr>
            <m:t xml:space="preserve">=21,2 </m:t>
          </m:r>
          <m:d>
            <m:dPr>
              <m:begChr m:val="["/>
              <m:endChr m:val="]"/>
              <m:ctrlPr>
                <w:rPr>
                  <w:rFonts w:ascii="Cambria Math" w:hAnsi="Cambria Math"/>
                  <w:i/>
                  <w:szCs w:val="20"/>
                </w:rPr>
              </m:ctrlPr>
            </m:dPr>
            <m:e>
              <m:r>
                <w:rPr>
                  <w:rFonts w:ascii="Cambria Math" w:hAnsi="Cambria Math"/>
                  <w:szCs w:val="20"/>
                </w:rPr>
                <m:t>m</m:t>
              </m:r>
            </m:e>
          </m:d>
        </m:oMath>
      </m:oMathPara>
    </w:p>
    <w:p w:rsidR="005624E3" w:rsidRPr="00921ED0" w:rsidRDefault="003142CA" w:rsidP="005624E3">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d>
            <m:dPr>
              <m:ctrlPr>
                <w:rPr>
                  <w:rFonts w:ascii="Cambria Math" w:hAnsi="Cambria Math"/>
                  <w:i/>
                  <w:szCs w:val="20"/>
                </w:rPr>
              </m:ctrlPr>
            </m:dPr>
            <m:e>
              <m:r>
                <w:rPr>
                  <w:rFonts w:ascii="Cambria Math" w:hAnsi="Cambria Math"/>
                  <w:szCs w:val="20"/>
                </w:rPr>
                <m:t xml:space="preserve">B+2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e>
          </m:d>
          <m:r>
            <w:rPr>
              <w:rFonts w:ascii="Cambria Math" w:hAnsi="Cambria Math"/>
              <w:szCs w:val="20"/>
            </w:rPr>
            <m:t xml:space="preserve">=21,2 ∙ </m:t>
          </m:r>
          <m:d>
            <m:dPr>
              <m:ctrlPr>
                <w:rPr>
                  <w:rFonts w:ascii="Cambria Math" w:hAnsi="Cambria Math"/>
                  <w:i/>
                  <w:szCs w:val="20"/>
                </w:rPr>
              </m:ctrlPr>
            </m:dPr>
            <m:e>
              <m:r>
                <w:rPr>
                  <w:rFonts w:ascii="Cambria Math" w:hAnsi="Cambria Math"/>
                  <w:szCs w:val="20"/>
                </w:rPr>
                <m:t>22,8+5,92</m:t>
              </m:r>
            </m:e>
          </m:d>
          <m:r>
            <w:rPr>
              <w:rFonts w:ascii="Cambria Math" w:hAnsi="Cambria Math"/>
              <w:szCs w:val="20"/>
            </w:rPr>
            <m:t xml:space="preserve">=609 </m:t>
          </m:r>
          <m:d>
            <m:dPr>
              <m:begChr m:val="["/>
              <m:endChr m:val="]"/>
              <m:ctrlPr>
                <w:rPr>
                  <w:rFonts w:ascii="Cambria Math" w:hAnsi="Cambria Math"/>
                  <w:i/>
                  <w:szCs w:val="20"/>
                </w:rPr>
              </m:ctrlPr>
            </m:dPr>
            <m:e>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e>
          </m:d>
        </m:oMath>
      </m:oMathPara>
    </w:p>
    <w:p w:rsidR="005624E3" w:rsidRPr="00921ED0" w:rsidRDefault="005624E3" w:rsidP="005624E3">
      <w:pPr>
        <w:tabs>
          <w:tab w:val="left" w:pos="992"/>
          <w:tab w:val="center" w:pos="2552"/>
          <w:tab w:val="left" w:pos="3119"/>
          <w:tab w:val="left" w:pos="3544"/>
          <w:tab w:val="center" w:pos="4536"/>
        </w:tabs>
        <w:overflowPunct w:val="0"/>
        <w:adjustRightInd w:val="0"/>
        <w:spacing w:line="240" w:lineRule="atLeast"/>
        <w:ind w:left="992" w:firstLine="1"/>
        <w:textAlignment w:val="baseline"/>
        <w:rPr>
          <w:szCs w:val="20"/>
        </w:rPr>
      </w:pPr>
    </w:p>
    <w:p w:rsidR="005624E3" w:rsidRPr="00166EA9" w:rsidRDefault="005624E3" w:rsidP="005624E3">
      <w:pPr>
        <w:tabs>
          <w:tab w:val="left" w:pos="992"/>
          <w:tab w:val="left" w:pos="2410"/>
        </w:tabs>
        <w:overflowPunct w:val="0"/>
        <w:adjustRightInd w:val="0"/>
        <w:spacing w:line="240" w:lineRule="atLeast"/>
        <w:ind w:left="992"/>
        <w:textAlignment w:val="baseline"/>
        <w:rPr>
          <w:szCs w:val="20"/>
          <w:lang w:val="pt-PT"/>
        </w:rPr>
      </w:pPr>
      <w:r w:rsidRPr="00166EA9">
        <w:rPr>
          <w:lang w:val="pt-PT"/>
        </w:rPr>
        <w:t>a 3. táblázatból:</w:t>
      </w:r>
      <w:r w:rsidRPr="00166EA9">
        <w:rPr>
          <w:lang w:val="pt-PT"/>
        </w:rPr>
        <w:tab/>
      </w: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lang w:val="pt-PT"/>
                  </w:rPr>
                  <m:t>2</m:t>
                </m:r>
              </m:sup>
            </m:sSup>
          </m:den>
        </m:f>
        <m:r>
          <w:rPr>
            <w:rFonts w:ascii="Cambria Math" w:hAnsi="Cambria Math"/>
            <w:szCs w:val="20"/>
            <w:lang w:val="pt-PT"/>
          </w:rPr>
          <m:t xml:space="preserve">=14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kN</m:t>
                </m:r>
                <m:r>
                  <w:rPr>
                    <w:rFonts w:ascii="Cambria Math" w:hAnsi="Cambria Math"/>
                    <w:szCs w:val="20"/>
                    <w:lang w:val="pt-PT"/>
                  </w:rPr>
                  <m:t xml:space="preserve"> ∙ </m:t>
                </m:r>
                <m:sSup>
                  <m:sSupPr>
                    <m:ctrlPr>
                      <w:rPr>
                        <w:rFonts w:ascii="Cambria Math" w:hAnsi="Cambria Math"/>
                        <w:i/>
                        <w:szCs w:val="20"/>
                      </w:rPr>
                    </m:ctrlPr>
                  </m:sSupPr>
                  <m:e>
                    <m:r>
                      <w:rPr>
                        <w:rFonts w:ascii="Cambria Math" w:hAnsi="Cambria Math"/>
                        <w:szCs w:val="20"/>
                      </w:rPr>
                      <m:t>s</m:t>
                    </m:r>
                  </m:e>
                  <m:sup>
                    <m:r>
                      <w:rPr>
                        <w:rFonts w:ascii="Cambria Math" w:hAnsi="Cambria Math"/>
                        <w:szCs w:val="20"/>
                        <w:lang w:val="pt-PT"/>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lang w:val="pt-PT"/>
                      </w:rPr>
                      <m:t>2</m:t>
                    </m:r>
                  </m:sup>
                </m:sSup>
              </m:den>
            </m:f>
          </m:e>
        </m:d>
      </m:oMath>
    </w:p>
    <w:p w:rsidR="005624E3" w:rsidRPr="00166EA9" w:rsidRDefault="005624E3" w:rsidP="005624E3">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pt-PT"/>
        </w:rPr>
      </w:pPr>
    </w:p>
    <w:p w:rsidR="005624E3" w:rsidRPr="00921ED0" w:rsidRDefault="003142CA" w:rsidP="005624E3">
      <w:pPr>
        <w:tabs>
          <w:tab w:val="left" w:pos="992"/>
        </w:tabs>
        <w:overflowPunct w:val="0"/>
        <w:adjustRightInd w:val="0"/>
        <w:spacing w:line="240" w:lineRule="atLeast"/>
        <w:ind w:left="992" w:firstLine="1"/>
        <w:textAlignment w:val="baseline"/>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r>
            <w:rPr>
              <w:rFonts w:ascii="Cambria Math" w:hAnsi="Cambria Math"/>
              <w:noProof/>
            </w:rPr>
            <m:t>=4,8-1,4=3,4 m/s</m:t>
          </m:r>
        </m:oMath>
      </m:oMathPara>
    </w:p>
    <w:p w:rsidR="005624E3" w:rsidRPr="00921ED0" w:rsidRDefault="005624E3" w:rsidP="005624E3">
      <w:pPr>
        <w:tabs>
          <w:tab w:val="left" w:pos="992"/>
          <w:tab w:val="center" w:pos="2552"/>
          <w:tab w:val="left" w:pos="3119"/>
          <w:tab w:val="left" w:pos="3544"/>
          <w:tab w:val="center" w:pos="4536"/>
        </w:tabs>
        <w:overflowPunct w:val="0"/>
        <w:adjustRightInd w:val="0"/>
        <w:spacing w:line="240" w:lineRule="atLeast"/>
        <w:ind w:left="992"/>
        <w:textAlignment w:val="baseline"/>
        <w:rPr>
          <w:szCs w:val="20"/>
        </w:rPr>
      </w:pPr>
    </w:p>
    <w:p w:rsidR="005624E3" w:rsidRPr="00921ED0" w:rsidRDefault="003142CA" w:rsidP="005624E3">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num>
            <m:den>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den>
          </m:f>
          <m:r>
            <w:rPr>
              <w:rFonts w:ascii="Cambria Math" w:hAnsi="Cambria Math"/>
              <w:noProof/>
            </w:rPr>
            <m:t xml:space="preserve"> ∙ </m:t>
          </m:r>
          <m:sSup>
            <m:sSupPr>
              <m:ctrlPr>
                <w:rPr>
                  <w:rFonts w:ascii="Cambria Math" w:hAnsi="Cambria Math"/>
                  <w:i/>
                  <w:noProof/>
                </w:rPr>
              </m:ctrlPr>
            </m:sSupPr>
            <m:e>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7</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k</m:t>
                      </m:r>
                    </m:e>
                    <m:sub>
                      <m:r>
                        <w:rPr>
                          <w:rFonts w:ascii="Cambria Math" w:hAnsi="Cambria Math"/>
                          <w:noProof/>
                        </w:rPr>
                        <m:t>6</m:t>
                      </m:r>
                    </m:sub>
                  </m:sSub>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e>
                  </m:d>
                </m:e>
              </m:d>
            </m:e>
            <m:sup>
              <m:r>
                <w:rPr>
                  <w:rFonts w:ascii="Cambria Math" w:hAnsi="Cambria Math"/>
                  <w:noProof/>
                </w:rPr>
                <m:t>2</m:t>
              </m:r>
            </m:sup>
          </m:sSup>
          <m:r>
            <w:rPr>
              <w:rFonts w:ascii="Cambria Math" w:hAnsi="Cambria Math"/>
              <w:noProof/>
            </w:rPr>
            <m:t xml:space="preserve">= 14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∙3,4</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35,4 </m:t>
          </m:r>
          <m:d>
            <m:dPr>
              <m:begChr m:val="["/>
              <m:endChr m:val="]"/>
              <m:ctrlPr>
                <w:rPr>
                  <w:rFonts w:ascii="Cambria Math" w:hAnsi="Cambria Math"/>
                  <w:b/>
                  <w:i/>
                  <w:noProof/>
                </w:rPr>
              </m:ctrlPr>
            </m:dPr>
            <m:e>
              <m:r>
                <m:rPr>
                  <m:sty m:val="bi"/>
                </m:rPr>
                <w:rPr>
                  <w:rFonts w:ascii="Cambria Math" w:hAnsi="Cambria Math"/>
                  <w:noProof/>
                </w:rPr>
                <m:t>kN</m:t>
              </m:r>
            </m:e>
          </m:d>
        </m:oMath>
      </m:oMathPara>
    </w:p>
    <w:p w:rsidR="005624E3" w:rsidRPr="00921ED0" w:rsidRDefault="005624E3" w:rsidP="005624E3">
      <w:pPr>
        <w:tabs>
          <w:tab w:val="left" w:pos="284"/>
          <w:tab w:val="left" w:pos="454"/>
        </w:tabs>
        <w:overflowPunct w:val="0"/>
        <w:adjustRightInd w:val="0"/>
        <w:spacing w:line="240" w:lineRule="atLeast"/>
        <w:ind w:left="284" w:hanging="284"/>
        <w:textAlignment w:val="baseline"/>
        <w:rPr>
          <w:szCs w:val="20"/>
        </w:rPr>
      </w:pP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d)</w:t>
      </w:r>
      <w:r w:rsidRPr="00921ED0">
        <w:tab/>
        <w:t xml:space="preserve">Az </w:t>
      </w: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oMath>
      <w:r w:rsidRPr="00921ED0">
        <w:t xml:space="preserve"> lejtési ellenállás kiszámítása a 2. melléklet 4.4. képlete szerint</w:t>
      </w: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3142CA" w:rsidP="005624E3">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r>
            <w:rPr>
              <w:rFonts w:ascii="Cambria Math" w:hAnsi="Cambria Math"/>
              <w:sz w:val="16"/>
              <w:szCs w:val="20"/>
            </w:rPr>
            <m:t xml:space="preserve"> </m:t>
          </m:r>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 </m:t>
          </m:r>
          <m:d>
            <m:dPr>
              <m:ctrlPr>
                <w:rPr>
                  <w:rFonts w:ascii="Cambria Math" w:hAnsi="Cambria Math"/>
                  <w:i/>
                  <w:szCs w:val="20"/>
                </w:rPr>
              </m:ctrlPr>
            </m:dPr>
            <m:e>
              <m:r>
                <w:rPr>
                  <w:rFonts w:ascii="Cambria Math" w:hAnsi="Cambria Math"/>
                  <w:szCs w:val="20"/>
                </w:rPr>
                <m:t xml:space="preserve">0,16 ∙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 ∙ ρ ∙g</m:t>
              </m:r>
            </m:e>
          </m:d>
          <m:r>
            <w:rPr>
              <w:rFonts w:ascii="Cambria Math" w:hAnsi="Cambria Math"/>
              <w:szCs w:val="20"/>
            </w:rPr>
            <m:t>=</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m:t>
          </m:r>
          <m:d>
            <m:dPr>
              <m:ctrlPr>
                <w:rPr>
                  <w:rFonts w:ascii="Cambria Math" w:hAnsi="Cambria Math"/>
                  <w:i/>
                  <w:szCs w:val="20"/>
                </w:rPr>
              </m:ctrlPr>
            </m:dPr>
            <m:e>
              <m:r>
                <w:rPr>
                  <w:rFonts w:ascii="Cambria Math" w:hAnsi="Cambria Math"/>
                  <w:szCs w:val="20"/>
                </w:rPr>
                <m:t>0,16 ∙</m:t>
              </m:r>
              <m:r>
                <m:rPr>
                  <m:sty m:val="bi"/>
                </m:rPr>
                <w:rPr>
                  <w:rFonts w:ascii="Cambria Math" w:hAnsi="Cambria Math"/>
                  <w:position w:val="6"/>
                  <w:szCs w:val="20"/>
                </w:rPr>
                <m:t xml:space="preserve"> </m:t>
              </m:r>
              <m:r>
                <w:rPr>
                  <w:rFonts w:ascii="Cambria Math" w:hAnsi="Cambria Math"/>
                  <w:szCs w:val="20"/>
                </w:rPr>
                <m:t>9568 ∙ 1000 ∙ 9,81</m:t>
              </m:r>
            </m:e>
          </m:d>
          <m:r>
            <w:rPr>
              <w:rFonts w:ascii="Cambria Math" w:hAnsi="Cambria Math"/>
              <w:szCs w:val="20"/>
            </w:rPr>
            <m:t xml:space="preserve">= </m:t>
          </m:r>
          <m:r>
            <m:rPr>
              <m:sty m:val="bi"/>
            </m:rPr>
            <w:rPr>
              <w:rFonts w:ascii="Cambria Math" w:hAnsi="Cambria Math"/>
              <w:szCs w:val="20"/>
              <w:u w:val="single"/>
            </w:rPr>
            <m:t>15,02</m:t>
          </m:r>
          <m:r>
            <m:rPr>
              <m:sty m:val="bi"/>
            </m:rPr>
            <w:rPr>
              <w:rFonts w:ascii="Cambria Math" w:hAnsi="Cambria Math"/>
              <w:szCs w:val="20"/>
            </w:rPr>
            <m:t xml:space="preserve">  [kN]</m:t>
          </m:r>
        </m:oMath>
      </m:oMathPara>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e)</w:t>
      </w:r>
      <w:r w:rsidRPr="00921ED0">
        <w:tab/>
        <w:t xml:space="preserve">A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rsidRPr="00921ED0">
        <w:t xml:space="preserve"> kiszámítása a 2. melléklet 4.5. képlete szerint</w:t>
      </w: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3142CA" w:rsidP="005624E3">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IST</m:t>
                      </m:r>
                    </m:sub>
                  </m:sSub>
                </m:sub>
              </m:sSub>
            </m:e>
          </m:d>
          <m:r>
            <w:rPr>
              <w:rFonts w:ascii="Cambria Math" w:hAnsi="Cambria Math"/>
              <w:szCs w:val="20"/>
            </w:rPr>
            <m:t xml:space="preserve">= 2,89 </m:t>
          </m:r>
          <m:d>
            <m:dPr>
              <m:begChr m:val="["/>
              <m:endChr m:val="]"/>
              <m:ctrlPr>
                <w:rPr>
                  <w:rFonts w:ascii="Cambria Math" w:hAnsi="Cambria Math"/>
                  <w:i/>
                  <w:szCs w:val="20"/>
                </w:rPr>
              </m:ctrlPr>
            </m:dPr>
            <m:e>
              <m:r>
                <w:rPr>
                  <w:rFonts w:ascii="Cambria Math" w:hAnsi="Cambria Math"/>
                  <w:szCs w:val="20"/>
                </w:rPr>
                <m:t>m/s</m:t>
              </m:r>
            </m:e>
          </m:d>
        </m:oMath>
      </m:oMathPara>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3142CA" w:rsidP="005624E3">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=8,35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m/s</m:t>
                  </m:r>
                </m:e>
              </m:d>
            </m:e>
            <m:sup>
              <m:r>
                <w:rPr>
                  <w:rFonts w:ascii="Cambria Math" w:hAnsi="Cambria Math"/>
                  <w:szCs w:val="20"/>
                </w:rPr>
                <m:t>2</m:t>
              </m:r>
            </m:sup>
          </m:sSup>
        </m:oMath>
      </m:oMathPara>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r w:rsidRPr="00921ED0">
        <w:br w:type="page"/>
      </w: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f)</w:t>
      </w:r>
      <w:r w:rsidRPr="00921ED0">
        <w:tab/>
        <w:t xml:space="preserve">Az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Pr="00921ED0">
        <w:t xml:space="preserve"> kiszámítása a 4.6. képlet és a 2. táblázat szerint</w:t>
      </w: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3142CA" w:rsidP="005624E3">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=0,118 ∙1500=</m:t>
          </m:r>
          <m:r>
            <m:rPr>
              <m:sty m:val="bi"/>
            </m:rPr>
            <w:rPr>
              <w:rFonts w:ascii="Cambria Math" w:hAnsi="Cambria Math"/>
              <w:szCs w:val="20"/>
            </w:rPr>
            <m:t xml:space="preserve">177 </m:t>
          </m:r>
          <m:d>
            <m:dPr>
              <m:begChr m:val="["/>
              <m:endChr m:val="]"/>
              <m:ctrlPr>
                <w:rPr>
                  <w:rFonts w:ascii="Cambria Math" w:hAnsi="Cambria Math"/>
                  <w:b/>
                  <w:i/>
                  <w:szCs w:val="20"/>
                </w:rPr>
              </m:ctrlPr>
            </m:dPr>
            <m:e>
              <m:r>
                <m:rPr>
                  <m:sty m:val="bi"/>
                </m:rPr>
                <w:rPr>
                  <w:rFonts w:ascii="Cambria Math" w:hAnsi="Cambria Math"/>
                  <w:szCs w:val="20"/>
                </w:rPr>
                <m:t>kN</m:t>
              </m:r>
            </m:e>
          </m:d>
        </m:oMath>
      </m:oMathPara>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g)</w:t>
      </w:r>
      <w:r w:rsidRPr="00921ED0">
        <w:tab/>
        <w:t xml:space="preserve">Az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rsidRPr="00921ED0">
        <w:t xml:space="preserve"> kiszámítása a b) képlettel és a c), d), e) és f) eredményeinek felhasználásával </w:t>
      </w:r>
    </w:p>
    <w:p w:rsidR="005624E3" w:rsidRPr="00921ED0" w:rsidRDefault="005624E3" w:rsidP="005624E3">
      <w:pPr>
        <w:tabs>
          <w:tab w:val="left" w:pos="284"/>
          <w:tab w:val="left" w:pos="454"/>
        </w:tabs>
        <w:overflowPunct w:val="0"/>
        <w:adjustRightInd w:val="0"/>
        <w:spacing w:line="240" w:lineRule="exact"/>
        <w:ind w:left="284" w:hanging="284"/>
        <w:textAlignment w:val="baseline"/>
        <w:rPr>
          <w:szCs w:val="20"/>
        </w:rPr>
      </w:pPr>
    </w:p>
    <w:p w:rsidR="005624E3" w:rsidRPr="00921ED0" w:rsidRDefault="003142CA" w:rsidP="005624E3">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∙8,35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1,4</m:t>
                      </m:r>
                    </m:num>
                    <m:den>
                      <m:r>
                        <w:rPr>
                          <w:rFonts w:ascii="Cambria Math" w:hAnsi="Cambria Math"/>
                          <w:szCs w:val="20"/>
                        </w:rPr>
                        <m:t>2,89</m:t>
                      </m:r>
                    </m:den>
                  </m:f>
                </m:e>
              </m:d>
            </m:num>
            <m:den>
              <m:r>
                <w:rPr>
                  <w:rFonts w:ascii="Cambria Math" w:hAnsi="Cambria Math"/>
                  <w:szCs w:val="20"/>
                </w:rPr>
                <m:t>1,15 ∙177+35,4-15,02</m:t>
              </m:r>
            </m:den>
          </m:f>
          <m:r>
            <w:rPr>
              <w:rFonts w:ascii="Cambria Math" w:hAnsi="Cambria Math"/>
              <w:szCs w:val="20"/>
            </w:rPr>
            <m:t xml:space="preserve"> ∙ 9568</m:t>
          </m:r>
        </m:oMath>
      </m:oMathPara>
    </w:p>
    <w:p w:rsidR="005624E3" w:rsidRPr="00921ED0" w:rsidRDefault="005624E3" w:rsidP="005624E3">
      <w:pPr>
        <w:tabs>
          <w:tab w:val="left" w:pos="1418"/>
        </w:tabs>
        <w:overflowPunct w:val="0"/>
        <w:adjustRightInd w:val="0"/>
        <w:spacing w:line="240" w:lineRule="atLeast"/>
        <w:ind w:left="1417"/>
        <w:textAlignment w:val="baseline"/>
        <w:rPr>
          <w:szCs w:val="20"/>
        </w:rPr>
      </w:pPr>
    </w:p>
    <w:p w:rsidR="005624E3" w:rsidRPr="00921ED0" w:rsidRDefault="003142CA" w:rsidP="005624E3">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m:t>
          </m:r>
          <m:r>
            <m:rPr>
              <m:sty m:val="bi"/>
            </m:rPr>
            <w:rPr>
              <w:rFonts w:ascii="Cambria Math" w:hAnsi="Cambria Math"/>
              <w:szCs w:val="20"/>
            </w:rPr>
            <m:t>402 m</m:t>
          </m:r>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h)</w:t>
      </w:r>
      <w:r w:rsidRPr="00921ED0">
        <w:tab/>
        <w:t>A teljes távolság kiszámítása a 3.1. képlet szerint</w:t>
      </w:r>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921ED0" w:rsidRDefault="003142CA" w:rsidP="005624E3">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IST</m:t>
                  </m:r>
                </m:sub>
              </m:sSub>
            </m:sub>
          </m:sSub>
          <m:r>
            <w:rPr>
              <w:rFonts w:ascii="Cambria Math" w:hAnsi="Cambria Math"/>
              <w:szCs w:val="20"/>
            </w:rPr>
            <m:t>=73+402=</m:t>
          </m:r>
          <m:r>
            <m:rPr>
              <m:sty m:val="bi"/>
            </m:rPr>
            <w:rPr>
              <w:rFonts w:ascii="Cambria Math" w:hAnsi="Cambria Math"/>
              <w:szCs w:val="20"/>
            </w:rPr>
            <m:t>475 m</m:t>
          </m:r>
        </m:oMath>
      </m:oMathPara>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921ED0" w:rsidRDefault="005624E3" w:rsidP="005624E3">
      <w:pPr>
        <w:tabs>
          <w:tab w:val="left" w:pos="567"/>
        </w:tabs>
        <w:overflowPunct w:val="0"/>
        <w:adjustRightInd w:val="0"/>
        <w:spacing w:line="240" w:lineRule="atLeast"/>
        <w:ind w:left="567" w:hanging="567"/>
        <w:textAlignment w:val="baseline"/>
        <w:rPr>
          <w:b/>
          <w:bCs/>
          <w:position w:val="6"/>
          <w:szCs w:val="20"/>
        </w:rPr>
      </w:pPr>
      <w:r w:rsidRPr="00921ED0">
        <w:rPr>
          <w:b/>
        </w:rPr>
        <w:t>4.3.</w:t>
      </w:r>
      <w:r w:rsidRPr="00921ED0">
        <w:tab/>
      </w:r>
      <w:r w:rsidRPr="00921ED0">
        <w:rPr>
          <w:b/>
        </w:rPr>
        <w:t xml:space="preserve">A következő kiszámítása: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567"/>
        </w:tabs>
        <w:overflowPunct w:val="0"/>
        <w:adjustRightInd w:val="0"/>
        <w:spacing w:line="240" w:lineRule="atLeast"/>
        <w:ind w:left="567"/>
        <w:textAlignment w:val="baseline"/>
        <w:rPr>
          <w:szCs w:val="20"/>
        </w:rPr>
      </w:pPr>
      <w:r w:rsidRPr="00921ED0">
        <w:t xml:space="preserve">Kezdeti értékek: </w:t>
      </w:r>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921ED0" w:rsidRDefault="003142CA" w:rsidP="005624E3">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=1,5 m/s  ≈  5,4  km/h</m:t>
        </m:r>
      </m:oMath>
      <w:r w:rsidR="005624E3" w:rsidRPr="00921ED0">
        <w:tab/>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oMath>
      <w:r w:rsidR="005624E3" w:rsidRPr="00921ED0">
        <w:t xml:space="preserve"> =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=9568 </m:t>
        </m:r>
        <m:sSup>
          <m:sSupPr>
            <m:ctrlPr>
              <w:rPr>
                <w:rFonts w:ascii="Cambria Math" w:hAnsi="Cambria Math"/>
                <w:i/>
                <w:szCs w:val="20"/>
              </w:rPr>
            </m:ctrlPr>
          </m:sSupPr>
          <m:e>
            <m:r>
              <w:rPr>
                <w:rFonts w:ascii="Cambria Math" w:hAnsi="Cambria Math"/>
                <w:szCs w:val="20"/>
              </w:rPr>
              <m:t>m</m:t>
            </m:r>
          </m:e>
          <m:sup>
            <m:r>
              <w:rPr>
                <w:rFonts w:ascii="Cambria Math" w:hAnsi="Cambria Math"/>
                <w:szCs w:val="20"/>
              </w:rPr>
              <m:t>3</m:t>
            </m:r>
          </m:sup>
        </m:sSup>
      </m:oMath>
    </w:p>
    <w:p w:rsidR="005624E3" w:rsidRPr="00921ED0" w:rsidRDefault="005624E3" w:rsidP="005624E3">
      <w:pPr>
        <w:tabs>
          <w:tab w:val="left" w:pos="284"/>
          <w:tab w:val="left" w:pos="1418"/>
          <w:tab w:val="left" w:pos="2552"/>
        </w:tabs>
        <w:overflowPunct w:val="0"/>
        <w:adjustRightInd w:val="0"/>
        <w:spacing w:line="240" w:lineRule="exact"/>
        <w:textAlignment w:val="baseline"/>
        <w:rPr>
          <w:szCs w:val="20"/>
        </w:rPr>
      </w:pPr>
    </w:p>
    <w:p w:rsidR="005624E3" w:rsidRPr="00921ED0" w:rsidRDefault="003142CA" w:rsidP="005624E3">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sub>
        </m:sSub>
        <m:r>
          <w:rPr>
            <w:rFonts w:ascii="Cambria Math" w:hAnsi="Cambria Math"/>
            <w:szCs w:val="20"/>
          </w:rPr>
          <m:t>=3,6 m/s  ≈  13  km/h</m:t>
        </m:r>
      </m:oMath>
      <w:r w:rsidR="005624E3" w:rsidRPr="00921ED0">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SOLL</m:t>
            </m:r>
          </m:sub>
        </m:sSub>
      </m:oMath>
      <w:r w:rsidR="005624E3" w:rsidRPr="00921ED0">
        <w:t xml:space="preserve"> =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r>
          <w:rPr>
            <w:rFonts w:ascii="Cambria Math" w:hAnsi="Cambria Math"/>
            <w:szCs w:val="20"/>
          </w:rPr>
          <m:t>=2,96 m</m:t>
        </m:r>
      </m:oMath>
    </w:p>
    <w:p w:rsidR="005624E3" w:rsidRPr="00921ED0" w:rsidRDefault="005624E3" w:rsidP="005624E3">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rPr>
      </w:pPr>
    </w:p>
    <w:p w:rsidR="005624E3" w:rsidRPr="00921ED0" w:rsidRDefault="003142CA" w:rsidP="005624E3">
      <w:pPr>
        <w:tabs>
          <w:tab w:val="left" w:pos="567"/>
        </w:tabs>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=5,1 m/s  ≈  18,4  km/h</m:t>
          </m:r>
        </m:oMath>
      </m:oMathPara>
    </w:p>
    <w:p w:rsidR="005624E3" w:rsidRPr="00921ED0" w:rsidRDefault="005624E3" w:rsidP="005624E3">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rPr>
      </w:pPr>
    </w:p>
    <w:p w:rsidR="005624E3" w:rsidRPr="00166EA9" w:rsidRDefault="005624E3" w:rsidP="005624E3">
      <w:pPr>
        <w:tabs>
          <w:tab w:val="left" w:pos="992"/>
          <w:tab w:val="left" w:pos="1843"/>
          <w:tab w:val="left" w:pos="2127"/>
        </w:tabs>
        <w:overflowPunct w:val="0"/>
        <w:adjustRightInd w:val="0"/>
        <w:spacing w:line="240" w:lineRule="atLeast"/>
        <w:ind w:left="992"/>
        <w:textAlignment w:val="baseline"/>
        <w:rPr>
          <w:szCs w:val="20"/>
          <w:lang w:val="pt-PT"/>
        </w:rPr>
      </w:pPr>
      <w:r w:rsidRPr="00166EA9">
        <w:rPr>
          <w:lang w:val="pt-PT"/>
        </w:rPr>
        <w:t>a)</w:t>
      </w:r>
      <w:r w:rsidRPr="00166EA9">
        <w:rPr>
          <w:lang w:val="pt-PT"/>
        </w:rPr>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lang w:val="pt-PT"/>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t-PT"/>
              </w:rPr>
              <m:t>1</m:t>
            </m:r>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w:p>
    <w:p w:rsidR="005624E3" w:rsidRPr="00166EA9" w:rsidRDefault="005624E3" w:rsidP="005624E3">
      <w:pPr>
        <w:tabs>
          <w:tab w:val="left" w:pos="284"/>
          <w:tab w:val="left" w:pos="851"/>
          <w:tab w:val="left" w:pos="1134"/>
          <w:tab w:val="left" w:pos="3261"/>
        </w:tabs>
        <w:overflowPunct w:val="0"/>
        <w:adjustRightInd w:val="0"/>
        <w:spacing w:line="240" w:lineRule="exact"/>
        <w:ind w:left="284" w:hanging="284"/>
        <w:textAlignment w:val="baseline"/>
        <w:rPr>
          <w:szCs w:val="20"/>
          <w:lang w:val="pt-PT"/>
        </w:rPr>
      </w:pPr>
    </w:p>
    <w:p w:rsidR="005624E3" w:rsidRPr="00921ED0" w:rsidRDefault="003142CA" w:rsidP="005624E3">
      <w:pPr>
        <w:tabs>
          <w:tab w:val="left" w:pos="992"/>
          <w:tab w:val="left" w:pos="1843"/>
          <w:tab w:val="left" w:pos="2127"/>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=0,95 ∙5,1 ∙16=</m:t>
          </m:r>
          <m:r>
            <m:rPr>
              <m:sty m:val="bi"/>
            </m:rPr>
            <w:rPr>
              <w:rFonts w:ascii="Cambria Math" w:hAnsi="Cambria Math"/>
              <w:szCs w:val="20"/>
            </w:rPr>
            <m:t>77,50 m</m:t>
          </m:r>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166EA9" w:rsidRDefault="005624E3" w:rsidP="005624E3">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pl-PL"/>
        </w:rPr>
      </w:pPr>
      <w:r w:rsidRPr="00166EA9">
        <w:rPr>
          <w:lang w:val="pl-PL"/>
        </w:rPr>
        <w:t>b)</w:t>
      </w:r>
      <w:r w:rsidRPr="00166EA9">
        <w:rPr>
          <w:lang w:val="pl-PL"/>
        </w:rPr>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2</m:t>
            </m:r>
          </m:sub>
        </m:sSub>
        <m:r>
          <w:rPr>
            <w:rFonts w:ascii="Cambria Math" w:hAnsi="Cambria Math"/>
            <w:szCs w:val="20"/>
            <w:lang w:val="pl-PL"/>
          </w:rPr>
          <m:t xml:space="preserve"> ∙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lang w:val="pl-PL"/>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l-PL"/>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r>
              <w:rPr>
                <w:rFonts w:ascii="Cambria Math" w:hAnsi="Cambria Math"/>
                <w:szCs w:val="20"/>
                <w:lang w:val="pl-PL"/>
              </w:rPr>
              <m:t xml:space="preserve"> ∙  </m:t>
            </m:r>
            <m:r>
              <w:rPr>
                <w:rFonts w:ascii="Cambria Math" w:hAnsi="Cambria Math"/>
                <w:szCs w:val="20"/>
              </w:rPr>
              <m:t>g</m:t>
            </m:r>
          </m:num>
          <m:den>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3</m:t>
                </m:r>
              </m:sub>
            </m:sSub>
            <m:r>
              <w:rPr>
                <w:rFonts w:ascii="Cambria Math" w:hAnsi="Cambria Math"/>
                <w:szCs w:val="20"/>
                <w:lang w:val="pl-PL"/>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R</m:t>
                </m:r>
              </m:e>
              <m:sub>
                <m:sSub>
                  <m:sSubPr>
                    <m:ctrlPr>
                      <w:rPr>
                        <w:rFonts w:ascii="Cambria Math" w:hAnsi="Cambria Math"/>
                        <w:i/>
                        <w:szCs w:val="20"/>
                      </w:rPr>
                    </m:ctrlPr>
                  </m:sSubPr>
                  <m:e>
                    <m:r>
                      <w:rPr>
                        <w:rFonts w:ascii="Cambria Math" w:hAnsi="Cambria Math"/>
                        <w:szCs w:val="20"/>
                      </w:rPr>
                      <m:t>TmII</m:t>
                    </m:r>
                  </m:e>
                  <m:sub>
                    <m:r>
                      <w:rPr>
                        <w:rFonts w:ascii="Cambria Math" w:hAnsi="Cambria Math"/>
                        <w:szCs w:val="20"/>
                      </w:rPr>
                      <m:t>SOLL</m:t>
                    </m:r>
                  </m:sub>
                </m:sSub>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den>
        </m:f>
        <m:r>
          <w:rPr>
            <w:rFonts w:ascii="Cambria Math" w:hAnsi="Cambria Math"/>
            <w:szCs w:val="20"/>
            <w:lang w:val="pl-PL"/>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4</m:t>
                </m:r>
              </m:sub>
            </m:sSub>
            <m:r>
              <w:rPr>
                <w:rFonts w:ascii="Cambria Math" w:hAnsi="Cambria Math"/>
                <w:szCs w:val="20"/>
                <w:lang w:val="pl-PL"/>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num>
              <m:den>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den>
            </m:f>
          </m:e>
        </m:d>
      </m:oMath>
    </w:p>
    <w:p w:rsidR="005624E3" w:rsidRPr="00166EA9" w:rsidRDefault="005624E3" w:rsidP="005624E3">
      <w:pPr>
        <w:tabs>
          <w:tab w:val="left" w:pos="284"/>
        </w:tabs>
        <w:overflowPunct w:val="0"/>
        <w:adjustRightInd w:val="0"/>
        <w:spacing w:line="240" w:lineRule="exact"/>
        <w:ind w:left="284" w:hanging="284"/>
        <w:textAlignment w:val="baseline"/>
        <w:rPr>
          <w:szCs w:val="20"/>
          <w:lang w:val="pl-PL"/>
        </w:rPr>
      </w:pPr>
    </w:p>
    <w:p w:rsidR="005624E3" w:rsidRPr="00166EA9" w:rsidRDefault="005624E3" w:rsidP="005624E3">
      <w:pPr>
        <w:tabs>
          <w:tab w:val="left" w:pos="284"/>
        </w:tabs>
        <w:overflowPunct w:val="0"/>
        <w:adjustRightInd w:val="0"/>
        <w:spacing w:line="240" w:lineRule="exact"/>
        <w:ind w:left="284" w:hanging="284"/>
        <w:textAlignment w:val="baseline"/>
        <w:rPr>
          <w:szCs w:val="20"/>
          <w:lang w:val="pl-PL"/>
        </w:rPr>
      </w:pPr>
    </w:p>
    <w:p w:rsidR="005624E3" w:rsidRPr="00166EA9" w:rsidRDefault="005624E3" w:rsidP="005624E3">
      <w:pPr>
        <w:tabs>
          <w:tab w:val="left" w:pos="284"/>
        </w:tabs>
        <w:overflowPunct w:val="0"/>
        <w:adjustRightInd w:val="0"/>
        <w:spacing w:line="240" w:lineRule="exact"/>
        <w:ind w:left="284" w:hanging="284"/>
        <w:textAlignment w:val="baseline"/>
        <w:rPr>
          <w:szCs w:val="20"/>
          <w:lang w:val="pl-PL"/>
        </w:rPr>
      </w:pPr>
      <w:r w:rsidRPr="00166EA9">
        <w:rPr>
          <w:lang w:val="pl-PL"/>
        </w:rPr>
        <w:br w:type="page"/>
      </w:r>
    </w:p>
    <w:p w:rsidR="005624E3" w:rsidRPr="00166EA9" w:rsidRDefault="005624E3" w:rsidP="005624E3">
      <w:pPr>
        <w:tabs>
          <w:tab w:val="left" w:pos="992"/>
        </w:tabs>
        <w:overflowPunct w:val="0"/>
        <w:adjustRightInd w:val="0"/>
        <w:spacing w:before="60" w:line="240" w:lineRule="atLeast"/>
        <w:ind w:left="992"/>
        <w:textAlignment w:val="baseline"/>
        <w:rPr>
          <w:szCs w:val="20"/>
          <w:lang w:val="pl-PL"/>
        </w:rPr>
      </w:pPr>
      <w:r w:rsidRPr="00166EA9">
        <w:rPr>
          <w:lang w:val="pl-PL"/>
        </w:rPr>
        <w:t>c)</w:t>
      </w:r>
      <w:r w:rsidRPr="00166EA9">
        <w:rPr>
          <w:lang w:val="pl-PL"/>
        </w:rPr>
        <w:tab/>
        <w:t xml:space="preserve">A következő kiszámítása: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oMath>
    </w:p>
    <w:p w:rsidR="005624E3" w:rsidRPr="00166EA9" w:rsidRDefault="005624E3" w:rsidP="005624E3">
      <w:pPr>
        <w:tabs>
          <w:tab w:val="left" w:pos="284"/>
        </w:tabs>
        <w:overflowPunct w:val="0"/>
        <w:adjustRightInd w:val="0"/>
        <w:spacing w:line="240" w:lineRule="exact"/>
        <w:ind w:left="284" w:hanging="284"/>
        <w:textAlignment w:val="baseline"/>
        <w:rPr>
          <w:szCs w:val="20"/>
          <w:lang w:val="pl-PL"/>
        </w:rPr>
      </w:pPr>
    </w:p>
    <w:p w:rsidR="005624E3" w:rsidRPr="00921ED0" w:rsidRDefault="005624E3" w:rsidP="005624E3">
      <w:pPr>
        <w:tabs>
          <w:tab w:val="left" w:pos="3686"/>
        </w:tabs>
        <w:overflowPunct w:val="0"/>
        <w:adjustRightInd w:val="0"/>
        <w:spacing w:line="240" w:lineRule="atLeast"/>
        <w:ind w:left="993" w:hanging="1"/>
        <w:textAlignment w:val="baseline"/>
        <w:rPr>
          <w:szCs w:val="20"/>
        </w:rPr>
      </w:pPr>
      <w:r w:rsidRPr="00166EA9">
        <w:rPr>
          <w:lang w:val="pl-PL"/>
        </w:rPr>
        <w:tab/>
      </w: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r>
          <w:rPr>
            <w:rFonts w:ascii="Cambria Math" w:hAnsi="Cambria Math"/>
            <w:szCs w:val="20"/>
          </w:rPr>
          <m:t xml:space="preserve">=14,0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w:r w:rsidRPr="00921ED0">
        <w:tab/>
        <w:t xml:space="preserve">a 4.2. pont szerint, mivel </w:t>
      </w:r>
      <m:oMath>
        <m:r>
          <w:rPr>
            <w:rFonts w:ascii="Cambria Math" w:hAnsi="Cambria Math"/>
            <w:szCs w:val="20"/>
          </w:rPr>
          <m:t>B</m:t>
        </m:r>
      </m:oMath>
      <w:r w:rsidRPr="00921ED0">
        <w:t xml:space="preserve">, </w:t>
      </w:r>
      <m:oMath>
        <m:r>
          <w:rPr>
            <w:rFonts w:ascii="Cambria Math" w:hAnsi="Cambria Math"/>
            <w:szCs w:val="20"/>
          </w:rPr>
          <m:t>D</m:t>
        </m:r>
      </m:oMath>
      <w:r w:rsidRPr="00921ED0">
        <w:t xml:space="preserve"> és </w:t>
      </w:r>
      <m:oMath>
        <m:r>
          <w:rPr>
            <w:rFonts w:ascii="Cambria Math" w:hAnsi="Cambria Math"/>
            <w:szCs w:val="20"/>
          </w:rPr>
          <m:t>T</m:t>
        </m:r>
      </m:oMath>
      <w:r w:rsidRPr="00921ED0">
        <w:t xml:space="preserve"> változatlan</w:t>
      </w:r>
    </w:p>
    <w:p w:rsidR="005624E3" w:rsidRPr="00921ED0" w:rsidRDefault="005624E3" w:rsidP="005624E3">
      <w:pPr>
        <w:tabs>
          <w:tab w:val="center" w:pos="3119"/>
        </w:tabs>
        <w:overflowPunct w:val="0"/>
        <w:adjustRightInd w:val="0"/>
        <w:spacing w:line="240" w:lineRule="exact"/>
        <w:textAlignment w:val="baseline"/>
        <w:rPr>
          <w:szCs w:val="20"/>
        </w:rPr>
      </w:pPr>
    </w:p>
    <w:p w:rsidR="005624E3" w:rsidRPr="00921ED0" w:rsidRDefault="003142CA" w:rsidP="005624E3">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 xml:space="preserve">=3,6 </m:t>
          </m:r>
          <m:d>
            <m:dPr>
              <m:begChr m:val="["/>
              <m:endChr m:val="]"/>
              <m:ctrlPr>
                <w:rPr>
                  <w:rFonts w:ascii="Cambria Math" w:hAnsi="Cambria Math"/>
                  <w:i/>
                  <w:szCs w:val="20"/>
                </w:rPr>
              </m:ctrlPr>
            </m:dPr>
            <m:e>
              <m:r>
                <w:rPr>
                  <w:rFonts w:ascii="Cambria Math" w:hAnsi="Cambria Math"/>
                  <w:szCs w:val="20"/>
                </w:rPr>
                <m:t>m/s</m:t>
              </m:r>
            </m:e>
          </m:d>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3142CA" w:rsidP="005624E3">
      <w:pPr>
        <w:overflowPunct w:val="0"/>
        <w:adjustRightInd w:val="0"/>
        <w:spacing w:line="240" w:lineRule="atLeast"/>
        <w:ind w:left="993"/>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r>
            <w:rPr>
              <w:rFonts w:ascii="Cambria Math" w:hAnsi="Cambria Math"/>
              <w:noProof/>
            </w:rPr>
            <m:t xml:space="preserve">= 14,0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∙3,6</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39,6 </m:t>
          </m:r>
          <m:d>
            <m:dPr>
              <m:begChr m:val="["/>
              <m:endChr m:val="]"/>
              <m:ctrlPr>
                <w:rPr>
                  <w:rFonts w:ascii="Cambria Math" w:hAnsi="Cambria Math"/>
                  <w:b/>
                  <w:i/>
                  <w:noProof/>
                </w:rPr>
              </m:ctrlPr>
            </m:dPr>
            <m:e>
              <m:r>
                <m:rPr>
                  <m:sty m:val="bi"/>
                </m:rPr>
                <w:rPr>
                  <w:rFonts w:ascii="Cambria Math" w:hAnsi="Cambria Math"/>
                  <w:noProof/>
                </w:rPr>
                <m:t>kN</m:t>
              </m:r>
            </m:e>
          </m:d>
        </m:oMath>
      </m:oMathPara>
    </w:p>
    <w:p w:rsidR="005624E3" w:rsidRPr="00921ED0" w:rsidRDefault="005624E3" w:rsidP="005624E3">
      <w:pPr>
        <w:tabs>
          <w:tab w:val="left" w:pos="454"/>
          <w:tab w:val="left" w:pos="1418"/>
        </w:tabs>
        <w:overflowPunct w:val="0"/>
        <w:adjustRightInd w:val="0"/>
        <w:spacing w:line="240" w:lineRule="exact"/>
        <w:ind w:left="454" w:hanging="454"/>
        <w:textAlignment w:val="baseline"/>
        <w:rPr>
          <w:szCs w:val="20"/>
        </w:rPr>
      </w:pPr>
    </w:p>
    <w:p w:rsidR="005624E3" w:rsidRPr="00921ED0" w:rsidRDefault="005624E3" w:rsidP="005624E3">
      <w:pPr>
        <w:tabs>
          <w:tab w:val="left" w:pos="992"/>
        </w:tabs>
        <w:overflowPunct w:val="0"/>
        <w:adjustRightInd w:val="0"/>
        <w:spacing w:before="60" w:line="240" w:lineRule="atLeast"/>
        <w:ind w:left="992"/>
        <w:textAlignment w:val="baseline"/>
        <w:rPr>
          <w:szCs w:val="20"/>
        </w:rPr>
      </w:pPr>
      <w:r w:rsidRPr="00921ED0">
        <w:t>d)</w:t>
      </w:r>
      <w:r w:rsidRPr="00921ED0">
        <w:tab/>
        <w:t xml:space="preserve">A lejtésnek tulajdonítható </w:t>
      </w:r>
      <m:oMath>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oMath>
      <w:r w:rsidRPr="00921ED0">
        <w:t xml:space="preserve"> ellenállás a 4.2. pont szerint</w:t>
      </w:r>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166EA9" w:rsidRDefault="005624E3" w:rsidP="005624E3">
      <w:pPr>
        <w:tabs>
          <w:tab w:val="left" w:pos="992"/>
        </w:tabs>
        <w:overflowPunct w:val="0"/>
        <w:adjustRightInd w:val="0"/>
        <w:spacing w:before="60" w:line="240" w:lineRule="atLeast"/>
        <w:ind w:left="992"/>
        <w:textAlignment w:val="baseline"/>
        <w:rPr>
          <w:szCs w:val="20"/>
          <w:lang w:val="pt-PT"/>
        </w:rPr>
      </w:pPr>
      <w:r w:rsidRPr="00166EA9">
        <w:rPr>
          <w:lang w:val="pt-PT"/>
        </w:rPr>
        <w:t>e)</w:t>
      </w:r>
      <w:r w:rsidRPr="00166EA9">
        <w:rPr>
          <w:lang w:val="pt-PT"/>
        </w:rPr>
        <w:tab/>
        <w:t xml:space="preserve">A következő kiszámítása: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p>
    <w:p w:rsidR="005624E3" w:rsidRPr="00166EA9" w:rsidRDefault="005624E3" w:rsidP="005624E3">
      <w:pPr>
        <w:tabs>
          <w:tab w:val="left" w:pos="284"/>
        </w:tabs>
        <w:overflowPunct w:val="0"/>
        <w:adjustRightInd w:val="0"/>
        <w:spacing w:line="240" w:lineRule="exact"/>
        <w:ind w:left="284" w:hanging="284"/>
        <w:textAlignment w:val="baseline"/>
        <w:rPr>
          <w:szCs w:val="20"/>
          <w:lang w:val="pt-PT"/>
        </w:rPr>
      </w:pPr>
    </w:p>
    <w:p w:rsidR="005624E3" w:rsidRPr="00166EA9" w:rsidRDefault="003142CA" w:rsidP="005624E3">
      <w:pPr>
        <w:tabs>
          <w:tab w:val="left" w:pos="993"/>
        </w:tabs>
        <w:overflowPunct w:val="0"/>
        <w:adjustRightInd w:val="0"/>
        <w:spacing w:line="240" w:lineRule="atLeast"/>
        <w:ind w:left="993"/>
        <w:textAlignment w:val="baseline"/>
        <w:rPr>
          <w:szCs w:val="20"/>
          <w:lang w:val="pt-PT"/>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t-PT"/>
          </w:rPr>
          <m:t>= 0,85 ∙3,6=</m:t>
        </m:r>
        <m:r>
          <m:rPr>
            <m:sty m:val="bi"/>
          </m:rPr>
          <w:rPr>
            <w:rFonts w:ascii="Cambria Math" w:hAnsi="Cambria Math"/>
            <w:szCs w:val="20"/>
          </w:rPr>
          <m:t>3</m:t>
        </m:r>
        <m:r>
          <m:rPr>
            <m:sty m:val="bi"/>
          </m:rPr>
          <w:rPr>
            <w:rFonts w:ascii="Cambria Math" w:hAnsi="Cambria Math"/>
            <w:szCs w:val="20"/>
            <w:lang w:val="pt-PT"/>
          </w:rPr>
          <m:t>,</m:t>
        </m:r>
        <m:r>
          <m:rPr>
            <m:sty m:val="bi"/>
          </m:rPr>
          <w:rPr>
            <w:rFonts w:ascii="Cambria Math" w:hAnsi="Cambria Math"/>
            <w:szCs w:val="20"/>
          </w:rPr>
          <m:t>06</m:t>
        </m:r>
        <m:r>
          <w:rPr>
            <w:rFonts w:ascii="Cambria Math" w:hAnsi="Cambria Math"/>
            <w:szCs w:val="20"/>
            <w:lang w:val="pt-PT"/>
          </w:rPr>
          <m:t xml:space="preserve"> </m:t>
        </m:r>
        <m:d>
          <m:dPr>
            <m:begChr m:val="["/>
            <m:endChr m:val="]"/>
            <m:ctrlPr>
              <w:rPr>
                <w:rFonts w:ascii="Cambria Math" w:hAnsi="Cambria Math"/>
                <w:i/>
                <w:szCs w:val="20"/>
              </w:rPr>
            </m:ctrlPr>
          </m:dPr>
          <m:e>
            <m:r>
              <w:rPr>
                <w:rFonts w:ascii="Cambria Math" w:hAnsi="Cambria Math"/>
                <w:szCs w:val="20"/>
              </w:rPr>
              <m:t>m</m:t>
            </m:r>
            <m:r>
              <w:rPr>
                <w:rFonts w:ascii="Cambria Math" w:hAnsi="Cambria Math"/>
                <w:szCs w:val="20"/>
                <w:lang w:val="pt-PT"/>
              </w:rPr>
              <m:t>/</m:t>
            </m:r>
            <m:r>
              <w:rPr>
                <w:rFonts w:ascii="Cambria Math" w:hAnsi="Cambria Math"/>
                <w:szCs w:val="20"/>
              </w:rPr>
              <m:t>s</m:t>
            </m:r>
          </m:e>
        </m:d>
      </m:oMath>
      <w:r w:rsidR="005624E3" w:rsidRPr="00166EA9">
        <w:rPr>
          <w:lang w:val="pt-PT"/>
        </w:rPr>
        <w:t xml:space="preserve">, </w:t>
      </w: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lang w:val="pt-PT"/>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t-PT"/>
          </w:rPr>
          <m:t xml:space="preserve">=9,36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m:t>
                </m:r>
                <m:r>
                  <w:rPr>
                    <w:rFonts w:ascii="Cambria Math" w:hAnsi="Cambria Math"/>
                    <w:szCs w:val="20"/>
                    <w:lang w:val="pt-PT"/>
                  </w:rPr>
                  <m:t>/</m:t>
                </m:r>
                <m:r>
                  <w:rPr>
                    <w:rFonts w:ascii="Cambria Math" w:hAnsi="Cambria Math"/>
                    <w:szCs w:val="20"/>
                  </w:rPr>
                  <m:t>s</m:t>
                </m:r>
              </m:e>
            </m:d>
          </m:e>
          <m:sup>
            <m:r>
              <w:rPr>
                <w:rFonts w:ascii="Cambria Math" w:hAnsi="Cambria Math"/>
                <w:szCs w:val="20"/>
                <w:lang w:val="pt-PT"/>
              </w:rPr>
              <m:t>2</m:t>
            </m:r>
          </m:sup>
        </m:sSup>
      </m:oMath>
    </w:p>
    <w:p w:rsidR="005624E3" w:rsidRPr="00166EA9" w:rsidRDefault="005624E3" w:rsidP="005624E3">
      <w:pPr>
        <w:tabs>
          <w:tab w:val="left" w:pos="0"/>
        </w:tabs>
        <w:overflowPunct w:val="0"/>
        <w:adjustRightInd w:val="0"/>
        <w:spacing w:line="240" w:lineRule="atLeast"/>
        <w:ind w:left="454" w:hanging="454"/>
        <w:textAlignment w:val="baseline"/>
        <w:rPr>
          <w:szCs w:val="20"/>
          <w:lang w:val="pt-PT"/>
        </w:rPr>
      </w:pPr>
    </w:p>
    <w:p w:rsidR="005624E3" w:rsidRPr="00166EA9" w:rsidRDefault="005624E3" w:rsidP="005624E3">
      <w:pPr>
        <w:tabs>
          <w:tab w:val="left" w:pos="992"/>
        </w:tabs>
        <w:overflowPunct w:val="0"/>
        <w:adjustRightInd w:val="0"/>
        <w:spacing w:before="60" w:line="240" w:lineRule="atLeast"/>
        <w:ind w:left="992"/>
        <w:textAlignment w:val="baseline"/>
        <w:rPr>
          <w:szCs w:val="20"/>
          <w:lang w:val="pl-PL"/>
        </w:rPr>
      </w:pPr>
      <w:r w:rsidRPr="00166EA9">
        <w:rPr>
          <w:lang w:val="pl-PL"/>
        </w:rPr>
        <w:t>f)</w:t>
      </w:r>
      <w:r w:rsidRPr="00166EA9">
        <w:rPr>
          <w:lang w:val="pl-PL"/>
        </w:rPr>
        <w:tab/>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Pr="00166EA9">
        <w:rPr>
          <w:position w:val="-6"/>
          <w:sz w:val="16"/>
          <w:lang w:val="pl-PL"/>
        </w:rPr>
        <w:t xml:space="preserve"> </w:t>
      </w:r>
      <w:r w:rsidRPr="00166EA9">
        <w:rPr>
          <w:lang w:val="pl-PL"/>
        </w:rPr>
        <w:t xml:space="preserve"> a 4.2. pont szerint</w:t>
      </w:r>
    </w:p>
    <w:p w:rsidR="005624E3" w:rsidRPr="00166EA9" w:rsidRDefault="005624E3" w:rsidP="005624E3">
      <w:pPr>
        <w:tabs>
          <w:tab w:val="left" w:pos="284"/>
        </w:tabs>
        <w:overflowPunct w:val="0"/>
        <w:adjustRightInd w:val="0"/>
        <w:spacing w:line="240" w:lineRule="exact"/>
        <w:ind w:left="284" w:hanging="284"/>
        <w:textAlignment w:val="baseline"/>
        <w:rPr>
          <w:szCs w:val="20"/>
          <w:lang w:val="pl-PL"/>
        </w:rPr>
      </w:pPr>
    </w:p>
    <w:p w:rsidR="005624E3" w:rsidRPr="00166EA9" w:rsidRDefault="005624E3" w:rsidP="005624E3">
      <w:pPr>
        <w:tabs>
          <w:tab w:val="left" w:pos="992"/>
        </w:tabs>
        <w:overflowPunct w:val="0"/>
        <w:adjustRightInd w:val="0"/>
        <w:spacing w:before="60" w:line="240" w:lineRule="atLeast"/>
        <w:ind w:left="992"/>
        <w:textAlignment w:val="baseline"/>
        <w:rPr>
          <w:szCs w:val="20"/>
          <w:lang w:val="pl-PL"/>
        </w:rPr>
      </w:pPr>
      <w:r w:rsidRPr="00166EA9">
        <w:rPr>
          <w:lang w:val="pl-PL"/>
        </w:rPr>
        <w:t>g)</w:t>
      </w:r>
      <w:r w:rsidRPr="00166EA9">
        <w:rPr>
          <w:lang w:val="pl-PL"/>
        </w:rPr>
        <w:tab/>
        <w:t xml:space="preserve">Az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r w:rsidRPr="00166EA9">
        <w:rPr>
          <w:lang w:val="pl-PL"/>
        </w:rPr>
        <w:t xml:space="preserve"> kiszámítása a b) képlet és a c)–f) pont eredményeinek használatával</w:t>
      </w:r>
    </w:p>
    <w:p w:rsidR="005624E3" w:rsidRPr="00166EA9" w:rsidRDefault="005624E3" w:rsidP="005624E3">
      <w:pPr>
        <w:tabs>
          <w:tab w:val="left" w:pos="284"/>
        </w:tabs>
        <w:overflowPunct w:val="0"/>
        <w:adjustRightInd w:val="0"/>
        <w:spacing w:line="240" w:lineRule="exact"/>
        <w:ind w:left="284" w:hanging="284"/>
        <w:textAlignment w:val="baseline"/>
        <w:rPr>
          <w:szCs w:val="20"/>
          <w:lang w:val="pl-PL"/>
        </w:rPr>
      </w:pPr>
    </w:p>
    <w:p w:rsidR="005624E3" w:rsidRPr="00921ED0" w:rsidRDefault="003142CA" w:rsidP="005624E3">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∙9,36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1,5</m:t>
                      </m:r>
                    </m:num>
                    <m:den>
                      <m:r>
                        <w:rPr>
                          <w:rFonts w:ascii="Cambria Math" w:hAnsi="Cambria Math"/>
                          <w:szCs w:val="20"/>
                        </w:rPr>
                        <m:t>3,06</m:t>
                      </m:r>
                    </m:den>
                  </m:f>
                </m:e>
              </m:d>
            </m:num>
            <m:den>
              <m:r>
                <w:rPr>
                  <w:rFonts w:ascii="Cambria Math" w:hAnsi="Cambria Math"/>
                  <w:szCs w:val="20"/>
                </w:rPr>
                <m:t>1,15 ∙177+39,6-15,02</m:t>
              </m:r>
            </m:den>
          </m:f>
          <m:r>
            <w:rPr>
              <w:rFonts w:ascii="Cambria Math" w:hAnsi="Cambria Math"/>
              <w:szCs w:val="20"/>
            </w:rPr>
            <m:t xml:space="preserve"> ∙9568</m:t>
          </m:r>
        </m:oMath>
      </m:oMathPara>
    </w:p>
    <w:p w:rsidR="005624E3" w:rsidRPr="00921ED0" w:rsidRDefault="005624E3" w:rsidP="005624E3">
      <w:pPr>
        <w:tabs>
          <w:tab w:val="left" w:pos="993"/>
          <w:tab w:val="left" w:pos="1701"/>
          <w:tab w:val="left" w:pos="2127"/>
        </w:tabs>
        <w:overflowPunct w:val="0"/>
        <w:adjustRightInd w:val="0"/>
        <w:spacing w:line="240" w:lineRule="exact"/>
        <w:ind w:left="993"/>
        <w:textAlignment w:val="baseline"/>
        <w:rPr>
          <w:szCs w:val="20"/>
        </w:rPr>
      </w:pPr>
      <w:r w:rsidRPr="00921ED0">
        <w:rPr>
          <w:noProof/>
          <w:szCs w:val="20"/>
        </w:rPr>
        <mc:AlternateContent>
          <mc:Choice Requires="wps">
            <w:drawing>
              <wp:anchor distT="0" distB="0" distL="114300" distR="114300" simplePos="0" relativeHeight="251685888" behindDoc="0" locked="0" layoutInCell="1" allowOverlap="1" wp14:anchorId="5D7D0D30" wp14:editId="216FE21A">
                <wp:simplePos x="0" y="0"/>
                <wp:positionH relativeFrom="column">
                  <wp:posOffset>958850</wp:posOffset>
                </wp:positionH>
                <wp:positionV relativeFrom="paragraph">
                  <wp:posOffset>124460</wp:posOffset>
                </wp:positionV>
                <wp:extent cx="90805" cy="457200"/>
                <wp:effectExtent l="7303" t="0" r="11747" b="11748"/>
                <wp:wrapNone/>
                <wp:docPr id="293"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5" cy="457200"/>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0" o:spid="_x0000_s1026" type="#_x0000_t88" style="position:absolute;margin-left:75.5pt;margin-top:9.8pt;width:7.15pt;height:36pt;rotation:9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"/>
            </w:pict>
          </mc:Fallback>
        </mc:AlternateContent>
      </w:r>
    </w:p>
    <w:p w:rsidR="005624E3" w:rsidRPr="00921ED0" w:rsidRDefault="005624E3" w:rsidP="005624E3">
      <w:pPr>
        <w:overflowPunct w:val="0"/>
        <w:adjustRightInd w:val="0"/>
        <w:spacing w:line="240" w:lineRule="exact"/>
        <w:ind w:left="993"/>
        <w:textAlignment w:val="baseline"/>
        <w:rPr>
          <w:szCs w:val="20"/>
        </w:rPr>
      </w:pPr>
      <m:oMathPara>
        <m:oMathParaPr>
          <m:jc m:val="left"/>
        </m:oMathParaPr>
        <m:oMath>
          <m:r>
            <w:rPr>
              <w:rFonts w:ascii="Cambria Math" w:hAnsi="Cambria Math"/>
              <w:szCs w:val="20"/>
            </w:rPr>
            <m:t>=0,04684 ∙9568=</m:t>
          </m:r>
          <m:r>
            <m:rPr>
              <m:sty m:val="bi"/>
            </m:rPr>
            <w:rPr>
              <w:rFonts w:ascii="Cambria Math" w:hAnsi="Cambria Math"/>
              <w:szCs w:val="20"/>
            </w:rPr>
            <m:t>448 m</m:t>
          </m:r>
        </m:oMath>
      </m:oMathPara>
    </w:p>
    <w:p w:rsidR="005624E3" w:rsidRPr="00921ED0" w:rsidRDefault="005624E3" w:rsidP="005624E3">
      <w:pPr>
        <w:tabs>
          <w:tab w:val="left" w:pos="993"/>
          <w:tab w:val="left" w:pos="1701"/>
          <w:tab w:val="left" w:pos="2127"/>
        </w:tabs>
        <w:overflowPunct w:val="0"/>
        <w:adjustRightInd w:val="0"/>
        <w:spacing w:line="240" w:lineRule="exact"/>
        <w:ind w:left="993"/>
        <w:textAlignment w:val="baseline"/>
        <w:rPr>
          <w:szCs w:val="20"/>
        </w:rPr>
      </w:pPr>
    </w:p>
    <w:p w:rsidR="005624E3" w:rsidRPr="00921ED0" w:rsidRDefault="003142CA" w:rsidP="005624E3">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992"/>
        </w:tabs>
        <w:overflowPunct w:val="0"/>
        <w:adjustRightInd w:val="0"/>
        <w:spacing w:line="240" w:lineRule="atLeast"/>
        <w:ind w:left="992"/>
        <w:textAlignment w:val="baseline"/>
        <w:rPr>
          <w:szCs w:val="20"/>
        </w:rPr>
      </w:pPr>
      <w:r w:rsidRPr="00921ED0">
        <w:t>h)</w:t>
      </w:r>
      <w:r w:rsidRPr="00921ED0">
        <w:tab/>
        <w:t>A teljes távolság kiszámítása</w:t>
      </w:r>
    </w:p>
    <w:p w:rsidR="005624E3" w:rsidRPr="00921ED0" w:rsidRDefault="005624E3" w:rsidP="005624E3">
      <w:pPr>
        <w:tabs>
          <w:tab w:val="left" w:pos="284"/>
        </w:tabs>
        <w:overflowPunct w:val="0"/>
        <w:adjustRightInd w:val="0"/>
        <w:spacing w:line="240" w:lineRule="exact"/>
        <w:ind w:left="284" w:hanging="284"/>
        <w:textAlignment w:val="baseline"/>
        <w:rPr>
          <w:szCs w:val="20"/>
        </w:rPr>
      </w:pPr>
    </w:p>
    <w:p w:rsidR="005624E3" w:rsidRPr="00921ED0" w:rsidRDefault="003142CA" w:rsidP="005624E3">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b/>
                  <w:i/>
                  <w:szCs w:val="20"/>
                </w:rPr>
              </m:ctrlPr>
            </m:sSubPr>
            <m:e>
              <m:r>
                <m:rPr>
                  <m:sty m:val="bi"/>
                </m:rPr>
                <w:rPr>
                  <w:rFonts w:ascii="Cambria Math" w:hAnsi="Cambria Math"/>
                  <w:szCs w:val="20"/>
                </w:rPr>
                <m:t>s</m:t>
              </m:r>
            </m:e>
            <m:sub>
              <m:r>
                <m:rPr>
                  <m:sty m:val="bi"/>
                </m:rPr>
                <w:rPr>
                  <w:rFonts w:ascii="Cambria Math" w:hAnsi="Cambria Math"/>
                  <w:szCs w:val="20"/>
                </w:rPr>
                <m:t>SOLL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=77,5+448=</m:t>
          </m:r>
          <m:r>
            <m:rPr>
              <m:sty m:val="bi"/>
            </m:rPr>
            <w:rPr>
              <w:rFonts w:ascii="Cambria Math" w:hAnsi="Cambria Math"/>
              <w:szCs w:val="20"/>
            </w:rPr>
            <m:t>525,5 m</m:t>
          </m:r>
        </m:oMath>
      </m:oMathPara>
    </w:p>
    <w:p w:rsidR="005624E3" w:rsidRPr="00921ED0" w:rsidRDefault="005624E3" w:rsidP="005624E3">
      <w:pPr>
        <w:tabs>
          <w:tab w:val="left" w:pos="454"/>
        </w:tabs>
        <w:overflowPunct w:val="0"/>
        <w:adjustRightInd w:val="0"/>
        <w:spacing w:line="240" w:lineRule="atLeast"/>
        <w:ind w:left="454" w:hanging="454"/>
        <w:textAlignment w:val="baseline"/>
        <w:rPr>
          <w:position w:val="6"/>
          <w:szCs w:val="20"/>
        </w:rPr>
      </w:pPr>
    </w:p>
    <w:p w:rsidR="005624E3" w:rsidRPr="00921ED0" w:rsidRDefault="005624E3" w:rsidP="005624E3">
      <w:pPr>
        <w:tabs>
          <w:tab w:val="left" w:pos="567"/>
        </w:tabs>
        <w:overflowPunct w:val="0"/>
        <w:adjustRightInd w:val="0"/>
        <w:spacing w:line="240" w:lineRule="atLeast"/>
        <w:ind w:left="567" w:hanging="567"/>
        <w:textAlignment w:val="baseline"/>
        <w:rPr>
          <w:b/>
          <w:bCs/>
          <w:position w:val="6"/>
          <w:szCs w:val="20"/>
        </w:rPr>
      </w:pPr>
      <w:r w:rsidRPr="00921ED0">
        <w:rPr>
          <w:b/>
        </w:rPr>
        <w:t>4.4.</w:t>
      </w:r>
      <w:r w:rsidRPr="00921ED0">
        <w:tab/>
      </w:r>
      <w:r w:rsidRPr="00921ED0">
        <w:rPr>
          <w:b/>
        </w:rPr>
        <w:t>Az engedélyezett megállási távolságnak való megfelelés ellenőrzése – normál körülmények,</w:t>
      </w:r>
      <w:r w:rsidRPr="00921ED0">
        <w:rPr>
          <w:b/>
          <w:u w:val="single"/>
        </w:rPr>
        <w:t xml:space="preserve"> </w:t>
      </w:r>
      <m:oMath>
        <m:sSub>
          <m:sSubPr>
            <m:ctrlPr>
              <w:rPr>
                <w:rFonts w:ascii="Cambria Math" w:hAnsi="Cambria Math" w:cs="Arial"/>
                <w:b/>
                <w:i/>
                <w:color w:val="000000"/>
                <w:szCs w:val="20"/>
              </w:rPr>
            </m:ctrlPr>
          </m:sSubPr>
          <m:e>
            <m:r>
              <m:rPr>
                <m:sty m:val="bi"/>
              </m:rPr>
              <w:rPr>
                <w:rFonts w:ascii="Cambria Math" w:hAnsi="Cambria Math" w:cs="Arial"/>
                <w:color w:val="000000"/>
                <w:szCs w:val="20"/>
              </w:rPr>
              <m:t>s</m:t>
            </m:r>
          </m:e>
          <m:sub>
            <m:r>
              <m:rPr>
                <m:sty m:val="bi"/>
              </m:rPr>
              <w:rPr>
                <w:rFonts w:ascii="Cambria Math" w:hAnsi="Cambria Math" w:cs="Arial"/>
                <w:color w:val="000000"/>
                <w:szCs w:val="20"/>
              </w:rPr>
              <m:t>NORM</m:t>
            </m:r>
          </m:sub>
        </m:sSub>
      </m:oMath>
    </w:p>
    <w:p w:rsidR="005624E3" w:rsidRPr="00921ED0" w:rsidRDefault="005624E3" w:rsidP="005624E3">
      <w:pPr>
        <w:tabs>
          <w:tab w:val="left" w:pos="454"/>
        </w:tabs>
        <w:overflowPunct w:val="0"/>
        <w:adjustRightInd w:val="0"/>
        <w:spacing w:line="240" w:lineRule="exact"/>
        <w:ind w:left="454" w:hanging="454"/>
        <w:textAlignment w:val="baseline"/>
        <w:rPr>
          <w:b/>
          <w:szCs w:val="20"/>
        </w:rPr>
      </w:pPr>
    </w:p>
    <w:p w:rsidR="005624E3" w:rsidRPr="00921ED0" w:rsidRDefault="005624E3" w:rsidP="005624E3">
      <w:pPr>
        <w:overflowPunct w:val="0"/>
        <w:adjustRightInd w:val="0"/>
        <w:spacing w:line="240" w:lineRule="exact"/>
        <w:ind w:left="567"/>
        <w:textAlignment w:val="baseline"/>
        <w:rPr>
          <w:szCs w:val="20"/>
        </w:rPr>
      </w:pPr>
      <w:r w:rsidRPr="00921ED0">
        <w:t>a 2. melléklet 2.1. képlete szerint</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3142CA" w:rsidP="005624E3">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=580 ∙ </m:t>
          </m:r>
          <m:f>
            <m:fPr>
              <m:ctrlPr>
                <w:rPr>
                  <w:rFonts w:ascii="Cambria Math" w:hAnsi="Cambria Math"/>
                  <w:i/>
                  <w:szCs w:val="20"/>
                </w:rPr>
              </m:ctrlPr>
            </m:fPr>
            <m:num>
              <m:r>
                <w:rPr>
                  <w:rFonts w:ascii="Cambria Math" w:hAnsi="Cambria Math"/>
                  <w:szCs w:val="20"/>
                </w:rPr>
                <m:t>525,5</m:t>
              </m:r>
            </m:num>
            <m:den>
              <m:r>
                <w:rPr>
                  <w:rFonts w:ascii="Cambria Math" w:hAnsi="Cambria Math"/>
                  <w:szCs w:val="20"/>
                </w:rPr>
                <m:t>475</m:t>
              </m:r>
            </m:den>
          </m:f>
          <m:r>
            <w:rPr>
              <w:rFonts w:ascii="Cambria Math" w:hAnsi="Cambria Math"/>
              <w:szCs w:val="20"/>
            </w:rPr>
            <m:t>=</m:t>
          </m:r>
          <m:r>
            <m:rPr>
              <m:sty m:val="bi"/>
            </m:rPr>
            <w:rPr>
              <w:rFonts w:ascii="Cambria Math" w:hAnsi="Cambria Math"/>
              <w:szCs w:val="20"/>
            </w:rPr>
            <m:t>641 m &gt;550 m</m:t>
          </m:r>
        </m:oMath>
      </m:oMathPara>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454"/>
        </w:tabs>
        <w:overflowPunct w:val="0"/>
        <w:adjustRightInd w:val="0"/>
        <w:spacing w:line="240" w:lineRule="exact"/>
        <w:ind w:left="454" w:hanging="454"/>
        <w:textAlignment w:val="baseline"/>
        <w:rPr>
          <w:szCs w:val="20"/>
        </w:rPr>
      </w:pPr>
      <w:r w:rsidRPr="00921ED0">
        <w:br w:type="page"/>
      </w:r>
    </w:p>
    <w:p w:rsidR="005624E3" w:rsidRPr="00921ED0" w:rsidRDefault="005624E3" w:rsidP="005624E3">
      <w:pPr>
        <w:overflowPunct w:val="0"/>
        <w:adjustRightInd w:val="0"/>
        <w:spacing w:line="240" w:lineRule="exact"/>
        <w:ind w:left="567"/>
        <w:textAlignment w:val="baseline"/>
        <w:rPr>
          <w:szCs w:val="20"/>
        </w:rPr>
      </w:pPr>
      <w:r w:rsidRPr="00921ED0">
        <w:rPr>
          <w:b/>
        </w:rPr>
        <w:t>Következtetés</w:t>
      </w:r>
      <w:r w:rsidRPr="00921ED0">
        <w:t>:</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overflowPunct w:val="0"/>
        <w:adjustRightInd w:val="0"/>
        <w:spacing w:line="240" w:lineRule="exact"/>
        <w:ind w:left="567"/>
        <w:textAlignment w:val="baseline"/>
        <w:rPr>
          <w:szCs w:val="20"/>
        </w:rPr>
      </w:pPr>
      <w:r w:rsidRPr="00921ED0">
        <w:t>A hajó egyértelműen túllépte a határértéket; a folyásirányú hajózás csak a terhelés korlátozásával engedélyezhető. A korlátozott terhelés az alábbi 5. pont szerint határozható meg.</w:t>
      </w:r>
    </w:p>
    <w:p w:rsidR="005624E3" w:rsidRPr="00921ED0" w:rsidRDefault="005624E3" w:rsidP="005624E3">
      <w:pPr>
        <w:tabs>
          <w:tab w:val="left" w:pos="454"/>
        </w:tabs>
        <w:overflowPunct w:val="0"/>
        <w:adjustRightInd w:val="0"/>
        <w:spacing w:line="240" w:lineRule="exact"/>
        <w:ind w:left="454" w:hanging="454"/>
        <w:textAlignment w:val="baseline"/>
        <w:rPr>
          <w:szCs w:val="20"/>
        </w:rPr>
      </w:pPr>
    </w:p>
    <w:p w:rsidR="005624E3" w:rsidRPr="00921ED0" w:rsidRDefault="005624E3" w:rsidP="005624E3">
      <w:pPr>
        <w:tabs>
          <w:tab w:val="left" w:pos="567"/>
        </w:tabs>
        <w:overflowPunct w:val="0"/>
        <w:adjustRightInd w:val="0"/>
        <w:spacing w:line="240" w:lineRule="exact"/>
        <w:ind w:left="567" w:hanging="567"/>
        <w:textAlignment w:val="baseline"/>
        <w:rPr>
          <w:b/>
          <w:szCs w:val="20"/>
        </w:rPr>
      </w:pPr>
      <w:r w:rsidRPr="00921ED0">
        <w:rPr>
          <w:b/>
        </w:rPr>
        <w:t>5.</w:t>
      </w:r>
      <w:r w:rsidRPr="00921ED0">
        <w:tab/>
      </w:r>
      <m:oMath>
        <m:sSup>
          <m:sSupPr>
            <m:ctrlPr>
              <w:rPr>
                <w:rFonts w:ascii="Cambria Math" w:hAnsi="Cambria Math"/>
                <w:b/>
                <w:i/>
                <w:szCs w:val="20"/>
              </w:rPr>
            </m:ctrlPr>
          </m:sSupPr>
          <m:e>
            <m:r>
              <m:rPr>
                <m:sty m:val="bi"/>
              </m:rPr>
              <w:rPr>
                <w:rFonts w:ascii="Cambria Math" w:hAnsi="Cambria Math"/>
                <w:szCs w:val="20"/>
              </w:rPr>
              <m:t>D</m:t>
            </m:r>
          </m:e>
          <m:sup>
            <m:r>
              <m:rPr>
                <m:sty m:val="bi"/>
              </m:rPr>
              <w:rPr>
                <w:rFonts w:ascii="Cambria Math" w:hAnsi="Cambria Math"/>
                <w:szCs w:val="20"/>
              </w:rPr>
              <m:t>*</m:t>
            </m:r>
          </m:sup>
        </m:sSup>
      </m:oMath>
      <w:r w:rsidRPr="00921ED0">
        <w:rPr>
          <w:b/>
        </w:rPr>
        <w:t xml:space="preserve"> folyásirányú hajózásra engedélyezhető  </w:t>
      </w:r>
    </w:p>
    <w:p w:rsidR="005624E3" w:rsidRPr="00921ED0" w:rsidRDefault="005624E3" w:rsidP="005624E3">
      <w:pPr>
        <w:tabs>
          <w:tab w:val="left" w:pos="284"/>
        </w:tabs>
        <w:overflowPunct w:val="0"/>
        <w:adjustRightInd w:val="0"/>
        <w:spacing w:line="240" w:lineRule="exact"/>
        <w:ind w:left="454" w:hanging="454"/>
        <w:textAlignment w:val="baseline"/>
        <w:rPr>
          <w:szCs w:val="20"/>
        </w:rPr>
      </w:pPr>
    </w:p>
    <w:p w:rsidR="005624E3" w:rsidRPr="00921ED0" w:rsidRDefault="005624E3" w:rsidP="005624E3">
      <w:pPr>
        <w:overflowPunct w:val="0"/>
        <w:adjustRightInd w:val="0"/>
        <w:spacing w:line="240" w:lineRule="exact"/>
        <w:ind w:left="567"/>
        <w:textAlignment w:val="baseline"/>
        <w:rPr>
          <w:szCs w:val="20"/>
        </w:rPr>
      </w:pPr>
      <w:r w:rsidRPr="00921ED0">
        <w:t>a 2. melléklet 2.1. képlete szerint</w:t>
      </w:r>
    </w:p>
    <w:p w:rsidR="005624E3" w:rsidRPr="00921ED0" w:rsidRDefault="005624E3" w:rsidP="005624E3">
      <w:pPr>
        <w:tabs>
          <w:tab w:val="left" w:pos="284"/>
        </w:tabs>
        <w:overflowPunct w:val="0"/>
        <w:adjustRightInd w:val="0"/>
        <w:spacing w:line="240" w:lineRule="exact"/>
        <w:ind w:left="454" w:hanging="454"/>
        <w:textAlignment w:val="baseline"/>
        <w:rPr>
          <w:szCs w:val="20"/>
        </w:rPr>
      </w:pPr>
    </w:p>
    <w:p w:rsidR="005624E3" w:rsidRPr="00921ED0" w:rsidRDefault="003142CA" w:rsidP="005624E3">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=550 m</m:t>
          </m:r>
        </m:oMath>
      </m:oMathPara>
    </w:p>
    <w:p w:rsidR="005624E3" w:rsidRPr="00921ED0" w:rsidRDefault="005624E3" w:rsidP="005624E3">
      <w:pPr>
        <w:tabs>
          <w:tab w:val="left" w:pos="284"/>
        </w:tabs>
        <w:overflowPunct w:val="0"/>
        <w:adjustRightInd w:val="0"/>
        <w:spacing w:line="240" w:lineRule="exact"/>
        <w:ind w:left="454" w:hanging="454"/>
        <w:textAlignment w:val="baseline"/>
        <w:rPr>
          <w:szCs w:val="20"/>
        </w:rPr>
      </w:pPr>
    </w:p>
    <w:p w:rsidR="005624E3" w:rsidRPr="00921ED0" w:rsidRDefault="005624E3" w:rsidP="005624E3">
      <w:pPr>
        <w:overflowPunct w:val="0"/>
        <w:adjustRightInd w:val="0"/>
        <w:spacing w:line="240" w:lineRule="exact"/>
        <w:ind w:left="567"/>
        <w:textAlignment w:val="baseline"/>
        <w:rPr>
          <w:szCs w:val="20"/>
        </w:rPr>
      </w:pPr>
      <w:r w:rsidRPr="00921ED0">
        <w:t>Ezért:</w:t>
      </w:r>
    </w:p>
    <w:p w:rsidR="005624E3" w:rsidRPr="00921ED0" w:rsidRDefault="005624E3" w:rsidP="005624E3">
      <w:pPr>
        <w:tabs>
          <w:tab w:val="left" w:pos="284"/>
        </w:tabs>
        <w:overflowPunct w:val="0"/>
        <w:adjustRightInd w:val="0"/>
        <w:spacing w:line="240" w:lineRule="exact"/>
        <w:ind w:left="454" w:hanging="454"/>
        <w:textAlignment w:val="baseline"/>
        <w:rPr>
          <w:szCs w:val="20"/>
        </w:rPr>
      </w:pPr>
    </w:p>
    <w:p w:rsidR="005624E3" w:rsidRPr="00921ED0" w:rsidRDefault="003142CA" w:rsidP="005624E3">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r>
                <w:rPr>
                  <w:rFonts w:ascii="Cambria Math" w:hAnsi="Cambria Math"/>
                  <w:szCs w:val="20"/>
                </w:rPr>
                <m:t>SOLL</m:t>
              </m:r>
            </m:sub>
          </m:sSub>
          <m:r>
            <w:rPr>
              <w:rFonts w:ascii="Cambria Math" w:hAnsi="Cambria Math"/>
              <w:szCs w:val="20"/>
            </w:rPr>
            <m:t xml:space="preserve">=550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den>
          </m:f>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m:oMathPara>
    </w:p>
    <w:p w:rsidR="005624E3" w:rsidRPr="00921ED0" w:rsidRDefault="005624E3" w:rsidP="005624E3">
      <w:pPr>
        <w:tabs>
          <w:tab w:val="left" w:pos="284"/>
          <w:tab w:val="left" w:pos="8647"/>
        </w:tabs>
        <w:overflowPunct w:val="0"/>
        <w:adjustRightInd w:val="0"/>
        <w:spacing w:line="240" w:lineRule="exact"/>
        <w:ind w:left="454" w:hanging="454"/>
        <w:textAlignment w:val="baseline"/>
        <w:rPr>
          <w:szCs w:val="20"/>
        </w:rPr>
      </w:pPr>
    </w:p>
    <w:p w:rsidR="005624E3" w:rsidRPr="00921ED0" w:rsidRDefault="003142CA" w:rsidP="005624E3">
      <w:pPr>
        <w:tabs>
          <w:tab w:val="left" w:pos="567"/>
        </w:tabs>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m:t>
          </m:r>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r>
            <w:rPr>
              <w:rFonts w:ascii="Cambria Math" w:hAnsi="Cambria Math"/>
              <w:szCs w:val="20"/>
            </w:rPr>
            <m:t xml:space="preserve">=0,04684 ∙ </m:t>
          </m:r>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oMath>
      </m:oMathPara>
    </w:p>
    <w:p w:rsidR="005624E3" w:rsidRPr="00921ED0" w:rsidRDefault="005624E3" w:rsidP="005624E3">
      <w:pPr>
        <w:tabs>
          <w:tab w:val="left" w:pos="1843"/>
        </w:tabs>
        <w:overflowPunct w:val="0"/>
        <w:adjustRightInd w:val="0"/>
        <w:spacing w:line="240" w:lineRule="atLeast"/>
        <w:ind w:left="454" w:hanging="454"/>
        <w:textAlignment w:val="baseline"/>
        <w:rPr>
          <w:szCs w:val="20"/>
        </w:rPr>
      </w:pPr>
    </w:p>
    <w:p w:rsidR="005624E3" w:rsidRPr="00921ED0" w:rsidRDefault="003142CA" w:rsidP="005624E3">
      <w:pPr>
        <w:tabs>
          <w:tab w:val="left" w:pos="567"/>
        </w:tabs>
        <w:overflowPunct w:val="0"/>
        <w:adjustRightInd w:val="0"/>
        <w:spacing w:line="240" w:lineRule="atLeast"/>
        <w:ind w:left="567"/>
        <w:textAlignment w:val="baseline"/>
        <w:rPr>
          <w:szCs w:val="20"/>
        </w:rPr>
      </w:pPr>
      <m:oMathPara>
        <m:oMathParaPr>
          <m:jc m:val="left"/>
        </m:oMathParaPr>
        <m:oMath>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550 ∙ </m:t>
              </m:r>
              <m:f>
                <m:fPr>
                  <m:ctrlPr>
                    <w:rPr>
                      <w:rFonts w:ascii="Cambria Math" w:hAnsi="Cambria Math"/>
                      <w:i/>
                      <w:szCs w:val="20"/>
                    </w:rPr>
                  </m:ctrlPr>
                </m:fPr>
                <m:num>
                  <m:r>
                    <w:rPr>
                      <w:rFonts w:ascii="Cambria Math" w:hAnsi="Cambria Math"/>
                      <w:szCs w:val="20"/>
                    </w:rPr>
                    <m:t>475</m:t>
                  </m:r>
                </m:num>
                <m:den>
                  <m:r>
                    <w:rPr>
                      <w:rFonts w:ascii="Cambria Math" w:hAnsi="Cambria Math"/>
                      <w:szCs w:val="20"/>
                    </w:rPr>
                    <m:t>580</m:t>
                  </m:r>
                </m:den>
              </m:f>
              <m:r>
                <w:rPr>
                  <w:rFonts w:ascii="Cambria Math" w:hAnsi="Cambria Math"/>
                  <w:szCs w:val="20"/>
                </w:rPr>
                <m:t>-77,5</m:t>
              </m:r>
            </m:num>
            <m:den>
              <m:r>
                <w:rPr>
                  <w:rFonts w:ascii="Cambria Math" w:hAnsi="Cambria Math"/>
                  <w:szCs w:val="20"/>
                </w:rPr>
                <m:t>0,04684</m:t>
              </m:r>
            </m:den>
          </m:f>
          <m:r>
            <w:rPr>
              <w:rFonts w:ascii="Cambria Math" w:hAnsi="Cambria Math"/>
              <w:szCs w:val="20"/>
            </w:rPr>
            <m:t xml:space="preserve">=7950 </m:t>
          </m:r>
          <m:d>
            <m:dPr>
              <m:begChr m:val="["/>
              <m:endChr m:val="]"/>
              <m:ctrlPr>
                <w:rPr>
                  <w:rFonts w:ascii="Cambria Math" w:hAnsi="Cambria Math"/>
                  <w:i/>
                  <w:szCs w:val="20"/>
                </w:rPr>
              </m:ctrlPr>
            </m:dPr>
            <m:e>
              <m:sSup>
                <m:sSupPr>
                  <m:ctrlPr>
                    <w:rPr>
                      <w:rFonts w:ascii="Cambria Math" w:hAnsi="Cambria Math"/>
                      <w:i/>
                      <w:szCs w:val="20"/>
                    </w:rPr>
                  </m:ctrlPr>
                </m:sSupPr>
                <m:e>
                  <m:r>
                    <w:rPr>
                      <w:rFonts w:ascii="Cambria Math" w:hAnsi="Cambria Math"/>
                      <w:szCs w:val="20"/>
                    </w:rPr>
                    <m:t>m</m:t>
                  </m:r>
                </m:e>
                <m:sup>
                  <m:r>
                    <w:rPr>
                      <w:rFonts w:ascii="Cambria Math" w:hAnsi="Cambria Math"/>
                      <w:szCs w:val="20"/>
                    </w:rPr>
                    <m:t>3</m:t>
                  </m:r>
                </m:sup>
              </m:sSup>
            </m:e>
          </m:d>
        </m:oMath>
      </m:oMathPara>
    </w:p>
    <w:p w:rsidR="005624E3" w:rsidRPr="00921ED0" w:rsidRDefault="005624E3" w:rsidP="005624E3">
      <w:pPr>
        <w:tabs>
          <w:tab w:val="left" w:pos="284"/>
        </w:tabs>
        <w:overflowPunct w:val="0"/>
        <w:adjustRightInd w:val="0"/>
        <w:spacing w:line="240" w:lineRule="exact"/>
        <w:textAlignment w:val="baseline"/>
        <w:rPr>
          <w:szCs w:val="20"/>
        </w:rPr>
      </w:pPr>
    </w:p>
    <w:p w:rsidR="005624E3" w:rsidRPr="00921ED0" w:rsidRDefault="005624E3" w:rsidP="005624E3">
      <w:pPr>
        <w:tabs>
          <w:tab w:val="left" w:pos="284"/>
        </w:tabs>
        <w:overflowPunct w:val="0"/>
        <w:adjustRightInd w:val="0"/>
        <w:spacing w:line="240" w:lineRule="exact"/>
        <w:ind w:left="567"/>
        <w:textAlignment w:val="baseline"/>
        <w:rPr>
          <w:b/>
          <w:szCs w:val="20"/>
        </w:rPr>
      </w:pPr>
      <w:r w:rsidRPr="00921ED0">
        <w:rPr>
          <w:b/>
        </w:rPr>
        <w:t>Következtetés:</w:t>
      </w:r>
    </w:p>
    <w:p w:rsidR="005624E3" w:rsidRPr="00921ED0" w:rsidRDefault="005624E3" w:rsidP="005624E3">
      <w:pPr>
        <w:tabs>
          <w:tab w:val="left" w:pos="284"/>
        </w:tabs>
        <w:overflowPunct w:val="0"/>
        <w:adjustRightInd w:val="0"/>
        <w:spacing w:line="240" w:lineRule="exact"/>
        <w:ind w:left="454" w:hanging="454"/>
        <w:textAlignment w:val="baseline"/>
        <w:rPr>
          <w:szCs w:val="20"/>
        </w:rPr>
      </w:pPr>
    </w:p>
    <w:p w:rsidR="005624E3" w:rsidRPr="00921ED0" w:rsidRDefault="005624E3" w:rsidP="005624E3">
      <w:pPr>
        <w:overflowPunct w:val="0"/>
        <w:adjustRightInd w:val="0"/>
        <w:spacing w:line="240" w:lineRule="exact"/>
        <w:ind w:left="567"/>
        <w:textAlignment w:val="baseline"/>
        <w:rPr>
          <w:szCs w:val="20"/>
        </w:rPr>
      </w:pPr>
      <w:r w:rsidRPr="00921ED0">
        <w:t xml:space="preserve">Mivel a folyásirányú hajózásban a </w:t>
      </w:r>
      <m:oMath>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oMath>
      <w:r w:rsidRPr="00921ED0">
        <w:t xml:space="preserve"> megengedett vízkiszorítási térfogat csak 7950 m</w:t>
      </w:r>
      <w:r w:rsidRPr="00921ED0">
        <w:rPr>
          <w:vertAlign w:val="superscript"/>
        </w:rPr>
        <w:t>3</w:t>
      </w:r>
      <w:r w:rsidRPr="00921ED0">
        <w:t xml:space="preserve"> (körülbelül)</w:t>
      </w:r>
    </w:p>
    <w:p w:rsidR="005624E3" w:rsidRPr="00921ED0" w:rsidRDefault="005624E3" w:rsidP="005624E3">
      <w:pPr>
        <w:overflowPunct w:val="0"/>
        <w:adjustRightInd w:val="0"/>
        <w:spacing w:line="240" w:lineRule="atLeast"/>
        <w:ind w:left="567"/>
        <w:textAlignment w:val="baseline"/>
        <w:rPr>
          <w:szCs w:val="20"/>
        </w:rPr>
      </w:pPr>
    </w:p>
    <w:p w:rsidR="005624E3" w:rsidRPr="00921ED0" w:rsidRDefault="003142CA" w:rsidP="005624E3">
      <w:pPr>
        <w:overflowPunct w:val="0"/>
        <w:adjustRightInd w:val="0"/>
        <w:spacing w:line="240" w:lineRule="atLeast"/>
        <w:ind w:left="567"/>
        <w:textAlignment w:val="baseline"/>
        <w:rPr>
          <w:szCs w:val="20"/>
        </w:rPr>
      </w:pPr>
      <m:oMathPara>
        <m:oMathParaPr>
          <m:jc m:val="left"/>
        </m:oMathParaPr>
        <m:oMath>
          <m:f>
            <m:fPr>
              <m:ctrlPr>
                <w:rPr>
                  <w:rFonts w:ascii="Cambria Math" w:hAnsi="Cambria Math"/>
                  <w:i/>
                  <w:szCs w:val="20"/>
                </w:rPr>
              </m:ctrlPr>
            </m:fPr>
            <m:num>
              <m:r>
                <w:rPr>
                  <w:rFonts w:ascii="Cambria Math" w:hAnsi="Cambria Math"/>
                  <w:szCs w:val="20"/>
                </w:rPr>
                <m:t>zul.  Tgf</m:t>
              </m:r>
            </m:num>
            <m:den>
              <m:func>
                <m:funcPr>
                  <m:ctrlPr>
                    <w:rPr>
                      <w:rFonts w:ascii="Cambria Math" w:hAnsi="Cambria Math"/>
                      <w:i/>
                      <w:szCs w:val="20"/>
                    </w:rPr>
                  </m:ctrlPr>
                </m:funcPr>
                <m:fName>
                  <m:r>
                    <m:rPr>
                      <m:sty m:val="p"/>
                    </m:rPr>
                    <w:rPr>
                      <w:rFonts w:ascii="Cambria Math" w:hAnsi="Cambria Math"/>
                      <w:szCs w:val="20"/>
                    </w:rPr>
                    <m:t>max</m:t>
                  </m:r>
                </m:fName>
                <m:e>
                  <m:r>
                    <w:rPr>
                      <w:rFonts w:ascii="Cambria Math" w:hAnsi="Cambria Math"/>
                      <w:szCs w:val="20"/>
                    </w:rPr>
                    <m:t>.  Tgf</m:t>
                  </m:r>
                </m:e>
              </m:func>
            </m:den>
          </m:f>
          <m:r>
            <w:rPr>
              <w:rFonts w:ascii="Cambria Math" w:hAnsi="Cambria Math"/>
              <w:szCs w:val="20"/>
            </w:rPr>
            <m:t xml:space="preserve">= </m:t>
          </m:r>
          <m:f>
            <m:fPr>
              <m:ctrlPr>
                <w:rPr>
                  <w:rFonts w:ascii="Cambria Math" w:hAnsi="Cambria Math"/>
                  <w:i/>
                  <w:szCs w:val="20"/>
                </w:rPr>
              </m:ctrlPr>
            </m:fPr>
            <m:num>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num>
            <m:den>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den>
          </m:f>
          <m:r>
            <w:rPr>
              <w:rFonts w:ascii="Cambria Math" w:hAnsi="Cambria Math"/>
              <w:szCs w:val="20"/>
            </w:rPr>
            <m:t xml:space="preserve">= </m:t>
          </m:r>
          <m:f>
            <m:fPr>
              <m:ctrlPr>
                <w:rPr>
                  <w:rFonts w:ascii="Cambria Math" w:hAnsi="Cambria Math"/>
                  <w:i/>
                  <w:szCs w:val="20"/>
                </w:rPr>
              </m:ctrlPr>
            </m:fPr>
            <m:num>
              <m:r>
                <w:rPr>
                  <w:rFonts w:ascii="Cambria Math" w:hAnsi="Cambria Math"/>
                  <w:szCs w:val="20"/>
                </w:rPr>
                <m:t>7950</m:t>
              </m:r>
            </m:num>
            <m:den>
              <m:r>
                <w:rPr>
                  <w:rFonts w:ascii="Cambria Math" w:hAnsi="Cambria Math"/>
                  <w:szCs w:val="20"/>
                </w:rPr>
                <m:t>11960</m:t>
              </m:r>
            </m:den>
          </m:f>
          <m:r>
            <w:rPr>
              <w:rFonts w:ascii="Cambria Math" w:hAnsi="Cambria Math"/>
              <w:szCs w:val="20"/>
            </w:rPr>
            <m:t>=0,66</m:t>
          </m:r>
        </m:oMath>
      </m:oMathPara>
    </w:p>
    <w:p w:rsidR="005624E3" w:rsidRPr="00921ED0" w:rsidRDefault="005624E3" w:rsidP="005624E3">
      <w:pPr>
        <w:overflowPunct w:val="0"/>
        <w:adjustRightInd w:val="0"/>
        <w:spacing w:line="240" w:lineRule="atLeast"/>
        <w:ind w:left="567"/>
        <w:textAlignment w:val="baseline"/>
        <w:rPr>
          <w:szCs w:val="20"/>
        </w:rPr>
      </w:pPr>
    </w:p>
    <w:p w:rsidR="005624E3" w:rsidRPr="00921ED0" w:rsidRDefault="005624E3" w:rsidP="005624E3">
      <w:pPr>
        <w:tabs>
          <w:tab w:val="left" w:pos="284"/>
        </w:tabs>
        <w:overflowPunct w:val="0"/>
        <w:adjustRightInd w:val="0"/>
        <w:spacing w:line="240" w:lineRule="exact"/>
        <w:textAlignment w:val="baseline"/>
        <w:rPr>
          <w:szCs w:val="20"/>
        </w:rPr>
      </w:pPr>
    </w:p>
    <w:p w:rsidR="005624E3" w:rsidRPr="00921ED0" w:rsidRDefault="005624E3" w:rsidP="005624E3">
      <w:pPr>
        <w:tabs>
          <w:tab w:val="left" w:pos="284"/>
        </w:tabs>
        <w:overflowPunct w:val="0"/>
        <w:adjustRightInd w:val="0"/>
        <w:spacing w:line="240" w:lineRule="atLeast"/>
        <w:ind w:left="567"/>
        <w:textAlignment w:val="baseline"/>
        <w:rPr>
          <w:szCs w:val="20"/>
        </w:rPr>
      </w:pPr>
      <w:r w:rsidRPr="00921ED0">
        <w:t>a megengedett hordképesség ebben az alakzatban (lásd: 1. pont):</w:t>
      </w:r>
    </w:p>
    <w:p w:rsidR="005624E3" w:rsidRPr="00921ED0" w:rsidRDefault="005624E3" w:rsidP="005624E3">
      <w:pPr>
        <w:tabs>
          <w:tab w:val="left" w:pos="284"/>
        </w:tabs>
        <w:overflowPunct w:val="0"/>
        <w:adjustRightInd w:val="0"/>
        <w:spacing w:line="240" w:lineRule="atLeast"/>
        <w:ind w:left="567"/>
        <w:textAlignment w:val="baseline"/>
        <w:rPr>
          <w:szCs w:val="20"/>
        </w:rPr>
      </w:pPr>
    </w:p>
    <w:p w:rsidR="005624E3" w:rsidRPr="00921ED0" w:rsidRDefault="005624E3" w:rsidP="005624E3">
      <w:pPr>
        <w:tabs>
          <w:tab w:val="left" w:pos="284"/>
        </w:tabs>
        <w:overflowPunct w:val="0"/>
        <w:adjustRightInd w:val="0"/>
        <w:spacing w:line="240" w:lineRule="atLeast"/>
        <w:ind w:left="567"/>
        <w:textAlignment w:val="baseline"/>
        <w:rPr>
          <w:szCs w:val="20"/>
        </w:rPr>
      </w:pPr>
      <m:oMathPara>
        <m:oMathParaPr>
          <m:jc m:val="left"/>
        </m:oMathParaPr>
        <m:oMath>
          <m:r>
            <w:rPr>
              <w:rFonts w:ascii="Cambria Math" w:hAnsi="Cambria Math"/>
              <w:szCs w:val="20"/>
            </w:rPr>
            <m:t>0,66 ∙10700=</m:t>
          </m:r>
          <m:r>
            <m:rPr>
              <m:sty m:val="bi"/>
            </m:rPr>
            <w:rPr>
              <w:rFonts w:ascii="Cambria Math" w:hAnsi="Cambria Math"/>
              <w:szCs w:val="20"/>
            </w:rPr>
            <m:t>7112 t</m:t>
          </m:r>
        </m:oMath>
      </m:oMathPara>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sectPr w:rsidR="005624E3" w:rsidRPr="00921ED0" w:rsidSect="00D45887">
          <w:headerReference w:type="first" r:id="rId130"/>
          <w:pgSz w:w="11907" w:h="16840" w:code="9"/>
          <w:pgMar w:top="1418" w:right="1418" w:bottom="1418" w:left="1418" w:header="680" w:footer="680" w:gutter="0"/>
          <w:cols w:space="720"/>
          <w:noEndnote/>
          <w:titlePg/>
        </w:sectPr>
      </w:pPr>
    </w:p>
    <w:p w:rsidR="005624E3" w:rsidRPr="00921ED0" w:rsidRDefault="005624E3" w:rsidP="005624E3">
      <w:pPr>
        <w:pStyle w:val="ESch"/>
      </w:pPr>
    </w:p>
    <w:p w:rsidR="005624E3" w:rsidRPr="00921ED0" w:rsidRDefault="005624E3" w:rsidP="005624E3">
      <w:pPr>
        <w:pStyle w:val="ES-Titre2ESI"/>
      </w:pPr>
      <w:bookmarkStart w:id="743" w:name="_Toc491854353"/>
      <w:bookmarkStart w:id="744" w:name="_Toc535854134"/>
      <w:r w:rsidRPr="00921ED0">
        <w:t>ESI-II-4</w:t>
      </w:r>
      <w:r w:rsidRPr="00921ED0">
        <w:br/>
        <w:t>Kitérési képesség és fordulási képesség</w:t>
      </w:r>
      <w:bookmarkEnd w:id="743"/>
      <w:bookmarkEnd w:id="744"/>
    </w:p>
    <w:p w:rsidR="005624E3" w:rsidRPr="00921ED0" w:rsidRDefault="005624E3" w:rsidP="005624E3">
      <w:pPr>
        <w:overflowPunct w:val="0"/>
        <w:adjustRightInd w:val="0"/>
        <w:jc w:val="center"/>
        <w:textAlignment w:val="baseline"/>
        <w:rPr>
          <w:szCs w:val="20"/>
        </w:rPr>
      </w:pPr>
    </w:p>
    <w:p w:rsidR="005624E3" w:rsidRPr="00921ED0" w:rsidRDefault="005624E3" w:rsidP="005624E3">
      <w:pPr>
        <w:tabs>
          <w:tab w:val="center" w:pos="4666"/>
        </w:tabs>
        <w:overflowPunct w:val="0"/>
        <w:adjustRightInd w:val="0"/>
        <w:jc w:val="center"/>
        <w:textAlignment w:val="baseline"/>
        <w:rPr>
          <w:b/>
          <w:szCs w:val="20"/>
        </w:rPr>
      </w:pPr>
      <w:r w:rsidRPr="00921ED0">
        <w:rPr>
          <w:b/>
        </w:rPr>
        <w:t>(5.09. és 5.10. cikk, összefüggésben a következőkkel: 5.02. cikk 1. bekezdés, 5.03. cikk 1. bekezdés, 5.04. és 21.06. cikk)</w:t>
      </w:r>
    </w:p>
    <w:p w:rsidR="005624E3" w:rsidRPr="00921ED0" w:rsidRDefault="005624E3" w:rsidP="005624E3">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rPr>
      </w:pPr>
    </w:p>
    <w:p w:rsidR="005624E3" w:rsidRPr="00921ED0" w:rsidRDefault="005624E3" w:rsidP="005624E3">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rPr>
      </w:pPr>
    </w:p>
    <w:p w:rsidR="005624E3" w:rsidRPr="00921ED0" w:rsidRDefault="005624E3" w:rsidP="005624E3">
      <w:pPr>
        <w:tabs>
          <w:tab w:val="left" w:pos="567"/>
        </w:tabs>
        <w:overflowPunct w:val="0"/>
        <w:adjustRightInd w:val="0"/>
        <w:ind w:left="567" w:hanging="567"/>
        <w:textAlignment w:val="baseline"/>
        <w:rPr>
          <w:b/>
          <w:szCs w:val="20"/>
        </w:rPr>
      </w:pPr>
      <w:r w:rsidRPr="00921ED0">
        <w:rPr>
          <w:b/>
        </w:rPr>
        <w:t>1.</w:t>
      </w:r>
      <w:r w:rsidRPr="00921ED0">
        <w:tab/>
      </w:r>
      <w:r w:rsidRPr="00921ED0">
        <w:rPr>
          <w:b/>
        </w:rPr>
        <w:t>A kitérési képesség ellenőrzésének általános feltételei és peremfeltételei</w:t>
      </w:r>
    </w:p>
    <w:p w:rsidR="005624E3" w:rsidRPr="00921ED0" w:rsidRDefault="005624E3" w:rsidP="005624E3">
      <w:pPr>
        <w:tabs>
          <w:tab w:val="left" w:pos="426"/>
        </w:tabs>
        <w:overflowPunct w:val="0"/>
        <w:adjustRightInd w:val="0"/>
        <w:ind w:left="426" w:hanging="426"/>
        <w:textAlignment w:val="baseline"/>
        <w:rPr>
          <w:szCs w:val="20"/>
        </w:rPr>
      </w:pPr>
    </w:p>
    <w:p w:rsidR="005624E3" w:rsidRPr="00921ED0" w:rsidRDefault="005624E3" w:rsidP="005624E3">
      <w:pPr>
        <w:spacing w:line="240" w:lineRule="atLeast"/>
        <w:ind w:left="567" w:hanging="567"/>
      </w:pPr>
      <w:r w:rsidRPr="00921ED0">
        <w:t>1.1.</w:t>
      </w:r>
      <w:r w:rsidRPr="00921ED0">
        <w:tab/>
        <w:t>Az 5.09. cikk szerint a hajóknak és kötelékeknek képeseknek kell lenniük a kellő időben történő kitérés elvégzésére, és ezt a képességet az 5.03. cikknek megfelelően bizonyítani kell a vizsgálati területen végrehajtott kitérési manőverekkel. Az előírt értékeknek való megfelelést balra és jobbra végzett kitérési manőverekkel kell bizonyítani, amelyek során a hajónak a kormány elfordítását, majd rögzítését követően bizonyos időn belül el kell érnie az előírt elfordulási sebességet.</w:t>
      </w:r>
    </w:p>
    <w:p w:rsidR="005624E3" w:rsidRPr="00921ED0" w:rsidRDefault="005624E3" w:rsidP="005624E3">
      <w:pPr>
        <w:tabs>
          <w:tab w:val="left" w:pos="426"/>
        </w:tabs>
        <w:overflowPunct w:val="0"/>
        <w:adjustRightInd w:val="0"/>
        <w:ind w:left="426" w:hanging="426"/>
        <w:textAlignment w:val="baseline"/>
        <w:rPr>
          <w:szCs w:val="20"/>
        </w:rPr>
      </w:pPr>
    </w:p>
    <w:p w:rsidR="005624E3" w:rsidRPr="00921ED0" w:rsidRDefault="005624E3" w:rsidP="005624E3">
      <w:pPr>
        <w:spacing w:line="240" w:lineRule="atLeast"/>
        <w:ind w:left="567"/>
      </w:pPr>
      <w:r w:rsidRPr="00921ED0">
        <w:t>A vizsgálatok során teljesíteni kell a 2. pont szerinti követelményeket, a gerinc és a mederfenék között legalább a merülés 20 %-ának megfelelő, de 0,50 méternél nem kisebb távolság megtartásával.</w:t>
      </w:r>
    </w:p>
    <w:p w:rsidR="005624E3" w:rsidRPr="00921ED0" w:rsidRDefault="005624E3" w:rsidP="005624E3">
      <w:pPr>
        <w:overflowPunct w:val="0"/>
        <w:adjustRightInd w:val="0"/>
        <w:textAlignment w:val="baseline"/>
        <w:rPr>
          <w:szCs w:val="20"/>
        </w:rPr>
      </w:pPr>
    </w:p>
    <w:p w:rsidR="005624E3" w:rsidRPr="00921ED0" w:rsidRDefault="005624E3" w:rsidP="005624E3">
      <w:pPr>
        <w:tabs>
          <w:tab w:val="left" w:pos="567"/>
        </w:tabs>
        <w:overflowPunct w:val="0"/>
        <w:adjustRightInd w:val="0"/>
        <w:ind w:left="567" w:hanging="567"/>
        <w:textAlignment w:val="baseline"/>
        <w:rPr>
          <w:b/>
          <w:szCs w:val="20"/>
        </w:rPr>
      </w:pPr>
      <w:r w:rsidRPr="00921ED0">
        <w:rPr>
          <w:b/>
        </w:rPr>
        <w:t>2.</w:t>
      </w:r>
      <w:r w:rsidRPr="00921ED0">
        <w:tab/>
      </w:r>
      <w:r w:rsidRPr="00921ED0">
        <w:rPr>
          <w:b/>
        </w:rPr>
        <w:t>A kitérési képesség ellenőrzésére vonatkozó eljárás és az adatok feljegyzése</w:t>
      </w:r>
    </w:p>
    <w:p w:rsidR="005624E3" w:rsidRPr="00921ED0" w:rsidRDefault="005624E3" w:rsidP="005624E3">
      <w:pPr>
        <w:spacing w:line="240" w:lineRule="atLeast"/>
        <w:ind w:left="567"/>
      </w:pPr>
      <w:r w:rsidRPr="00921ED0">
        <w:t>(Diagram az 1. mellékletben)</w:t>
      </w:r>
    </w:p>
    <w:p w:rsidR="005624E3" w:rsidRPr="00921ED0" w:rsidRDefault="005624E3" w:rsidP="005624E3">
      <w:pPr>
        <w:tabs>
          <w:tab w:val="left" w:pos="426"/>
        </w:tabs>
        <w:overflowPunct w:val="0"/>
        <w:adjustRightInd w:val="0"/>
        <w:ind w:left="426" w:hanging="426"/>
        <w:textAlignment w:val="baseline"/>
        <w:rPr>
          <w:szCs w:val="20"/>
        </w:rPr>
      </w:pPr>
    </w:p>
    <w:p w:rsidR="005624E3" w:rsidRPr="00921ED0" w:rsidRDefault="005624E3" w:rsidP="005624E3">
      <w:pPr>
        <w:tabs>
          <w:tab w:val="left" w:pos="567"/>
        </w:tabs>
        <w:overflowPunct w:val="0"/>
        <w:adjustRightInd w:val="0"/>
        <w:ind w:left="567" w:hanging="567"/>
        <w:textAlignment w:val="baseline"/>
        <w:rPr>
          <w:szCs w:val="20"/>
        </w:rPr>
      </w:pPr>
      <w:r w:rsidRPr="00921ED0">
        <w:t>2.1.</w:t>
      </w:r>
      <w:r w:rsidRPr="00921ED0">
        <w:tab/>
        <w:t>A kitérési manővereket a következők szerint kell végrehajtani:</w:t>
      </w:r>
    </w:p>
    <w:p w:rsidR="005624E3" w:rsidRPr="00921ED0" w:rsidRDefault="005624E3" w:rsidP="005624E3">
      <w:pPr>
        <w:tabs>
          <w:tab w:val="left" w:pos="426"/>
        </w:tabs>
        <w:overflowPunct w:val="0"/>
        <w:adjustRightInd w:val="0"/>
        <w:ind w:left="426" w:hanging="426"/>
        <w:textAlignment w:val="baseline"/>
        <w:rPr>
          <w:szCs w:val="20"/>
        </w:rPr>
      </w:pPr>
    </w:p>
    <w:p w:rsidR="005624E3" w:rsidRPr="00921ED0" w:rsidRDefault="005624E3" w:rsidP="005624E3">
      <w:pPr>
        <w:tabs>
          <w:tab w:val="left" w:pos="567"/>
        </w:tabs>
        <w:overflowPunct w:val="0"/>
        <w:adjustRightInd w:val="0"/>
        <w:ind w:left="567" w:hanging="567"/>
        <w:textAlignment w:val="baseline"/>
        <w:rPr>
          <w:szCs w:val="20"/>
        </w:rPr>
      </w:pPr>
      <w:r w:rsidRPr="00921ED0">
        <w:tab/>
        <w:t xml:space="preserve">A hajó vagy kötelék a manőver kezdetén </w:t>
      </w:r>
      <m:oMath>
        <m:r>
          <w:rPr>
            <w:rFonts w:ascii="Cambria Math" w:hAnsi="Cambria Math" w:cs="Arial"/>
            <w:szCs w:val="20"/>
          </w:rPr>
          <m:t>V</m:t>
        </m:r>
        <m:r>
          <w:rPr>
            <w:rFonts w:ascii="Cambria Math" w:hAnsi="Cambria Math" w:cs="Arial"/>
            <w:szCs w:val="20"/>
            <w:vertAlign w:val="subscript"/>
          </w:rPr>
          <m:t>o</m:t>
        </m:r>
      </m:oMath>
      <w:r w:rsidRPr="00921ED0">
        <w:t xml:space="preserve"> = 13 km/h állandó sebességgel halad a vízhez képest (idő </w:t>
      </w:r>
      <m:oMath>
        <m:sSub>
          <m:sSubPr>
            <m:ctrlPr>
              <w:rPr>
                <w:rFonts w:ascii="Cambria Math" w:hAnsi="Cambria Math" w:cs="Arial"/>
                <w:i/>
                <w:szCs w:val="20"/>
              </w:rPr>
            </m:ctrlPr>
          </m:sSubPr>
          <m:e>
            <m:r>
              <w:rPr>
                <w:rFonts w:ascii="Cambria Math" w:hAnsi="Cambria Math" w:cs="Arial"/>
                <w:szCs w:val="20"/>
              </w:rPr>
              <m:t>t</m:t>
            </m:r>
          </m:e>
          <m:sub>
            <m:r>
              <w:rPr>
                <w:rFonts w:ascii="Cambria Math" w:hAnsi="Cambria Math" w:cs="Arial"/>
                <w:szCs w:val="20"/>
              </w:rPr>
              <m:t>0</m:t>
            </m:r>
          </m:sub>
        </m:sSub>
      </m:oMath>
      <w:r w:rsidRPr="00921ED0">
        <w:t xml:space="preserve">= 0 s, fordulási sebesség </w:t>
      </w:r>
      <m:oMath>
        <m:r>
          <w:rPr>
            <w:rFonts w:ascii="Cambria Math" w:hAnsi="Cambria Math"/>
            <w:szCs w:val="20"/>
          </w:rPr>
          <m:t>r</m:t>
        </m:r>
      </m:oMath>
      <w:r w:rsidRPr="00921ED0">
        <w:t xml:space="preserve"> = 0°/min, a kormány állásszöge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0</m:t>
            </m:r>
          </m:sub>
        </m:sSub>
      </m:oMath>
      <w:r w:rsidRPr="00921ED0">
        <w:t xml:space="preserve"> = 0°, a motor fordulatszáma állandó értéken tartott), és a balra vagy jobbra történő kitérést a kormányszerkezet kitérítésével kell előidézni. A kormány állásszögét </w:t>
      </w:r>
      <m:oMath>
        <m:r>
          <w:rPr>
            <w:rFonts w:ascii="Cambria Math" w:hAnsi="Cambria Math"/>
            <w:szCs w:val="20"/>
          </w:rPr>
          <m:t>δ</m:t>
        </m:r>
      </m:oMath>
      <w:r w:rsidRPr="00921ED0">
        <w:t xml:space="preserve"> értékre vagy – aktív kormányrendszer esetében – a kormányzást biztosító egységet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a</m:t>
            </m:r>
          </m:sub>
        </m:sSub>
      </m:oMath>
      <w:r w:rsidRPr="00921ED0">
        <w:t xml:space="preserve"> szögbe kell beállítani a manőver megkezdésekor, a 2.3. pontban megadott beállítások szerint. A </w:t>
      </w:r>
      <m:oMath>
        <m:r>
          <w:rPr>
            <w:rFonts w:ascii="Cambria Math" w:hAnsi="Cambria Math"/>
            <w:szCs w:val="20"/>
          </w:rPr>
          <m:t>δ</m:t>
        </m:r>
      </m:oMath>
      <w:r w:rsidRPr="00921ED0">
        <w:t xml:space="preserve"> kormány állásszögét (például 20° jobbra) mindaddig fenn kell tartani, amíg a fordulási sebesség el nem éri a 2.2. pontban említett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rsidRPr="00921ED0">
        <w:t xml:space="preserve"> értéket a hajó vagy kötelék releváns méreteinek megfelelően. Az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rsidRPr="00921ED0">
        <w:t xml:space="preserve"> fordulási sebesség elérésekor fel kell jegyezni a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Pr="00921ED0">
        <w:t xml:space="preserve"> időt, és a kormány állásszögét ugyanakkorára kell állítani az ellenkező irányba (például 20° balra) a fordulás leállítása és az ellenkező irányú fordulás megkezdése érdekében, tehát azért, hogy a fordulási sebességet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rsidRPr="00921ED0">
        <w:t xml:space="preserve"> = 0 értékre csökkentsék és újból a 2.2. pontban megadott értékre emeljék. Az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rsidRPr="00921ED0">
        <w:t xml:space="preserve"> = 0 fordulási sebesség elérésekor fel kell jegyezni a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Pr="00921ED0">
        <w:t xml:space="preserve"> időt. A 2.2. pontban megadott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r w:rsidRPr="00921ED0">
        <w:t xml:space="preserve"> fordulási sebesség elérésekor a kormány állásszögét az ellenkező irányba kell fordítani (ugyanakkora </w:t>
      </w:r>
      <m:oMath>
        <m:r>
          <w:rPr>
            <w:rFonts w:ascii="Cambria Math" w:hAnsi="Cambria Math"/>
            <w:szCs w:val="20"/>
          </w:rPr>
          <m:t>δ</m:t>
        </m:r>
      </m:oMath>
      <w:r w:rsidRPr="00921ED0">
        <w:t xml:space="preserve"> szög) a fordulási mozgás leállítása érdekében. A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Pr="00921ED0">
        <w:t xml:space="preserve"> időt fel kell jegyezni. Az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rsidRPr="00921ED0">
        <w:t xml:space="preserve"> = 0 fordulási sebesség elérésekor fel kell jegyezni a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Pr="00921ED0">
        <w:t xml:space="preserve"> időt, és a hajónak vagy köteléknek újból fel kell vennie eredeti útirányát.</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r w:rsidRPr="00921ED0">
        <w:br w:type="page"/>
      </w:r>
    </w:p>
    <w:p w:rsidR="005624E3" w:rsidRPr="00921ED0" w:rsidRDefault="005624E3" w:rsidP="005624E3">
      <w:pPr>
        <w:tabs>
          <w:tab w:val="left" w:pos="567"/>
        </w:tabs>
        <w:overflowPunct w:val="0"/>
        <w:adjustRightInd w:val="0"/>
        <w:ind w:left="567" w:hanging="567"/>
        <w:textAlignment w:val="baseline"/>
        <w:rPr>
          <w:szCs w:val="20"/>
        </w:rPr>
      </w:pPr>
      <w:r w:rsidRPr="00921ED0">
        <w:t>2.2.</w:t>
      </w:r>
      <w:r w:rsidRPr="00921ED0">
        <w:tab/>
        <w:t>A következő határértékeket kell teljesíteni az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rsidRPr="00921ED0">
        <w:t xml:space="preserve"> fordulási sebesség elérésével, a hajók vagy kötelékek méreteitől és a </w:t>
      </w:r>
      <m:oMath>
        <m:r>
          <w:rPr>
            <w:rFonts w:ascii="Cambria Math" w:hAnsi="Cambria Math"/>
            <w:szCs w:val="20"/>
          </w:rPr>
          <m:t>h</m:t>
        </m:r>
      </m:oMath>
      <w:r w:rsidRPr="00921ED0">
        <w:t xml:space="preserve"> vízmélységtől függően:</w:t>
      </w:r>
    </w:p>
    <w:p w:rsidR="005624E3" w:rsidRPr="00921ED0" w:rsidRDefault="005624E3" w:rsidP="005624E3">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rPr>
      </w:pPr>
    </w:p>
    <w:tbl>
      <w:tblPr>
        <w:tblW w:w="998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40"/>
        <w:gridCol w:w="4139"/>
        <w:gridCol w:w="964"/>
        <w:gridCol w:w="964"/>
        <w:gridCol w:w="1191"/>
        <w:gridCol w:w="1191"/>
        <w:gridCol w:w="1191"/>
      </w:tblGrid>
      <w:tr w:rsidR="005624E3" w:rsidRPr="00921ED0" w:rsidTr="00101A80">
        <w:trPr>
          <w:jc w:val="center"/>
        </w:trPr>
        <w:tc>
          <w:tcPr>
            <w:tcW w:w="340" w:type="dxa"/>
            <w:tcBorders>
              <w:top w:val="single" w:sz="6" w:space="0" w:color="auto"/>
              <w:left w:val="single" w:sz="6" w:space="0" w:color="auto"/>
              <w:bottom w:val="nil"/>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p>
        </w:tc>
        <w:tc>
          <w:tcPr>
            <w:tcW w:w="4139" w:type="dxa"/>
            <w:tcBorders>
              <w:top w:val="single" w:sz="6" w:space="0" w:color="auto"/>
              <w:bottom w:val="nil"/>
            </w:tcBorders>
            <w:vAlign w:val="center"/>
          </w:tcPr>
          <w:p w:rsidR="005624E3" w:rsidRPr="00166EA9"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pt-PT"/>
              </w:rPr>
            </w:pPr>
            <w:r w:rsidRPr="00166EA9">
              <w:rPr>
                <w:sz w:val="18"/>
                <w:lang w:val="pt-PT"/>
              </w:rPr>
              <w:t>A hajó vagy kötelék méretei</w:t>
            </w:r>
            <w:r w:rsidRPr="00166EA9">
              <w:rPr>
                <w:sz w:val="18"/>
                <w:szCs w:val="20"/>
                <w:lang w:val="pt-PT"/>
              </w:rPr>
              <w:br/>
            </w:r>
            <m:oMath>
              <m:r>
                <w:rPr>
                  <w:rFonts w:ascii="Cambria Math" w:hAnsi="Cambria Math"/>
                  <w:sz w:val="18"/>
                  <w:szCs w:val="20"/>
                </w:rPr>
                <m:t>L</m:t>
              </m:r>
            </m:oMath>
            <w:r w:rsidRPr="00166EA9">
              <w:rPr>
                <w:sz w:val="18"/>
                <w:lang w:val="pt-PT"/>
              </w:rPr>
              <w:t xml:space="preserve"> x </w:t>
            </w:r>
            <m:oMath>
              <m:r>
                <w:rPr>
                  <w:rFonts w:ascii="Cambria Math" w:hAnsi="Cambria Math"/>
                  <w:sz w:val="18"/>
                  <w:szCs w:val="20"/>
                </w:rPr>
                <m:t>B</m:t>
              </m:r>
            </m:oMath>
          </w:p>
        </w:tc>
        <w:tc>
          <w:tcPr>
            <w:tcW w:w="1928" w:type="dxa"/>
            <w:gridSpan w:val="2"/>
            <w:tcBorders>
              <w:top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921ED0">
              <w:rPr>
                <w:sz w:val="18"/>
              </w:rPr>
              <w:t>Előírt fordulási sebesség</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rsidRPr="00921ED0">
              <w:t xml:space="preserve"> </w:t>
            </w:r>
            <w:r w:rsidRPr="00921ED0">
              <w:rPr>
                <w:sz w:val="18"/>
              </w:rPr>
              <w:t xml:space="preserv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r w:rsidRPr="00921ED0">
              <w:t xml:space="preserve"> </w:t>
            </w:r>
            <w:r w:rsidRPr="00921ED0">
              <w:rPr>
                <w:sz w:val="18"/>
              </w:rPr>
              <w:t>[°/min]</w:t>
            </w:r>
          </w:p>
        </w:tc>
        <w:tc>
          <w:tcPr>
            <w:tcW w:w="3573" w:type="dxa"/>
            <w:gridSpan w:val="3"/>
            <w:tcBorders>
              <w:top w:val="single" w:sz="6" w:space="0" w:color="auto"/>
              <w:right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921ED0">
              <w:rPr>
                <w:sz w:val="18"/>
              </w:rPr>
              <w:t xml:space="preserve">A </w:t>
            </w:r>
            <m:oMath>
              <m:sSub>
                <m:sSubPr>
                  <m:ctrlPr>
                    <w:rPr>
                      <w:rFonts w:ascii="Cambria Math" w:hAnsi="Cambria Math"/>
                      <w:i/>
                      <w:sz w:val="18"/>
                      <w:szCs w:val="20"/>
                    </w:rPr>
                  </m:ctrlPr>
                </m:sSubPr>
                <m:e>
                  <m:r>
                    <w:rPr>
                      <w:rFonts w:ascii="Cambria Math" w:hAnsi="Cambria Math"/>
                      <w:sz w:val="18"/>
                      <w:szCs w:val="20"/>
                    </w:rPr>
                    <m:t>t</m:t>
                  </m:r>
                </m:e>
                <m:sub>
                  <m:r>
                    <w:rPr>
                      <w:rFonts w:ascii="Cambria Math" w:hAnsi="Cambria Math"/>
                      <w:sz w:val="18"/>
                      <w:szCs w:val="20"/>
                    </w:rPr>
                    <m:t>4</m:t>
                  </m:r>
                </m:sub>
              </m:sSub>
            </m:oMath>
            <w:r w:rsidRPr="00921ED0">
              <w:rPr>
                <w:sz w:val="18"/>
              </w:rPr>
              <w:t xml:space="preserve"> idő határértékei (s) sekély </w:t>
            </w:r>
            <w:r w:rsidRPr="00921ED0">
              <w:rPr>
                <w:sz w:val="18"/>
                <w:szCs w:val="20"/>
              </w:rPr>
              <w:br/>
            </w:r>
            <w:r w:rsidRPr="00921ED0">
              <w:rPr>
                <w:sz w:val="18"/>
              </w:rPr>
              <w:t>és mély vízben</w:t>
            </w:r>
          </w:p>
        </w:tc>
      </w:tr>
      <w:tr w:rsidR="005624E3" w:rsidRPr="00921ED0" w:rsidTr="00101A80">
        <w:trPr>
          <w:jc w:val="center"/>
        </w:trPr>
        <w:tc>
          <w:tcPr>
            <w:tcW w:w="340" w:type="dxa"/>
            <w:tcBorders>
              <w:top w:val="nil"/>
              <w:left w:val="single" w:sz="6" w:space="0" w:color="auto"/>
              <w:bottom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rPr>
            </w:pPr>
          </w:p>
        </w:tc>
        <w:tc>
          <w:tcPr>
            <w:tcW w:w="4139" w:type="dxa"/>
            <w:tcBorders>
              <w:top w:val="nil"/>
              <w:bottom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rPr>
            </w:pPr>
          </w:p>
        </w:tc>
        <w:tc>
          <w:tcPr>
            <w:tcW w:w="964"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m:oMath>
              <m:r>
                <w:rPr>
                  <w:rFonts w:ascii="Cambria Math" w:hAnsi="Cambria Math"/>
                  <w:i/>
                  <w:sz w:val="18"/>
                  <w:szCs w:val="20"/>
                </w:rPr>
                <w:sym w:font="Symbol" w:char="F064"/>
              </m:r>
            </m:oMath>
            <w:r w:rsidRPr="00921ED0">
              <w:rPr>
                <w:sz w:val="18"/>
              </w:rPr>
              <w:t xml:space="preserve"> = 20°</w:t>
            </w:r>
          </w:p>
        </w:tc>
        <w:tc>
          <w:tcPr>
            <w:tcW w:w="964"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m:oMath>
              <m:r>
                <w:rPr>
                  <w:rFonts w:ascii="Cambria Math" w:hAnsi="Cambria Math"/>
                  <w:i/>
                  <w:sz w:val="18"/>
                  <w:szCs w:val="20"/>
                </w:rPr>
                <w:sym w:font="Symbol" w:char="F064"/>
              </m:r>
            </m:oMath>
            <w:r w:rsidRPr="00921ED0">
              <w:rPr>
                <w:sz w:val="18"/>
              </w:rPr>
              <w:t xml:space="preserve"> = 45°</w:t>
            </w:r>
          </w:p>
        </w:tc>
        <w:tc>
          <w:tcPr>
            <w:tcW w:w="1191"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921ED0">
              <w:rPr>
                <w:sz w:val="18"/>
              </w:rPr>
              <w:t xml:space="preserve">1,2 </w:t>
            </w:r>
            <w:r w:rsidRPr="00921ED0">
              <w:rPr>
                <w:sz w:val="18"/>
                <w:szCs w:val="20"/>
              </w:rPr>
              <w:sym w:font="Symbol" w:char="F0A3"/>
            </w:r>
            <w:r w:rsidRPr="00921ED0">
              <w:rPr>
                <w:sz w:val="18"/>
              </w:rPr>
              <w:t xml:space="preserve"> h/T </w:t>
            </w:r>
            <w:r w:rsidRPr="00921ED0">
              <w:rPr>
                <w:sz w:val="18"/>
                <w:szCs w:val="20"/>
              </w:rPr>
              <w:sym w:font="Symbol" w:char="F0A3"/>
            </w:r>
            <w:r w:rsidRPr="00921ED0">
              <w:rPr>
                <w:sz w:val="18"/>
              </w:rPr>
              <w:t xml:space="preserve"> 1,4</w:t>
            </w:r>
          </w:p>
        </w:tc>
        <w:tc>
          <w:tcPr>
            <w:tcW w:w="1191"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921ED0">
              <w:rPr>
                <w:sz w:val="18"/>
              </w:rPr>
              <w:t xml:space="preserve">1,4 &lt; h/T </w:t>
            </w:r>
            <w:r w:rsidRPr="00921ED0">
              <w:rPr>
                <w:sz w:val="18"/>
                <w:szCs w:val="20"/>
              </w:rPr>
              <w:sym w:font="Symbol" w:char="F0A3"/>
            </w:r>
            <w:r w:rsidRPr="00921ED0">
              <w:rPr>
                <w:sz w:val="18"/>
              </w:rPr>
              <w:t xml:space="preserve"> 2</w:t>
            </w:r>
          </w:p>
        </w:tc>
        <w:tc>
          <w:tcPr>
            <w:tcW w:w="1191" w:type="dxa"/>
            <w:tcBorders>
              <w:bottom w:val="nil"/>
              <w:right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921ED0">
              <w:rPr>
                <w:sz w:val="18"/>
              </w:rPr>
              <w:t>h/T &gt; 2</w:t>
            </w:r>
          </w:p>
        </w:tc>
      </w:tr>
      <w:tr w:rsidR="005624E3" w:rsidRPr="00921ED0" w:rsidTr="00101A80">
        <w:trPr>
          <w:jc w:val="center"/>
        </w:trPr>
        <w:tc>
          <w:tcPr>
            <w:tcW w:w="340" w:type="dxa"/>
            <w:tcBorders>
              <w:top w:val="nil"/>
              <w:left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w:t>
            </w:r>
          </w:p>
        </w:tc>
        <w:tc>
          <w:tcPr>
            <w:tcW w:w="4139" w:type="dxa"/>
            <w:tcBorders>
              <w:top w:val="nil"/>
            </w:tcBorders>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rPr>
            </w:pPr>
            <w:r w:rsidRPr="00921ED0">
              <w:rPr>
                <w:sz w:val="18"/>
              </w:rPr>
              <w:t>Minden önjáró hajó; legfeljebb 110 × 11,45 m méretű egysoros kötelékek</w:t>
            </w:r>
          </w:p>
        </w:tc>
        <w:tc>
          <w:tcPr>
            <w:tcW w:w="964"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20°/min</w:t>
            </w:r>
          </w:p>
        </w:tc>
        <w:tc>
          <w:tcPr>
            <w:tcW w:w="964"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28°/min</w:t>
            </w:r>
          </w:p>
        </w:tc>
        <w:tc>
          <w:tcPr>
            <w:tcW w:w="1191"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150 s</w:t>
            </w:r>
          </w:p>
        </w:tc>
        <w:tc>
          <w:tcPr>
            <w:tcW w:w="1191"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110 s</w:t>
            </w:r>
          </w:p>
        </w:tc>
        <w:tc>
          <w:tcPr>
            <w:tcW w:w="1191" w:type="dxa"/>
            <w:tcBorders>
              <w:top w:val="single" w:sz="6" w:space="0" w:color="auto"/>
              <w:bottom w:val="nil"/>
              <w:right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110 s</w:t>
            </w:r>
          </w:p>
        </w:tc>
      </w:tr>
      <w:tr w:rsidR="005624E3" w:rsidRPr="00921ED0" w:rsidTr="00101A80">
        <w:trPr>
          <w:jc w:val="center"/>
        </w:trPr>
        <w:tc>
          <w:tcPr>
            <w:tcW w:w="340" w:type="dxa"/>
            <w:tcBorders>
              <w:left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2</w:t>
            </w:r>
          </w:p>
        </w:tc>
        <w:tc>
          <w:tcPr>
            <w:tcW w:w="4139" w:type="dxa"/>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rPr>
            </w:pPr>
            <w:r w:rsidRPr="00921ED0">
              <w:rPr>
                <w:sz w:val="18"/>
              </w:rPr>
              <w:t>Legfeljebb 193×11,45 m méretű egysoros vagy legfeljebb 110×22,90 m méretű kétsoros kötelékek</w:t>
            </w:r>
          </w:p>
        </w:tc>
        <w:tc>
          <w:tcPr>
            <w:tcW w:w="964"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12 °/min</w:t>
            </w:r>
          </w:p>
        </w:tc>
        <w:tc>
          <w:tcPr>
            <w:tcW w:w="964"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18 °/min</w:t>
            </w:r>
          </w:p>
        </w:tc>
        <w:tc>
          <w:tcPr>
            <w:tcW w:w="1191"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180 s</w:t>
            </w:r>
          </w:p>
        </w:tc>
        <w:tc>
          <w:tcPr>
            <w:tcW w:w="1191"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130 s</w:t>
            </w:r>
          </w:p>
        </w:tc>
        <w:tc>
          <w:tcPr>
            <w:tcW w:w="1191" w:type="dxa"/>
            <w:tcBorders>
              <w:top w:val="single" w:sz="6" w:space="0" w:color="auto"/>
              <w:bottom w:val="single" w:sz="6" w:space="0" w:color="auto"/>
              <w:right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110 s</w:t>
            </w:r>
          </w:p>
        </w:tc>
      </w:tr>
      <w:tr w:rsidR="005624E3" w:rsidRPr="00921ED0" w:rsidTr="00101A80">
        <w:trPr>
          <w:jc w:val="center"/>
        </w:trPr>
        <w:tc>
          <w:tcPr>
            <w:tcW w:w="340" w:type="dxa"/>
            <w:tcBorders>
              <w:left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3</w:t>
            </w:r>
          </w:p>
        </w:tc>
        <w:tc>
          <w:tcPr>
            <w:tcW w:w="4139" w:type="dxa"/>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rPr>
            </w:pPr>
            <w:r w:rsidRPr="00921ED0">
              <w:rPr>
                <w:sz w:val="18"/>
              </w:rPr>
              <w:t>Legfeljebb 193 × 22,90 méretű kétsoros kötelékek</w:t>
            </w:r>
          </w:p>
        </w:tc>
        <w:tc>
          <w:tcPr>
            <w:tcW w:w="964"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8 °/min</w:t>
            </w:r>
          </w:p>
        </w:tc>
        <w:tc>
          <w:tcPr>
            <w:tcW w:w="964"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12 °/min</w:t>
            </w:r>
          </w:p>
        </w:tc>
        <w:tc>
          <w:tcPr>
            <w:tcW w:w="1191"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180 s</w:t>
            </w:r>
          </w:p>
        </w:tc>
        <w:tc>
          <w:tcPr>
            <w:tcW w:w="1191"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130 s</w:t>
            </w:r>
          </w:p>
        </w:tc>
        <w:tc>
          <w:tcPr>
            <w:tcW w:w="1191" w:type="dxa"/>
            <w:tcBorders>
              <w:top w:val="single" w:sz="6" w:space="0" w:color="auto"/>
              <w:bottom w:val="single" w:sz="6" w:space="0" w:color="auto"/>
              <w:right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110 s</w:t>
            </w:r>
          </w:p>
        </w:tc>
      </w:tr>
      <w:tr w:rsidR="005624E3" w:rsidRPr="00921ED0" w:rsidTr="00101A80">
        <w:trPr>
          <w:jc w:val="center"/>
        </w:trPr>
        <w:tc>
          <w:tcPr>
            <w:tcW w:w="340" w:type="dxa"/>
            <w:tcBorders>
              <w:left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4</w:t>
            </w:r>
          </w:p>
        </w:tc>
        <w:tc>
          <w:tcPr>
            <w:tcW w:w="4139" w:type="dxa"/>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rPr>
            </w:pPr>
            <w:r w:rsidRPr="00921ED0">
              <w:rPr>
                <w:sz w:val="18"/>
              </w:rPr>
              <w:t>Legfeljebb 270×22,90 m méretű kétsoros vagy legfeljebb 193×34,35 m méretű háromsoros kötelékek</w:t>
            </w:r>
          </w:p>
        </w:tc>
        <w:tc>
          <w:tcPr>
            <w:tcW w:w="964"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6 °/min</w:t>
            </w:r>
          </w:p>
        </w:tc>
        <w:tc>
          <w:tcPr>
            <w:tcW w:w="964"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8 °/min</w:t>
            </w:r>
          </w:p>
        </w:tc>
        <w:tc>
          <w:tcPr>
            <w:tcW w:w="1191"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w:t>
            </w:r>
          </w:p>
        </w:tc>
        <w:tc>
          <w:tcPr>
            <w:tcW w:w="1191" w:type="dxa"/>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w:t>
            </w:r>
          </w:p>
        </w:tc>
        <w:tc>
          <w:tcPr>
            <w:tcW w:w="1191" w:type="dxa"/>
            <w:tcBorders>
              <w:top w:val="nil"/>
              <w:bottom w:val="nil"/>
              <w:right w:val="single" w:sz="6" w:space="0" w:color="auto"/>
            </w:tcBorders>
            <w:vAlign w:val="center"/>
          </w:tcPr>
          <w:p w:rsidR="005624E3" w:rsidRPr="00921ED0" w:rsidRDefault="005624E3" w:rsidP="00101A80">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921ED0">
              <w:rPr>
                <w:sz w:val="18"/>
              </w:rPr>
              <w:t>*)</w:t>
            </w:r>
          </w:p>
        </w:tc>
      </w:tr>
      <w:tr w:rsidR="005624E3" w:rsidRPr="00921ED0" w:rsidTr="00101A80">
        <w:trPr>
          <w:jc w:val="center"/>
        </w:trPr>
        <w:tc>
          <w:tcPr>
            <w:tcW w:w="9980" w:type="dxa"/>
            <w:gridSpan w:val="7"/>
            <w:tcBorders>
              <w:left w:val="single" w:sz="6" w:space="0" w:color="auto"/>
              <w:bottom w:val="single" w:sz="6" w:space="0" w:color="auto"/>
              <w:right w:val="single" w:sz="6" w:space="0" w:color="auto"/>
            </w:tcBorders>
            <w:vAlign w:val="center"/>
          </w:tcPr>
          <w:p w:rsidR="005624E3" w:rsidRPr="00921ED0" w:rsidRDefault="005624E3" w:rsidP="00101A80">
            <w:pPr>
              <w:tabs>
                <w:tab w:val="left" w:pos="-1440"/>
                <w:tab w:val="left" w:pos="-576"/>
                <w:tab w:val="left" w:pos="-432"/>
                <w:tab w:val="left" w:pos="426"/>
              </w:tabs>
              <w:overflowPunct w:val="0"/>
              <w:adjustRightInd w:val="0"/>
              <w:spacing w:before="40" w:after="40" w:line="240" w:lineRule="atLeast"/>
              <w:textAlignment w:val="baseline"/>
              <w:rPr>
                <w:szCs w:val="20"/>
              </w:rPr>
            </w:pPr>
            <w:r w:rsidRPr="00921ED0">
              <w:tab/>
            </w:r>
            <w:r w:rsidRPr="00921ED0">
              <w:rPr>
                <w:sz w:val="16"/>
              </w:rPr>
              <w:t>*)</w:t>
            </w:r>
            <w:r w:rsidRPr="00921ED0">
              <w:tab/>
            </w:r>
            <w:r w:rsidRPr="00921ED0">
              <w:rPr>
                <w:sz w:val="16"/>
              </w:rPr>
              <w:t>A hajózási szakértő döntése szerint.</w:t>
            </w:r>
          </w:p>
        </w:tc>
      </w:tr>
    </w:tbl>
    <w:p w:rsidR="005624E3" w:rsidRPr="00921ED0" w:rsidRDefault="005624E3" w:rsidP="005624E3">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rPr>
      </w:pPr>
    </w:p>
    <w:p w:rsidR="005624E3" w:rsidRPr="00921ED0" w:rsidRDefault="005624E3" w:rsidP="005624E3">
      <w:pPr>
        <w:spacing w:line="240" w:lineRule="atLeast"/>
        <w:ind w:left="567"/>
        <w:rPr>
          <w:szCs w:val="20"/>
        </w:rPr>
      </w:pPr>
      <w:r w:rsidRPr="00921ED0">
        <w:t xml:space="preserve">Az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Pr="00921ED0">
        <w:t xml:space="preserve">,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Pr="00921ED0">
        <w:t xml:space="preserve">,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Pr="00921ED0">
        <w:t> és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Pr="00921ED0">
        <w:t xml:space="preserve"> fordulási sebesség eléréséhez szükséges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rsidRPr="00921ED0">
        <w:t xml:space="preserv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rsidRPr="00921ED0">
        <w:t xml:space="preserv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r w:rsidRPr="00921ED0">
        <w:t xml:space="preserve"> és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rsidRPr="00921ED0">
        <w:t xml:space="preserve"> időt fel kell jegyezni a 2. mellékletben szereplő mérési jelentésben. A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Pr="00921ED0">
        <w:t xml:space="preserve"> értékek nem haladhatják meg a táblázatban megadott határértékeket.</w:t>
      </w:r>
    </w:p>
    <w:p w:rsidR="005624E3" w:rsidRPr="00921ED0" w:rsidRDefault="005624E3" w:rsidP="005624E3">
      <w:pPr>
        <w:overflowPunct w:val="0"/>
        <w:adjustRightInd w:val="0"/>
        <w:ind w:left="567" w:hanging="567"/>
        <w:textAlignment w:val="baseline"/>
        <w:rPr>
          <w:szCs w:val="20"/>
        </w:rPr>
      </w:pPr>
    </w:p>
    <w:p w:rsidR="005624E3" w:rsidRPr="00921ED0" w:rsidRDefault="005624E3" w:rsidP="005624E3">
      <w:pPr>
        <w:spacing w:line="240" w:lineRule="atLeast"/>
        <w:ind w:left="567" w:hanging="567"/>
      </w:pPr>
      <w:r w:rsidRPr="00921ED0">
        <w:t>2.3.</w:t>
      </w:r>
      <w:r w:rsidRPr="00921ED0">
        <w:tab/>
        <w:t>Legalább négy kitérési manővert kell végrehajtani, nevezetesen a következőket:</w:t>
      </w:r>
    </w:p>
    <w:p w:rsidR="005624E3" w:rsidRPr="00921ED0" w:rsidRDefault="005624E3" w:rsidP="005624E3">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rsidRPr="00921ED0">
        <w:t>-</w:t>
      </w:r>
      <w:r w:rsidRPr="00921ED0">
        <w:tab/>
      </w:r>
      <w:r w:rsidRPr="00921ED0">
        <w:tab/>
        <w:t>egy manőver jobbra, a kormány állásszöge:</w:t>
      </w:r>
      <w:r w:rsidRPr="00921ED0">
        <w:tab/>
      </w:r>
      <m:oMath>
        <m:r>
          <w:rPr>
            <w:rFonts w:ascii="Cambria Math" w:hAnsi="Cambria Math"/>
            <w:i/>
            <w:szCs w:val="20"/>
          </w:rPr>
          <w:sym w:font="Symbol" w:char="F064"/>
        </m:r>
      </m:oMath>
      <w:r w:rsidRPr="00921ED0">
        <w:tab/>
        <w:t>=</w:t>
      </w:r>
      <w:r w:rsidRPr="00921ED0">
        <w:tab/>
        <w:t xml:space="preserve">20° </w:t>
      </w:r>
    </w:p>
    <w:p w:rsidR="005624E3" w:rsidRPr="00921ED0" w:rsidRDefault="005624E3" w:rsidP="005624E3">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rsidRPr="00921ED0">
        <w:t>-</w:t>
      </w:r>
      <w:r w:rsidRPr="00921ED0">
        <w:tab/>
        <w:t>egy manőver balra, a kormány állásszöge:</w:t>
      </w:r>
      <w:r w:rsidRPr="00921ED0">
        <w:tab/>
      </w:r>
      <m:oMath>
        <m:r>
          <w:rPr>
            <w:rFonts w:ascii="Cambria Math" w:hAnsi="Cambria Math"/>
            <w:i/>
            <w:szCs w:val="20"/>
          </w:rPr>
          <w:sym w:font="Symbol" w:char="F064"/>
        </m:r>
      </m:oMath>
      <w:r w:rsidRPr="00921ED0">
        <w:tab/>
        <w:t>=</w:t>
      </w:r>
      <w:r w:rsidRPr="00921ED0">
        <w:tab/>
        <w:t>20°</w:t>
      </w:r>
    </w:p>
    <w:p w:rsidR="005624E3" w:rsidRPr="00921ED0" w:rsidRDefault="005624E3" w:rsidP="005624E3">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rsidRPr="00921ED0">
        <w:t>-</w:t>
      </w:r>
      <w:r w:rsidRPr="00921ED0">
        <w:tab/>
        <w:t>egy manőver jobbra, a kormány állásszöge:</w:t>
      </w:r>
      <w:r w:rsidRPr="00921ED0">
        <w:tab/>
      </w:r>
      <m:oMath>
        <m:r>
          <w:rPr>
            <w:rFonts w:ascii="Cambria Math" w:hAnsi="Cambria Math"/>
            <w:i/>
            <w:szCs w:val="20"/>
          </w:rPr>
          <w:sym w:font="Symbol" w:char="F064"/>
        </m:r>
      </m:oMath>
      <w:r w:rsidRPr="00921ED0">
        <w:tab/>
        <w:t>=</w:t>
      </w:r>
      <w:r w:rsidRPr="00921ED0">
        <w:tab/>
        <w:t>45 °</w:t>
      </w:r>
    </w:p>
    <w:p w:rsidR="005624E3" w:rsidRPr="00921ED0" w:rsidRDefault="005624E3" w:rsidP="005624E3">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rsidRPr="00921ED0">
        <w:t>-</w:t>
      </w:r>
      <w:r w:rsidRPr="00921ED0">
        <w:tab/>
        <w:t>egy manőver balra, a kormány állásszöge:</w:t>
      </w:r>
      <w:r w:rsidRPr="00921ED0">
        <w:tab/>
      </w:r>
      <m:oMath>
        <m:r>
          <w:rPr>
            <w:rFonts w:ascii="Cambria Math" w:hAnsi="Cambria Math"/>
            <w:i/>
            <w:szCs w:val="20"/>
          </w:rPr>
          <w:sym w:font="Symbol" w:char="F064"/>
        </m:r>
      </m:oMath>
      <w:r w:rsidRPr="00921ED0">
        <w:tab/>
        <w:t>=</w:t>
      </w:r>
      <w:r w:rsidRPr="00921ED0">
        <w:tab/>
        <w:t>45°.</w:t>
      </w:r>
    </w:p>
    <w:p w:rsidR="005624E3" w:rsidRPr="00921ED0" w:rsidRDefault="005624E3" w:rsidP="005624E3">
      <w:pPr>
        <w:overflowPunct w:val="0"/>
        <w:adjustRightInd w:val="0"/>
        <w:textAlignment w:val="baseline"/>
        <w:rPr>
          <w:szCs w:val="20"/>
        </w:rPr>
      </w:pPr>
    </w:p>
    <w:p w:rsidR="005624E3" w:rsidRPr="00921ED0" w:rsidRDefault="005624E3" w:rsidP="005624E3">
      <w:pPr>
        <w:spacing w:line="240" w:lineRule="atLeast"/>
        <w:ind w:left="567"/>
      </w:pPr>
      <w:r w:rsidRPr="00921ED0">
        <w:t xml:space="preserve">Szükség esetén (például a mért értékekkel kapcsolatos bizonytalanság vagy nem kielégítő manőverek esetén) a kitérési manővereket meg kell ismételni. A 2.2. pontban megadott fordulási sebességeket és határidőket teljesíteni kell. Aktív kormányszerkezet vagy különleges típusú kormány esetében – a szakértő megítélése szerint és a kormányberendezés típusától függően – választható </w:t>
      </w:r>
      <m:oMath>
        <m:r>
          <w:rPr>
            <w:rFonts w:ascii="Cambria Math" w:hAnsi="Cambria Math"/>
            <w:noProof/>
          </w:rPr>
          <m:t>δ</m:t>
        </m:r>
      </m:oMath>
      <w:r w:rsidRPr="00921ED0">
        <w:t xml:space="preserve"> = 20°-tól és </w:t>
      </w:r>
      <m:oMath>
        <m:r>
          <w:rPr>
            <w:rFonts w:ascii="Cambria Math" w:hAnsi="Cambria Math"/>
            <w:noProof/>
          </w:rPr>
          <m:t>δ</m:t>
        </m:r>
      </m:oMath>
      <w:r w:rsidRPr="00921ED0">
        <w:t xml:space="preserve"> = 45°-tól eltérő kormányegység-helyzet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a</m:t>
            </m:r>
          </m:sub>
        </m:sSub>
      </m:oMath>
      <w:r w:rsidRPr="00921ED0">
        <w:t>), illetve kormány-állásszög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a</m:t>
            </m:r>
          </m:sub>
        </m:sSub>
      </m:oMath>
      <w:r w:rsidRPr="00921ED0">
        <w:t>) is.</w:t>
      </w:r>
    </w:p>
    <w:p w:rsidR="005624E3" w:rsidRPr="00921ED0" w:rsidRDefault="005624E3" w:rsidP="005624E3">
      <w:pPr>
        <w:tabs>
          <w:tab w:val="left" w:pos="567"/>
        </w:tabs>
        <w:overflowPunct w:val="0"/>
        <w:adjustRightInd w:val="0"/>
        <w:ind w:left="567" w:hanging="567"/>
        <w:textAlignment w:val="baseline"/>
        <w:rPr>
          <w:szCs w:val="20"/>
        </w:rPr>
      </w:pPr>
    </w:p>
    <w:p w:rsidR="005624E3" w:rsidRPr="00921ED0" w:rsidRDefault="005624E3" w:rsidP="005624E3">
      <w:pPr>
        <w:spacing w:line="240" w:lineRule="atLeast"/>
        <w:ind w:left="567" w:hanging="567"/>
        <w:rPr>
          <w:szCs w:val="20"/>
        </w:rPr>
      </w:pPr>
      <w:r w:rsidRPr="00921ED0">
        <w:t>2.4.</w:t>
      </w:r>
      <w:r w:rsidRPr="00921ED0">
        <w:tab/>
        <w:t>A fordulási sebesség meghatározása érdekében a fedélzeten kell tartani egy, a 7.06. cikk 1 bekezdése szerinti fordulási szögsebességjelzőt.</w:t>
      </w:r>
    </w:p>
    <w:p w:rsidR="005624E3" w:rsidRPr="00921ED0" w:rsidRDefault="005624E3" w:rsidP="005624E3">
      <w:pPr>
        <w:tabs>
          <w:tab w:val="left" w:pos="567"/>
        </w:tabs>
        <w:overflowPunct w:val="0"/>
        <w:adjustRightInd w:val="0"/>
        <w:ind w:left="567" w:hanging="567"/>
        <w:textAlignment w:val="baseline"/>
        <w:rPr>
          <w:szCs w:val="20"/>
        </w:rPr>
      </w:pPr>
    </w:p>
    <w:p w:rsidR="005624E3" w:rsidRPr="00921ED0" w:rsidRDefault="005624E3" w:rsidP="005624E3">
      <w:pPr>
        <w:spacing w:line="240" w:lineRule="atLeast"/>
        <w:ind w:left="567" w:hanging="567"/>
      </w:pPr>
      <w:r w:rsidRPr="00921ED0">
        <w:t>2.5.</w:t>
      </w:r>
      <w:r w:rsidRPr="00921ED0">
        <w:tab/>
        <w:t>Az 5.04. cikknek megfelelően a kitérési manőver során a terhelési viszonyoknak a maximális hordképesség 70 %-a és 100 %-a között kell lennie. Ha a vizsgálatot kisebb terhelés mellett hajtják végre, akkor a folyásirányú és folyásiránnyal szembeni hajózás jóváhagyását erre a terhelési határra kell korlátozni.</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pPr>
      <w:r w:rsidRPr="00921ED0">
        <w:t>A kitérési manőverekre vonatkozó eljárást és az alkalmazott feltételeket az 1. melléklet diagramja szemlélteti.</w:t>
      </w:r>
    </w:p>
    <w:p w:rsidR="005624E3" w:rsidRPr="00921ED0" w:rsidRDefault="005624E3" w:rsidP="005624E3">
      <w:pPr>
        <w:tabs>
          <w:tab w:val="left" w:pos="567"/>
        </w:tabs>
        <w:overflowPunct w:val="0"/>
        <w:adjustRightInd w:val="0"/>
        <w:ind w:left="567" w:hanging="567"/>
        <w:textAlignment w:val="baseline"/>
        <w:rPr>
          <w:szCs w:val="20"/>
        </w:rPr>
      </w:pPr>
    </w:p>
    <w:p w:rsidR="005624E3" w:rsidRPr="00921ED0" w:rsidRDefault="005624E3" w:rsidP="005624E3">
      <w:pPr>
        <w:tabs>
          <w:tab w:val="left" w:pos="567"/>
        </w:tabs>
        <w:overflowPunct w:val="0"/>
        <w:adjustRightInd w:val="0"/>
        <w:ind w:left="567" w:hanging="567"/>
        <w:textAlignment w:val="baseline"/>
        <w:rPr>
          <w:b/>
          <w:szCs w:val="20"/>
        </w:rPr>
      </w:pPr>
      <w:r w:rsidRPr="00921ED0">
        <w:rPr>
          <w:b/>
        </w:rPr>
        <w:t>3.</w:t>
      </w:r>
      <w:r w:rsidRPr="00921ED0">
        <w:tab/>
      </w:r>
      <w:r w:rsidRPr="00921ED0">
        <w:rPr>
          <w:b/>
        </w:rPr>
        <w:t>Fordulási képesség</w:t>
      </w:r>
    </w:p>
    <w:p w:rsidR="005624E3" w:rsidRPr="00921ED0" w:rsidRDefault="005624E3" w:rsidP="005624E3">
      <w:pPr>
        <w:tabs>
          <w:tab w:val="left" w:pos="567"/>
        </w:tabs>
        <w:overflowPunct w:val="0"/>
        <w:adjustRightInd w:val="0"/>
        <w:ind w:left="567" w:hanging="567"/>
        <w:textAlignment w:val="baseline"/>
        <w:rPr>
          <w:szCs w:val="20"/>
        </w:rPr>
      </w:pPr>
    </w:p>
    <w:p w:rsidR="005624E3" w:rsidRPr="00921ED0" w:rsidRDefault="005624E3" w:rsidP="005624E3">
      <w:pPr>
        <w:spacing w:line="240" w:lineRule="atLeast"/>
        <w:ind w:left="567"/>
      </w:pPr>
      <w:r w:rsidRPr="00921ED0">
        <w:t>A 86 méter hosszúságot (</w:t>
      </w:r>
      <m:oMath>
        <m:r>
          <w:rPr>
            <w:rFonts w:ascii="Cambria Math" w:hAnsi="Cambria Math"/>
          </w:rPr>
          <m:t>L</m:t>
        </m:r>
      </m:oMath>
      <w:r w:rsidRPr="00921ED0">
        <w:t>) és 22,90 méter szélességet (</w:t>
      </w:r>
      <m:oMath>
        <m:r>
          <w:rPr>
            <w:rFonts w:ascii="Cambria Math" w:hAnsi="Cambria Math"/>
          </w:rPr>
          <m:t>B</m:t>
        </m:r>
      </m:oMath>
      <w:r w:rsidRPr="00921ED0">
        <w:t>) meg nem haladó hajók és kötelékek fordulási képességét akkor kell elégségesnek tekinteni az 5.10. cikk alapján,  összefüggésben az 5.02. cikk 1. bekezdésével, ha a folyásiránnyal szemben, a vízhez képest 13 km/h kezdeti sebességgel végrehajtott fordulási manőver során megvalósul az ESI-II-3 utasít</w:t>
      </w:r>
      <w:r w:rsidR="00367730">
        <w:t>ásban meghatározott, folyásirányban történő</w:t>
      </w:r>
      <w:r w:rsidRPr="00921ED0">
        <w:t xml:space="preserve"> megállás határértékeinek való megfelelés. A gerinc és mederfenék közötti távolsággal kapcsolatos, az 1.1. pontban előírt követelményeknek teljesülniük kell.</w:t>
      </w:r>
    </w:p>
    <w:p w:rsidR="005624E3" w:rsidRPr="00921ED0" w:rsidRDefault="005624E3" w:rsidP="005624E3">
      <w:pPr>
        <w:tabs>
          <w:tab w:val="left" w:pos="426"/>
        </w:tabs>
        <w:overflowPunct w:val="0"/>
        <w:adjustRightInd w:val="0"/>
        <w:ind w:left="426" w:hanging="426"/>
        <w:textAlignment w:val="baseline"/>
        <w:rPr>
          <w:szCs w:val="20"/>
        </w:rPr>
      </w:pPr>
      <w:r w:rsidRPr="00921ED0">
        <w:br w:type="page"/>
      </w:r>
    </w:p>
    <w:p w:rsidR="005624E3" w:rsidRPr="00921ED0" w:rsidRDefault="005624E3" w:rsidP="005624E3">
      <w:pPr>
        <w:spacing w:line="240" w:lineRule="atLeast"/>
        <w:ind w:left="567" w:hanging="567"/>
        <w:rPr>
          <w:rFonts w:cs="Arial"/>
          <w:b/>
          <w:color w:val="000000"/>
          <w:szCs w:val="20"/>
        </w:rPr>
      </w:pPr>
      <w:r w:rsidRPr="00921ED0">
        <w:rPr>
          <w:b/>
          <w:color w:val="000000"/>
        </w:rPr>
        <w:t>4.</w:t>
      </w:r>
      <w:r w:rsidRPr="00921ED0">
        <w:tab/>
      </w:r>
      <w:r w:rsidRPr="00921ED0">
        <w:rPr>
          <w:b/>
          <w:color w:val="000000"/>
        </w:rPr>
        <w:t>Egyéb követelmények</w:t>
      </w:r>
    </w:p>
    <w:p w:rsidR="005624E3" w:rsidRPr="00921ED0" w:rsidRDefault="005624E3" w:rsidP="005624E3">
      <w:pPr>
        <w:tabs>
          <w:tab w:val="left" w:pos="426"/>
        </w:tabs>
        <w:overflowPunct w:val="0"/>
        <w:adjustRightInd w:val="0"/>
        <w:ind w:left="426" w:hanging="426"/>
        <w:textAlignment w:val="baseline"/>
        <w:rPr>
          <w:szCs w:val="20"/>
        </w:rPr>
      </w:pPr>
    </w:p>
    <w:p w:rsidR="005624E3" w:rsidRPr="00921ED0" w:rsidRDefault="005624E3" w:rsidP="005624E3">
      <w:pPr>
        <w:spacing w:line="240" w:lineRule="atLeast"/>
        <w:ind w:left="567" w:hanging="567"/>
      </w:pPr>
      <w:r w:rsidRPr="00921ED0">
        <w:t>4.1.</w:t>
      </w:r>
      <w:r w:rsidRPr="00921ED0">
        <w:tab/>
        <w:t>Az 1–3. ponttól eltérve, a következő követelményeknek kell teljesülniük:</w:t>
      </w:r>
    </w:p>
    <w:p w:rsidR="005624E3" w:rsidRPr="00921ED0" w:rsidRDefault="005624E3" w:rsidP="005624E3">
      <w:pPr>
        <w:spacing w:before="60" w:line="240" w:lineRule="atLeast"/>
        <w:ind w:left="992"/>
      </w:pPr>
      <w:r w:rsidRPr="00921ED0">
        <w:t>a)</w:t>
      </w:r>
      <w:r w:rsidRPr="00921ED0">
        <w:tab/>
        <w:t>Kézi működtetésű kormányberendezések esetében a kormány egyetlen fordulatának legalább 3°-os állásszögnek kell megfelelnie;</w:t>
      </w:r>
    </w:p>
    <w:p w:rsidR="005624E3" w:rsidRPr="00921ED0" w:rsidRDefault="005624E3" w:rsidP="005624E3">
      <w:pPr>
        <w:spacing w:before="60" w:line="240" w:lineRule="atLeast"/>
        <w:ind w:left="992"/>
      </w:pPr>
      <w:r w:rsidRPr="00921ED0">
        <w:t>b)</w:t>
      </w:r>
      <w:r w:rsidRPr="00921ED0">
        <w:tab/>
        <w:t>Gépi meghajtású kormányberendezés esetében a kormánylapát maximális merülése esetén elérhetőnek kell lennie a 4°/s átlagos szögsebességnek a kormánylapát teljes fordulási tartománya alatt.</w:t>
      </w:r>
    </w:p>
    <w:p w:rsidR="005624E3" w:rsidRPr="00921ED0" w:rsidRDefault="005624E3" w:rsidP="005624E3">
      <w:pPr>
        <w:spacing w:before="60" w:line="240" w:lineRule="atLeast"/>
        <w:ind w:left="992"/>
      </w:pPr>
      <w:r w:rsidRPr="00921ED0">
        <w:t>Ezt a követelményt a hajó teljes sebessége mellett is ellenőrizni kell a kormánylapát a 35°-os bal oldali és a 35°-os jobb oldali állásszögtartományon belüli mozgatásával. Emellett azt is ellenőrizni kell, hogy a kormánylapát megtartja-e maximális szögét a maximális propulziós teljesítmény mellett. Aktív kormányberendezés vagy különleges típusú kormány esetében ez a rendelkezés értelemszerűen alkalmazandó.</w:t>
      </w:r>
    </w:p>
    <w:p w:rsidR="005624E3" w:rsidRPr="00921ED0" w:rsidRDefault="005624E3" w:rsidP="005624E3">
      <w:pPr>
        <w:overflowPunct w:val="0"/>
        <w:adjustRightInd w:val="0"/>
        <w:textAlignment w:val="baseline"/>
        <w:rPr>
          <w:szCs w:val="20"/>
        </w:rPr>
      </w:pPr>
    </w:p>
    <w:p w:rsidR="005624E3" w:rsidRPr="00921ED0" w:rsidRDefault="005624E3" w:rsidP="005624E3">
      <w:pPr>
        <w:spacing w:line="240" w:lineRule="atLeast"/>
        <w:ind w:left="567" w:hanging="567"/>
      </w:pPr>
      <w:r w:rsidRPr="00921ED0">
        <w:t>4.2.</w:t>
      </w:r>
      <w:r w:rsidRPr="00921ED0">
        <w:tab/>
        <w:t>Ha a megkövetelt manőverezési képességek eléréséhez szükség van az 5.05. cikkben említett bármely kiegészítő berendezésre, akkor meg kell felelni a 6. fejezet követelményeinek, és a belvízi hajóbizonyítvány 52. rovatába be kell jegyezni a következő adatokat:</w:t>
      </w:r>
    </w:p>
    <w:p w:rsidR="005624E3" w:rsidRPr="00921ED0" w:rsidRDefault="005624E3" w:rsidP="005624E3">
      <w:pPr>
        <w:tabs>
          <w:tab w:val="left" w:pos="567"/>
        </w:tabs>
        <w:overflowPunct w:val="0"/>
        <w:adjustRightInd w:val="0"/>
        <w:ind w:left="567" w:hanging="567"/>
        <w:textAlignment w:val="baseline"/>
        <w:rPr>
          <w:szCs w:val="20"/>
        </w:rPr>
      </w:pPr>
    </w:p>
    <w:p w:rsidR="005624E3" w:rsidRPr="00921ED0" w:rsidRDefault="005624E3" w:rsidP="005624E3">
      <w:pPr>
        <w:spacing w:line="240" w:lineRule="atLeast"/>
        <w:ind w:left="567"/>
      </w:pPr>
      <w:r w:rsidRPr="00921ED0">
        <w:t>„A 34. rovatban említett hátrameneti kormányok</w:t>
      </w:r>
      <w:r w:rsidRPr="00921ED0">
        <w:rPr>
          <w:vertAlign w:val="superscript"/>
        </w:rPr>
        <w:footnoteReference w:customMarkFollows="1" w:id="79"/>
        <w:t>*)</w:t>
      </w:r>
      <w:r w:rsidRPr="00921ED0">
        <w:t>/orrkormány-rendszerek*/egyéb berendezések* szükségesek az 5. fejezetben előírt műveletképességi követelmények teljesítéséhez.”</w:t>
      </w:r>
    </w:p>
    <w:p w:rsidR="005624E3" w:rsidRPr="00921ED0" w:rsidRDefault="005624E3" w:rsidP="005624E3">
      <w:pPr>
        <w:spacing w:line="240" w:lineRule="atLeast"/>
      </w:pPr>
    </w:p>
    <w:p w:rsidR="005624E3" w:rsidRPr="00921ED0" w:rsidRDefault="005624E3" w:rsidP="005624E3">
      <w:pPr>
        <w:spacing w:line="240" w:lineRule="atLeast"/>
        <w:ind w:left="567" w:hanging="567"/>
        <w:rPr>
          <w:rFonts w:cs="Arial"/>
          <w:b/>
          <w:color w:val="000000"/>
          <w:szCs w:val="20"/>
        </w:rPr>
      </w:pPr>
      <w:r w:rsidRPr="00921ED0">
        <w:rPr>
          <w:b/>
          <w:color w:val="000000"/>
        </w:rPr>
        <w:t>5.</w:t>
      </w:r>
      <w:r w:rsidRPr="00921ED0">
        <w:tab/>
      </w:r>
      <w:r w:rsidRPr="00921ED0">
        <w:rPr>
          <w:b/>
          <w:color w:val="000000"/>
        </w:rPr>
        <w:t>Adatok feljegyzése és jelentések</w:t>
      </w:r>
    </w:p>
    <w:p w:rsidR="005624E3" w:rsidRPr="00921ED0" w:rsidRDefault="005624E3" w:rsidP="005624E3">
      <w:pPr>
        <w:tabs>
          <w:tab w:val="left" w:pos="567"/>
        </w:tabs>
        <w:overflowPunct w:val="0"/>
        <w:adjustRightInd w:val="0"/>
        <w:ind w:left="567" w:hanging="567"/>
        <w:textAlignment w:val="baseline"/>
        <w:rPr>
          <w:szCs w:val="20"/>
        </w:rPr>
      </w:pPr>
    </w:p>
    <w:p w:rsidR="005624E3" w:rsidRPr="00921ED0" w:rsidRDefault="005624E3" w:rsidP="005624E3">
      <w:pPr>
        <w:spacing w:line="240" w:lineRule="atLeast"/>
        <w:ind w:left="567"/>
      </w:pPr>
      <w:r w:rsidRPr="00921ED0">
        <w:t>A méréseket, jelentéseket és az adatok feljegyzését a 2. mellékletben rögzített eljárás szerint kell végrehajtani.</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headerReference w:type="default" r:id="rId131"/>
          <w:headerReference w:type="first" r:id="rId132"/>
          <w:pgSz w:w="11907" w:h="16840" w:code="9"/>
          <w:pgMar w:top="1418" w:right="1418" w:bottom="1418" w:left="1418" w:header="680" w:footer="680" w:gutter="0"/>
          <w:cols w:space="720"/>
          <w:noEndnote/>
          <w:titlePg/>
        </w:sectPr>
      </w:pPr>
    </w:p>
    <w:p w:rsidR="005624E3" w:rsidRPr="00921ED0" w:rsidRDefault="005624E3" w:rsidP="005624E3">
      <w:pPr>
        <w:overflowPunct w:val="0"/>
        <w:adjustRightInd w:val="0"/>
        <w:textAlignment w:val="baseline"/>
        <w:rPr>
          <w:szCs w:val="20"/>
        </w:rPr>
      </w:pPr>
    </w:p>
    <w:p w:rsidR="005624E3" w:rsidRPr="00921ED0" w:rsidRDefault="005624E3" w:rsidP="005624E3">
      <w:pPr>
        <w:pStyle w:val="ES-Titre4"/>
      </w:pPr>
      <w:r w:rsidRPr="00921ED0">
        <w:t>1. melléklet az ESI-II-4 utasításhoz</w:t>
      </w:r>
    </w:p>
    <w:p w:rsidR="005624E3" w:rsidRPr="00921ED0" w:rsidRDefault="005624E3" w:rsidP="005624E3">
      <w:pPr>
        <w:pStyle w:val="ES-Titre4a"/>
      </w:pPr>
      <w:r w:rsidRPr="00921ED0">
        <w:t>A kitérési manőver diagramja</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jc w:val="center"/>
        <w:textAlignment w:val="baseline"/>
        <w:rPr>
          <w:szCs w:val="20"/>
        </w:rPr>
      </w:pPr>
      <w:r w:rsidRPr="00921ED0">
        <w:rPr>
          <w:noProof/>
          <w:szCs w:val="20"/>
        </w:rPr>
        <w:drawing>
          <wp:inline distT="0" distB="0" distL="0" distR="0" wp14:anchorId="2B532E17" wp14:editId="311BEC9E">
            <wp:extent cx="5286375" cy="2943225"/>
            <wp:effectExtent l="0" t="0" r="9525" b="9525"/>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286375" cy="2943225"/>
                    </a:xfrm>
                    <a:prstGeom prst="rect">
                      <a:avLst/>
                    </a:prstGeom>
                    <a:noFill/>
                    <a:ln>
                      <a:noFill/>
                    </a:ln>
                  </pic:spPr>
                </pic:pic>
              </a:graphicData>
            </a:graphic>
          </wp:inline>
        </w:drawing>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3142CA" w:rsidP="005624E3">
      <w:pPr>
        <w:tabs>
          <w:tab w:val="left" w:pos="993"/>
          <w:tab w:val="left" w:pos="1418"/>
        </w:tabs>
        <w:overflowPunct w:val="0"/>
        <w:adjustRightInd w:val="0"/>
        <w:ind w:left="567"/>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0</m:t>
            </m:r>
          </m:sub>
        </m:sSub>
      </m:oMath>
      <w:r w:rsidR="005624E3" w:rsidRPr="00921ED0">
        <w:tab/>
        <w:t>=</w:t>
      </w:r>
      <w:r w:rsidR="005624E3" w:rsidRPr="00921ED0">
        <w:tab/>
        <w:t>A kitérési manőver kezdete</w:t>
      </w:r>
    </w:p>
    <w:p w:rsidR="005624E3" w:rsidRPr="00921ED0" w:rsidRDefault="003142CA" w:rsidP="005624E3">
      <w:pPr>
        <w:tabs>
          <w:tab w:val="left" w:pos="993"/>
          <w:tab w:val="left" w:pos="1418"/>
        </w:tabs>
        <w:overflowPunct w:val="0"/>
        <w:adjustRightInd w:val="0"/>
        <w:spacing w:before="60"/>
        <w:ind w:left="567"/>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005624E3" w:rsidRPr="00921ED0">
        <w:tab/>
        <w:t>=</w:t>
      </w:r>
      <w:r w:rsidR="005624E3" w:rsidRPr="00921ED0">
        <w:tab/>
        <w:t xml:space="preserve">A következő fordulási sebesség eléréséhez szükséges idő: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p>
    <w:p w:rsidR="005624E3" w:rsidRPr="00921ED0" w:rsidRDefault="003142CA" w:rsidP="005624E3">
      <w:pPr>
        <w:tabs>
          <w:tab w:val="left" w:pos="993"/>
          <w:tab w:val="left" w:pos="1418"/>
        </w:tabs>
        <w:overflowPunct w:val="0"/>
        <w:adjustRightInd w:val="0"/>
        <w:spacing w:before="60"/>
        <w:ind w:left="567"/>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005624E3" w:rsidRPr="00921ED0">
        <w:tab/>
        <w:t>=</w:t>
      </w:r>
      <w:r w:rsidR="005624E3" w:rsidRPr="00921ED0">
        <w:tab/>
        <w:t xml:space="preserve">A következő fordulási sebesség eléréséhez szükséges idő: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rsidR="005624E3" w:rsidRPr="00921ED0">
        <w:t xml:space="preserve"> = 0</w:t>
      </w:r>
    </w:p>
    <w:p w:rsidR="005624E3" w:rsidRPr="00921ED0" w:rsidRDefault="003142CA" w:rsidP="005624E3">
      <w:pPr>
        <w:tabs>
          <w:tab w:val="left" w:pos="993"/>
          <w:tab w:val="left" w:pos="1418"/>
        </w:tabs>
        <w:overflowPunct w:val="0"/>
        <w:adjustRightInd w:val="0"/>
        <w:spacing w:before="60"/>
        <w:ind w:left="567"/>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005624E3" w:rsidRPr="00921ED0">
        <w:tab/>
        <w:t>=</w:t>
      </w:r>
      <w:r w:rsidR="005624E3" w:rsidRPr="00921ED0">
        <w:tab/>
        <w:t xml:space="preserve">A következő fordulási sebesség eléréséhez szükséges idő: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p>
    <w:p w:rsidR="005624E3" w:rsidRPr="00921ED0" w:rsidRDefault="003142CA" w:rsidP="005624E3">
      <w:pPr>
        <w:tabs>
          <w:tab w:val="left" w:pos="993"/>
          <w:tab w:val="left" w:pos="1418"/>
        </w:tabs>
        <w:overflowPunct w:val="0"/>
        <w:adjustRightInd w:val="0"/>
        <w:spacing w:before="60"/>
        <w:ind w:left="567"/>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005624E3" w:rsidRPr="00921ED0">
        <w:tab/>
        <w:t>=</w:t>
      </w:r>
      <w:r w:rsidR="005624E3" w:rsidRPr="00921ED0">
        <w:tab/>
        <w:t xml:space="preserve">A következő fordulási sebesség eléréséhez szükséges idő: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rsidR="005624E3" w:rsidRPr="00921ED0">
        <w:rPr>
          <w:vertAlign w:val="subscript"/>
        </w:rPr>
        <w:t xml:space="preserve"> </w:t>
      </w:r>
      <w:r w:rsidR="005624E3" w:rsidRPr="00921ED0">
        <w:t>= 0 (a kitérési manőver vége)</w:t>
      </w:r>
    </w:p>
    <w:p w:rsidR="005624E3" w:rsidRPr="00921ED0" w:rsidRDefault="005624E3" w:rsidP="005624E3">
      <w:pPr>
        <w:tabs>
          <w:tab w:val="left" w:pos="993"/>
          <w:tab w:val="left" w:pos="1418"/>
        </w:tabs>
        <w:overflowPunct w:val="0"/>
        <w:adjustRightInd w:val="0"/>
        <w:spacing w:before="60"/>
        <w:ind w:left="567"/>
        <w:textAlignment w:val="baseline"/>
        <w:rPr>
          <w:szCs w:val="20"/>
        </w:rPr>
      </w:pPr>
      <m:oMath>
        <m:r>
          <w:rPr>
            <w:rFonts w:ascii="Cambria Math" w:hAnsi="Cambria Math"/>
            <w:i/>
            <w:szCs w:val="20"/>
          </w:rPr>
          <w:sym w:font="Symbol" w:char="F064"/>
        </m:r>
      </m:oMath>
      <w:r w:rsidRPr="00921ED0">
        <w:tab/>
        <w:t>=</w:t>
      </w:r>
      <w:r w:rsidRPr="00921ED0">
        <w:tab/>
        <w:t>Kormány állásszöge [°]</w:t>
      </w:r>
    </w:p>
    <w:p w:rsidR="005624E3" w:rsidRPr="00921ED0" w:rsidRDefault="005624E3" w:rsidP="005624E3">
      <w:pPr>
        <w:tabs>
          <w:tab w:val="left" w:pos="993"/>
          <w:tab w:val="left" w:pos="1418"/>
        </w:tabs>
        <w:overflowPunct w:val="0"/>
        <w:adjustRightInd w:val="0"/>
        <w:spacing w:before="60"/>
        <w:ind w:left="567"/>
        <w:textAlignment w:val="baseline"/>
        <w:rPr>
          <w:szCs w:val="20"/>
        </w:rPr>
      </w:pPr>
      <m:oMath>
        <m:r>
          <w:rPr>
            <w:rFonts w:ascii="Cambria Math" w:hAnsi="Cambria Math"/>
            <w:szCs w:val="20"/>
          </w:rPr>
          <m:t>r</m:t>
        </m:r>
      </m:oMath>
      <w:r w:rsidRPr="00921ED0">
        <w:tab/>
        <w:t>=</w:t>
      </w:r>
      <w:r w:rsidRPr="00921ED0">
        <w:tab/>
        <w:t>Fordulási sebesség [°/min]</w:t>
      </w:r>
    </w:p>
    <w:p w:rsidR="005624E3" w:rsidRPr="00921ED0" w:rsidRDefault="005624E3" w:rsidP="005624E3">
      <w:pPr>
        <w:tabs>
          <w:tab w:val="left" w:pos="284"/>
          <w:tab w:val="left" w:pos="709"/>
          <w:tab w:val="left" w:pos="993"/>
        </w:tabs>
        <w:overflowPunct w:val="0"/>
        <w:adjustRightInd w:val="0"/>
        <w:textAlignment w:val="baseline"/>
        <w:rPr>
          <w:szCs w:val="20"/>
        </w:rPr>
      </w:pPr>
    </w:p>
    <w:p w:rsidR="005624E3" w:rsidRPr="00921ED0" w:rsidRDefault="005624E3" w:rsidP="005624E3">
      <w:pPr>
        <w:tabs>
          <w:tab w:val="left" w:pos="284"/>
          <w:tab w:val="left" w:pos="709"/>
          <w:tab w:val="left" w:pos="993"/>
        </w:tabs>
        <w:overflowPunct w:val="0"/>
        <w:adjustRightInd w:val="0"/>
        <w:textAlignment w:val="baseline"/>
        <w:rPr>
          <w:szCs w:val="20"/>
        </w:rPr>
      </w:pPr>
    </w:p>
    <w:p w:rsidR="005624E3" w:rsidRPr="00921ED0" w:rsidRDefault="005624E3" w:rsidP="005624E3">
      <w:pPr>
        <w:tabs>
          <w:tab w:val="left" w:pos="284"/>
          <w:tab w:val="left" w:pos="709"/>
          <w:tab w:val="left" w:pos="993"/>
        </w:tabs>
        <w:overflowPunct w:val="0"/>
        <w:adjustRightInd w:val="0"/>
        <w:textAlignment w:val="baseline"/>
        <w:rPr>
          <w:szCs w:val="20"/>
        </w:rPr>
      </w:pPr>
    </w:p>
    <w:p w:rsidR="005624E3" w:rsidRPr="00921ED0" w:rsidRDefault="005624E3" w:rsidP="005624E3">
      <w:pPr>
        <w:tabs>
          <w:tab w:val="left" w:pos="284"/>
          <w:tab w:val="left" w:pos="709"/>
          <w:tab w:val="left" w:pos="993"/>
        </w:tabs>
        <w:overflowPunct w:val="0"/>
        <w:adjustRightInd w:val="0"/>
        <w:textAlignment w:val="baseline"/>
        <w:rPr>
          <w:szCs w:val="20"/>
        </w:rPr>
        <w:sectPr w:rsidR="005624E3" w:rsidRPr="00921ED0" w:rsidSect="00D45887">
          <w:headerReference w:type="default" r:id="rId134"/>
          <w:footerReference w:type="default" r:id="rId135"/>
          <w:headerReference w:type="first" r:id="rId136"/>
          <w:footerReference w:type="first" r:id="rId137"/>
          <w:pgSz w:w="11907" w:h="16840" w:code="9"/>
          <w:pgMar w:top="1418" w:right="1418" w:bottom="1418" w:left="1418" w:header="680" w:footer="680" w:gutter="0"/>
          <w:cols w:space="720"/>
          <w:noEndnote/>
          <w:titlePg/>
        </w:sectPr>
      </w:pPr>
    </w:p>
    <w:p w:rsidR="005624E3" w:rsidRPr="00921ED0" w:rsidRDefault="005624E3" w:rsidP="005624E3">
      <w:pPr>
        <w:pStyle w:val="ES-Titre4"/>
      </w:pPr>
      <w:r w:rsidRPr="00921ED0">
        <w:t>2. melléklet az ESI-II-4 utasításhoz</w:t>
      </w:r>
    </w:p>
    <w:p w:rsidR="005624E3" w:rsidRPr="00921ED0" w:rsidRDefault="005624E3" w:rsidP="005624E3">
      <w:pPr>
        <w:pStyle w:val="ES-Titre4a"/>
      </w:pPr>
      <w:r w:rsidRPr="00921ED0">
        <w:t>A kitérési manőverről és a fordulási képességről készített jelentés</w:t>
      </w:r>
    </w:p>
    <w:p w:rsidR="005624E3" w:rsidRPr="00921ED0" w:rsidRDefault="005624E3" w:rsidP="005624E3">
      <w:pPr>
        <w:tabs>
          <w:tab w:val="left" w:pos="284"/>
          <w:tab w:val="left" w:pos="709"/>
          <w:tab w:val="left" w:pos="993"/>
        </w:tabs>
        <w:overflowPunct w:val="0"/>
        <w:adjustRightInd w:val="0"/>
        <w:textAlignment w:val="baseline"/>
        <w:rPr>
          <w:szCs w:val="20"/>
        </w:rPr>
      </w:pPr>
    </w:p>
    <w:p w:rsidR="005624E3" w:rsidRPr="00921ED0" w:rsidRDefault="005624E3" w:rsidP="005624E3">
      <w:pPr>
        <w:tabs>
          <w:tab w:val="left" w:pos="284"/>
          <w:tab w:val="left" w:leader="dot" w:pos="9072"/>
        </w:tabs>
        <w:overflowPunct w:val="0"/>
        <w:adjustRightInd w:val="0"/>
        <w:spacing w:after="120"/>
        <w:textAlignment w:val="baseline"/>
        <w:rPr>
          <w:szCs w:val="20"/>
        </w:rPr>
      </w:pPr>
      <w:r w:rsidRPr="00921ED0">
        <w:t xml:space="preserve">Ellenőrző szerv: </w:t>
      </w:r>
      <w:r w:rsidRPr="00921ED0">
        <w:tab/>
      </w:r>
    </w:p>
    <w:p w:rsidR="005624E3" w:rsidRPr="00921ED0" w:rsidRDefault="005624E3" w:rsidP="005624E3">
      <w:pPr>
        <w:tabs>
          <w:tab w:val="left" w:pos="284"/>
          <w:tab w:val="left" w:leader="dot" w:pos="9072"/>
        </w:tabs>
        <w:overflowPunct w:val="0"/>
        <w:adjustRightInd w:val="0"/>
        <w:spacing w:after="120"/>
        <w:textAlignment w:val="baseline"/>
        <w:rPr>
          <w:szCs w:val="20"/>
        </w:rPr>
      </w:pPr>
      <w:r w:rsidRPr="00921ED0">
        <w:t xml:space="preserve">Dátum: </w:t>
      </w:r>
      <w:r w:rsidRPr="00921ED0">
        <w:tab/>
      </w:r>
    </w:p>
    <w:p w:rsidR="005624E3" w:rsidRPr="00921ED0" w:rsidRDefault="005624E3" w:rsidP="005624E3">
      <w:pPr>
        <w:tabs>
          <w:tab w:val="left" w:pos="284"/>
          <w:tab w:val="left" w:leader="dot" w:pos="9072"/>
        </w:tabs>
        <w:overflowPunct w:val="0"/>
        <w:adjustRightInd w:val="0"/>
        <w:textAlignment w:val="baseline"/>
        <w:rPr>
          <w:szCs w:val="20"/>
        </w:rPr>
      </w:pPr>
      <w:r w:rsidRPr="00921ED0">
        <w:t xml:space="preserve">Név: </w:t>
      </w:r>
      <w:r w:rsidRPr="00921ED0">
        <w:tab/>
      </w:r>
    </w:p>
    <w:p w:rsidR="005624E3" w:rsidRPr="00921ED0" w:rsidRDefault="005624E3" w:rsidP="005624E3">
      <w:pPr>
        <w:tabs>
          <w:tab w:val="left" w:pos="284"/>
          <w:tab w:val="left" w:leader="dot" w:pos="9072"/>
        </w:tabs>
        <w:overflowPunct w:val="0"/>
        <w:adjustRightInd w:val="0"/>
        <w:textAlignment w:val="baseline"/>
        <w:rPr>
          <w:szCs w:val="20"/>
        </w:rPr>
      </w:pPr>
    </w:p>
    <w:p w:rsidR="005624E3" w:rsidRPr="00921ED0" w:rsidRDefault="005624E3" w:rsidP="005624E3">
      <w:pPr>
        <w:tabs>
          <w:tab w:val="left" w:pos="284"/>
          <w:tab w:val="left" w:leader="dot" w:pos="9072"/>
        </w:tabs>
        <w:overflowPunct w:val="0"/>
        <w:adjustRightInd w:val="0"/>
        <w:spacing w:after="120"/>
        <w:textAlignment w:val="baseline"/>
        <w:rPr>
          <w:szCs w:val="20"/>
        </w:rPr>
      </w:pPr>
      <w:r w:rsidRPr="00921ED0">
        <w:t xml:space="preserve">A vízi jármű neve: </w:t>
      </w:r>
      <w:r w:rsidRPr="00921ED0">
        <w:tab/>
      </w:r>
    </w:p>
    <w:p w:rsidR="005624E3" w:rsidRPr="00921ED0" w:rsidRDefault="005624E3" w:rsidP="005624E3">
      <w:pPr>
        <w:tabs>
          <w:tab w:val="left" w:pos="284"/>
          <w:tab w:val="left" w:leader="dot" w:pos="9072"/>
        </w:tabs>
        <w:overflowPunct w:val="0"/>
        <w:adjustRightInd w:val="0"/>
        <w:textAlignment w:val="baseline"/>
        <w:rPr>
          <w:szCs w:val="20"/>
        </w:rPr>
      </w:pPr>
      <w:r w:rsidRPr="00921ED0">
        <w:t xml:space="preserve">Tulajdonos: </w:t>
      </w:r>
      <w:r w:rsidRPr="00921ED0">
        <w:tab/>
      </w:r>
    </w:p>
    <w:p w:rsidR="005624E3" w:rsidRPr="00921ED0" w:rsidRDefault="005624E3" w:rsidP="005624E3">
      <w:pPr>
        <w:tabs>
          <w:tab w:val="left" w:pos="284"/>
          <w:tab w:val="left" w:leader="dot" w:pos="9072"/>
        </w:tabs>
        <w:overflowPunct w:val="0"/>
        <w:adjustRightInd w:val="0"/>
        <w:textAlignment w:val="baseline"/>
        <w:rPr>
          <w:szCs w:val="20"/>
        </w:rPr>
      </w:pPr>
    </w:p>
    <w:p w:rsidR="005624E3" w:rsidRPr="00921ED0" w:rsidRDefault="005624E3" w:rsidP="005624E3">
      <w:pPr>
        <w:tabs>
          <w:tab w:val="left" w:pos="284"/>
          <w:tab w:val="left" w:pos="5103"/>
          <w:tab w:val="left" w:leader="dot" w:pos="9072"/>
        </w:tabs>
        <w:overflowPunct w:val="0"/>
        <w:adjustRightInd w:val="0"/>
        <w:spacing w:after="120"/>
        <w:textAlignment w:val="baseline"/>
        <w:rPr>
          <w:szCs w:val="20"/>
        </w:rPr>
      </w:pPr>
      <w:r w:rsidRPr="00921ED0">
        <w:t xml:space="preserve">A vízi jármű </w:t>
      </w:r>
      <w:r w:rsidRPr="00921ED0">
        <w:tab/>
        <w:t xml:space="preserve">Vizsgálati terület: </w:t>
      </w:r>
      <w:r w:rsidRPr="00921ED0">
        <w:tab/>
      </w:r>
    </w:p>
    <w:p w:rsidR="005624E3" w:rsidRPr="00921ED0" w:rsidRDefault="005624E3" w:rsidP="005624E3">
      <w:pPr>
        <w:tabs>
          <w:tab w:val="left" w:pos="284"/>
          <w:tab w:val="left" w:leader="dot" w:pos="4536"/>
          <w:tab w:val="left" w:pos="5103"/>
          <w:tab w:val="left" w:leader="dot" w:pos="9072"/>
        </w:tabs>
        <w:overflowPunct w:val="0"/>
        <w:adjustRightInd w:val="0"/>
        <w:spacing w:after="120"/>
        <w:textAlignment w:val="baseline"/>
        <w:rPr>
          <w:szCs w:val="20"/>
        </w:rPr>
      </w:pPr>
      <w:r w:rsidRPr="00921ED0">
        <w:t xml:space="preserve">vagy kötelék típusa: </w:t>
      </w:r>
      <w:r w:rsidRPr="00921ED0">
        <w:tab/>
      </w:r>
      <w:r w:rsidRPr="00921ED0">
        <w:tab/>
        <w:t xml:space="preserve">Aktuális vízszint [m]: </w:t>
      </w:r>
      <w:r w:rsidRPr="00921ED0">
        <w:tab/>
      </w:r>
    </w:p>
    <w:p w:rsidR="005624E3" w:rsidRPr="00166EA9" w:rsidRDefault="005624E3" w:rsidP="005624E3">
      <w:pPr>
        <w:tabs>
          <w:tab w:val="left" w:pos="284"/>
          <w:tab w:val="left" w:leader="dot" w:pos="4536"/>
          <w:tab w:val="left" w:pos="5103"/>
          <w:tab w:val="left" w:leader="dot" w:pos="9072"/>
        </w:tabs>
        <w:overflowPunct w:val="0"/>
        <w:adjustRightInd w:val="0"/>
        <w:spacing w:after="120"/>
        <w:textAlignment w:val="baseline"/>
        <w:rPr>
          <w:szCs w:val="20"/>
          <w:lang w:val="pt-PT"/>
        </w:rPr>
      </w:pPr>
      <m:oMath>
        <m:r>
          <w:rPr>
            <w:rFonts w:ascii="Cambria Math" w:hAnsi="Cambria Math"/>
            <w:szCs w:val="20"/>
          </w:rPr>
          <m:t>L</m:t>
        </m:r>
      </m:oMath>
      <w:r w:rsidRPr="00166EA9">
        <w:rPr>
          <w:lang w:val="pt-PT"/>
        </w:rPr>
        <w:t xml:space="preserve"> x </w:t>
      </w:r>
      <m:oMath>
        <m:r>
          <w:rPr>
            <w:rFonts w:ascii="Cambria Math" w:hAnsi="Cambria Math"/>
            <w:szCs w:val="20"/>
          </w:rPr>
          <m:t>B</m:t>
        </m:r>
      </m:oMath>
      <w:r w:rsidRPr="00166EA9">
        <w:rPr>
          <w:lang w:val="pt-PT"/>
        </w:rPr>
        <w:t xml:space="preserve"> [m x m]: </w:t>
      </w:r>
      <w:r w:rsidRPr="00166EA9">
        <w:rPr>
          <w:lang w:val="pt-PT"/>
        </w:rPr>
        <w:tab/>
      </w:r>
      <w:r w:rsidRPr="00166EA9">
        <w:rPr>
          <w:lang w:val="pt-PT"/>
        </w:rPr>
        <w:tab/>
        <w:t>Vízmélység (</w:t>
      </w:r>
      <m:oMath>
        <m:r>
          <w:rPr>
            <w:rFonts w:ascii="Cambria Math" w:hAnsi="Cambria Math"/>
            <w:szCs w:val="20"/>
            <w:lang w:val="pt-PT"/>
          </w:rPr>
          <m:t>h</m:t>
        </m:r>
      </m:oMath>
      <w:r w:rsidRPr="00166EA9">
        <w:rPr>
          <w:lang w:val="pt-PT"/>
        </w:rPr>
        <w:t xml:space="preserve">) [m]: </w:t>
      </w:r>
      <w:r w:rsidRPr="00166EA9">
        <w:rPr>
          <w:lang w:val="pt-PT"/>
        </w:rPr>
        <w:tab/>
      </w:r>
    </w:p>
    <w:p w:rsidR="005624E3" w:rsidRPr="00166EA9" w:rsidRDefault="005624E3" w:rsidP="005624E3">
      <w:pPr>
        <w:tabs>
          <w:tab w:val="left" w:pos="284"/>
          <w:tab w:val="left" w:leader="dot" w:pos="4536"/>
          <w:tab w:val="left" w:pos="5103"/>
          <w:tab w:val="left" w:leader="dot" w:pos="9072"/>
        </w:tabs>
        <w:overflowPunct w:val="0"/>
        <w:adjustRightInd w:val="0"/>
        <w:textAlignment w:val="baseline"/>
        <w:rPr>
          <w:szCs w:val="20"/>
          <w:lang w:val="pt-PT"/>
        </w:rPr>
      </w:pPr>
      <m:oMath>
        <m:r>
          <w:rPr>
            <w:rFonts w:ascii="Cambria Math" w:hAnsi="Cambria Math"/>
            <w:szCs w:val="20"/>
          </w:rPr>
          <m:t>T</m:t>
        </m:r>
      </m:oMath>
      <w:r w:rsidRPr="00166EA9">
        <w:rPr>
          <w:lang w:val="pt-PT"/>
        </w:rPr>
        <w:t xml:space="preserve"> a próba során [m]: </w:t>
      </w:r>
      <w:r w:rsidRPr="00166EA9">
        <w:rPr>
          <w:lang w:val="pt-PT"/>
        </w:rPr>
        <w:tab/>
      </w:r>
      <w:r w:rsidRPr="00166EA9">
        <w:rPr>
          <w:lang w:val="pt-PT"/>
        </w:rPr>
        <w:tab/>
      </w:r>
      <m:oMath>
        <m:r>
          <w:rPr>
            <w:rFonts w:ascii="Cambria Math" w:hAnsi="Cambria Math"/>
            <w:szCs w:val="20"/>
            <w:lang w:val="pt-PT"/>
          </w:rPr>
          <m:t>h/</m:t>
        </m:r>
        <m:r>
          <w:rPr>
            <w:rFonts w:ascii="Cambria Math" w:hAnsi="Cambria Math"/>
            <w:szCs w:val="20"/>
          </w:rPr>
          <m:t>T</m:t>
        </m:r>
      </m:oMath>
      <w:r w:rsidRPr="00166EA9">
        <w:rPr>
          <w:lang w:val="pt-PT"/>
        </w:rPr>
        <w:t xml:space="preserve"> : </w:t>
      </w:r>
      <w:r w:rsidRPr="00166EA9">
        <w:rPr>
          <w:lang w:val="pt-PT"/>
        </w:rPr>
        <w:tab/>
      </w:r>
    </w:p>
    <w:p w:rsidR="005624E3" w:rsidRPr="00166EA9" w:rsidRDefault="005624E3" w:rsidP="005624E3">
      <w:pPr>
        <w:tabs>
          <w:tab w:val="left" w:pos="5103"/>
          <w:tab w:val="left" w:leader="dot" w:pos="9072"/>
        </w:tabs>
        <w:overflowPunct w:val="0"/>
        <w:adjustRightInd w:val="0"/>
        <w:spacing w:before="120"/>
        <w:textAlignment w:val="baseline"/>
        <w:rPr>
          <w:szCs w:val="20"/>
          <w:lang w:val="pt-PT"/>
        </w:rPr>
      </w:pPr>
      <w:r w:rsidRPr="00166EA9">
        <w:rPr>
          <w:lang w:val="pt-PT"/>
        </w:rPr>
        <w:tab/>
        <w:t xml:space="preserve">Az áramlás sebessége [m/s]: </w:t>
      </w:r>
      <w:r w:rsidRPr="00166EA9">
        <w:rPr>
          <w:lang w:val="pt-PT"/>
        </w:rPr>
        <w:tab/>
      </w:r>
    </w:p>
    <w:p w:rsidR="005624E3" w:rsidRPr="00166EA9" w:rsidRDefault="005624E3" w:rsidP="005624E3">
      <w:pPr>
        <w:tabs>
          <w:tab w:val="left" w:pos="284"/>
          <w:tab w:val="left" w:leader="dot" w:pos="4536"/>
          <w:tab w:val="left" w:pos="5103"/>
          <w:tab w:val="left" w:leader="dot" w:pos="9072"/>
        </w:tabs>
        <w:overflowPunct w:val="0"/>
        <w:adjustRightInd w:val="0"/>
        <w:textAlignment w:val="baseline"/>
        <w:rPr>
          <w:szCs w:val="20"/>
          <w:lang w:val="pt-PT"/>
        </w:rPr>
      </w:pPr>
    </w:p>
    <w:p w:rsidR="005624E3" w:rsidRPr="00166EA9" w:rsidRDefault="005624E3" w:rsidP="005624E3">
      <w:pPr>
        <w:tabs>
          <w:tab w:val="left" w:pos="284"/>
          <w:tab w:val="left" w:pos="5103"/>
          <w:tab w:val="left" w:leader="dot" w:pos="9072"/>
        </w:tabs>
        <w:overflowPunct w:val="0"/>
        <w:adjustRightInd w:val="0"/>
        <w:textAlignment w:val="baseline"/>
        <w:rPr>
          <w:szCs w:val="20"/>
          <w:lang w:val="pt-PT"/>
        </w:rPr>
      </w:pPr>
      <w:r w:rsidRPr="00166EA9">
        <w:rPr>
          <w:lang w:val="pt-PT"/>
        </w:rPr>
        <w:t>Terhelés</w:t>
      </w:r>
      <w:r w:rsidRPr="00166EA9">
        <w:rPr>
          <w:lang w:val="pt-PT"/>
        </w:rPr>
        <w:tab/>
        <w:t>Maximális</w:t>
      </w:r>
    </w:p>
    <w:p w:rsidR="005624E3" w:rsidRPr="00166EA9" w:rsidRDefault="005624E3" w:rsidP="005624E3">
      <w:pPr>
        <w:tabs>
          <w:tab w:val="left" w:pos="284"/>
          <w:tab w:val="left" w:leader="dot" w:pos="4536"/>
          <w:tab w:val="left" w:pos="5103"/>
          <w:tab w:val="left" w:leader="dot" w:pos="9072"/>
        </w:tabs>
        <w:overflowPunct w:val="0"/>
        <w:adjustRightInd w:val="0"/>
        <w:textAlignment w:val="baseline"/>
        <w:rPr>
          <w:szCs w:val="20"/>
          <w:lang w:val="pt-PT"/>
        </w:rPr>
      </w:pPr>
      <w:r w:rsidRPr="00166EA9">
        <w:rPr>
          <w:lang w:val="pt-PT"/>
        </w:rPr>
        <w:t xml:space="preserve">(a vizsgálat során) [t]: </w:t>
      </w:r>
      <w:r w:rsidRPr="00166EA9">
        <w:rPr>
          <w:lang w:val="pt-PT"/>
        </w:rPr>
        <w:tab/>
      </w:r>
      <w:r w:rsidRPr="00166EA9">
        <w:rPr>
          <w:lang w:val="pt-PT"/>
        </w:rPr>
        <w:tab/>
        <w:t xml:space="preserve">hordképesség %-ban: </w:t>
      </w:r>
      <w:r w:rsidRPr="00166EA9">
        <w:rPr>
          <w:lang w:val="pt-PT"/>
        </w:rPr>
        <w:tab/>
      </w:r>
    </w:p>
    <w:p w:rsidR="005624E3" w:rsidRPr="00166EA9" w:rsidRDefault="005624E3" w:rsidP="005624E3">
      <w:pPr>
        <w:tabs>
          <w:tab w:val="left" w:pos="284"/>
          <w:tab w:val="left" w:leader="dot" w:pos="4536"/>
          <w:tab w:val="left" w:pos="5103"/>
          <w:tab w:val="left" w:leader="dot" w:pos="9072"/>
        </w:tabs>
        <w:overflowPunct w:val="0"/>
        <w:adjustRightInd w:val="0"/>
        <w:textAlignment w:val="baseline"/>
        <w:rPr>
          <w:szCs w:val="20"/>
          <w:lang w:val="pt-PT"/>
        </w:rPr>
      </w:pPr>
    </w:p>
    <w:p w:rsidR="005624E3" w:rsidRPr="00166EA9" w:rsidRDefault="005624E3" w:rsidP="005624E3">
      <w:pPr>
        <w:tabs>
          <w:tab w:val="left" w:pos="284"/>
          <w:tab w:val="left" w:leader="dot" w:pos="4536"/>
          <w:tab w:val="left" w:pos="5103"/>
          <w:tab w:val="left" w:leader="dot" w:pos="9072"/>
        </w:tabs>
        <w:overflowPunct w:val="0"/>
        <w:adjustRightInd w:val="0"/>
        <w:spacing w:after="80"/>
        <w:textAlignment w:val="baseline"/>
        <w:rPr>
          <w:szCs w:val="20"/>
          <w:lang w:val="pt-PT"/>
        </w:rPr>
      </w:pPr>
      <w:r w:rsidRPr="00166EA9">
        <w:rPr>
          <w:lang w:val="pt-PT"/>
        </w:rPr>
        <w:t>Fordulási szögsebességjelző</w:t>
      </w:r>
    </w:p>
    <w:p w:rsidR="005624E3" w:rsidRPr="00166EA9" w:rsidRDefault="005624E3" w:rsidP="005624E3">
      <w:pPr>
        <w:tabs>
          <w:tab w:val="left" w:pos="284"/>
          <w:tab w:val="left" w:leader="dot" w:pos="9072"/>
        </w:tabs>
        <w:overflowPunct w:val="0"/>
        <w:adjustRightInd w:val="0"/>
        <w:textAlignment w:val="baseline"/>
        <w:rPr>
          <w:szCs w:val="20"/>
          <w:lang w:val="pt-PT"/>
        </w:rPr>
      </w:pPr>
      <w:r w:rsidRPr="00166EA9">
        <w:rPr>
          <w:lang w:val="pt-PT"/>
        </w:rPr>
        <w:t xml:space="preserve">típusa: </w:t>
      </w:r>
      <w:r w:rsidRPr="00166EA9">
        <w:rPr>
          <w:lang w:val="pt-PT"/>
        </w:rPr>
        <w:tab/>
      </w:r>
    </w:p>
    <w:p w:rsidR="005624E3" w:rsidRPr="00166EA9" w:rsidRDefault="005624E3" w:rsidP="005624E3">
      <w:pPr>
        <w:tabs>
          <w:tab w:val="left" w:pos="284"/>
          <w:tab w:val="left" w:leader="dot" w:pos="9072"/>
        </w:tabs>
        <w:overflowPunct w:val="0"/>
        <w:adjustRightInd w:val="0"/>
        <w:textAlignment w:val="baseline"/>
        <w:rPr>
          <w:szCs w:val="20"/>
          <w:lang w:val="pt-PT"/>
        </w:rPr>
      </w:pPr>
    </w:p>
    <w:p w:rsidR="005624E3" w:rsidRPr="00166EA9" w:rsidRDefault="005624E3" w:rsidP="005624E3">
      <w:pPr>
        <w:tabs>
          <w:tab w:val="left" w:pos="284"/>
          <w:tab w:val="left" w:leader="dot" w:pos="9072"/>
        </w:tabs>
        <w:overflowPunct w:val="0"/>
        <w:adjustRightInd w:val="0"/>
        <w:textAlignment w:val="baseline"/>
        <w:rPr>
          <w:szCs w:val="20"/>
          <w:lang w:val="pt-PT"/>
        </w:rPr>
      </w:pPr>
      <w:r w:rsidRPr="00166EA9">
        <w:rPr>
          <w:lang w:val="pt-PT"/>
        </w:rPr>
        <w:t>Kormányszerkezet típusa: normál konstrukció/különleges konstrukció</w:t>
      </w:r>
      <w:r w:rsidRPr="00166EA9">
        <w:rPr>
          <w:vertAlign w:val="superscript"/>
          <w:lang w:val="pt-PT"/>
        </w:rPr>
        <w:footnoteReference w:customMarkFollows="1" w:id="80"/>
        <w:t>*)</w:t>
      </w:r>
    </w:p>
    <w:p w:rsidR="005624E3" w:rsidRPr="00166EA9" w:rsidRDefault="005624E3" w:rsidP="005624E3">
      <w:pPr>
        <w:tabs>
          <w:tab w:val="left" w:pos="284"/>
          <w:tab w:val="left" w:leader="dot" w:pos="9072"/>
        </w:tabs>
        <w:overflowPunct w:val="0"/>
        <w:adjustRightInd w:val="0"/>
        <w:textAlignment w:val="baseline"/>
        <w:rPr>
          <w:szCs w:val="20"/>
          <w:lang w:val="pt-PT"/>
        </w:rPr>
      </w:pPr>
      <w:r w:rsidRPr="00166EA9">
        <w:rPr>
          <w:lang w:val="pt-PT"/>
        </w:rPr>
        <w:t>Aktív kormányberendezés: igen/nem *)</w:t>
      </w:r>
    </w:p>
    <w:p w:rsidR="005624E3" w:rsidRPr="00166EA9" w:rsidRDefault="005624E3" w:rsidP="005624E3">
      <w:pPr>
        <w:tabs>
          <w:tab w:val="left" w:pos="284"/>
          <w:tab w:val="left" w:leader="dot" w:pos="9072"/>
        </w:tabs>
        <w:overflowPunct w:val="0"/>
        <w:adjustRightInd w:val="0"/>
        <w:textAlignment w:val="baseline"/>
        <w:rPr>
          <w:szCs w:val="20"/>
          <w:lang w:val="pt-PT"/>
        </w:rPr>
      </w:pPr>
    </w:p>
    <w:p w:rsidR="005624E3" w:rsidRPr="00166EA9" w:rsidRDefault="005624E3" w:rsidP="005624E3">
      <w:pPr>
        <w:tabs>
          <w:tab w:val="left" w:pos="284"/>
          <w:tab w:val="left" w:leader="dot" w:pos="9072"/>
        </w:tabs>
        <w:overflowPunct w:val="0"/>
        <w:adjustRightInd w:val="0"/>
        <w:textAlignment w:val="baseline"/>
        <w:rPr>
          <w:szCs w:val="20"/>
          <w:lang w:val="pt-PT"/>
        </w:rPr>
      </w:pPr>
      <w:r w:rsidRPr="00166EA9">
        <w:rPr>
          <w:lang w:val="pt-PT"/>
        </w:rPr>
        <w:t>A kitérési manőverek eredményei:</w:t>
      </w:r>
    </w:p>
    <w:p w:rsidR="005624E3" w:rsidRPr="00166EA9" w:rsidRDefault="005624E3" w:rsidP="005624E3">
      <w:pPr>
        <w:tabs>
          <w:tab w:val="left" w:pos="284"/>
          <w:tab w:val="left" w:leader="dot" w:pos="4536"/>
          <w:tab w:val="left" w:pos="5103"/>
          <w:tab w:val="left" w:leader="dot" w:pos="9072"/>
        </w:tabs>
        <w:overflowPunct w:val="0"/>
        <w:adjustRightInd w:val="0"/>
        <w:textAlignment w:val="baseline"/>
        <w:rPr>
          <w:szCs w:val="20"/>
          <w:lang w:val="pt-PT"/>
        </w:rPr>
      </w:pPr>
    </w:p>
    <w:tbl>
      <w:tblPr>
        <w:tblW w:w="0" w:type="auto"/>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7"/>
        <w:gridCol w:w="1417"/>
        <w:gridCol w:w="1417"/>
        <w:gridCol w:w="1419"/>
        <w:gridCol w:w="2268"/>
      </w:tblGrid>
      <w:tr w:rsidR="005624E3" w:rsidRPr="00921ED0" w:rsidTr="00101A80">
        <w:tc>
          <w:tcPr>
            <w:tcW w:w="1418" w:type="dxa"/>
            <w:tcBorders>
              <w:top w:val="single" w:sz="6" w:space="0" w:color="auto"/>
              <w:left w:val="single" w:sz="6" w:space="0" w:color="auto"/>
              <w:bottom w:val="nil"/>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r w:rsidRPr="00921ED0">
              <w:rPr>
                <w:sz w:val="18"/>
              </w:rPr>
              <w:t xml:space="preserve">Szükséges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Pr="00921ED0">
              <w:rPr>
                <w:sz w:val="18"/>
              </w:rPr>
              <w:t>–t</w:t>
            </w:r>
            <w:r w:rsidRPr="00921ED0">
              <w:rPr>
                <w:sz w:val="18"/>
                <w:vertAlign w:val="subscript"/>
              </w:rPr>
              <w:t>4</w:t>
            </w:r>
            <w:r w:rsidRPr="00921ED0">
              <w:rPr>
                <w:sz w:val="18"/>
              </w:rPr>
              <w:t xml:space="preserve"> idő </w:t>
            </w:r>
          </w:p>
        </w:tc>
        <w:tc>
          <w:tcPr>
            <w:tcW w:w="5670" w:type="dxa"/>
            <w:gridSpan w:val="4"/>
            <w:tcBorders>
              <w:top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r w:rsidRPr="00921ED0">
              <w:rPr>
                <w:sz w:val="18"/>
              </w:rPr>
              <w:t xml:space="preserve">A kormány </w:t>
            </w:r>
            <w:r w:rsidRPr="00921ED0">
              <w:rPr>
                <w:sz w:val="18"/>
                <w:szCs w:val="20"/>
              </w:rPr>
              <w:sym w:font="Symbol" w:char="F064"/>
            </w:r>
            <w:r w:rsidRPr="00921ED0">
              <w:rPr>
                <w:sz w:val="18"/>
              </w:rPr>
              <w:t xml:space="preserve"> vagy </w:t>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921ED0">
              <w:rPr>
                <w:sz w:val="18"/>
              </w:rPr>
              <w:t xml:space="preserve"> *) állásszöge, </w:t>
            </w:r>
            <w:r w:rsidRPr="00921ED0">
              <w:rPr>
                <w:sz w:val="18"/>
                <w:szCs w:val="20"/>
              </w:rPr>
              <w:br/>
            </w:r>
            <w:r w:rsidRPr="00921ED0">
              <w:rPr>
                <w:sz w:val="18"/>
              </w:rPr>
              <w:t xml:space="preserve">amelynél a kitérési manőver megkezdődik,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Pr="00921ED0">
              <w:rPr>
                <w:sz w:val="18"/>
              </w:rPr>
              <w:t xml:space="preserve"> =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p>
        </w:tc>
        <w:tc>
          <w:tcPr>
            <w:tcW w:w="2268" w:type="dxa"/>
            <w:tcBorders>
              <w:top w:val="single" w:sz="6" w:space="0" w:color="auto"/>
              <w:bottom w:val="nil"/>
              <w:right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r w:rsidRPr="00921ED0">
              <w:rPr>
                <w:sz w:val="18"/>
              </w:rPr>
              <w:t>Megjegyzések</w:t>
            </w:r>
          </w:p>
        </w:tc>
      </w:tr>
      <w:tr w:rsidR="005624E3" w:rsidRPr="00921ED0" w:rsidTr="00101A80">
        <w:tc>
          <w:tcPr>
            <w:tcW w:w="1418" w:type="dxa"/>
            <w:tcBorders>
              <w:top w:val="nil"/>
              <w:left w:val="single" w:sz="6" w:space="0" w:color="auto"/>
              <w:bottom w:val="nil"/>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r w:rsidRPr="00921ED0">
              <w:rPr>
                <w:sz w:val="18"/>
              </w:rPr>
              <w:t>a kitérési művelethez</w:t>
            </w: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m:oMath>
              <m:r>
                <w:rPr>
                  <w:rFonts w:ascii="Cambria Math" w:hAnsi="Cambria Math"/>
                  <w:i/>
                  <w:sz w:val="18"/>
                  <w:szCs w:val="20"/>
                </w:rPr>
                <w:sym w:font="Symbol" w:char="F064"/>
              </m:r>
            </m:oMath>
            <w:r w:rsidRPr="00921ED0">
              <w:rPr>
                <w:sz w:val="18"/>
              </w:rPr>
              <w:t xml:space="preserve"> = 20° TB*)</w:t>
            </w:r>
            <w:r w:rsidRPr="00921ED0">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921ED0">
              <w:rPr>
                <w:sz w:val="18"/>
              </w:rPr>
              <w:t xml:space="preserve"> = .... TB*)</w:t>
            </w: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m:oMath>
              <m:r>
                <w:rPr>
                  <w:rFonts w:ascii="Cambria Math" w:hAnsi="Cambria Math"/>
                  <w:i/>
                  <w:sz w:val="18"/>
                  <w:szCs w:val="20"/>
                </w:rPr>
                <w:sym w:font="Symbol" w:char="F064"/>
              </m:r>
            </m:oMath>
            <w:r w:rsidRPr="00921ED0">
              <w:rPr>
                <w:sz w:val="18"/>
              </w:rPr>
              <w:t xml:space="preserve"> = 20° BB*)</w:t>
            </w:r>
            <w:r w:rsidRPr="00921ED0">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921ED0">
              <w:rPr>
                <w:sz w:val="18"/>
              </w:rPr>
              <w:t xml:space="preserve"> = .... BB*)</w:t>
            </w: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m:oMath>
              <m:r>
                <w:rPr>
                  <w:rFonts w:ascii="Cambria Math" w:hAnsi="Cambria Math"/>
                  <w:i/>
                  <w:sz w:val="18"/>
                  <w:szCs w:val="20"/>
                </w:rPr>
                <w:sym w:font="Symbol" w:char="F064"/>
              </m:r>
            </m:oMath>
            <w:r w:rsidRPr="00921ED0">
              <w:rPr>
                <w:sz w:val="18"/>
              </w:rPr>
              <w:t xml:space="preserve"> = 45° TB*)</w:t>
            </w:r>
            <w:r w:rsidRPr="00921ED0">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921ED0">
              <w:rPr>
                <w:sz w:val="18"/>
              </w:rPr>
              <w:t xml:space="preserve"> = ..... TB*)</w:t>
            </w: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m:oMath>
              <m:r>
                <w:rPr>
                  <w:rFonts w:ascii="Cambria Math" w:hAnsi="Cambria Math"/>
                  <w:i/>
                  <w:sz w:val="18"/>
                  <w:szCs w:val="20"/>
                </w:rPr>
                <w:sym w:font="Symbol" w:char="F064"/>
              </m:r>
            </m:oMath>
            <w:r w:rsidRPr="00921ED0">
              <w:rPr>
                <w:sz w:val="18"/>
              </w:rPr>
              <w:t xml:space="preserve"> = 45° BB*)</w:t>
            </w:r>
            <w:r w:rsidRPr="00921ED0">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921ED0">
              <w:rPr>
                <w:sz w:val="18"/>
              </w:rPr>
              <w:t xml:space="preserve"> = .... BB*)</w:t>
            </w:r>
          </w:p>
        </w:tc>
        <w:tc>
          <w:tcPr>
            <w:tcW w:w="2268" w:type="dxa"/>
            <w:tcBorders>
              <w:top w:val="nil"/>
              <w:bottom w:val="single" w:sz="6" w:space="0" w:color="auto"/>
              <w:right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r>
      <w:tr w:rsidR="005624E3" w:rsidRPr="00921ED0" w:rsidTr="00101A80">
        <w:tc>
          <w:tcPr>
            <w:tcW w:w="1418" w:type="dxa"/>
            <w:tcBorders>
              <w:top w:val="nil"/>
              <w:left w:val="single" w:sz="6" w:space="0" w:color="auto"/>
              <w:bottom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2834" w:type="dxa"/>
            <w:gridSpan w:val="2"/>
            <w:vAlign w:val="center"/>
          </w:tcPr>
          <w:p w:rsidR="005624E3" w:rsidRPr="00921ED0" w:rsidRDefault="003142CA" w:rsidP="00101A80">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005624E3" w:rsidRPr="00921ED0">
              <w:rPr>
                <w:sz w:val="18"/>
              </w:rPr>
              <w:t xml:space="preserve"> =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r w:rsidR="005624E3" w:rsidRPr="00921ED0">
              <w:rPr>
                <w:sz w:val="18"/>
              </w:rPr>
              <w:t xml:space="preserve"> = ........ °/min</w:t>
            </w:r>
          </w:p>
        </w:tc>
        <w:tc>
          <w:tcPr>
            <w:tcW w:w="2834" w:type="dxa"/>
            <w:gridSpan w:val="2"/>
            <w:vAlign w:val="center"/>
          </w:tcPr>
          <w:p w:rsidR="005624E3" w:rsidRPr="00921ED0" w:rsidRDefault="003142CA" w:rsidP="00101A80">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005624E3" w:rsidRPr="00921ED0">
              <w:rPr>
                <w:sz w:val="16"/>
              </w:rPr>
              <w:t xml:space="preserve"> </w:t>
            </w:r>
            <w:r w:rsidR="005624E3" w:rsidRPr="00921ED0">
              <w:rPr>
                <w:sz w:val="18"/>
              </w:rPr>
              <w:t xml:space="preserve">=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r w:rsidR="005624E3" w:rsidRPr="00921ED0">
              <w:rPr>
                <w:sz w:val="18"/>
              </w:rPr>
              <w:t xml:space="preserve"> = ........ °/min</w:t>
            </w:r>
          </w:p>
        </w:tc>
        <w:tc>
          <w:tcPr>
            <w:tcW w:w="2268" w:type="dxa"/>
            <w:tcBorders>
              <w:top w:val="nil"/>
              <w:bottom w:val="single" w:sz="6" w:space="0" w:color="auto"/>
              <w:right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r>
      <w:tr w:rsidR="005624E3" w:rsidRPr="00921ED0" w:rsidTr="00101A80">
        <w:tc>
          <w:tcPr>
            <w:tcW w:w="1418" w:type="dxa"/>
            <w:tcBorders>
              <w:top w:val="nil"/>
              <w:left w:val="single" w:sz="6" w:space="0" w:color="auto"/>
            </w:tcBorders>
            <w:vAlign w:val="center"/>
          </w:tcPr>
          <w:p w:rsidR="005624E3" w:rsidRPr="00921ED0" w:rsidRDefault="003142CA" w:rsidP="00101A80">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005624E3" w:rsidRPr="00921ED0">
              <w:rPr>
                <w:sz w:val="18"/>
              </w:rPr>
              <w:t xml:space="preserve"> [s]</w:t>
            </w: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2268" w:type="dxa"/>
            <w:tcBorders>
              <w:top w:val="nil"/>
              <w:right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r>
      <w:tr w:rsidR="005624E3" w:rsidRPr="00921ED0" w:rsidTr="00101A80">
        <w:tc>
          <w:tcPr>
            <w:tcW w:w="1418" w:type="dxa"/>
            <w:tcBorders>
              <w:left w:val="single" w:sz="6" w:space="0" w:color="auto"/>
            </w:tcBorders>
            <w:vAlign w:val="center"/>
          </w:tcPr>
          <w:p w:rsidR="005624E3" w:rsidRPr="00921ED0" w:rsidRDefault="003142CA" w:rsidP="00101A80">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005624E3" w:rsidRPr="00921ED0">
              <w:rPr>
                <w:sz w:val="18"/>
              </w:rPr>
              <w:t xml:space="preserve"> [s]</w:t>
            </w: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2268" w:type="dxa"/>
            <w:tcBorders>
              <w:right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r>
      <w:tr w:rsidR="005624E3" w:rsidRPr="00921ED0" w:rsidTr="00101A80">
        <w:tc>
          <w:tcPr>
            <w:tcW w:w="1418" w:type="dxa"/>
            <w:tcBorders>
              <w:left w:val="single" w:sz="6" w:space="0" w:color="auto"/>
              <w:bottom w:val="nil"/>
            </w:tcBorders>
            <w:vAlign w:val="center"/>
          </w:tcPr>
          <w:p w:rsidR="005624E3" w:rsidRPr="00921ED0" w:rsidRDefault="003142CA" w:rsidP="00101A80">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005624E3" w:rsidRPr="00921ED0">
              <w:rPr>
                <w:sz w:val="18"/>
              </w:rPr>
              <w:t xml:space="preserve"> [s]</w:t>
            </w:r>
          </w:p>
        </w:tc>
        <w:tc>
          <w:tcPr>
            <w:tcW w:w="1417" w:type="dxa"/>
            <w:tcBorders>
              <w:bottom w:val="nil"/>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bottom w:val="nil"/>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bottom w:val="nil"/>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bottom w:val="nil"/>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2268" w:type="dxa"/>
            <w:tcBorders>
              <w:bottom w:val="nil"/>
              <w:right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r>
      <w:tr w:rsidR="005624E3" w:rsidRPr="00921ED0" w:rsidTr="00101A80">
        <w:tc>
          <w:tcPr>
            <w:tcW w:w="1418" w:type="dxa"/>
            <w:tcBorders>
              <w:top w:val="double" w:sz="6" w:space="0" w:color="auto"/>
              <w:left w:val="single" w:sz="6" w:space="0" w:color="auto"/>
              <w:bottom w:val="single" w:sz="6" w:space="0" w:color="auto"/>
            </w:tcBorders>
            <w:vAlign w:val="center"/>
          </w:tcPr>
          <w:p w:rsidR="005624E3" w:rsidRPr="00921ED0" w:rsidRDefault="003142CA" w:rsidP="00101A80">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005624E3" w:rsidRPr="00921ED0">
              <w:rPr>
                <w:sz w:val="18"/>
              </w:rPr>
              <w:t xml:space="preserve"> [s]</w:t>
            </w:r>
          </w:p>
        </w:tc>
        <w:tc>
          <w:tcPr>
            <w:tcW w:w="1417" w:type="dxa"/>
            <w:tcBorders>
              <w:top w:val="double" w:sz="6" w:space="0" w:color="auto"/>
              <w:bottom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top w:val="double" w:sz="6" w:space="0" w:color="auto"/>
              <w:bottom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top w:val="double" w:sz="6" w:space="0" w:color="auto"/>
              <w:bottom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top w:val="double" w:sz="6" w:space="0" w:color="auto"/>
              <w:bottom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c>
          <w:tcPr>
            <w:tcW w:w="2268" w:type="dxa"/>
            <w:tcBorders>
              <w:top w:val="double" w:sz="6" w:space="0" w:color="auto"/>
              <w:bottom w:val="single" w:sz="6" w:space="0" w:color="auto"/>
              <w:right w:val="single" w:sz="6" w:space="0" w:color="auto"/>
            </w:tcBorders>
            <w:vAlign w:val="center"/>
          </w:tcPr>
          <w:p w:rsidR="005624E3" w:rsidRPr="00921ED0" w:rsidRDefault="005624E3" w:rsidP="00101A80">
            <w:pPr>
              <w:tabs>
                <w:tab w:val="left" w:pos="284"/>
                <w:tab w:val="left" w:pos="709"/>
                <w:tab w:val="left" w:pos="993"/>
              </w:tabs>
              <w:overflowPunct w:val="0"/>
              <w:adjustRightInd w:val="0"/>
              <w:spacing w:before="40" w:after="40"/>
              <w:jc w:val="center"/>
              <w:textAlignment w:val="baseline"/>
              <w:rPr>
                <w:sz w:val="18"/>
                <w:szCs w:val="20"/>
              </w:rPr>
            </w:pPr>
          </w:p>
        </w:tc>
      </w:tr>
      <w:tr w:rsidR="005624E3" w:rsidRPr="00921ED0" w:rsidTr="00101A80">
        <w:tc>
          <w:tcPr>
            <w:tcW w:w="1418" w:type="dxa"/>
            <w:tcBorders>
              <w:top w:val="double" w:sz="6" w:space="0" w:color="auto"/>
              <w:left w:val="single" w:sz="6" w:space="0" w:color="auto"/>
              <w:bottom w:val="single" w:sz="6" w:space="0" w:color="auto"/>
              <w:right w:val="single" w:sz="6" w:space="0" w:color="auto"/>
            </w:tcBorders>
            <w:vAlign w:val="center"/>
          </w:tcPr>
          <w:p w:rsidR="005624E3" w:rsidRPr="00921ED0" w:rsidRDefault="003142CA" w:rsidP="00101A80">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005624E3" w:rsidRPr="00921ED0">
              <w:rPr>
                <w:sz w:val="18"/>
              </w:rPr>
              <w:t xml:space="preserve"> határérték a 2.2. pont szerint</w:t>
            </w:r>
          </w:p>
        </w:tc>
        <w:tc>
          <w:tcPr>
            <w:tcW w:w="7936" w:type="dxa"/>
            <w:gridSpan w:val="5"/>
            <w:tcBorders>
              <w:top w:val="double" w:sz="6" w:space="0" w:color="auto"/>
              <w:left w:val="single" w:sz="6" w:space="0" w:color="auto"/>
              <w:bottom w:val="single" w:sz="6" w:space="0" w:color="auto"/>
              <w:right w:val="single" w:sz="6" w:space="0" w:color="auto"/>
            </w:tcBorders>
            <w:vAlign w:val="center"/>
          </w:tcPr>
          <w:p w:rsidR="005624E3" w:rsidRPr="00921ED0" w:rsidRDefault="003142CA" w:rsidP="00101A80">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005624E3" w:rsidRPr="00921ED0">
              <w:rPr>
                <w:sz w:val="18"/>
              </w:rPr>
              <w:t xml:space="preserve"> határérték = ....................... [s]</w:t>
            </w:r>
          </w:p>
        </w:tc>
      </w:tr>
    </w:tbl>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spacing w:after="120"/>
        <w:textAlignment w:val="baseline"/>
        <w:rPr>
          <w:szCs w:val="20"/>
        </w:rPr>
      </w:pPr>
      <w:r w:rsidRPr="00921ED0">
        <w:rPr>
          <w:b/>
        </w:rPr>
        <w:t>Fordulási képesség *)</w:t>
      </w:r>
    </w:p>
    <w:p w:rsidR="005624E3" w:rsidRPr="00921ED0" w:rsidRDefault="005624E3" w:rsidP="005624E3">
      <w:pPr>
        <w:tabs>
          <w:tab w:val="left" w:pos="4678"/>
          <w:tab w:val="left" w:leader="dot" w:pos="6804"/>
        </w:tabs>
        <w:overflowPunct w:val="0"/>
        <w:adjustRightInd w:val="0"/>
        <w:spacing w:after="120"/>
        <w:textAlignment w:val="baseline"/>
        <w:rPr>
          <w:szCs w:val="20"/>
        </w:rPr>
      </w:pPr>
      <w:r w:rsidRPr="00921ED0">
        <w:t>Földrajzi helyzet a fordulási manőver megkezdésekor:</w:t>
      </w:r>
      <w:r w:rsidRPr="00921ED0">
        <w:tab/>
      </w:r>
      <w:r w:rsidRPr="00921ED0">
        <w:tab/>
        <w:t xml:space="preserve"> </w:t>
      </w:r>
    </w:p>
    <w:p w:rsidR="005624E3" w:rsidRPr="00921ED0" w:rsidRDefault="005624E3" w:rsidP="005624E3">
      <w:pPr>
        <w:tabs>
          <w:tab w:val="left" w:pos="4678"/>
          <w:tab w:val="left" w:leader="dot" w:pos="6804"/>
        </w:tabs>
        <w:overflowPunct w:val="0"/>
        <w:adjustRightInd w:val="0"/>
        <w:textAlignment w:val="baseline"/>
        <w:rPr>
          <w:szCs w:val="20"/>
        </w:rPr>
      </w:pPr>
      <w:r w:rsidRPr="00921ED0">
        <w:t>Földrajzi helyzet a fordulási manőver befejezésekor:</w:t>
      </w:r>
      <w:r w:rsidRPr="00921ED0">
        <w:tab/>
        <w:t xml:space="preserve"> </w:t>
      </w:r>
      <w:r w:rsidRPr="00921ED0">
        <w:tab/>
        <w:t xml:space="preserve"> </w:t>
      </w:r>
    </w:p>
    <w:p w:rsidR="005624E3" w:rsidRPr="00921ED0" w:rsidRDefault="005624E3" w:rsidP="005624E3">
      <w:pPr>
        <w:tabs>
          <w:tab w:val="left" w:leader="dot" w:pos="6804"/>
        </w:tabs>
        <w:overflowPunct w:val="0"/>
        <w:adjustRightInd w:val="0"/>
        <w:textAlignment w:val="baseline"/>
        <w:rPr>
          <w:szCs w:val="20"/>
        </w:rPr>
      </w:pPr>
    </w:p>
    <w:p w:rsidR="005624E3" w:rsidRPr="00921ED0" w:rsidRDefault="005624E3" w:rsidP="005624E3">
      <w:pPr>
        <w:tabs>
          <w:tab w:val="left" w:leader="dot" w:pos="6804"/>
        </w:tabs>
        <w:overflowPunct w:val="0"/>
        <w:adjustRightInd w:val="0"/>
        <w:spacing w:after="80"/>
        <w:textAlignment w:val="baseline"/>
        <w:rPr>
          <w:szCs w:val="20"/>
        </w:rPr>
      </w:pPr>
      <w:r w:rsidRPr="00921ED0">
        <w:rPr>
          <w:b/>
        </w:rPr>
        <w:t>Kormánygép</w:t>
      </w:r>
    </w:p>
    <w:p w:rsidR="005624E3" w:rsidRPr="00921ED0" w:rsidRDefault="005624E3" w:rsidP="005624E3">
      <w:pPr>
        <w:tabs>
          <w:tab w:val="left" w:pos="6804"/>
          <w:tab w:val="left" w:leader="dot" w:pos="8647"/>
        </w:tabs>
        <w:overflowPunct w:val="0"/>
        <w:adjustRightInd w:val="0"/>
        <w:spacing w:after="120"/>
        <w:textAlignment w:val="baseline"/>
        <w:rPr>
          <w:szCs w:val="20"/>
        </w:rPr>
      </w:pPr>
      <w:r w:rsidRPr="00921ED0">
        <w:t>Működtetés típusa: kézi/gépi*):</w:t>
      </w:r>
    </w:p>
    <w:p w:rsidR="005624E3" w:rsidRPr="00921ED0" w:rsidRDefault="005624E3" w:rsidP="005624E3">
      <w:pPr>
        <w:tabs>
          <w:tab w:val="left" w:pos="6804"/>
          <w:tab w:val="left" w:leader="dot" w:pos="8647"/>
        </w:tabs>
        <w:overflowPunct w:val="0"/>
        <w:adjustRightInd w:val="0"/>
        <w:spacing w:after="120"/>
        <w:textAlignment w:val="baseline"/>
        <w:rPr>
          <w:szCs w:val="20"/>
        </w:rPr>
      </w:pPr>
      <w:r w:rsidRPr="00921ED0">
        <w:t>Kormány állásszöge a kormánykerék egyes elfordításainál*):</w:t>
      </w:r>
      <w:r w:rsidRPr="00921ED0">
        <w:tab/>
      </w:r>
      <w:r w:rsidRPr="00921ED0">
        <w:tab/>
        <w:t xml:space="preserve"> °</w:t>
      </w:r>
    </w:p>
    <w:p w:rsidR="005624E3" w:rsidRPr="00921ED0" w:rsidRDefault="005624E3" w:rsidP="005624E3">
      <w:pPr>
        <w:tabs>
          <w:tab w:val="left" w:pos="6804"/>
          <w:tab w:val="left" w:leader="dot" w:pos="8647"/>
        </w:tabs>
        <w:overflowPunct w:val="0"/>
        <w:adjustRightInd w:val="0"/>
        <w:spacing w:after="120"/>
        <w:textAlignment w:val="baseline"/>
        <w:rPr>
          <w:szCs w:val="20"/>
        </w:rPr>
      </w:pPr>
      <w:r w:rsidRPr="00921ED0">
        <w:t>A kormánylapát szögsebessége a teljes tartományban*):</w:t>
      </w:r>
      <w:r w:rsidRPr="00921ED0">
        <w:tab/>
      </w:r>
      <w:r w:rsidRPr="00921ED0">
        <w:tab/>
        <w:t xml:space="preserve"> °/s</w:t>
      </w:r>
    </w:p>
    <w:p w:rsidR="005624E3" w:rsidRPr="00921ED0" w:rsidRDefault="005624E3" w:rsidP="005624E3">
      <w:pPr>
        <w:tabs>
          <w:tab w:val="left" w:pos="6804"/>
          <w:tab w:val="left" w:leader="dot" w:pos="8647"/>
        </w:tabs>
        <w:overflowPunct w:val="0"/>
        <w:adjustRightInd w:val="0"/>
        <w:textAlignment w:val="baseline"/>
        <w:rPr>
          <w:szCs w:val="20"/>
        </w:rPr>
      </w:pPr>
      <w:r w:rsidRPr="00921ED0">
        <w:t>A kormánylapát szögsebessége a 35°-os bal oldali és a 35°-os jobb oldali állásszögtartományon belül *):</w:t>
      </w:r>
      <w:r w:rsidRPr="00921ED0">
        <w:tab/>
      </w:r>
      <w:r w:rsidRPr="00921ED0">
        <w:tab/>
        <w:t xml:space="preserve"> °/s</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headerReference w:type="default" r:id="rId138"/>
          <w:footerReference w:type="default" r:id="rId139"/>
          <w:headerReference w:type="first" r:id="rId140"/>
          <w:footerReference w:type="first" r:id="rId141"/>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pPr>
      <w:bookmarkStart w:id="745" w:name="_Toc491854354"/>
      <w:bookmarkStart w:id="746" w:name="_Toc535854135"/>
      <w:r w:rsidRPr="00921ED0">
        <w:t>ESI-II-5</w:t>
      </w:r>
      <w:r w:rsidRPr="00921ED0">
        <w:br/>
        <w:t>Zajmérések</w:t>
      </w:r>
      <w:bookmarkEnd w:id="745"/>
      <w:bookmarkEnd w:id="746"/>
    </w:p>
    <w:p w:rsidR="005624E3" w:rsidRPr="00921ED0" w:rsidRDefault="005624E3" w:rsidP="005624E3">
      <w:pPr>
        <w:jc w:val="center"/>
        <w:rPr>
          <w:rFonts w:cs="Arial"/>
          <w:b/>
          <w:bCs/>
          <w:szCs w:val="20"/>
        </w:rPr>
      </w:pPr>
    </w:p>
    <w:p w:rsidR="005624E3" w:rsidRPr="00921ED0" w:rsidRDefault="005624E3" w:rsidP="005624E3">
      <w:pPr>
        <w:ind w:left="426"/>
        <w:jc w:val="center"/>
        <w:rPr>
          <w:rFonts w:cs="Arial"/>
          <w:b/>
          <w:bCs/>
          <w:szCs w:val="20"/>
        </w:rPr>
      </w:pPr>
      <w:r w:rsidRPr="00921ED0">
        <w:rPr>
          <w:b/>
        </w:rPr>
        <w:t>(3.04. cikk 7. bekezdés, 7.01. cikk 2. bekezdés, 7.03. cikk 6. bekezdés, 7.09. cikk 3. bekezdés, 8.08. cikk, 14.09. cikk 3. bekezdés, 15.02. cikk 5. bekezdés, 22.02. cikk 3. bekezdés b) pont, 22.03. cikk 1. bekezdés)</w:t>
      </w:r>
    </w:p>
    <w:p w:rsidR="005624E3" w:rsidRPr="00921ED0" w:rsidRDefault="005624E3" w:rsidP="005624E3">
      <w:pPr>
        <w:rPr>
          <w:rFonts w:cs="Arial"/>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1.</w:t>
      </w:r>
      <w:r w:rsidRPr="00921ED0">
        <w:tab/>
      </w:r>
      <w:r w:rsidRPr="00921ED0">
        <w:rPr>
          <w:b/>
          <w:color w:val="000000"/>
        </w:rPr>
        <w:t>Általános rendelkezések</w:t>
      </w:r>
    </w:p>
    <w:p w:rsidR="005624E3" w:rsidRPr="00921ED0" w:rsidRDefault="005624E3" w:rsidP="005624E3">
      <w:pPr>
        <w:tabs>
          <w:tab w:val="left" w:pos="426"/>
          <w:tab w:val="left" w:pos="1021"/>
        </w:tabs>
        <w:ind w:left="426" w:hanging="426"/>
        <w:rPr>
          <w:rFonts w:cs="Arial"/>
          <w:snapToGrid w:val="0"/>
          <w:szCs w:val="20"/>
        </w:rPr>
      </w:pPr>
    </w:p>
    <w:p w:rsidR="005624E3" w:rsidRPr="00921ED0" w:rsidRDefault="005624E3" w:rsidP="005624E3">
      <w:pPr>
        <w:spacing w:line="240" w:lineRule="atLeast"/>
        <w:ind w:left="567"/>
        <w:rPr>
          <w:snapToGrid w:val="0"/>
        </w:rPr>
      </w:pPr>
      <w:r w:rsidRPr="00921ED0">
        <w:t>A szabványban megadott maximális hangnyomásszintek ellenőrzése céljából gondoskodni kell a 2. és 3. pontnak megfelelő mért értékek, mérési eljárások és feltételek meglétéről a hangnyomásszint számszerűsített, megismételhető megállapítása érdekében.</w:t>
      </w:r>
    </w:p>
    <w:p w:rsidR="005624E3" w:rsidRPr="00921ED0" w:rsidRDefault="005624E3" w:rsidP="005624E3">
      <w:pPr>
        <w:tabs>
          <w:tab w:val="left" w:pos="426"/>
        </w:tabs>
        <w:ind w:left="426" w:hanging="426"/>
        <w:rPr>
          <w:rFonts w:cs="Arial"/>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2.</w:t>
      </w:r>
      <w:r w:rsidRPr="00921ED0">
        <w:tab/>
      </w:r>
      <w:r w:rsidRPr="00921ED0">
        <w:rPr>
          <w:b/>
          <w:color w:val="000000"/>
        </w:rPr>
        <w:t>Mérőműszerek</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noProof/>
        </w:rPr>
      </w:pPr>
      <w:r w:rsidRPr="00921ED0">
        <w:t>A mérőműszereknek meg kell felelniük az EN 61672</w:t>
      </w:r>
      <w:r w:rsidRPr="00921ED0">
        <w:softHyphen/>
        <w:t>1:2003 európai szabvány szerinti 1. osztály követelményeinek.</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rPr>
          <w:szCs w:val="20"/>
        </w:rPr>
      </w:pPr>
      <w:r w:rsidRPr="00921ED0">
        <w:t>Minden egyes mérési sorozat előtt és után a mikrofonra fel kell helyezni egy, az EN 60942:2003 európai szabvány szerinti 1. osztályú kalibrálóeszközt a mérési rendszer kalibrálása érdekében. Évente ellenőrizni kell, hogy a kalibrálóeszköz megfelel-e az EN 60942:2003 európai szabványnak. Kétévente ellenőrizni kell, hogy a mérőberendezés megfelel-e az EN 61672-1:2003 szabványnak.</w:t>
      </w:r>
    </w:p>
    <w:p w:rsidR="005624E3" w:rsidRPr="00921ED0" w:rsidRDefault="005624E3" w:rsidP="005624E3">
      <w:pPr>
        <w:spacing w:line="240" w:lineRule="atLeast"/>
        <w:ind w:left="567"/>
      </w:pPr>
    </w:p>
    <w:p w:rsidR="005624E3" w:rsidRPr="00921ED0" w:rsidRDefault="005624E3" w:rsidP="005624E3">
      <w:pPr>
        <w:spacing w:line="240" w:lineRule="atLeast"/>
        <w:ind w:left="567" w:hanging="567"/>
        <w:rPr>
          <w:rFonts w:cs="Arial"/>
          <w:b/>
          <w:color w:val="000000"/>
          <w:szCs w:val="20"/>
        </w:rPr>
      </w:pPr>
      <w:r w:rsidRPr="00921ED0">
        <w:rPr>
          <w:b/>
          <w:color w:val="000000"/>
        </w:rPr>
        <w:t>3.</w:t>
      </w:r>
      <w:r w:rsidRPr="00921ED0">
        <w:tab/>
      </w:r>
      <w:r w:rsidRPr="00921ED0">
        <w:rPr>
          <w:b/>
          <w:color w:val="000000"/>
        </w:rPr>
        <w:t>Zajmérések</w:t>
      </w:r>
    </w:p>
    <w:p w:rsidR="005624E3" w:rsidRPr="00921ED0" w:rsidRDefault="005624E3" w:rsidP="005624E3">
      <w:pPr>
        <w:tabs>
          <w:tab w:val="left" w:pos="426"/>
        </w:tabs>
        <w:rPr>
          <w:rFonts w:cs="Arial"/>
          <w:szCs w:val="20"/>
        </w:rPr>
      </w:pPr>
    </w:p>
    <w:p w:rsidR="005624E3" w:rsidRPr="00921ED0" w:rsidRDefault="005624E3" w:rsidP="005624E3">
      <w:pPr>
        <w:spacing w:line="240" w:lineRule="atLeast"/>
        <w:ind w:left="567" w:hanging="567"/>
      </w:pPr>
      <w:r w:rsidRPr="00921ED0">
        <w:t>3.1.</w:t>
      </w:r>
      <w:r w:rsidRPr="00921ED0">
        <w:tab/>
        <w:t>A vízi járművek fedélzetén</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A méréseket az ISO 2923:2003 nemzetközi szabvány 5–8. szakasza szerint kell elvégezni, és csak az A súlyozású hangnyomásszinteket kell mérni.</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hanging="567"/>
      </w:pPr>
      <w:r w:rsidRPr="00921ED0">
        <w:t>3.2.</w:t>
      </w:r>
      <w:r w:rsidRPr="00921ED0">
        <w:tab/>
        <w:t>A vízi jármű által kibocsátott légzaj</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snapToGrid w:val="0"/>
        </w:rPr>
      </w:pPr>
      <w:r w:rsidRPr="00921ED0">
        <w:t>A vízi járművek által a belvízi utakon és a kikötőkben kibocsátott zajt az EN ISO 22922:2013 európai szabvány 7–11. szakasza szerinti mérésekkel kell meghatározni. A mérések ideje alatt a gépterek ajtajait és ablakait be kell csukni.</w:t>
      </w:r>
    </w:p>
    <w:p w:rsidR="005624E3" w:rsidRPr="00921ED0" w:rsidRDefault="005624E3" w:rsidP="005624E3">
      <w:pPr>
        <w:spacing w:line="240" w:lineRule="atLeast"/>
        <w:ind w:left="567"/>
      </w:pPr>
    </w:p>
    <w:p w:rsidR="005624E3" w:rsidRPr="00921ED0" w:rsidRDefault="005624E3" w:rsidP="005624E3">
      <w:pPr>
        <w:spacing w:line="240" w:lineRule="atLeast"/>
        <w:ind w:left="567" w:hanging="567"/>
        <w:rPr>
          <w:rFonts w:cs="Arial"/>
          <w:b/>
          <w:color w:val="000000"/>
          <w:szCs w:val="20"/>
        </w:rPr>
      </w:pPr>
      <w:r w:rsidRPr="00921ED0">
        <w:rPr>
          <w:b/>
          <w:color w:val="000000"/>
        </w:rPr>
        <w:t>4.</w:t>
      </w:r>
      <w:r w:rsidRPr="00921ED0">
        <w:tab/>
      </w:r>
      <w:r w:rsidRPr="00921ED0">
        <w:rPr>
          <w:b/>
          <w:color w:val="000000"/>
        </w:rPr>
        <w:t>Dokumentáció</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A mérési eredményeket a „Zajmérési jelentés” (melléklet) szerint kell feljegyezni.</w:t>
      </w:r>
    </w:p>
    <w:p w:rsidR="005624E3" w:rsidRPr="00921ED0" w:rsidRDefault="005624E3" w:rsidP="005624E3">
      <w:pPr>
        <w:spacing w:line="240" w:lineRule="atLeast"/>
        <w:ind w:left="567"/>
      </w:pPr>
    </w:p>
    <w:p w:rsidR="005624E3" w:rsidRPr="00921ED0" w:rsidRDefault="005624E3" w:rsidP="005624E3">
      <w:pPr>
        <w:spacing w:before="120" w:after="120"/>
        <w:ind w:left="709"/>
        <w:jc w:val="center"/>
        <w:rPr>
          <w:rFonts w:cs="Arial"/>
          <w:b/>
          <w:bCs/>
        </w:rPr>
      </w:pPr>
      <w:r w:rsidRPr="00921ED0">
        <w:br w:type="page"/>
      </w:r>
      <w:r w:rsidRPr="00921ED0">
        <w:rPr>
          <w:b/>
        </w:rPr>
        <w:t>Zajmérési jelentés</w:t>
      </w:r>
    </w:p>
    <w:p w:rsidR="005624E3" w:rsidRPr="00921ED0" w:rsidRDefault="005624E3" w:rsidP="005624E3">
      <w:pPr>
        <w:tabs>
          <w:tab w:val="left" w:pos="2127"/>
        </w:tabs>
        <w:spacing w:after="40"/>
        <w:ind w:left="2127" w:hanging="284"/>
        <w:rPr>
          <w:rFonts w:cs="Arial"/>
          <w:szCs w:val="20"/>
        </w:rPr>
      </w:pPr>
      <w:r w:rsidRPr="00921ED0">
        <w:rPr>
          <w:b/>
        </w:rPr>
        <w:t>-</w:t>
      </w:r>
      <w:r w:rsidRPr="00921ED0">
        <w:tab/>
      </w:r>
      <w:r w:rsidRPr="00921ED0">
        <w:rPr>
          <w:b/>
        </w:rPr>
        <w:t>a vízi járművek fedélzetén végzett mérésről az ISO 2923:2003 nemzetközi szabvány szerint</w:t>
      </w:r>
    </w:p>
    <w:p w:rsidR="005624E3" w:rsidRPr="00921ED0" w:rsidRDefault="005624E3" w:rsidP="005624E3">
      <w:pPr>
        <w:tabs>
          <w:tab w:val="left" w:pos="851"/>
          <w:tab w:val="left" w:pos="2127"/>
        </w:tabs>
        <w:ind w:left="2127" w:hanging="284"/>
        <w:rPr>
          <w:rFonts w:cs="Arial"/>
          <w:szCs w:val="20"/>
        </w:rPr>
      </w:pPr>
      <w:r w:rsidRPr="00921ED0">
        <w:rPr>
          <w:b/>
        </w:rPr>
        <w:t>-</w:t>
      </w:r>
      <w:r w:rsidRPr="00921ED0">
        <w:tab/>
      </w:r>
      <w:r w:rsidRPr="00921ED0">
        <w:rPr>
          <w:b/>
        </w:rPr>
        <w:t>a vízi jármű által kibocsátott légzaj méréséről az EN ISO2922 : 2013 európai szabvány szerint</w:t>
      </w:r>
      <w:r w:rsidRPr="00921ED0">
        <w:rPr>
          <w:vertAlign w:val="superscript"/>
        </w:rPr>
        <w:t>*)</w:t>
      </w:r>
    </w:p>
    <w:p w:rsidR="005624E3" w:rsidRPr="00921ED0" w:rsidRDefault="005624E3" w:rsidP="005624E3">
      <w:pPr>
        <w:spacing w:before="60"/>
        <w:ind w:left="709"/>
        <w:rPr>
          <w:rFonts w:cs="Arial"/>
          <w:szCs w:val="20"/>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A.</w:t>
      </w:r>
      <w:r w:rsidRPr="00166EA9">
        <w:rPr>
          <w:lang w:val="pt-PT"/>
        </w:rPr>
        <w:tab/>
      </w:r>
      <w:r w:rsidRPr="00166EA9">
        <w:rPr>
          <w:b/>
          <w:color w:val="000000"/>
          <w:lang w:val="pt-PT"/>
        </w:rPr>
        <w:t>A vízi jármű adatai</w:t>
      </w:r>
    </w:p>
    <w:p w:rsidR="005624E3" w:rsidRPr="00166EA9" w:rsidRDefault="005624E3" w:rsidP="005624E3">
      <w:pPr>
        <w:tabs>
          <w:tab w:val="left" w:pos="567"/>
          <w:tab w:val="left" w:pos="709"/>
          <w:tab w:val="left" w:leader="dot" w:pos="9072"/>
        </w:tabs>
        <w:spacing w:before="120"/>
        <w:ind w:left="567" w:hanging="567"/>
        <w:rPr>
          <w:rFonts w:cs="Arial"/>
          <w:snapToGrid w:val="0"/>
          <w:szCs w:val="20"/>
          <w:lang w:val="pt-PT"/>
        </w:rPr>
      </w:pPr>
      <w:r w:rsidRPr="00166EA9">
        <w:rPr>
          <w:lang w:val="pt-PT"/>
        </w:rPr>
        <w:t>1.</w:t>
      </w:r>
      <w:r w:rsidRPr="00166EA9">
        <w:rPr>
          <w:lang w:val="pt-PT"/>
        </w:rPr>
        <w:tab/>
        <w:t xml:space="preserve">A vízi jármű típusa és neve: </w:t>
      </w:r>
      <w:r w:rsidRPr="00166EA9">
        <w:rPr>
          <w:lang w:val="pt-PT"/>
        </w:rPr>
        <w:tab/>
      </w:r>
    </w:p>
    <w:p w:rsidR="005624E3" w:rsidRPr="00166EA9" w:rsidRDefault="005624E3" w:rsidP="005624E3">
      <w:pPr>
        <w:tabs>
          <w:tab w:val="left" w:pos="567"/>
          <w:tab w:val="left" w:pos="709"/>
          <w:tab w:val="left" w:leader="dot" w:pos="9072"/>
        </w:tabs>
        <w:spacing w:before="120"/>
        <w:ind w:left="567" w:hanging="567"/>
        <w:rPr>
          <w:rFonts w:cs="Arial"/>
          <w:snapToGrid w:val="0"/>
          <w:szCs w:val="20"/>
          <w:lang w:val="pt-PT"/>
        </w:rPr>
      </w:pPr>
      <w:r w:rsidRPr="00166EA9">
        <w:rPr>
          <w:lang w:val="pt-PT"/>
        </w:rPr>
        <w:tab/>
        <w:t xml:space="preserve">Egyedi európai hajóazonosító szám: </w:t>
      </w:r>
      <w:r w:rsidRPr="00166EA9">
        <w:rPr>
          <w:lang w:val="pt-PT"/>
        </w:rPr>
        <w:tab/>
      </w:r>
    </w:p>
    <w:p w:rsidR="005624E3" w:rsidRPr="00166EA9" w:rsidRDefault="005624E3" w:rsidP="005624E3">
      <w:pPr>
        <w:tabs>
          <w:tab w:val="left" w:pos="567"/>
          <w:tab w:val="left" w:pos="709"/>
          <w:tab w:val="left" w:leader="dot" w:pos="9072"/>
        </w:tabs>
        <w:spacing w:before="120"/>
        <w:ind w:left="567" w:hanging="567"/>
        <w:rPr>
          <w:rFonts w:cs="Arial"/>
          <w:szCs w:val="20"/>
          <w:lang w:val="pt-PT"/>
        </w:rPr>
      </w:pPr>
      <w:r w:rsidRPr="00166EA9">
        <w:rPr>
          <w:lang w:val="pt-PT"/>
        </w:rPr>
        <w:t>2.</w:t>
      </w:r>
      <w:r w:rsidRPr="00166EA9">
        <w:rPr>
          <w:lang w:val="pt-PT"/>
        </w:rPr>
        <w:tab/>
        <w:t xml:space="preserve">Tulajdonos: </w:t>
      </w:r>
      <w:r w:rsidRPr="00166EA9">
        <w:rPr>
          <w:lang w:val="pt-PT"/>
        </w:rPr>
        <w:tab/>
      </w:r>
    </w:p>
    <w:p w:rsidR="005624E3" w:rsidRPr="00166EA9" w:rsidRDefault="005624E3" w:rsidP="005624E3">
      <w:pPr>
        <w:widowControl w:val="0"/>
        <w:tabs>
          <w:tab w:val="left" w:pos="567"/>
          <w:tab w:val="left" w:leader="dot" w:pos="9072"/>
        </w:tabs>
        <w:spacing w:before="120"/>
        <w:ind w:left="567" w:hanging="567"/>
        <w:rPr>
          <w:rFonts w:cs="Arial"/>
          <w:snapToGrid w:val="0"/>
          <w:szCs w:val="20"/>
          <w:lang w:val="pt-PT"/>
        </w:rPr>
      </w:pPr>
      <w:r w:rsidRPr="00166EA9">
        <w:rPr>
          <w:lang w:val="pt-PT"/>
        </w:rPr>
        <w:tab/>
      </w:r>
      <w:r w:rsidRPr="00166EA9">
        <w:rPr>
          <w:lang w:val="pt-PT"/>
        </w:rPr>
        <w:tab/>
      </w:r>
    </w:p>
    <w:p w:rsidR="005624E3" w:rsidRPr="00921ED0" w:rsidRDefault="005624E3" w:rsidP="005624E3">
      <w:pPr>
        <w:widowControl w:val="0"/>
        <w:tabs>
          <w:tab w:val="left" w:pos="567"/>
        </w:tabs>
        <w:spacing w:before="120"/>
        <w:ind w:left="567" w:hanging="567"/>
        <w:rPr>
          <w:rFonts w:cs="Arial"/>
          <w:snapToGrid w:val="0"/>
          <w:szCs w:val="20"/>
        </w:rPr>
      </w:pPr>
      <w:r w:rsidRPr="00921ED0">
        <w:t>3.</w:t>
      </w:r>
      <w:r w:rsidRPr="00921ED0">
        <w:tab/>
        <w:t>Fő propulziós rendszer</w:t>
      </w:r>
    </w:p>
    <w:p w:rsidR="005624E3" w:rsidRPr="00921ED0" w:rsidRDefault="005624E3" w:rsidP="005624E3">
      <w:pPr>
        <w:tabs>
          <w:tab w:val="left" w:pos="567"/>
        </w:tabs>
        <w:spacing w:before="120"/>
        <w:ind w:left="567" w:hanging="567"/>
        <w:rPr>
          <w:rFonts w:cs="Arial"/>
          <w:szCs w:val="20"/>
        </w:rPr>
      </w:pPr>
      <w:r w:rsidRPr="00921ED0">
        <w:t>3.1.</w:t>
      </w:r>
      <w:r w:rsidRPr="00921ED0">
        <w:tab/>
        <w:t>Fő motorok</w:t>
      </w:r>
    </w:p>
    <w:p w:rsidR="005624E3" w:rsidRPr="00921ED0" w:rsidRDefault="005624E3" w:rsidP="005624E3">
      <w:pPr>
        <w:spacing w:before="120"/>
        <w:rPr>
          <w:rFonts w:cs="Arial"/>
          <w:szCs w:val="20"/>
        </w:rPr>
      </w:pPr>
    </w:p>
    <w:tbl>
      <w:tblPr>
        <w:tblW w:w="919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
        <w:gridCol w:w="2555"/>
        <w:gridCol w:w="1022"/>
        <w:gridCol w:w="1022"/>
        <w:gridCol w:w="1022"/>
        <w:gridCol w:w="1022"/>
        <w:gridCol w:w="1022"/>
        <w:gridCol w:w="1022"/>
      </w:tblGrid>
      <w:tr w:rsidR="005624E3" w:rsidRPr="00921ED0" w:rsidTr="00101A80">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Szám</w:t>
            </w:r>
          </w:p>
        </w:tc>
        <w:tc>
          <w:tcPr>
            <w:tcW w:w="2555"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widowControl w:val="0"/>
              <w:spacing w:before="60"/>
              <w:jc w:val="center"/>
              <w:rPr>
                <w:rFonts w:cs="Arial"/>
                <w:snapToGrid w:val="0"/>
                <w:sz w:val="16"/>
                <w:szCs w:val="16"/>
              </w:rPr>
            </w:pPr>
            <w:r w:rsidRPr="00921ED0">
              <w:rPr>
                <w:snapToGrid w:val="0"/>
                <w:sz w:val="16"/>
              </w:rPr>
              <w:t>Gyártó</w:t>
            </w: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Típus</w:t>
            </w: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Építés éve</w:t>
            </w: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 xml:space="preserve">Teljesítmény (kW) </w:t>
            </w: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 xml:space="preserve">Fordulatszám </w:t>
            </w:r>
            <w:r w:rsidRPr="00921ED0">
              <w:rPr>
                <w:rFonts w:cs="Arial"/>
                <w:sz w:val="16"/>
                <w:szCs w:val="16"/>
              </w:rPr>
              <w:br/>
            </w:r>
            <w:r w:rsidRPr="00921ED0">
              <w:rPr>
                <w:sz w:val="16"/>
              </w:rPr>
              <w:t>(min</w:t>
            </w:r>
            <w:r w:rsidRPr="00921ED0">
              <w:rPr>
                <w:sz w:val="16"/>
                <w:vertAlign w:val="superscript"/>
              </w:rPr>
              <w:t>-1</w:t>
            </w:r>
            <w:r w:rsidRPr="00921ED0">
              <w:rPr>
                <w:sz w:val="16"/>
              </w:rPr>
              <w:t>)</w:t>
            </w: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Kétütemű / négyütemű</w:t>
            </w: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Turbó-feltöltés</w:t>
            </w:r>
            <w:r w:rsidRPr="00921ED0">
              <w:rPr>
                <w:rFonts w:cs="Arial"/>
                <w:sz w:val="16"/>
                <w:szCs w:val="16"/>
              </w:rPr>
              <w:br/>
            </w:r>
            <w:r w:rsidRPr="00921ED0">
              <w:rPr>
                <w:sz w:val="16"/>
              </w:rPr>
              <w:t>igen/nem</w:t>
            </w:r>
          </w:p>
        </w:tc>
      </w:tr>
      <w:tr w:rsidR="005624E3" w:rsidRPr="00921ED0" w:rsidTr="00101A80">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widowControl w:val="0"/>
              <w:spacing w:before="60"/>
              <w:jc w:val="center"/>
              <w:rPr>
                <w:rFonts w:cs="Arial"/>
                <w:snapToGrid w:val="0"/>
                <w:sz w:val="16"/>
                <w:szCs w:val="20"/>
              </w:rPr>
            </w:pPr>
            <w:r w:rsidRPr="00921ED0">
              <w:rPr>
                <w:snapToGrid w:val="0"/>
                <w:sz w:val="16"/>
              </w:rPr>
              <w:t>1</w:t>
            </w:r>
          </w:p>
        </w:tc>
        <w:tc>
          <w:tcPr>
            <w:tcW w:w="2555"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r>
      <w:tr w:rsidR="005624E3" w:rsidRPr="00921ED0" w:rsidTr="00101A80">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2</w:t>
            </w:r>
          </w:p>
        </w:tc>
        <w:tc>
          <w:tcPr>
            <w:tcW w:w="2555"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r>
    </w:tbl>
    <w:p w:rsidR="005624E3" w:rsidRPr="00921ED0" w:rsidRDefault="005624E3" w:rsidP="005624E3">
      <w:pPr>
        <w:widowControl w:val="0"/>
        <w:tabs>
          <w:tab w:val="left" w:pos="567"/>
        </w:tabs>
        <w:spacing w:before="120"/>
        <w:ind w:left="567" w:hanging="567"/>
        <w:rPr>
          <w:rFonts w:cs="Arial"/>
          <w:snapToGrid w:val="0"/>
          <w:szCs w:val="20"/>
        </w:rPr>
      </w:pPr>
      <w:r w:rsidRPr="00921ED0">
        <w:t>3.2.</w:t>
      </w:r>
      <w:r w:rsidRPr="00921ED0">
        <w:tab/>
        <w:t>Erőátvitel</w:t>
      </w:r>
    </w:p>
    <w:p w:rsidR="005624E3" w:rsidRPr="00921ED0" w:rsidRDefault="005624E3" w:rsidP="005624E3">
      <w:pPr>
        <w:tabs>
          <w:tab w:val="left" w:pos="567"/>
          <w:tab w:val="left" w:leader="dot" w:pos="3686"/>
          <w:tab w:val="left" w:pos="3828"/>
          <w:tab w:val="left" w:leader="dot" w:pos="6379"/>
          <w:tab w:val="left" w:pos="6521"/>
          <w:tab w:val="left" w:leader="dot" w:pos="9072"/>
        </w:tabs>
        <w:spacing w:before="120"/>
        <w:ind w:left="567"/>
        <w:rPr>
          <w:rFonts w:cs="Arial"/>
          <w:szCs w:val="20"/>
        </w:rPr>
      </w:pPr>
      <w:r w:rsidRPr="00921ED0">
        <w:t xml:space="preserve">Gyártó: </w:t>
      </w:r>
      <w:r w:rsidRPr="00921ED0">
        <w:tab/>
      </w:r>
      <w:r w:rsidRPr="00921ED0">
        <w:tab/>
        <w:t xml:space="preserve">Típus: </w:t>
      </w:r>
      <w:r w:rsidRPr="00921ED0">
        <w:tab/>
      </w:r>
      <w:r w:rsidRPr="00921ED0">
        <w:tab/>
        <w:t>Áttételi arány: 1</w:t>
      </w:r>
      <w:r w:rsidRPr="00921ED0">
        <w:tab/>
      </w:r>
    </w:p>
    <w:p w:rsidR="005624E3" w:rsidRPr="00921ED0" w:rsidRDefault="005624E3" w:rsidP="005624E3">
      <w:pPr>
        <w:widowControl w:val="0"/>
        <w:tabs>
          <w:tab w:val="left" w:pos="567"/>
        </w:tabs>
        <w:spacing w:before="120"/>
        <w:ind w:left="567" w:hanging="567"/>
        <w:rPr>
          <w:rFonts w:cs="Arial"/>
          <w:snapToGrid w:val="0"/>
          <w:szCs w:val="20"/>
        </w:rPr>
      </w:pPr>
      <w:r w:rsidRPr="00921ED0">
        <w:t>3.3.</w:t>
      </w:r>
      <w:r w:rsidRPr="00921ED0">
        <w:tab/>
        <w:t>Propellerek</w:t>
      </w:r>
    </w:p>
    <w:p w:rsidR="005624E3" w:rsidRPr="00921ED0" w:rsidRDefault="005624E3" w:rsidP="005624E3">
      <w:pPr>
        <w:tabs>
          <w:tab w:val="left" w:pos="567"/>
          <w:tab w:val="left" w:leader="dot" w:pos="1985"/>
          <w:tab w:val="left" w:pos="2127"/>
          <w:tab w:val="left" w:leader="dot" w:pos="4395"/>
          <w:tab w:val="left" w:pos="4536"/>
          <w:tab w:val="left" w:leader="dot" w:pos="6379"/>
          <w:tab w:val="left" w:pos="6521"/>
          <w:tab w:val="left" w:pos="7230"/>
        </w:tabs>
        <w:spacing w:before="120"/>
        <w:ind w:left="567"/>
        <w:rPr>
          <w:rFonts w:cs="Arial"/>
          <w:szCs w:val="20"/>
        </w:rPr>
      </w:pPr>
      <w:r w:rsidRPr="00921ED0">
        <w:t xml:space="preserve">Szám: </w:t>
      </w:r>
      <w:r w:rsidRPr="00921ED0">
        <w:tab/>
      </w:r>
      <w:r w:rsidRPr="00921ED0">
        <w:tab/>
        <w:t xml:space="preserve">Lapátok száma: </w:t>
      </w:r>
      <w:r w:rsidRPr="00921ED0">
        <w:tab/>
      </w:r>
      <w:r w:rsidRPr="00921ED0">
        <w:tab/>
        <w:t xml:space="preserve">Átmérő: </w:t>
      </w:r>
      <w:r w:rsidRPr="00921ED0">
        <w:tab/>
      </w:r>
      <w:r w:rsidRPr="00921ED0">
        <w:tab/>
        <w:t xml:space="preserve">mm </w:t>
      </w:r>
      <w:r w:rsidRPr="00921ED0">
        <w:tab/>
        <w:t>Gyűrű: igen/nem</w:t>
      </w:r>
      <w:r w:rsidRPr="00921ED0">
        <w:rPr>
          <w:vertAlign w:val="superscript"/>
        </w:rPr>
        <w:footnoteReference w:customMarkFollows="1" w:id="81"/>
        <w:t>*)</w:t>
      </w:r>
    </w:p>
    <w:p w:rsidR="005624E3" w:rsidRPr="00921ED0" w:rsidRDefault="005624E3" w:rsidP="005624E3">
      <w:pPr>
        <w:widowControl w:val="0"/>
        <w:tabs>
          <w:tab w:val="left" w:pos="567"/>
        </w:tabs>
        <w:spacing w:before="120"/>
        <w:ind w:left="567" w:hanging="567"/>
        <w:rPr>
          <w:rFonts w:cs="Arial"/>
          <w:snapToGrid w:val="0"/>
          <w:szCs w:val="20"/>
        </w:rPr>
      </w:pPr>
      <w:r w:rsidRPr="00921ED0">
        <w:t>3.4.</w:t>
      </w:r>
      <w:r w:rsidRPr="00921ED0">
        <w:tab/>
        <w:t>Kormányberendezés</w:t>
      </w:r>
    </w:p>
    <w:p w:rsidR="005624E3" w:rsidRPr="00921ED0" w:rsidRDefault="005624E3" w:rsidP="005624E3">
      <w:pPr>
        <w:tabs>
          <w:tab w:val="left" w:pos="567"/>
          <w:tab w:val="left" w:leader="dot" w:pos="9072"/>
        </w:tabs>
        <w:spacing w:before="120"/>
        <w:ind w:left="567"/>
        <w:rPr>
          <w:rFonts w:cs="Arial"/>
          <w:szCs w:val="20"/>
        </w:rPr>
      </w:pPr>
      <w:r w:rsidRPr="00921ED0">
        <w:t xml:space="preserve">Típus: </w:t>
      </w:r>
      <w:r w:rsidRPr="00921ED0">
        <w:tab/>
      </w:r>
    </w:p>
    <w:p w:rsidR="005624E3" w:rsidRPr="00921ED0" w:rsidRDefault="005624E3" w:rsidP="005624E3">
      <w:pPr>
        <w:tabs>
          <w:tab w:val="left" w:pos="567"/>
        </w:tabs>
        <w:spacing w:before="120"/>
        <w:ind w:left="567" w:hanging="567"/>
        <w:rPr>
          <w:rFonts w:cs="Arial"/>
          <w:szCs w:val="20"/>
        </w:rPr>
      </w:pPr>
      <w:r w:rsidRPr="00921ED0">
        <w:t>4.</w:t>
      </w:r>
      <w:r w:rsidRPr="00921ED0">
        <w:tab/>
        <w:t>Segédberendezések:</w:t>
      </w:r>
    </w:p>
    <w:p w:rsidR="005624E3" w:rsidRPr="00921ED0" w:rsidRDefault="005624E3" w:rsidP="005624E3">
      <w:pPr>
        <w:rPr>
          <w:rFonts w:cs="Arial"/>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1599"/>
        <w:gridCol w:w="1277"/>
        <w:gridCol w:w="998"/>
        <w:gridCol w:w="1006"/>
        <w:gridCol w:w="1199"/>
        <w:gridCol w:w="1079"/>
      </w:tblGrid>
      <w:tr w:rsidR="005624E3" w:rsidRPr="00921ED0" w:rsidTr="00101A80">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Szám</w:t>
            </w:r>
          </w:p>
        </w:tc>
        <w:tc>
          <w:tcPr>
            <w:tcW w:w="15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Meghajtás</w:t>
            </w:r>
          </w:p>
        </w:tc>
        <w:tc>
          <w:tcPr>
            <w:tcW w:w="1277"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Gyártó</w:t>
            </w:r>
          </w:p>
        </w:tc>
        <w:tc>
          <w:tcPr>
            <w:tcW w:w="99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Típus</w:t>
            </w:r>
          </w:p>
        </w:tc>
        <w:tc>
          <w:tcPr>
            <w:tcW w:w="1006"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Építés éve</w:t>
            </w:r>
          </w:p>
        </w:tc>
        <w:tc>
          <w:tcPr>
            <w:tcW w:w="11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Teljesítmény (kW)</w:t>
            </w:r>
          </w:p>
        </w:tc>
        <w:tc>
          <w:tcPr>
            <w:tcW w:w="107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Fordulatszám (min</w:t>
            </w:r>
            <w:r w:rsidRPr="00921ED0">
              <w:rPr>
                <w:sz w:val="16"/>
                <w:vertAlign w:val="superscript"/>
              </w:rPr>
              <w:t>-1</w:t>
            </w:r>
            <w:r w:rsidRPr="00921ED0">
              <w:rPr>
                <w:sz w:val="16"/>
              </w:rPr>
              <w:t>)</w:t>
            </w:r>
          </w:p>
        </w:tc>
      </w:tr>
      <w:tr w:rsidR="005624E3" w:rsidRPr="00921ED0" w:rsidTr="00101A80">
        <w:trPr>
          <w:trHeight w:val="340"/>
          <w:jc w:val="center"/>
        </w:trPr>
        <w:tc>
          <w:tcPr>
            <w:tcW w:w="634" w:type="dxa"/>
            <w:tcBorders>
              <w:top w:val="single" w:sz="4" w:space="0" w:color="auto"/>
              <w:left w:val="single" w:sz="4" w:space="0" w:color="auto"/>
              <w:bottom w:val="single" w:sz="4" w:space="0" w:color="auto"/>
              <w:right w:val="single" w:sz="4" w:space="0" w:color="auto"/>
            </w:tcBorders>
            <w:vAlign w:val="center"/>
          </w:tcPr>
          <w:p w:rsidR="005624E3" w:rsidRPr="00921ED0" w:rsidRDefault="005624E3" w:rsidP="00101A80">
            <w:pPr>
              <w:widowControl w:val="0"/>
              <w:spacing w:before="60"/>
              <w:jc w:val="center"/>
              <w:rPr>
                <w:rFonts w:cs="Arial"/>
                <w:snapToGrid w:val="0"/>
                <w:sz w:val="16"/>
                <w:szCs w:val="16"/>
              </w:rPr>
            </w:pPr>
            <w:r w:rsidRPr="00921ED0">
              <w:rPr>
                <w:snapToGrid w:val="0"/>
                <w:sz w:val="16"/>
              </w:rPr>
              <w:t>1</w:t>
            </w:r>
          </w:p>
        </w:tc>
        <w:tc>
          <w:tcPr>
            <w:tcW w:w="15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277"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99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06"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1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7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r>
      <w:tr w:rsidR="005624E3" w:rsidRPr="00921ED0" w:rsidTr="00101A80">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2</w:t>
            </w:r>
          </w:p>
        </w:tc>
        <w:tc>
          <w:tcPr>
            <w:tcW w:w="15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277"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99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06"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1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7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r>
      <w:tr w:rsidR="005624E3" w:rsidRPr="00921ED0" w:rsidTr="00101A80">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3</w:t>
            </w:r>
          </w:p>
        </w:tc>
        <w:tc>
          <w:tcPr>
            <w:tcW w:w="15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277"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99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06"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1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7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r>
      <w:tr w:rsidR="005624E3" w:rsidRPr="00921ED0" w:rsidTr="00101A80">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4</w:t>
            </w:r>
          </w:p>
        </w:tc>
        <w:tc>
          <w:tcPr>
            <w:tcW w:w="15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277"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99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06"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1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7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r>
      <w:tr w:rsidR="005624E3" w:rsidRPr="00921ED0" w:rsidTr="00101A80">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5</w:t>
            </w:r>
          </w:p>
        </w:tc>
        <w:tc>
          <w:tcPr>
            <w:tcW w:w="15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277"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99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06"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19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c>
          <w:tcPr>
            <w:tcW w:w="107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rPr>
            </w:pPr>
          </w:p>
        </w:tc>
      </w:tr>
    </w:tbl>
    <w:p w:rsidR="005624E3" w:rsidRPr="00921ED0" w:rsidRDefault="005624E3" w:rsidP="005624E3">
      <w:pPr>
        <w:ind w:left="1418"/>
        <w:rPr>
          <w:rFonts w:cs="Arial"/>
          <w:sz w:val="16"/>
          <w:szCs w:val="16"/>
        </w:rPr>
      </w:pPr>
    </w:p>
    <w:p w:rsidR="005624E3" w:rsidRPr="00921ED0" w:rsidRDefault="005624E3" w:rsidP="005624E3">
      <w:pPr>
        <w:tabs>
          <w:tab w:val="left" w:pos="567"/>
          <w:tab w:val="left" w:leader="dot" w:pos="9072"/>
        </w:tabs>
        <w:ind w:left="567" w:hanging="567"/>
        <w:rPr>
          <w:rFonts w:cs="Arial"/>
          <w:szCs w:val="20"/>
        </w:rPr>
      </w:pPr>
      <w:r w:rsidRPr="00921ED0">
        <w:t>5.</w:t>
      </w:r>
      <w:r w:rsidRPr="00921ED0">
        <w:tab/>
        <w:t xml:space="preserve">Megvalósított zajcsökkentő intézkedések: </w:t>
      </w:r>
      <w:r w:rsidRPr="00921ED0">
        <w:tab/>
      </w:r>
    </w:p>
    <w:p w:rsidR="005624E3" w:rsidRPr="00921ED0" w:rsidRDefault="005624E3" w:rsidP="005624E3">
      <w:pPr>
        <w:tabs>
          <w:tab w:val="left" w:leader="dot" w:pos="9072"/>
        </w:tabs>
        <w:spacing w:before="120"/>
        <w:ind w:left="567"/>
        <w:rPr>
          <w:rFonts w:cs="Arial"/>
          <w:szCs w:val="20"/>
        </w:rPr>
      </w:pPr>
      <w:r w:rsidRPr="00921ED0">
        <w:tab/>
      </w:r>
    </w:p>
    <w:p w:rsidR="005624E3" w:rsidRPr="00921ED0" w:rsidRDefault="005624E3" w:rsidP="005624E3">
      <w:pPr>
        <w:tabs>
          <w:tab w:val="left" w:leader="dot" w:pos="9072"/>
        </w:tabs>
        <w:spacing w:before="120"/>
        <w:ind w:left="567"/>
        <w:rPr>
          <w:rFonts w:cs="Arial"/>
          <w:szCs w:val="20"/>
        </w:rPr>
      </w:pPr>
      <w:r w:rsidRPr="00921ED0">
        <w:tab/>
      </w:r>
    </w:p>
    <w:p w:rsidR="005624E3" w:rsidRPr="00921ED0" w:rsidRDefault="005624E3" w:rsidP="005624E3">
      <w:pPr>
        <w:tabs>
          <w:tab w:val="left" w:pos="567"/>
          <w:tab w:val="left" w:leader="dot" w:pos="9072"/>
        </w:tabs>
        <w:spacing w:before="120"/>
        <w:ind w:left="567" w:hanging="567"/>
        <w:rPr>
          <w:rFonts w:cs="Arial"/>
          <w:szCs w:val="20"/>
        </w:rPr>
      </w:pPr>
      <w:r w:rsidRPr="00921ED0">
        <w:t>6.</w:t>
      </w:r>
      <w:r w:rsidRPr="00921ED0">
        <w:tab/>
        <w:t xml:space="preserve">Megjegyzések: </w:t>
      </w:r>
      <w:r w:rsidRPr="00921ED0">
        <w:tab/>
      </w:r>
    </w:p>
    <w:p w:rsidR="005624E3" w:rsidRPr="00921ED0" w:rsidRDefault="005624E3" w:rsidP="005624E3">
      <w:pPr>
        <w:tabs>
          <w:tab w:val="left" w:leader="dot" w:pos="9072"/>
        </w:tabs>
        <w:spacing w:before="120"/>
        <w:ind w:left="567"/>
        <w:rPr>
          <w:rFonts w:cs="Arial"/>
          <w:szCs w:val="20"/>
        </w:rPr>
      </w:pPr>
      <w:r w:rsidRPr="00921ED0">
        <w:tab/>
      </w:r>
    </w:p>
    <w:p w:rsidR="005624E3" w:rsidRPr="00921ED0" w:rsidRDefault="005624E3" w:rsidP="005624E3">
      <w:pPr>
        <w:tabs>
          <w:tab w:val="left" w:leader="dot" w:pos="9072"/>
        </w:tabs>
        <w:spacing w:before="120"/>
        <w:ind w:left="567"/>
        <w:rPr>
          <w:rFonts w:cs="Arial"/>
          <w:szCs w:val="20"/>
        </w:rPr>
      </w:pPr>
      <w:r w:rsidRPr="00921ED0">
        <w:tab/>
      </w:r>
    </w:p>
    <w:p w:rsidR="005624E3" w:rsidRPr="00921ED0" w:rsidRDefault="005624E3" w:rsidP="005624E3">
      <w:pPr>
        <w:tabs>
          <w:tab w:val="left" w:leader="dot" w:pos="9072"/>
        </w:tabs>
        <w:ind w:left="720"/>
        <w:rPr>
          <w:rFonts w:cs="Arial"/>
          <w:szCs w:val="20"/>
        </w:rPr>
      </w:pPr>
    </w:p>
    <w:p w:rsidR="005624E3" w:rsidRPr="00921ED0" w:rsidRDefault="005624E3" w:rsidP="005624E3">
      <w:pPr>
        <w:spacing w:before="60"/>
        <w:rPr>
          <w:rFonts w:cs="Arial"/>
          <w:szCs w:val="20"/>
        </w:rPr>
      </w:pPr>
      <w:r w:rsidRPr="00921ED0">
        <w:br w:type="page"/>
      </w:r>
    </w:p>
    <w:p w:rsidR="005624E3" w:rsidRPr="00921ED0" w:rsidRDefault="005624E3" w:rsidP="005624E3">
      <w:pPr>
        <w:tabs>
          <w:tab w:val="left" w:pos="567"/>
        </w:tabs>
        <w:ind w:left="567" w:hanging="567"/>
        <w:rPr>
          <w:b/>
        </w:rPr>
      </w:pPr>
      <w:r w:rsidRPr="00921ED0">
        <w:rPr>
          <w:b/>
        </w:rPr>
        <w:t>B.</w:t>
      </w:r>
      <w:r w:rsidRPr="00921ED0">
        <w:tab/>
      </w:r>
      <w:r w:rsidRPr="00921ED0">
        <w:rPr>
          <w:b/>
        </w:rPr>
        <w:t>Alkalmazott mérőműszer</w:t>
      </w:r>
    </w:p>
    <w:p w:rsidR="005624E3" w:rsidRPr="00921ED0" w:rsidRDefault="005624E3" w:rsidP="005624E3">
      <w:pPr>
        <w:widowControl w:val="0"/>
        <w:tabs>
          <w:tab w:val="left" w:pos="567"/>
          <w:tab w:val="left" w:pos="709"/>
        </w:tabs>
        <w:spacing w:before="120"/>
        <w:ind w:left="567" w:hanging="567"/>
        <w:rPr>
          <w:rFonts w:cs="Arial"/>
          <w:snapToGrid w:val="0"/>
          <w:szCs w:val="20"/>
        </w:rPr>
      </w:pPr>
      <w:r w:rsidRPr="00921ED0">
        <w:t>1.</w:t>
      </w:r>
      <w:r w:rsidRPr="00921ED0">
        <w:tab/>
        <w:t>Hangnyomásszint-mérő</w:t>
      </w:r>
    </w:p>
    <w:p w:rsidR="005624E3" w:rsidRPr="00921ED0" w:rsidRDefault="005624E3" w:rsidP="005624E3">
      <w:pPr>
        <w:tabs>
          <w:tab w:val="left" w:pos="567"/>
          <w:tab w:val="left" w:leader="dot" w:pos="4678"/>
          <w:tab w:val="left" w:pos="4962"/>
          <w:tab w:val="left" w:leader="dot" w:pos="6663"/>
          <w:tab w:val="left" w:pos="6804"/>
          <w:tab w:val="left" w:leader="dot" w:pos="9072"/>
        </w:tabs>
        <w:spacing w:before="120"/>
        <w:ind w:left="567"/>
        <w:rPr>
          <w:rFonts w:cs="Arial"/>
          <w:szCs w:val="20"/>
        </w:rPr>
      </w:pPr>
      <w:r w:rsidRPr="00921ED0">
        <w:t>Gyártó:</w:t>
      </w:r>
      <w:r w:rsidRPr="00921ED0">
        <w:tab/>
      </w:r>
      <w:r w:rsidRPr="00921ED0">
        <w:tab/>
        <w:t xml:space="preserve">Típus: </w:t>
      </w:r>
      <w:r w:rsidRPr="00921ED0">
        <w:tab/>
      </w:r>
      <w:r w:rsidRPr="00921ED0">
        <w:tab/>
        <w:t xml:space="preserve">Utolsó hitelesítés: </w:t>
      </w:r>
      <w:r w:rsidRPr="00921ED0">
        <w:tab/>
      </w:r>
    </w:p>
    <w:p w:rsidR="005624E3" w:rsidRPr="00921ED0" w:rsidRDefault="005624E3" w:rsidP="005624E3">
      <w:pPr>
        <w:widowControl w:val="0"/>
        <w:tabs>
          <w:tab w:val="left" w:pos="567"/>
          <w:tab w:val="left" w:pos="709"/>
        </w:tabs>
        <w:spacing w:before="120"/>
        <w:ind w:left="567" w:hanging="567"/>
        <w:rPr>
          <w:rFonts w:cs="Arial"/>
          <w:snapToGrid w:val="0"/>
          <w:szCs w:val="20"/>
        </w:rPr>
      </w:pPr>
      <w:r w:rsidRPr="00921ED0">
        <w:t>2.</w:t>
      </w:r>
      <w:r w:rsidRPr="00921ED0">
        <w:tab/>
        <w:t>Oktávsáv-/tercsávelemző</w:t>
      </w:r>
    </w:p>
    <w:p w:rsidR="005624E3" w:rsidRPr="00921ED0" w:rsidRDefault="005624E3" w:rsidP="005624E3">
      <w:pPr>
        <w:tabs>
          <w:tab w:val="left" w:pos="567"/>
          <w:tab w:val="left" w:leader="dot" w:pos="4678"/>
          <w:tab w:val="left" w:pos="4962"/>
          <w:tab w:val="left" w:leader="dot" w:pos="6663"/>
          <w:tab w:val="left" w:pos="6804"/>
          <w:tab w:val="left" w:leader="dot" w:pos="9072"/>
        </w:tabs>
        <w:spacing w:before="120"/>
        <w:ind w:left="567"/>
        <w:rPr>
          <w:rFonts w:cs="Arial"/>
          <w:szCs w:val="20"/>
        </w:rPr>
      </w:pPr>
      <w:r w:rsidRPr="00921ED0">
        <w:t xml:space="preserve">Gyártó: </w:t>
      </w:r>
      <w:r w:rsidRPr="00921ED0">
        <w:tab/>
      </w:r>
      <w:r w:rsidRPr="00921ED0">
        <w:tab/>
        <w:t xml:space="preserve">Típus: </w:t>
      </w:r>
      <w:r w:rsidRPr="00921ED0">
        <w:tab/>
      </w:r>
      <w:r w:rsidRPr="00921ED0">
        <w:tab/>
        <w:t xml:space="preserve">Utolsó hitelesítés: </w:t>
      </w:r>
      <w:r w:rsidRPr="00921ED0">
        <w:tab/>
      </w:r>
    </w:p>
    <w:p w:rsidR="005624E3" w:rsidRPr="00921ED0" w:rsidRDefault="005624E3" w:rsidP="005624E3">
      <w:pPr>
        <w:tabs>
          <w:tab w:val="left" w:pos="567"/>
          <w:tab w:val="left" w:pos="709"/>
          <w:tab w:val="left" w:leader="dot" w:pos="5245"/>
          <w:tab w:val="left" w:pos="5529"/>
          <w:tab w:val="left" w:leader="dot" w:pos="7230"/>
          <w:tab w:val="left" w:pos="7371"/>
          <w:tab w:val="left" w:leader="dot" w:pos="9356"/>
        </w:tabs>
        <w:spacing w:before="120"/>
        <w:ind w:left="567" w:hanging="567"/>
        <w:rPr>
          <w:rFonts w:cs="Arial"/>
          <w:snapToGrid w:val="0"/>
          <w:szCs w:val="20"/>
        </w:rPr>
      </w:pPr>
      <w:r w:rsidRPr="00921ED0">
        <w:t>3.</w:t>
      </w:r>
      <w:r w:rsidRPr="00921ED0">
        <w:tab/>
        <w:t>Kalibrátor:</w:t>
      </w:r>
    </w:p>
    <w:p w:rsidR="005624E3" w:rsidRPr="00921ED0" w:rsidRDefault="005624E3" w:rsidP="005624E3">
      <w:pPr>
        <w:tabs>
          <w:tab w:val="left" w:pos="567"/>
          <w:tab w:val="left" w:leader="dot" w:pos="4678"/>
          <w:tab w:val="left" w:pos="4962"/>
          <w:tab w:val="left" w:leader="dot" w:pos="6663"/>
          <w:tab w:val="left" w:pos="6804"/>
          <w:tab w:val="left" w:leader="dot" w:pos="9072"/>
        </w:tabs>
        <w:spacing w:before="120"/>
        <w:ind w:left="567"/>
        <w:rPr>
          <w:rFonts w:cs="Arial"/>
          <w:szCs w:val="20"/>
        </w:rPr>
      </w:pPr>
      <w:r w:rsidRPr="00921ED0">
        <w:t xml:space="preserve">Gyártó: </w:t>
      </w:r>
      <w:r w:rsidRPr="00921ED0">
        <w:tab/>
      </w:r>
      <w:r w:rsidRPr="00921ED0">
        <w:tab/>
        <w:t xml:space="preserve">Típus: </w:t>
      </w:r>
      <w:r w:rsidRPr="00921ED0">
        <w:tab/>
      </w:r>
      <w:r w:rsidRPr="00921ED0">
        <w:tab/>
        <w:t xml:space="preserve">Utolsó hitelesítés: </w:t>
      </w:r>
      <w:r w:rsidRPr="00921ED0">
        <w:tab/>
      </w:r>
    </w:p>
    <w:p w:rsidR="005624E3" w:rsidRPr="00921ED0" w:rsidRDefault="005624E3" w:rsidP="005624E3">
      <w:pPr>
        <w:tabs>
          <w:tab w:val="left" w:pos="567"/>
        </w:tabs>
        <w:spacing w:before="120"/>
        <w:ind w:left="567" w:hanging="567"/>
        <w:rPr>
          <w:rFonts w:cs="Arial"/>
          <w:szCs w:val="20"/>
        </w:rPr>
      </w:pPr>
      <w:r w:rsidRPr="00921ED0">
        <w:t>4.</w:t>
      </w:r>
      <w:r w:rsidRPr="00921ED0">
        <w:tab/>
        <w:t>Kiegészítő eszközök</w:t>
      </w:r>
    </w:p>
    <w:p w:rsidR="005624E3" w:rsidRPr="00921ED0" w:rsidRDefault="005624E3" w:rsidP="005624E3">
      <w:pPr>
        <w:tabs>
          <w:tab w:val="left" w:pos="567"/>
          <w:tab w:val="left" w:leader="dot" w:pos="9072"/>
        </w:tabs>
        <w:spacing w:before="120"/>
        <w:ind w:left="567"/>
        <w:rPr>
          <w:rFonts w:cs="Arial"/>
          <w:szCs w:val="20"/>
        </w:rPr>
      </w:pPr>
      <w:r w:rsidRPr="00921ED0">
        <w:tab/>
      </w:r>
    </w:p>
    <w:p w:rsidR="005624E3" w:rsidRPr="00921ED0" w:rsidRDefault="005624E3" w:rsidP="005624E3">
      <w:pPr>
        <w:tabs>
          <w:tab w:val="left" w:pos="567"/>
          <w:tab w:val="left" w:pos="709"/>
          <w:tab w:val="left" w:leader="dot" w:pos="9072"/>
        </w:tabs>
        <w:spacing w:before="120"/>
        <w:ind w:left="567" w:hanging="567"/>
        <w:rPr>
          <w:rFonts w:cs="Arial"/>
          <w:szCs w:val="20"/>
        </w:rPr>
      </w:pPr>
      <w:r w:rsidRPr="00921ED0">
        <w:t>5.</w:t>
      </w:r>
      <w:r w:rsidRPr="00921ED0">
        <w:tab/>
        <w:t xml:space="preserve">Megjegyzések: </w:t>
      </w:r>
      <w:r w:rsidRPr="00921ED0">
        <w:tab/>
      </w:r>
    </w:p>
    <w:p w:rsidR="005624E3" w:rsidRPr="00921ED0" w:rsidRDefault="005624E3" w:rsidP="005624E3">
      <w:pPr>
        <w:tabs>
          <w:tab w:val="left" w:pos="567"/>
          <w:tab w:val="left" w:leader="dot" w:pos="9072"/>
        </w:tabs>
        <w:spacing w:before="120"/>
        <w:ind w:left="567"/>
        <w:rPr>
          <w:rFonts w:cs="Arial"/>
          <w:szCs w:val="20"/>
        </w:rPr>
      </w:pPr>
      <w:r w:rsidRPr="00921ED0">
        <w:tab/>
      </w:r>
    </w:p>
    <w:p w:rsidR="005624E3" w:rsidRPr="00921ED0" w:rsidRDefault="005624E3" w:rsidP="005624E3">
      <w:pPr>
        <w:tabs>
          <w:tab w:val="left" w:pos="567"/>
          <w:tab w:val="left" w:leader="dot" w:pos="9072"/>
        </w:tabs>
        <w:spacing w:before="120"/>
        <w:ind w:left="567"/>
        <w:rPr>
          <w:rFonts w:cs="Arial"/>
          <w:szCs w:val="20"/>
        </w:rPr>
      </w:pPr>
      <w:r w:rsidRPr="00921ED0">
        <w:tab/>
      </w:r>
    </w:p>
    <w:p w:rsidR="005624E3" w:rsidRPr="00921ED0" w:rsidRDefault="005624E3" w:rsidP="005624E3">
      <w:pPr>
        <w:tabs>
          <w:tab w:val="left" w:pos="567"/>
        </w:tabs>
        <w:spacing w:before="60"/>
        <w:ind w:left="567" w:hanging="567"/>
        <w:rPr>
          <w:rFonts w:cs="Arial"/>
          <w:szCs w:val="20"/>
        </w:rPr>
      </w:pPr>
    </w:p>
    <w:p w:rsidR="005624E3" w:rsidRPr="00921ED0" w:rsidRDefault="005624E3" w:rsidP="005624E3">
      <w:pPr>
        <w:tabs>
          <w:tab w:val="left" w:pos="567"/>
        </w:tabs>
        <w:ind w:left="567" w:hanging="567"/>
        <w:rPr>
          <w:b/>
        </w:rPr>
      </w:pPr>
      <w:r w:rsidRPr="00921ED0">
        <w:rPr>
          <w:b/>
        </w:rPr>
        <w:t>C.</w:t>
      </w:r>
      <w:r w:rsidRPr="00921ED0">
        <w:tab/>
      </w:r>
      <w:r w:rsidRPr="00921ED0">
        <w:rPr>
          <w:b/>
        </w:rPr>
        <w:t>Mérési feltételek – vízi jármű</w:t>
      </w:r>
    </w:p>
    <w:p w:rsidR="005624E3" w:rsidRPr="00921ED0" w:rsidRDefault="005624E3" w:rsidP="005624E3">
      <w:pPr>
        <w:tabs>
          <w:tab w:val="left" w:pos="567"/>
          <w:tab w:val="left" w:pos="709"/>
          <w:tab w:val="left" w:leader="dot" w:pos="9072"/>
        </w:tabs>
        <w:spacing w:before="120"/>
        <w:ind w:left="567" w:hanging="567"/>
        <w:rPr>
          <w:rFonts w:cs="Arial"/>
          <w:szCs w:val="20"/>
        </w:rPr>
      </w:pPr>
      <w:r w:rsidRPr="00921ED0">
        <w:t>1.</w:t>
      </w:r>
      <w:r w:rsidRPr="00921ED0">
        <w:tab/>
        <w:t xml:space="preserve">A mérések során a kötelék alakzata: </w:t>
      </w:r>
      <w:r w:rsidRPr="00921ED0">
        <w:tab/>
      </w:r>
    </w:p>
    <w:p w:rsidR="005624E3" w:rsidRPr="00921ED0" w:rsidRDefault="005624E3" w:rsidP="005624E3">
      <w:pPr>
        <w:tabs>
          <w:tab w:val="left" w:pos="567"/>
          <w:tab w:val="left" w:pos="709"/>
          <w:tab w:val="left" w:leader="dot" w:pos="4820"/>
          <w:tab w:val="left" w:pos="4962"/>
        </w:tabs>
        <w:spacing w:before="120"/>
        <w:ind w:left="567" w:hanging="567"/>
        <w:rPr>
          <w:rFonts w:cs="Arial"/>
          <w:szCs w:val="20"/>
        </w:rPr>
      </w:pPr>
      <w:r w:rsidRPr="00921ED0">
        <w:t>2.</w:t>
      </w:r>
      <w:r w:rsidRPr="00921ED0">
        <w:tab/>
        <w:t xml:space="preserve">Terhelés/vízkiszorítás: </w:t>
      </w:r>
      <w:r w:rsidRPr="00921ED0">
        <w:tab/>
      </w:r>
      <w:r w:rsidRPr="00921ED0">
        <w:tab/>
        <w:t xml:space="preserve">t/m³ </w:t>
      </w:r>
      <w:r w:rsidRPr="00921ED0">
        <w:rPr>
          <w:vertAlign w:val="superscript"/>
        </w:rPr>
        <w:t>*)</w:t>
      </w:r>
      <w:r w:rsidRPr="00921ED0">
        <w:t xml:space="preserve"> (a maximális érték körülbelül ... %-a)</w:t>
      </w:r>
    </w:p>
    <w:p w:rsidR="005624E3" w:rsidRPr="00921ED0" w:rsidRDefault="005624E3" w:rsidP="005624E3">
      <w:pPr>
        <w:tabs>
          <w:tab w:val="left" w:pos="567"/>
          <w:tab w:val="left" w:pos="709"/>
          <w:tab w:val="left" w:leader="dot" w:pos="4820"/>
          <w:tab w:val="left" w:pos="4962"/>
        </w:tabs>
        <w:spacing w:before="120"/>
        <w:ind w:left="567" w:hanging="567"/>
        <w:rPr>
          <w:rFonts w:cs="Arial"/>
          <w:szCs w:val="20"/>
        </w:rPr>
      </w:pPr>
      <w:r w:rsidRPr="00921ED0">
        <w:t>3.</w:t>
      </w:r>
      <w:r w:rsidRPr="00921ED0">
        <w:tab/>
        <w:t>A főmotor fordulatszáma:</w:t>
      </w:r>
      <w:r w:rsidRPr="00921ED0">
        <w:tab/>
      </w:r>
      <w:r w:rsidRPr="00921ED0">
        <w:tab/>
        <w:t>min</w:t>
      </w:r>
      <w:r w:rsidRPr="00921ED0">
        <w:rPr>
          <w:vertAlign w:val="superscript"/>
        </w:rPr>
        <w:t>-1</w:t>
      </w:r>
      <w:r w:rsidRPr="00921ED0">
        <w:t xml:space="preserve"> (a maximális érték körülbelül ... %-a)</w:t>
      </w:r>
    </w:p>
    <w:p w:rsidR="005624E3" w:rsidRPr="00921ED0" w:rsidRDefault="005624E3" w:rsidP="005624E3">
      <w:pPr>
        <w:widowControl w:val="0"/>
        <w:tabs>
          <w:tab w:val="left" w:pos="567"/>
          <w:tab w:val="left" w:pos="709"/>
          <w:tab w:val="left" w:leader="dot" w:pos="5103"/>
          <w:tab w:val="left" w:pos="5670"/>
        </w:tabs>
        <w:spacing w:before="120"/>
        <w:ind w:left="567" w:hanging="567"/>
        <w:rPr>
          <w:rFonts w:cs="Arial"/>
          <w:snapToGrid w:val="0"/>
          <w:szCs w:val="20"/>
        </w:rPr>
      </w:pPr>
      <w:r w:rsidRPr="00921ED0">
        <w:t>4.</w:t>
      </w:r>
      <w:r w:rsidRPr="00921ED0">
        <w:tab/>
        <w:t xml:space="preserve">Működésben lévő segédberendezések száma: </w:t>
      </w:r>
      <w:r w:rsidRPr="00921ED0">
        <w:tab/>
      </w:r>
    </w:p>
    <w:p w:rsidR="005624E3" w:rsidRPr="00921ED0" w:rsidRDefault="005624E3" w:rsidP="005624E3">
      <w:pPr>
        <w:tabs>
          <w:tab w:val="left" w:pos="567"/>
          <w:tab w:val="left" w:pos="709"/>
          <w:tab w:val="left" w:leader="dot" w:pos="9072"/>
        </w:tabs>
        <w:spacing w:before="120"/>
        <w:ind w:left="567" w:hanging="567"/>
        <w:rPr>
          <w:rFonts w:cs="Arial"/>
          <w:szCs w:val="20"/>
        </w:rPr>
      </w:pPr>
      <w:r w:rsidRPr="00921ED0">
        <w:t>5.</w:t>
      </w:r>
      <w:r w:rsidRPr="00921ED0">
        <w:tab/>
        <w:t xml:space="preserve">Megjegyzések: </w:t>
      </w:r>
      <w:r w:rsidRPr="00921ED0">
        <w:tab/>
      </w:r>
    </w:p>
    <w:p w:rsidR="005624E3" w:rsidRPr="00921ED0" w:rsidRDefault="005624E3" w:rsidP="005624E3">
      <w:pPr>
        <w:tabs>
          <w:tab w:val="left" w:pos="567"/>
          <w:tab w:val="left" w:leader="dot" w:pos="9072"/>
        </w:tabs>
        <w:spacing w:before="60"/>
        <w:ind w:left="567"/>
        <w:rPr>
          <w:rFonts w:cs="Arial"/>
          <w:szCs w:val="20"/>
        </w:rPr>
      </w:pPr>
      <w:r w:rsidRPr="00921ED0">
        <w:tab/>
      </w:r>
    </w:p>
    <w:p w:rsidR="005624E3" w:rsidRPr="00921ED0" w:rsidRDefault="005624E3" w:rsidP="005624E3">
      <w:pPr>
        <w:tabs>
          <w:tab w:val="left" w:pos="567"/>
          <w:tab w:val="left" w:leader="dot" w:pos="9072"/>
        </w:tabs>
        <w:spacing w:before="60"/>
        <w:ind w:left="567"/>
        <w:rPr>
          <w:rFonts w:cs="Arial"/>
          <w:szCs w:val="20"/>
        </w:rPr>
      </w:pPr>
      <w:r w:rsidRPr="00921ED0">
        <w:tab/>
      </w:r>
    </w:p>
    <w:p w:rsidR="005624E3" w:rsidRPr="00921ED0" w:rsidRDefault="005624E3" w:rsidP="005624E3">
      <w:pPr>
        <w:tabs>
          <w:tab w:val="left" w:pos="567"/>
        </w:tabs>
        <w:ind w:left="567" w:hanging="567"/>
        <w:rPr>
          <w:b/>
        </w:rPr>
      </w:pPr>
    </w:p>
    <w:p w:rsidR="005624E3" w:rsidRPr="00921ED0" w:rsidRDefault="005624E3" w:rsidP="005624E3">
      <w:pPr>
        <w:tabs>
          <w:tab w:val="left" w:pos="567"/>
        </w:tabs>
        <w:ind w:left="567" w:hanging="567"/>
        <w:rPr>
          <w:b/>
        </w:rPr>
      </w:pPr>
      <w:r w:rsidRPr="00921ED0">
        <w:rPr>
          <w:b/>
        </w:rPr>
        <w:t>D.</w:t>
      </w:r>
      <w:r w:rsidRPr="00921ED0">
        <w:tab/>
      </w:r>
      <w:r w:rsidRPr="00921ED0">
        <w:rPr>
          <w:b/>
        </w:rPr>
        <w:t>Mérési feltételek – környezet</w:t>
      </w:r>
    </w:p>
    <w:p w:rsidR="005624E3" w:rsidRPr="00921ED0" w:rsidRDefault="005624E3" w:rsidP="005624E3">
      <w:pPr>
        <w:tabs>
          <w:tab w:val="left" w:pos="567"/>
          <w:tab w:val="left" w:pos="709"/>
          <w:tab w:val="left" w:leader="dot" w:pos="6663"/>
        </w:tabs>
        <w:spacing w:before="120"/>
        <w:ind w:left="567" w:hanging="567"/>
        <w:rPr>
          <w:rFonts w:cs="Arial"/>
          <w:szCs w:val="20"/>
        </w:rPr>
      </w:pPr>
      <w:r w:rsidRPr="00921ED0">
        <w:t>1.</w:t>
      </w:r>
      <w:r w:rsidRPr="00921ED0">
        <w:tab/>
        <w:t xml:space="preserve">Mérési körzet: </w:t>
      </w:r>
      <w:r w:rsidRPr="00921ED0">
        <w:tab/>
        <w:t xml:space="preserve"> Folyásiránnyal szemben/folyásirányban </w:t>
      </w:r>
      <w:r w:rsidRPr="00921ED0">
        <w:rPr>
          <w:vertAlign w:val="superscript"/>
        </w:rPr>
        <w:footnoteReference w:id="82"/>
      </w:r>
    </w:p>
    <w:p w:rsidR="005624E3" w:rsidRPr="00921ED0" w:rsidRDefault="005624E3" w:rsidP="005624E3">
      <w:pPr>
        <w:tabs>
          <w:tab w:val="left" w:pos="567"/>
          <w:tab w:val="left" w:pos="709"/>
          <w:tab w:val="left" w:leader="dot" w:pos="3686"/>
          <w:tab w:val="left" w:pos="4111"/>
          <w:tab w:val="left" w:leader="dot" w:pos="7088"/>
          <w:tab w:val="left" w:pos="7230"/>
          <w:tab w:val="left" w:leader="dot" w:pos="8505"/>
        </w:tabs>
        <w:spacing w:before="120"/>
        <w:ind w:left="567" w:hanging="567"/>
        <w:rPr>
          <w:rFonts w:cs="Arial"/>
          <w:szCs w:val="20"/>
        </w:rPr>
      </w:pPr>
      <w:r w:rsidRPr="00921ED0">
        <w:t>2.</w:t>
      </w:r>
      <w:r w:rsidRPr="00921ED0">
        <w:tab/>
        <w:t xml:space="preserve">Vízmélység: </w:t>
      </w:r>
      <w:r w:rsidRPr="00921ED0">
        <w:tab/>
        <w:t xml:space="preserve"> m </w:t>
      </w:r>
      <w:r w:rsidRPr="00921ED0">
        <w:tab/>
        <w:t xml:space="preserve">(aktuális vízszint </w:t>
      </w:r>
      <w:r w:rsidRPr="00921ED0">
        <w:tab/>
      </w:r>
      <w:r w:rsidRPr="00921ED0">
        <w:tab/>
        <w:t xml:space="preserve">= </w:t>
      </w:r>
      <w:r w:rsidRPr="00921ED0">
        <w:tab/>
        <w:t xml:space="preserve"> m)</w:t>
      </w:r>
    </w:p>
    <w:p w:rsidR="005624E3" w:rsidRPr="00921ED0" w:rsidRDefault="005624E3" w:rsidP="005624E3">
      <w:pPr>
        <w:widowControl w:val="0"/>
        <w:tabs>
          <w:tab w:val="left" w:pos="567"/>
          <w:tab w:val="left" w:pos="709"/>
          <w:tab w:val="left" w:leader="dot" w:pos="4678"/>
          <w:tab w:val="left" w:pos="4820"/>
          <w:tab w:val="left" w:leader="dot" w:pos="6521"/>
          <w:tab w:val="left" w:pos="6663"/>
          <w:tab w:val="left" w:pos="6946"/>
          <w:tab w:val="left" w:leader="dot" w:pos="8647"/>
        </w:tabs>
        <w:spacing w:before="120"/>
        <w:ind w:left="567" w:hanging="567"/>
        <w:rPr>
          <w:rFonts w:cs="Arial"/>
          <w:snapToGrid w:val="0"/>
          <w:szCs w:val="20"/>
        </w:rPr>
      </w:pPr>
      <w:r w:rsidRPr="00921ED0">
        <w:t>3.</w:t>
      </w:r>
      <w:r w:rsidRPr="00921ED0">
        <w:tab/>
        <w:t>Időjárás:</w:t>
      </w:r>
      <w:r w:rsidRPr="00921ED0">
        <w:tab/>
      </w:r>
      <w:r w:rsidRPr="00921ED0">
        <w:tab/>
        <w:t>Hőmérséklet:</w:t>
      </w:r>
      <w:r w:rsidRPr="00921ED0">
        <w:tab/>
        <w:t>°C</w:t>
      </w:r>
      <w:r w:rsidRPr="00921ED0">
        <w:tab/>
        <w:t>Szélerő:</w:t>
      </w:r>
      <w:r w:rsidRPr="00921ED0">
        <w:tab/>
        <w:t xml:space="preserve"> BF</w:t>
      </w:r>
    </w:p>
    <w:p w:rsidR="005624E3" w:rsidRPr="00921ED0" w:rsidRDefault="005624E3" w:rsidP="005624E3">
      <w:pPr>
        <w:tabs>
          <w:tab w:val="left" w:pos="567"/>
          <w:tab w:val="left" w:pos="709"/>
          <w:tab w:val="left" w:leader="dot" w:pos="9072"/>
        </w:tabs>
        <w:spacing w:before="120"/>
        <w:ind w:left="567" w:hanging="567"/>
        <w:rPr>
          <w:rFonts w:cs="Arial"/>
          <w:szCs w:val="20"/>
        </w:rPr>
      </w:pPr>
      <w:r w:rsidRPr="00921ED0">
        <w:t>4.</w:t>
      </w:r>
      <w:r w:rsidRPr="00921ED0">
        <w:tab/>
        <w:t>Idegen zajforrás: igen/nem</w:t>
      </w:r>
      <w:r w:rsidRPr="00921ED0">
        <w:rPr>
          <w:vertAlign w:val="superscript"/>
        </w:rPr>
        <w:t>*)</w:t>
      </w:r>
      <w:r w:rsidRPr="00921ED0">
        <w:t xml:space="preserve">, ha igen, részletezze: </w:t>
      </w:r>
      <w:r w:rsidRPr="00921ED0">
        <w:tab/>
      </w:r>
    </w:p>
    <w:p w:rsidR="005624E3" w:rsidRPr="00921ED0" w:rsidRDefault="005624E3" w:rsidP="005624E3">
      <w:pPr>
        <w:tabs>
          <w:tab w:val="left" w:pos="567"/>
          <w:tab w:val="left" w:pos="709"/>
          <w:tab w:val="left" w:pos="1418"/>
          <w:tab w:val="left" w:leader="dot" w:pos="9072"/>
        </w:tabs>
        <w:spacing w:before="120"/>
        <w:ind w:left="567" w:hanging="567"/>
        <w:rPr>
          <w:rFonts w:cs="Arial"/>
          <w:szCs w:val="20"/>
        </w:rPr>
      </w:pPr>
      <w:r w:rsidRPr="00921ED0">
        <w:t>5.</w:t>
      </w:r>
      <w:r w:rsidRPr="00921ED0">
        <w:tab/>
        <w:t xml:space="preserve">Megjegyzések: </w:t>
      </w:r>
      <w:r w:rsidRPr="00921ED0">
        <w:tab/>
      </w:r>
    </w:p>
    <w:p w:rsidR="005624E3" w:rsidRPr="00921ED0" w:rsidRDefault="005624E3" w:rsidP="005624E3">
      <w:pPr>
        <w:tabs>
          <w:tab w:val="left" w:pos="567"/>
          <w:tab w:val="left" w:leader="dot" w:pos="9072"/>
        </w:tabs>
        <w:spacing w:before="120"/>
        <w:ind w:left="567"/>
        <w:rPr>
          <w:rFonts w:cs="Arial"/>
          <w:szCs w:val="20"/>
        </w:rPr>
      </w:pPr>
      <w:r w:rsidRPr="00921ED0">
        <w:tab/>
      </w:r>
    </w:p>
    <w:p w:rsidR="005624E3" w:rsidRPr="00921ED0" w:rsidRDefault="005624E3" w:rsidP="005624E3">
      <w:pPr>
        <w:tabs>
          <w:tab w:val="left" w:pos="567"/>
          <w:tab w:val="left" w:leader="dot" w:pos="9072"/>
        </w:tabs>
        <w:spacing w:before="120"/>
        <w:ind w:left="567"/>
        <w:rPr>
          <w:rFonts w:cs="Arial"/>
          <w:szCs w:val="20"/>
        </w:rPr>
      </w:pPr>
      <w:r w:rsidRPr="00921ED0">
        <w:tab/>
      </w:r>
    </w:p>
    <w:p w:rsidR="005624E3" w:rsidRPr="00921ED0" w:rsidRDefault="005624E3" w:rsidP="005624E3">
      <w:pPr>
        <w:tabs>
          <w:tab w:val="left" w:pos="567"/>
        </w:tabs>
        <w:ind w:left="567" w:hanging="567"/>
        <w:rPr>
          <w:b/>
        </w:rPr>
      </w:pPr>
    </w:p>
    <w:p w:rsidR="005624E3" w:rsidRPr="00921ED0" w:rsidRDefault="005624E3" w:rsidP="005624E3">
      <w:pPr>
        <w:tabs>
          <w:tab w:val="left" w:pos="567"/>
        </w:tabs>
        <w:ind w:left="567" w:hanging="567"/>
        <w:rPr>
          <w:b/>
        </w:rPr>
      </w:pPr>
      <w:r w:rsidRPr="00921ED0">
        <w:rPr>
          <w:b/>
        </w:rPr>
        <w:t>E.</w:t>
      </w:r>
      <w:r w:rsidRPr="00921ED0">
        <w:tab/>
      </w:r>
      <w:r w:rsidRPr="00921ED0">
        <w:rPr>
          <w:b/>
        </w:rPr>
        <w:t>A mérési eredmények feljegyzése</w:t>
      </w:r>
    </w:p>
    <w:p w:rsidR="005624E3" w:rsidRPr="00921ED0" w:rsidRDefault="005624E3" w:rsidP="005624E3">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rPr>
      </w:pPr>
      <w:r w:rsidRPr="00921ED0">
        <w:t>1.</w:t>
      </w:r>
      <w:r w:rsidRPr="00921ED0">
        <w:tab/>
        <w:t xml:space="preserve">A méréseket elvégezte: </w:t>
      </w:r>
      <w:r w:rsidRPr="00921ED0">
        <w:tab/>
      </w:r>
    </w:p>
    <w:p w:rsidR="005624E3" w:rsidRPr="00921ED0" w:rsidRDefault="005624E3" w:rsidP="005624E3">
      <w:pPr>
        <w:tabs>
          <w:tab w:val="left" w:pos="567"/>
          <w:tab w:val="left" w:pos="709"/>
          <w:tab w:val="left" w:leader="dot" w:pos="2268"/>
        </w:tabs>
        <w:spacing w:before="120"/>
        <w:ind w:left="567" w:hanging="567"/>
        <w:rPr>
          <w:rFonts w:cs="Arial"/>
          <w:szCs w:val="20"/>
        </w:rPr>
      </w:pPr>
      <w:r w:rsidRPr="00921ED0">
        <w:t>2.</w:t>
      </w:r>
      <w:r w:rsidRPr="00921ED0">
        <w:tab/>
        <w:t xml:space="preserve">Dátum: </w:t>
      </w:r>
      <w:r w:rsidRPr="00921ED0">
        <w:tab/>
      </w:r>
    </w:p>
    <w:p w:rsidR="005624E3" w:rsidRPr="00921ED0" w:rsidRDefault="005624E3" w:rsidP="005624E3">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rPr>
      </w:pPr>
      <w:r w:rsidRPr="00921ED0">
        <w:t>3.</w:t>
      </w:r>
      <w:r w:rsidRPr="00921ED0">
        <w:tab/>
        <w:t xml:space="preserve">Megjegyzések: </w:t>
      </w:r>
      <w:r w:rsidRPr="00921ED0">
        <w:tab/>
      </w:r>
    </w:p>
    <w:p w:rsidR="005624E3" w:rsidRPr="00921ED0" w:rsidRDefault="005624E3" w:rsidP="005624E3">
      <w:pPr>
        <w:tabs>
          <w:tab w:val="left" w:pos="567"/>
          <w:tab w:val="left" w:leader="dot" w:pos="9072"/>
        </w:tabs>
        <w:spacing w:before="120"/>
        <w:ind w:left="567"/>
        <w:rPr>
          <w:rFonts w:cs="Arial"/>
          <w:szCs w:val="20"/>
        </w:rPr>
      </w:pPr>
      <w:r w:rsidRPr="00921ED0">
        <w:tab/>
      </w:r>
    </w:p>
    <w:p w:rsidR="005624E3" w:rsidRPr="00921ED0" w:rsidRDefault="005624E3" w:rsidP="005624E3">
      <w:pPr>
        <w:tabs>
          <w:tab w:val="left" w:pos="567"/>
          <w:tab w:val="left" w:leader="dot" w:pos="9072"/>
        </w:tabs>
        <w:spacing w:before="120"/>
        <w:ind w:left="567"/>
        <w:rPr>
          <w:rFonts w:cs="Arial"/>
          <w:szCs w:val="20"/>
        </w:rPr>
      </w:pPr>
      <w:r w:rsidRPr="00921ED0">
        <w:tab/>
      </w:r>
    </w:p>
    <w:p w:rsidR="005624E3" w:rsidRPr="00921ED0" w:rsidRDefault="005624E3" w:rsidP="005624E3">
      <w:pPr>
        <w:tabs>
          <w:tab w:val="left" w:pos="567"/>
          <w:tab w:val="left" w:pos="709"/>
          <w:tab w:val="left" w:pos="1418"/>
          <w:tab w:val="left" w:leader="dot" w:pos="4111"/>
        </w:tabs>
        <w:overflowPunct w:val="0"/>
        <w:adjustRightInd w:val="0"/>
        <w:spacing w:before="120"/>
        <w:ind w:left="567" w:hanging="567"/>
        <w:textAlignment w:val="baseline"/>
        <w:rPr>
          <w:rFonts w:cs="Arial"/>
          <w:snapToGrid w:val="0"/>
          <w:szCs w:val="20"/>
        </w:rPr>
      </w:pPr>
      <w:r w:rsidRPr="00921ED0">
        <w:t>4.</w:t>
      </w:r>
      <w:r w:rsidRPr="00921ED0">
        <w:tab/>
        <w:t xml:space="preserve">Aláírás: </w:t>
      </w:r>
      <w:r w:rsidRPr="00921ED0">
        <w:tab/>
      </w:r>
    </w:p>
    <w:p w:rsidR="005624E3" w:rsidRPr="00921ED0" w:rsidRDefault="005624E3" w:rsidP="005624E3">
      <w:pPr>
        <w:tabs>
          <w:tab w:val="left" w:pos="567"/>
        </w:tabs>
        <w:spacing w:before="120"/>
        <w:ind w:left="567" w:hanging="567"/>
        <w:rPr>
          <w:rFonts w:cs="Arial"/>
          <w:szCs w:val="20"/>
        </w:rPr>
      </w:pPr>
    </w:p>
    <w:p w:rsidR="005624E3" w:rsidRPr="00921ED0" w:rsidRDefault="005624E3" w:rsidP="005624E3">
      <w:pPr>
        <w:tabs>
          <w:tab w:val="left" w:pos="567"/>
        </w:tabs>
        <w:spacing w:before="60"/>
        <w:ind w:left="567" w:hanging="567"/>
        <w:rPr>
          <w:rFonts w:cs="Arial"/>
          <w:szCs w:val="20"/>
        </w:rPr>
      </w:pPr>
      <w:r w:rsidRPr="00921ED0">
        <w:br w:type="page"/>
      </w:r>
      <w:r w:rsidRPr="00921ED0">
        <w:rPr>
          <w:b/>
        </w:rPr>
        <w:t>F.1</w:t>
      </w:r>
      <w:r w:rsidRPr="00921ED0">
        <w:tab/>
      </w:r>
      <w:r w:rsidRPr="00921ED0">
        <w:rPr>
          <w:b/>
        </w:rPr>
        <w:t>Mérési eredmények</w:t>
      </w:r>
    </w:p>
    <w:p w:rsidR="005624E3" w:rsidRPr="00921ED0" w:rsidRDefault="005624E3" w:rsidP="005624E3">
      <w:pPr>
        <w:tabs>
          <w:tab w:val="left" w:pos="567"/>
          <w:tab w:val="left" w:pos="1418"/>
        </w:tabs>
        <w:spacing w:before="60"/>
        <w:ind w:left="567"/>
        <w:rPr>
          <w:rFonts w:cs="Arial"/>
          <w:b/>
          <w:bCs/>
          <w:szCs w:val="20"/>
        </w:rPr>
      </w:pPr>
      <w:r w:rsidRPr="00921ED0">
        <w:rPr>
          <w:b/>
        </w:rPr>
        <w:t>Zajmérések a vízi jármű fedélzetén</w:t>
      </w:r>
    </w:p>
    <w:p w:rsidR="005624E3" w:rsidRPr="00921ED0" w:rsidRDefault="005624E3" w:rsidP="005624E3">
      <w:pPr>
        <w:tabs>
          <w:tab w:val="left" w:pos="567"/>
          <w:tab w:val="left" w:pos="1418"/>
        </w:tabs>
        <w:spacing w:before="60"/>
        <w:ind w:left="567"/>
        <w:rPr>
          <w:rFonts w:cs="Arial"/>
          <w:b/>
          <w:bCs/>
          <w:szCs w:val="20"/>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7"/>
        <w:gridCol w:w="2438"/>
        <w:gridCol w:w="706"/>
        <w:gridCol w:w="630"/>
        <w:gridCol w:w="708"/>
        <w:gridCol w:w="709"/>
        <w:gridCol w:w="680"/>
        <w:gridCol w:w="2211"/>
      </w:tblGrid>
      <w:tr w:rsidR="005624E3" w:rsidRPr="00921ED0" w:rsidTr="00101A80">
        <w:tc>
          <w:tcPr>
            <w:tcW w:w="397" w:type="dxa"/>
            <w:vMerge w:val="restart"/>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0"/>
              </w:rPr>
              <w:t>Sor-szám</w:t>
            </w:r>
          </w:p>
        </w:tc>
        <w:tc>
          <w:tcPr>
            <w:tcW w:w="2438" w:type="dxa"/>
            <w:vMerge w:val="restart"/>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Mérési pont</w:t>
            </w:r>
          </w:p>
        </w:tc>
        <w:tc>
          <w:tcPr>
            <w:tcW w:w="1336" w:type="dxa"/>
            <w:gridSpan w:val="2"/>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Ajtók</w:t>
            </w:r>
          </w:p>
        </w:tc>
        <w:tc>
          <w:tcPr>
            <w:tcW w:w="1417" w:type="dxa"/>
            <w:gridSpan w:val="2"/>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Ablakok</w:t>
            </w:r>
          </w:p>
        </w:tc>
        <w:tc>
          <w:tcPr>
            <w:tcW w:w="680" w:type="dxa"/>
            <w:vMerge w:val="restart"/>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Mért értékek dB(A)-ban</w:t>
            </w:r>
          </w:p>
        </w:tc>
        <w:tc>
          <w:tcPr>
            <w:tcW w:w="2211" w:type="dxa"/>
            <w:vMerge w:val="restart"/>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Megfigyelések</w:t>
            </w:r>
          </w:p>
        </w:tc>
      </w:tr>
      <w:tr w:rsidR="005624E3" w:rsidRPr="00921ED0" w:rsidTr="00101A80">
        <w:trPr>
          <w:trHeight w:val="573"/>
        </w:trPr>
        <w:tc>
          <w:tcPr>
            <w:tcW w:w="397" w:type="dxa"/>
            <w:vMerge/>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2438" w:type="dxa"/>
            <w:vMerge/>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nyitva</w:t>
            </w:r>
          </w:p>
        </w:tc>
        <w:tc>
          <w:tcPr>
            <w:tcW w:w="630"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zárva</w:t>
            </w:r>
          </w:p>
        </w:tc>
        <w:tc>
          <w:tcPr>
            <w:tcW w:w="70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nyitva</w:t>
            </w:r>
          </w:p>
        </w:tc>
        <w:tc>
          <w:tcPr>
            <w:tcW w:w="70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zárva</w:t>
            </w:r>
          </w:p>
        </w:tc>
        <w:tc>
          <w:tcPr>
            <w:tcW w:w="680" w:type="dxa"/>
            <w:vMerge/>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2211" w:type="dxa"/>
            <w:vMerge/>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r>
      <w:tr w:rsidR="005624E3" w:rsidRPr="00921ED0" w:rsidTr="00101A80">
        <w:trPr>
          <w:trHeight w:val="397"/>
        </w:trPr>
        <w:tc>
          <w:tcPr>
            <w:tcW w:w="397"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r>
      <w:tr w:rsidR="005624E3" w:rsidRPr="00921ED0" w:rsidTr="00101A80">
        <w:trPr>
          <w:trHeight w:val="397"/>
        </w:trPr>
        <w:tc>
          <w:tcPr>
            <w:tcW w:w="397"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r>
      <w:tr w:rsidR="005624E3" w:rsidRPr="00921ED0" w:rsidTr="00101A80">
        <w:trPr>
          <w:trHeight w:val="397"/>
        </w:trPr>
        <w:tc>
          <w:tcPr>
            <w:tcW w:w="397"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rPr>
                <w:rFonts w:cs="Arial"/>
                <w:sz w:val="16"/>
                <w:szCs w:val="16"/>
              </w:rPr>
            </w:pPr>
          </w:p>
        </w:tc>
      </w:tr>
    </w:tbl>
    <w:p w:rsidR="005624E3" w:rsidRPr="00921ED0" w:rsidRDefault="005624E3" w:rsidP="005624E3">
      <w:pPr>
        <w:spacing w:before="60"/>
        <w:ind w:left="709"/>
        <w:rPr>
          <w:rFonts w:cs="Arial"/>
          <w:b/>
          <w:bCs/>
        </w:rPr>
      </w:pPr>
    </w:p>
    <w:p w:rsidR="005624E3" w:rsidRPr="00921ED0" w:rsidRDefault="005624E3" w:rsidP="005624E3">
      <w:pPr>
        <w:spacing w:before="60"/>
        <w:ind w:left="709"/>
        <w:rPr>
          <w:rFonts w:cs="Arial"/>
          <w:b/>
          <w:bCs/>
          <w:szCs w:val="20"/>
        </w:rPr>
      </w:pPr>
    </w:p>
    <w:p w:rsidR="005624E3" w:rsidRPr="00921ED0" w:rsidRDefault="005624E3" w:rsidP="005624E3">
      <w:pPr>
        <w:tabs>
          <w:tab w:val="left" w:pos="567"/>
        </w:tabs>
        <w:spacing w:before="60"/>
        <w:ind w:left="567" w:hanging="567"/>
        <w:rPr>
          <w:rFonts w:cs="Arial"/>
          <w:b/>
          <w:bCs/>
          <w:szCs w:val="20"/>
        </w:rPr>
      </w:pPr>
      <w:r w:rsidRPr="00921ED0">
        <w:rPr>
          <w:b/>
        </w:rPr>
        <w:t>F.2</w:t>
      </w:r>
      <w:r w:rsidRPr="00921ED0">
        <w:tab/>
      </w:r>
      <w:r w:rsidRPr="00921ED0">
        <w:rPr>
          <w:b/>
        </w:rPr>
        <w:t>Mérési eredmények</w:t>
      </w:r>
    </w:p>
    <w:p w:rsidR="005624E3" w:rsidRPr="00921ED0" w:rsidRDefault="005624E3" w:rsidP="005624E3">
      <w:pPr>
        <w:tabs>
          <w:tab w:val="left" w:pos="567"/>
          <w:tab w:val="left" w:pos="1418"/>
        </w:tabs>
        <w:spacing w:before="60"/>
        <w:ind w:left="567"/>
        <w:rPr>
          <w:rFonts w:cs="Arial"/>
          <w:b/>
          <w:bCs/>
          <w:szCs w:val="20"/>
        </w:rPr>
      </w:pPr>
      <w:r w:rsidRPr="00921ED0">
        <w:rPr>
          <w:b/>
        </w:rPr>
        <w:t>A vízi jármű által kibocsátott légzaj mérése</w:t>
      </w:r>
    </w:p>
    <w:p w:rsidR="005624E3" w:rsidRPr="00921ED0" w:rsidRDefault="005624E3" w:rsidP="005624E3">
      <w:pPr>
        <w:tabs>
          <w:tab w:val="left" w:pos="567"/>
          <w:tab w:val="left" w:pos="1418"/>
        </w:tabs>
        <w:spacing w:before="60"/>
        <w:ind w:left="567"/>
        <w:rPr>
          <w:rFonts w:cs="Arial"/>
          <w:b/>
          <w:bCs/>
          <w:szCs w:val="20"/>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3"/>
        <w:gridCol w:w="3123"/>
        <w:gridCol w:w="1134"/>
        <w:gridCol w:w="3742"/>
      </w:tblGrid>
      <w:tr w:rsidR="005624E3" w:rsidRPr="00921ED0" w:rsidTr="00101A80">
        <w:trPr>
          <w:trHeight w:val="425"/>
        </w:trPr>
        <w:tc>
          <w:tcPr>
            <w:tcW w:w="563" w:type="dxa"/>
            <w:vMerge w:val="restart"/>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Sor-szám</w:t>
            </w:r>
          </w:p>
        </w:tc>
        <w:tc>
          <w:tcPr>
            <w:tcW w:w="3123" w:type="dxa"/>
            <w:vMerge w:val="restart"/>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Mérési pont</w:t>
            </w:r>
          </w:p>
        </w:tc>
        <w:tc>
          <w:tcPr>
            <w:tcW w:w="1134" w:type="dxa"/>
            <w:vMerge w:val="restart"/>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Mért értékek dB(A)-ban</w:t>
            </w:r>
          </w:p>
        </w:tc>
        <w:tc>
          <w:tcPr>
            <w:tcW w:w="3742" w:type="dxa"/>
            <w:vMerge w:val="restart"/>
            <w:tcBorders>
              <w:top w:val="single" w:sz="4" w:space="0" w:color="auto"/>
              <w:left w:val="single" w:sz="4" w:space="0" w:color="auto"/>
              <w:bottom w:val="single" w:sz="4" w:space="0" w:color="auto"/>
              <w:right w:val="single" w:sz="4" w:space="0" w:color="auto"/>
            </w:tcBorders>
          </w:tcPr>
          <w:p w:rsidR="005624E3" w:rsidRPr="00921ED0" w:rsidRDefault="005624E3" w:rsidP="00101A80">
            <w:pPr>
              <w:spacing w:before="60"/>
              <w:jc w:val="center"/>
              <w:rPr>
                <w:rFonts w:cs="Arial"/>
                <w:sz w:val="16"/>
                <w:szCs w:val="16"/>
              </w:rPr>
            </w:pPr>
            <w:r w:rsidRPr="00921ED0">
              <w:rPr>
                <w:sz w:val="16"/>
              </w:rPr>
              <w:t>Megfigyelések</w:t>
            </w:r>
          </w:p>
        </w:tc>
      </w:tr>
      <w:tr w:rsidR="005624E3" w:rsidRPr="00921ED0" w:rsidTr="00101A80">
        <w:trPr>
          <w:trHeight w:val="485"/>
        </w:trPr>
        <w:tc>
          <w:tcPr>
            <w:tcW w:w="563" w:type="dxa"/>
            <w:vMerge/>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c>
          <w:tcPr>
            <w:tcW w:w="3123" w:type="dxa"/>
            <w:vMerge/>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c>
          <w:tcPr>
            <w:tcW w:w="1134" w:type="dxa"/>
            <w:vMerge/>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jc w:val="center"/>
              <w:rPr>
                <w:rFonts w:cs="Arial"/>
                <w:sz w:val="16"/>
                <w:szCs w:val="16"/>
              </w:rPr>
            </w:pPr>
          </w:p>
        </w:tc>
        <w:tc>
          <w:tcPr>
            <w:tcW w:w="3742" w:type="dxa"/>
            <w:vMerge/>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r>
      <w:tr w:rsidR="005624E3" w:rsidRPr="00921ED0" w:rsidTr="00101A80">
        <w:trPr>
          <w:trHeight w:val="397"/>
        </w:trPr>
        <w:tc>
          <w:tcPr>
            <w:tcW w:w="563"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jc w:val="center"/>
              <w:rPr>
                <w:rFonts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r>
      <w:tr w:rsidR="005624E3" w:rsidRPr="00921ED0" w:rsidTr="00101A80">
        <w:trPr>
          <w:trHeight w:val="397"/>
        </w:trPr>
        <w:tc>
          <w:tcPr>
            <w:tcW w:w="563"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jc w:val="center"/>
              <w:rPr>
                <w:rFonts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r>
      <w:tr w:rsidR="005624E3" w:rsidRPr="00921ED0" w:rsidTr="00101A80">
        <w:trPr>
          <w:trHeight w:val="397"/>
        </w:trPr>
        <w:tc>
          <w:tcPr>
            <w:tcW w:w="563"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jc w:val="center"/>
              <w:rPr>
                <w:rFonts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5624E3" w:rsidRPr="00921ED0" w:rsidRDefault="005624E3" w:rsidP="00101A80">
            <w:pPr>
              <w:tabs>
                <w:tab w:val="left" w:pos="1418"/>
              </w:tabs>
              <w:spacing w:before="60"/>
              <w:rPr>
                <w:rFonts w:cs="Arial"/>
                <w:sz w:val="16"/>
                <w:szCs w:val="16"/>
              </w:rPr>
            </w:pPr>
          </w:p>
        </w:tc>
      </w:tr>
    </w:tbl>
    <w:p w:rsidR="005624E3" w:rsidRPr="00921ED0" w:rsidRDefault="005624E3" w:rsidP="005624E3">
      <w:pPr>
        <w:tabs>
          <w:tab w:val="left" w:pos="1418"/>
        </w:tabs>
        <w:spacing w:before="60"/>
        <w:rPr>
          <w:rFonts w:cs="Arial"/>
        </w:rPr>
      </w:pPr>
    </w:p>
    <w:p w:rsidR="005624E3" w:rsidRPr="00921ED0" w:rsidRDefault="005624E3" w:rsidP="005624E3">
      <w:pPr>
        <w:tabs>
          <w:tab w:val="left" w:pos="284"/>
        </w:tabs>
        <w:rPr>
          <w:rFonts w:cs="Arial"/>
        </w:rPr>
      </w:pPr>
    </w:p>
    <w:p w:rsidR="005624E3" w:rsidRPr="00921ED0" w:rsidRDefault="005624E3" w:rsidP="005624E3">
      <w:pPr>
        <w:tabs>
          <w:tab w:val="left" w:pos="284"/>
        </w:tabs>
        <w:rPr>
          <w:rFonts w:cs="Arial"/>
        </w:rPr>
        <w:sectPr w:rsidR="005624E3" w:rsidRPr="00921ED0" w:rsidSect="00D45887">
          <w:headerReference w:type="default" r:id="rId142"/>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pPr>
      <w:bookmarkStart w:id="747" w:name="_Toc491854355"/>
      <w:bookmarkStart w:id="748" w:name="_Toc535854136"/>
      <w:r w:rsidRPr="00921ED0">
        <w:t>ESI-II-6</w:t>
      </w:r>
      <w:r w:rsidRPr="00921ED0">
        <w:br/>
        <w:t>A korlátozott látótér ellenőrzésére szolgáló megfelelő segédeszközök</w:t>
      </w:r>
      <w:bookmarkEnd w:id="747"/>
      <w:bookmarkEnd w:id="748"/>
    </w:p>
    <w:p w:rsidR="005624E3" w:rsidRPr="00921ED0" w:rsidRDefault="005624E3" w:rsidP="005624E3">
      <w:pPr>
        <w:pStyle w:val="ESch"/>
      </w:pPr>
    </w:p>
    <w:p w:rsidR="005624E3" w:rsidRPr="00921ED0" w:rsidRDefault="005624E3" w:rsidP="005624E3">
      <w:pPr>
        <w:tabs>
          <w:tab w:val="center" w:pos="4513"/>
        </w:tabs>
        <w:overflowPunct w:val="0"/>
        <w:adjustRightInd w:val="0"/>
        <w:jc w:val="center"/>
        <w:textAlignment w:val="baseline"/>
        <w:rPr>
          <w:b/>
          <w:szCs w:val="20"/>
        </w:rPr>
      </w:pPr>
      <w:r w:rsidRPr="00921ED0">
        <w:rPr>
          <w:b/>
        </w:rPr>
        <w:t>(7.02. cikk)</w:t>
      </w:r>
    </w:p>
    <w:p w:rsidR="005624E3" w:rsidRPr="00921ED0" w:rsidRDefault="005624E3" w:rsidP="005624E3">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rPr>
      </w:pPr>
    </w:p>
    <w:p w:rsidR="005624E3" w:rsidRPr="00921ED0" w:rsidRDefault="005624E3" w:rsidP="005624E3">
      <w:pPr>
        <w:widowControl w:val="0"/>
        <w:spacing w:line="240" w:lineRule="atLeast"/>
        <w:ind w:left="567" w:hanging="567"/>
        <w:rPr>
          <w:rFonts w:cs="Arial"/>
          <w:b/>
          <w:szCs w:val="20"/>
        </w:rPr>
      </w:pPr>
      <w:r w:rsidRPr="00921ED0">
        <w:rPr>
          <w:b/>
        </w:rPr>
        <w:t>1.</w:t>
      </w:r>
      <w:r w:rsidRPr="00921ED0">
        <w:tab/>
      </w:r>
      <w:r w:rsidRPr="00921ED0">
        <w:rPr>
          <w:b/>
        </w:rPr>
        <w:t>Bevezetés</w:t>
      </w:r>
    </w:p>
    <w:p w:rsidR="005624E3" w:rsidRPr="00921ED0" w:rsidRDefault="005624E3" w:rsidP="005624E3">
      <w:pPr>
        <w:widowControl w:val="0"/>
        <w:spacing w:line="240" w:lineRule="atLeast"/>
        <w:rPr>
          <w:rFonts w:cs="Arial"/>
          <w:szCs w:val="20"/>
        </w:rPr>
      </w:pPr>
    </w:p>
    <w:p w:rsidR="005624E3" w:rsidRPr="00921ED0" w:rsidRDefault="005624E3" w:rsidP="005624E3">
      <w:pPr>
        <w:widowControl w:val="0"/>
        <w:spacing w:line="240" w:lineRule="atLeast"/>
        <w:ind w:left="567"/>
        <w:rPr>
          <w:rFonts w:cs="Arial"/>
          <w:szCs w:val="20"/>
        </w:rPr>
      </w:pPr>
      <w:r w:rsidRPr="00921ED0">
        <w:t>Számos okból, akár a hajó szerkezete, akár a rakomány elhelyezkedése következtében a kormányállásból való körkörös kilátás kisebb-nagyobb mértékben elkerülhetetlenül korlátozódik. Ez a korlátozottság mind a vízszintes látótérszektorokban (a hajó elülső tengelyéhez képest 0 és 360 ° közötti vízszintes irányszögben), mind pedig a függőleges látótérszektorokban (a kormányos szemmagasságában lévő vízszintes síkhoz képest –90 és +90° közötti szögmagasságban) érvényesül.</w:t>
      </w:r>
    </w:p>
    <w:p w:rsidR="005624E3" w:rsidRPr="00921ED0" w:rsidRDefault="005624E3" w:rsidP="005624E3">
      <w:pPr>
        <w:widowControl w:val="0"/>
        <w:spacing w:line="240" w:lineRule="atLeast"/>
        <w:ind w:left="567"/>
        <w:rPr>
          <w:rFonts w:cs="Arial"/>
          <w:szCs w:val="20"/>
        </w:rPr>
      </w:pPr>
      <w:r w:rsidRPr="00921ED0">
        <w:t>Attól függően, hogy behajózás vagy kihajózás, kikötés vagy kikötőből való elindulás, manőverezés vagy menetben való haladás történik-e, a kormányos számára különböző látótérszektorokban kell szabad kilátást biztosítani. Kikötőből való elindulás előtt például fontos, hogy a kormányos ellenőrizhesse, maradt-e bárki az oldalfedélzeten, vagy szabad-e a közvetlenül a far mögötti terület. Menetben lévő hajó esetében az előre haladó hajó gyorsan változó helyzete miatt nagyobb jelentőséggel bír, hogy a hajó előtti terület látható legyen.</w:t>
      </w:r>
    </w:p>
    <w:p w:rsidR="005624E3" w:rsidRPr="00921ED0" w:rsidRDefault="005624E3" w:rsidP="005624E3">
      <w:pPr>
        <w:widowControl w:val="0"/>
        <w:spacing w:line="240" w:lineRule="atLeast"/>
        <w:rPr>
          <w:rFonts w:cs="Arial"/>
          <w:szCs w:val="20"/>
        </w:rPr>
      </w:pPr>
    </w:p>
    <w:p w:rsidR="005624E3" w:rsidRPr="00921ED0" w:rsidRDefault="005624E3" w:rsidP="005624E3">
      <w:pPr>
        <w:widowControl w:val="0"/>
        <w:spacing w:line="240" w:lineRule="atLeast"/>
        <w:ind w:left="567"/>
        <w:rPr>
          <w:rFonts w:cs="Arial"/>
          <w:szCs w:val="20"/>
        </w:rPr>
      </w:pPr>
      <w:r w:rsidRPr="00921ED0">
        <w:t>A közvetlenül nem látható látótérszektorokról technikai segédeszközök nyújthatnak közvetett képet. Bár számos képességük meghaladja az emberi szem képességeit, nem helyettesítik teljes mértékben a közvetlen látást. Ilyen eszközöket szoktak azonban kiegészítésként alkalmazni a közvetlenül is látható látótérszektorok tekintetében.</w:t>
      </w:r>
    </w:p>
    <w:p w:rsidR="005624E3" w:rsidRPr="00921ED0" w:rsidRDefault="005624E3" w:rsidP="005624E3">
      <w:pPr>
        <w:widowControl w:val="0"/>
        <w:spacing w:line="240" w:lineRule="atLeast"/>
        <w:ind w:left="567"/>
        <w:rPr>
          <w:rFonts w:cs="Arial"/>
          <w:szCs w:val="20"/>
        </w:rPr>
      </w:pPr>
    </w:p>
    <w:p w:rsidR="005624E3" w:rsidRPr="00921ED0" w:rsidRDefault="005624E3" w:rsidP="005624E3">
      <w:pPr>
        <w:widowControl w:val="0"/>
        <w:spacing w:line="240" w:lineRule="atLeast"/>
        <w:ind w:left="567"/>
        <w:rPr>
          <w:rFonts w:cs="Arial"/>
          <w:szCs w:val="20"/>
        </w:rPr>
      </w:pPr>
      <w:r w:rsidRPr="00921ED0">
        <w:t>A korlátozott látótérből megszerzendő szükséges információkat illetően különbséget kell tenni a között, hogy az információ pusztán egy tárgy jelenlétére, vizuális jellemzőire (körvonalára, színére) vagy mibenlétére vonatkozik, illetve navigációs szempontból fontos, meghatározni távolságát, irányát és sebességét. Ennek a kérdésnek az eldöntése meghatározza a technikai segédeszközök típusának megválasztását.</w:t>
      </w:r>
    </w:p>
    <w:p w:rsidR="005624E3" w:rsidRPr="00921ED0" w:rsidRDefault="005624E3" w:rsidP="005624E3">
      <w:pPr>
        <w:widowControl w:val="0"/>
        <w:spacing w:line="240" w:lineRule="atLeast"/>
        <w:rPr>
          <w:rFonts w:cs="Arial"/>
          <w:szCs w:val="20"/>
        </w:rPr>
      </w:pPr>
    </w:p>
    <w:p w:rsidR="005624E3" w:rsidRPr="00921ED0" w:rsidRDefault="005624E3" w:rsidP="005624E3">
      <w:pPr>
        <w:widowControl w:val="0"/>
        <w:spacing w:line="240" w:lineRule="atLeast"/>
        <w:ind w:left="567"/>
        <w:rPr>
          <w:rFonts w:cs="Arial"/>
          <w:szCs w:val="20"/>
        </w:rPr>
      </w:pPr>
      <w:r w:rsidRPr="00921ED0">
        <w:t>A periszkópok nem jönnek számításba technikai segédeszközként, mivel hozzájuk képest a videórendszerek beszerzési és telepítési költségei alacsonyabbak, teljesítményük jobb, sokoldalúbbak és beállítási lehetőségeik gazdagabbak.</w:t>
      </w:r>
    </w:p>
    <w:p w:rsidR="005624E3" w:rsidRPr="00921ED0" w:rsidRDefault="005624E3" w:rsidP="005624E3">
      <w:pPr>
        <w:widowControl w:val="0"/>
        <w:spacing w:line="240" w:lineRule="atLeast"/>
        <w:rPr>
          <w:rFonts w:cs="Arial"/>
          <w:szCs w:val="20"/>
        </w:rPr>
      </w:pPr>
    </w:p>
    <w:p w:rsidR="005624E3" w:rsidRPr="00921ED0" w:rsidRDefault="005624E3" w:rsidP="005624E3">
      <w:pPr>
        <w:widowControl w:val="0"/>
        <w:spacing w:line="240" w:lineRule="atLeast"/>
        <w:ind w:left="567" w:hanging="567"/>
        <w:rPr>
          <w:rFonts w:cs="Arial"/>
          <w:b/>
          <w:szCs w:val="20"/>
        </w:rPr>
      </w:pPr>
      <w:r w:rsidRPr="00921ED0">
        <w:rPr>
          <w:b/>
        </w:rPr>
        <w:t>2.</w:t>
      </w:r>
      <w:r w:rsidRPr="00921ED0">
        <w:tab/>
      </w:r>
      <w:r w:rsidRPr="00921ED0">
        <w:rPr>
          <w:b/>
        </w:rPr>
        <w:t>A megfelelő segédeszközök áttekintése</w:t>
      </w:r>
    </w:p>
    <w:p w:rsidR="005624E3" w:rsidRPr="00921ED0" w:rsidRDefault="005624E3" w:rsidP="005624E3">
      <w:pPr>
        <w:widowControl w:val="0"/>
        <w:spacing w:line="240" w:lineRule="atLeast"/>
        <w:rPr>
          <w:rFonts w:cs="Arial"/>
          <w:szCs w:val="20"/>
        </w:rPr>
      </w:pPr>
    </w:p>
    <w:p w:rsidR="005624E3" w:rsidRPr="00921ED0" w:rsidRDefault="005624E3" w:rsidP="005624E3">
      <w:pPr>
        <w:widowControl w:val="0"/>
        <w:spacing w:line="240" w:lineRule="atLeast"/>
        <w:ind w:left="567"/>
        <w:rPr>
          <w:rFonts w:cs="Arial"/>
          <w:szCs w:val="20"/>
        </w:rPr>
      </w:pPr>
      <w:r w:rsidRPr="00921ED0">
        <w:t xml:space="preserve">A következő segédeszközök alapvetően alkalmasak a  korlátozott látótér ellenőrzésére: </w:t>
      </w:r>
    </w:p>
    <w:p w:rsidR="005624E3" w:rsidRPr="00921ED0" w:rsidRDefault="005624E3" w:rsidP="005624E3">
      <w:pPr>
        <w:widowControl w:val="0"/>
        <w:spacing w:before="60" w:line="240" w:lineRule="atLeast"/>
        <w:ind w:left="992"/>
        <w:rPr>
          <w:rFonts w:cs="Arial"/>
          <w:szCs w:val="20"/>
        </w:rPr>
      </w:pPr>
      <w:r w:rsidRPr="00921ED0">
        <w:t>-</w:t>
      </w:r>
      <w:r w:rsidRPr="00921ED0">
        <w:tab/>
        <w:t>tükrök,</w:t>
      </w:r>
    </w:p>
    <w:p w:rsidR="005624E3" w:rsidRPr="00921ED0" w:rsidRDefault="005624E3" w:rsidP="005624E3">
      <w:pPr>
        <w:widowControl w:val="0"/>
        <w:spacing w:before="60" w:line="240" w:lineRule="atLeast"/>
        <w:ind w:left="992"/>
        <w:rPr>
          <w:rFonts w:cs="Arial"/>
          <w:szCs w:val="20"/>
        </w:rPr>
      </w:pPr>
      <w:r w:rsidRPr="00921ED0">
        <w:t>-</w:t>
      </w:r>
      <w:r w:rsidRPr="00921ED0">
        <w:tab/>
        <w:t>videórendszerek és</w:t>
      </w:r>
    </w:p>
    <w:p w:rsidR="005624E3" w:rsidRPr="00921ED0" w:rsidRDefault="005624E3" w:rsidP="005624E3">
      <w:pPr>
        <w:widowControl w:val="0"/>
        <w:spacing w:before="60" w:line="240" w:lineRule="atLeast"/>
        <w:ind w:left="992"/>
        <w:rPr>
          <w:rFonts w:cs="Arial"/>
          <w:szCs w:val="20"/>
        </w:rPr>
      </w:pPr>
      <w:r w:rsidRPr="00921ED0">
        <w:t>-</w:t>
      </w:r>
      <w:r w:rsidRPr="00921ED0">
        <w:tab/>
        <w:t>radarrendszerek.</w:t>
      </w:r>
    </w:p>
    <w:p w:rsidR="005624E3" w:rsidRPr="00921ED0" w:rsidRDefault="005624E3" w:rsidP="005624E3">
      <w:pPr>
        <w:widowControl w:val="0"/>
        <w:spacing w:line="240" w:lineRule="atLeast"/>
        <w:ind w:left="567" w:hanging="27"/>
        <w:rPr>
          <w:rFonts w:cs="Arial"/>
          <w:b/>
          <w:bCs/>
          <w:szCs w:val="20"/>
        </w:rPr>
      </w:pPr>
    </w:p>
    <w:p w:rsidR="005624E3" w:rsidRPr="00921ED0" w:rsidRDefault="005624E3" w:rsidP="005624E3">
      <w:pPr>
        <w:widowControl w:val="0"/>
        <w:spacing w:line="240" w:lineRule="atLeast"/>
        <w:ind w:left="567"/>
        <w:rPr>
          <w:rFonts w:cs="Arial"/>
          <w:szCs w:val="20"/>
        </w:rPr>
      </w:pPr>
      <w:r w:rsidRPr="00921ED0">
        <w:t>Az ezen adminisztratív utasítás 4. részében foglaltaknak megfelelő segédeszközök alkalmasak a korlátozott látótér ellenőrzésére, feltéve, hogy megfelelnek az egyedi használati feltételeknek. Az ellenőrző bizottság csak akkor engedélyez más segédeszközöket, ha úgy véli, hogy azok hasonló biztonsági szintet biztosítanak.</w:t>
      </w:r>
    </w:p>
    <w:p w:rsidR="005624E3" w:rsidRPr="00921ED0" w:rsidRDefault="005624E3" w:rsidP="005624E3">
      <w:pPr>
        <w:widowControl w:val="0"/>
        <w:spacing w:line="240" w:lineRule="atLeast"/>
        <w:ind w:left="567"/>
        <w:rPr>
          <w:rFonts w:cs="Arial"/>
          <w:szCs w:val="20"/>
        </w:rPr>
      </w:pPr>
    </w:p>
    <w:p w:rsidR="005624E3" w:rsidRPr="00921ED0" w:rsidRDefault="005624E3" w:rsidP="005624E3">
      <w:pPr>
        <w:widowControl w:val="0"/>
        <w:spacing w:line="240" w:lineRule="atLeast"/>
        <w:rPr>
          <w:rFonts w:cs="Arial"/>
          <w:b/>
          <w:bCs/>
          <w:szCs w:val="20"/>
        </w:rPr>
      </w:pPr>
    </w:p>
    <w:p w:rsidR="005624E3" w:rsidRPr="00921ED0" w:rsidRDefault="005624E3" w:rsidP="005624E3">
      <w:pPr>
        <w:rPr>
          <w:b/>
          <w:szCs w:val="20"/>
        </w:rPr>
      </w:pPr>
      <w:r w:rsidRPr="00921ED0">
        <w:br w:type="page"/>
      </w:r>
    </w:p>
    <w:p w:rsidR="005624E3" w:rsidRPr="00921ED0" w:rsidRDefault="005624E3" w:rsidP="005624E3">
      <w:pPr>
        <w:widowControl w:val="0"/>
        <w:spacing w:line="250" w:lineRule="atLeast"/>
        <w:ind w:left="567" w:hanging="567"/>
        <w:rPr>
          <w:b/>
          <w:szCs w:val="20"/>
        </w:rPr>
      </w:pPr>
    </w:p>
    <w:p w:rsidR="005624E3" w:rsidRPr="00921ED0" w:rsidRDefault="005624E3" w:rsidP="005624E3">
      <w:pPr>
        <w:widowControl w:val="0"/>
        <w:spacing w:line="250" w:lineRule="atLeast"/>
        <w:ind w:left="567" w:hanging="567"/>
        <w:rPr>
          <w:rFonts w:cs="Arial"/>
          <w:b/>
          <w:bCs/>
          <w:szCs w:val="20"/>
        </w:rPr>
      </w:pPr>
      <w:r w:rsidRPr="00921ED0">
        <w:rPr>
          <w:b/>
        </w:rPr>
        <w:t>3.</w:t>
      </w:r>
      <w:r w:rsidRPr="00921ED0">
        <w:tab/>
      </w:r>
      <w:r w:rsidRPr="00921ED0">
        <w:rPr>
          <w:b/>
        </w:rPr>
        <w:t>A technikai segédeszközök jellemzői</w:t>
      </w:r>
    </w:p>
    <w:p w:rsidR="005624E3" w:rsidRPr="00921ED0" w:rsidRDefault="005624E3" w:rsidP="005624E3">
      <w:pPr>
        <w:widowControl w:val="0"/>
        <w:spacing w:line="250" w:lineRule="atLeast"/>
        <w:ind w:left="567" w:hanging="567"/>
        <w:rPr>
          <w:rFonts w:cs="Arial"/>
          <w:b/>
          <w:bCs/>
          <w:szCs w:val="20"/>
        </w:rPr>
      </w:pPr>
    </w:p>
    <w:p w:rsidR="005624E3" w:rsidRPr="00921ED0" w:rsidRDefault="005624E3" w:rsidP="005624E3">
      <w:pPr>
        <w:widowControl w:val="0"/>
        <w:spacing w:line="250" w:lineRule="atLeast"/>
        <w:ind w:left="567" w:hanging="567"/>
        <w:rPr>
          <w:rFonts w:cs="Arial"/>
          <w:b/>
          <w:bCs/>
          <w:szCs w:val="20"/>
        </w:rPr>
      </w:pPr>
      <w:r w:rsidRPr="00921ED0">
        <w:rPr>
          <w:b/>
        </w:rPr>
        <w:t>3.1.</w:t>
      </w:r>
      <w:r w:rsidRPr="00921ED0">
        <w:tab/>
      </w:r>
      <w:r w:rsidRPr="00921ED0">
        <w:rPr>
          <w:b/>
        </w:rPr>
        <w:t>A tükrök jellemzői</w:t>
      </w:r>
    </w:p>
    <w:p w:rsidR="005624E3" w:rsidRPr="00921ED0" w:rsidRDefault="005624E3" w:rsidP="005624E3">
      <w:pPr>
        <w:widowControl w:val="0"/>
        <w:spacing w:line="250" w:lineRule="atLeast"/>
        <w:rPr>
          <w:rFonts w:cs="Arial"/>
          <w:b/>
          <w:szCs w:val="20"/>
        </w:rPr>
      </w:pPr>
    </w:p>
    <w:p w:rsidR="005624E3" w:rsidRPr="00921ED0" w:rsidRDefault="005624E3" w:rsidP="005624E3">
      <w:pPr>
        <w:widowControl w:val="0"/>
        <w:spacing w:line="250" w:lineRule="atLeast"/>
        <w:ind w:left="567"/>
        <w:rPr>
          <w:rFonts w:cs="Arial"/>
          <w:szCs w:val="20"/>
        </w:rPr>
      </w:pPr>
      <w:r w:rsidRPr="00921ED0">
        <w:t xml:space="preserve">Elvileg a tükör egyszerre érzékelő és kijelző rendszer. A tükör a beeső fényt veri vissza a „beesési szög = visszaverődési szög” törvény szerint, és a kormányos látóterének kitérítése révén biztosítja a kívánt szektor közvetett ellenőrzését. A tükröket főként az oldalfedélzeti területek megfigyeléséhez használják. </w:t>
      </w:r>
    </w:p>
    <w:p w:rsidR="005624E3" w:rsidRPr="00921ED0" w:rsidRDefault="005624E3" w:rsidP="005624E3">
      <w:pPr>
        <w:widowControl w:val="0"/>
        <w:spacing w:line="250" w:lineRule="atLeast"/>
        <w:ind w:left="567"/>
        <w:rPr>
          <w:rFonts w:cs="Arial"/>
          <w:szCs w:val="20"/>
        </w:rPr>
      </w:pPr>
    </w:p>
    <w:p w:rsidR="005624E3" w:rsidRPr="00921ED0" w:rsidRDefault="005624E3" w:rsidP="005624E3">
      <w:pPr>
        <w:widowControl w:val="0"/>
        <w:spacing w:line="250" w:lineRule="atLeast"/>
        <w:ind w:left="567"/>
        <w:rPr>
          <w:rFonts w:cs="Arial"/>
          <w:szCs w:val="20"/>
        </w:rPr>
      </w:pPr>
      <w:r w:rsidRPr="00921ED0">
        <w:t>Síktükör esetében a látótér centrumában lévő szög változatlan marad, míg a konvex tükör esetében ez a szög nagyobb lesz. A tükrök sötétben nem működnek, a napfény közvetlen visszaverése esetén pedig vakíthatnak.</w:t>
      </w:r>
    </w:p>
    <w:p w:rsidR="005624E3" w:rsidRPr="00921ED0" w:rsidRDefault="005624E3" w:rsidP="005624E3">
      <w:pPr>
        <w:widowControl w:val="0"/>
        <w:spacing w:line="250" w:lineRule="atLeast"/>
        <w:ind w:left="567"/>
        <w:rPr>
          <w:rFonts w:cs="Arial"/>
          <w:szCs w:val="20"/>
        </w:rPr>
      </w:pPr>
    </w:p>
    <w:p w:rsidR="005624E3" w:rsidRPr="00921ED0" w:rsidRDefault="005624E3" w:rsidP="005624E3">
      <w:pPr>
        <w:widowControl w:val="0"/>
        <w:spacing w:line="250" w:lineRule="atLeast"/>
        <w:ind w:left="567"/>
        <w:rPr>
          <w:rFonts w:cs="Arial"/>
          <w:szCs w:val="20"/>
        </w:rPr>
      </w:pPr>
      <w:r w:rsidRPr="00921ED0">
        <w:t>A belvízi hajózásban használt tükrök általában olyan, autóbuszokra és nehéz tehergépjárművekre tervezett tömeggyártású termékek, amelyek jellemzőik alapján alkalmasak hajózási célokra.</w:t>
      </w:r>
    </w:p>
    <w:p w:rsidR="005624E3" w:rsidRPr="00921ED0" w:rsidRDefault="005624E3" w:rsidP="005624E3">
      <w:pPr>
        <w:widowControl w:val="0"/>
        <w:spacing w:line="250" w:lineRule="atLeast"/>
        <w:ind w:left="567"/>
        <w:rPr>
          <w:rFonts w:cs="Arial"/>
          <w:szCs w:val="20"/>
        </w:rPr>
      </w:pPr>
      <w:r w:rsidRPr="00921ED0">
        <w:t>Ideális körülmények között (jó minőség, szennyeződésmentesség) a tükör által biztosított kép felbontását csak a megfigyelő személy szemének felbontóképessége korlátozza.</w:t>
      </w:r>
    </w:p>
    <w:p w:rsidR="005624E3" w:rsidRPr="00921ED0" w:rsidRDefault="005624E3" w:rsidP="005624E3">
      <w:pPr>
        <w:widowControl w:val="0"/>
        <w:spacing w:line="250" w:lineRule="atLeast"/>
        <w:rPr>
          <w:rFonts w:cs="Arial"/>
          <w:szCs w:val="20"/>
        </w:rPr>
      </w:pPr>
    </w:p>
    <w:p w:rsidR="005624E3" w:rsidRPr="00921ED0" w:rsidRDefault="005624E3" w:rsidP="005624E3">
      <w:pPr>
        <w:widowControl w:val="0"/>
        <w:tabs>
          <w:tab w:val="left" w:pos="540"/>
        </w:tabs>
        <w:spacing w:line="250" w:lineRule="atLeast"/>
        <w:rPr>
          <w:rFonts w:cs="Arial"/>
          <w:b/>
          <w:szCs w:val="20"/>
        </w:rPr>
      </w:pPr>
      <w:r w:rsidRPr="00921ED0">
        <w:rPr>
          <w:b/>
        </w:rPr>
        <w:t>3.2.</w:t>
      </w:r>
      <w:r w:rsidRPr="00921ED0">
        <w:tab/>
      </w:r>
      <w:r w:rsidRPr="00921ED0">
        <w:rPr>
          <w:b/>
        </w:rPr>
        <w:t>A videórendszerek jellemzői</w:t>
      </w:r>
    </w:p>
    <w:p w:rsidR="005624E3" w:rsidRPr="00921ED0" w:rsidRDefault="005624E3" w:rsidP="005624E3">
      <w:pPr>
        <w:widowControl w:val="0"/>
        <w:spacing w:line="250" w:lineRule="atLeast"/>
        <w:rPr>
          <w:rFonts w:cs="Arial"/>
          <w:b/>
          <w:szCs w:val="20"/>
        </w:rPr>
      </w:pPr>
    </w:p>
    <w:p w:rsidR="005624E3" w:rsidRPr="00921ED0" w:rsidRDefault="005624E3" w:rsidP="005624E3">
      <w:pPr>
        <w:widowControl w:val="0"/>
        <w:spacing w:line="250" w:lineRule="atLeast"/>
        <w:ind w:left="567"/>
        <w:rPr>
          <w:rFonts w:cs="Arial"/>
          <w:szCs w:val="20"/>
        </w:rPr>
      </w:pPr>
      <w:r w:rsidRPr="00921ED0">
        <w:t>A nagy képfrissítési gyakoriságú videórendszerek azt az aktuális képet adják a környezetről, amelyet a megfigyelő látna, ha ott tartózkodna, ahol a kamera található. Egy ilyen rendszer képérzékelő videokamerából és a rögzített kép megjelenítésére szolgáló raszterképernyőből (monitorból) áll.</w:t>
      </w:r>
    </w:p>
    <w:p w:rsidR="005624E3" w:rsidRPr="00921ED0" w:rsidRDefault="005624E3" w:rsidP="005624E3">
      <w:pPr>
        <w:widowControl w:val="0"/>
        <w:spacing w:line="250" w:lineRule="atLeast"/>
        <w:ind w:left="567"/>
        <w:rPr>
          <w:rFonts w:cs="Arial"/>
          <w:szCs w:val="20"/>
        </w:rPr>
      </w:pPr>
    </w:p>
    <w:p w:rsidR="005624E3" w:rsidRPr="00921ED0" w:rsidRDefault="005624E3" w:rsidP="005624E3">
      <w:pPr>
        <w:widowControl w:val="0"/>
        <w:spacing w:line="250" w:lineRule="atLeast"/>
        <w:ind w:left="567"/>
        <w:rPr>
          <w:rFonts w:cs="Arial"/>
          <w:szCs w:val="20"/>
        </w:rPr>
      </w:pPr>
      <w:r w:rsidRPr="00921ED0">
        <w:t>Egyszerű elektromos kapcsolat elegendő a kamera és a monitor közötti jeltovábbításhoz. Az áramellátás a jelkábelen keresztül is biztosítható.</w:t>
      </w:r>
    </w:p>
    <w:p w:rsidR="005624E3" w:rsidRPr="00921ED0" w:rsidRDefault="005624E3" w:rsidP="005624E3">
      <w:pPr>
        <w:widowControl w:val="0"/>
        <w:spacing w:line="250" w:lineRule="atLeast"/>
        <w:ind w:left="567"/>
        <w:rPr>
          <w:rFonts w:cs="Arial"/>
          <w:szCs w:val="20"/>
        </w:rPr>
      </w:pPr>
    </w:p>
    <w:p w:rsidR="005624E3" w:rsidRPr="00921ED0" w:rsidRDefault="005624E3" w:rsidP="005624E3">
      <w:pPr>
        <w:widowControl w:val="0"/>
        <w:spacing w:line="250" w:lineRule="atLeast"/>
        <w:ind w:left="567"/>
        <w:rPr>
          <w:rFonts w:cs="Arial"/>
          <w:szCs w:val="20"/>
        </w:rPr>
      </w:pPr>
      <w:r w:rsidRPr="00921ED0">
        <w:t>A kamera rögzített vagy változtatható fókusztávolságú (zoomoptika) lehet, és vagy rögzített helyzetű, vagy pedig forgó-billenő fejre szerelik fel.</w:t>
      </w:r>
    </w:p>
    <w:p w:rsidR="005624E3" w:rsidRPr="00921ED0" w:rsidRDefault="005624E3" w:rsidP="005624E3">
      <w:pPr>
        <w:widowControl w:val="0"/>
        <w:spacing w:line="250" w:lineRule="atLeast"/>
        <w:ind w:left="567"/>
        <w:rPr>
          <w:rFonts w:cs="Arial"/>
          <w:szCs w:val="20"/>
        </w:rPr>
      </w:pPr>
    </w:p>
    <w:p w:rsidR="005624E3" w:rsidRPr="00921ED0" w:rsidRDefault="005624E3" w:rsidP="005624E3">
      <w:pPr>
        <w:widowControl w:val="0"/>
        <w:spacing w:line="250" w:lineRule="atLeast"/>
        <w:ind w:left="567"/>
        <w:rPr>
          <w:rFonts w:cs="Arial"/>
          <w:szCs w:val="20"/>
        </w:rPr>
      </w:pPr>
      <w:r w:rsidRPr="00921ED0">
        <w:t>Az (egylencsés) kamerák képe középen kerül rögzítésre és helyezkedik el a képernyőn, ugyanúgy, mint az emberi szem esetében. A centrális perspektíva egyik fő hiányossága, hogy nem teszi lehetővé a képeken megjelenített tárgyak távolságának meghatározását. Ez a hatás nagyon jól észlelhető a teleobjektívvel (hosszú fókusztávolsággal) rögzített képeken.</w:t>
      </w:r>
    </w:p>
    <w:p w:rsidR="005624E3" w:rsidRPr="00921ED0" w:rsidRDefault="005624E3" w:rsidP="005624E3">
      <w:pPr>
        <w:widowControl w:val="0"/>
        <w:spacing w:line="250" w:lineRule="atLeast"/>
        <w:ind w:left="567"/>
        <w:rPr>
          <w:rFonts w:cs="Arial"/>
          <w:szCs w:val="20"/>
        </w:rPr>
      </w:pPr>
    </w:p>
    <w:p w:rsidR="005624E3" w:rsidRPr="00921ED0" w:rsidRDefault="005624E3" w:rsidP="005624E3">
      <w:pPr>
        <w:widowControl w:val="0"/>
        <w:spacing w:line="250" w:lineRule="atLeast"/>
        <w:ind w:left="567"/>
        <w:rPr>
          <w:rFonts w:cs="Arial"/>
          <w:szCs w:val="20"/>
        </w:rPr>
      </w:pPr>
      <w:r w:rsidRPr="00921ED0">
        <w:t>Ezért a megfigyelés irányának és a megfigyelési mezőnek összhangban kell lennie a felhasználási céllal.</w:t>
      </w:r>
    </w:p>
    <w:p w:rsidR="005624E3" w:rsidRPr="00921ED0" w:rsidRDefault="005624E3" w:rsidP="005624E3">
      <w:pPr>
        <w:widowControl w:val="0"/>
        <w:spacing w:line="250" w:lineRule="atLeast"/>
        <w:ind w:left="567"/>
        <w:rPr>
          <w:rFonts w:cs="Arial"/>
          <w:szCs w:val="20"/>
        </w:rPr>
      </w:pPr>
    </w:p>
    <w:p w:rsidR="005624E3" w:rsidRPr="00921ED0" w:rsidRDefault="005624E3" w:rsidP="005624E3">
      <w:pPr>
        <w:widowControl w:val="0"/>
        <w:spacing w:line="250" w:lineRule="atLeast"/>
        <w:ind w:left="567"/>
        <w:rPr>
          <w:rFonts w:cs="Arial"/>
          <w:szCs w:val="20"/>
        </w:rPr>
      </w:pPr>
      <w:r w:rsidRPr="00921ED0">
        <w:t>A videórendszerek csak alacsony intenzitású környezeti fény esetében működnek. A vízfelszín erős tükröződése és a közvetlen napfény használhatatlanná teheti a képet.</w:t>
      </w:r>
    </w:p>
    <w:p w:rsidR="005624E3" w:rsidRPr="00921ED0" w:rsidRDefault="005624E3" w:rsidP="005624E3">
      <w:pPr>
        <w:widowControl w:val="0"/>
        <w:spacing w:line="250" w:lineRule="atLeast"/>
        <w:ind w:left="567"/>
        <w:rPr>
          <w:rFonts w:cs="Arial"/>
          <w:szCs w:val="20"/>
        </w:rPr>
      </w:pPr>
    </w:p>
    <w:p w:rsidR="005624E3" w:rsidRPr="00921ED0" w:rsidRDefault="005624E3" w:rsidP="005624E3">
      <w:pPr>
        <w:widowControl w:val="0"/>
        <w:spacing w:line="250" w:lineRule="atLeast"/>
        <w:ind w:left="567"/>
        <w:rPr>
          <w:rFonts w:cs="Arial"/>
          <w:szCs w:val="20"/>
        </w:rPr>
      </w:pPr>
      <w:r w:rsidRPr="00921ED0">
        <w:t>A monitor műszaki jellemzői (képméret, felbontás, fényerő) a felhasználás céljától függenek.</w:t>
      </w:r>
    </w:p>
    <w:p w:rsidR="005624E3" w:rsidRPr="00921ED0" w:rsidRDefault="005624E3" w:rsidP="005624E3">
      <w:pPr>
        <w:widowControl w:val="0"/>
        <w:spacing w:line="250" w:lineRule="atLeast"/>
        <w:ind w:left="567"/>
        <w:rPr>
          <w:rFonts w:cs="Arial"/>
          <w:szCs w:val="20"/>
        </w:rPr>
      </w:pPr>
    </w:p>
    <w:p w:rsidR="005624E3" w:rsidRPr="00921ED0" w:rsidRDefault="005624E3" w:rsidP="005624E3">
      <w:pPr>
        <w:widowControl w:val="0"/>
        <w:spacing w:line="250" w:lineRule="atLeast"/>
        <w:ind w:left="567"/>
        <w:rPr>
          <w:rFonts w:cs="Arial"/>
          <w:szCs w:val="20"/>
        </w:rPr>
      </w:pPr>
      <w:r w:rsidRPr="00921ED0">
        <w:t>A képfelbontást a kamera képérzékelőjének pixelszáma és a monitor pixelszáma (valamint a videójel sávszélessége) határozza meg. Még egy jó kereskedelmi videórendszer sem felel meg egészen az emberi szem maximális felbontóképességének.</w:t>
      </w:r>
    </w:p>
    <w:p w:rsidR="005624E3" w:rsidRPr="00921ED0" w:rsidRDefault="005624E3" w:rsidP="005624E3">
      <w:pPr>
        <w:widowControl w:val="0"/>
        <w:spacing w:line="250" w:lineRule="atLeast"/>
        <w:rPr>
          <w:rFonts w:cs="Arial"/>
          <w:szCs w:val="20"/>
        </w:rPr>
      </w:pPr>
    </w:p>
    <w:p w:rsidR="005624E3" w:rsidRPr="00921ED0" w:rsidRDefault="005624E3" w:rsidP="005624E3">
      <w:pPr>
        <w:widowControl w:val="0"/>
        <w:tabs>
          <w:tab w:val="left" w:pos="540"/>
        </w:tabs>
        <w:spacing w:line="250" w:lineRule="atLeast"/>
        <w:rPr>
          <w:rFonts w:cs="Arial"/>
          <w:b/>
          <w:szCs w:val="20"/>
        </w:rPr>
      </w:pPr>
    </w:p>
    <w:p w:rsidR="005624E3" w:rsidRPr="00921ED0" w:rsidRDefault="005624E3" w:rsidP="005624E3">
      <w:pPr>
        <w:rPr>
          <w:b/>
          <w:szCs w:val="20"/>
        </w:rPr>
      </w:pPr>
      <w:r w:rsidRPr="00921ED0">
        <w:br w:type="page"/>
      </w:r>
    </w:p>
    <w:p w:rsidR="005624E3" w:rsidRPr="00921ED0" w:rsidRDefault="005624E3" w:rsidP="005624E3">
      <w:pPr>
        <w:widowControl w:val="0"/>
        <w:tabs>
          <w:tab w:val="left" w:pos="540"/>
        </w:tabs>
        <w:spacing w:line="240" w:lineRule="atLeast"/>
        <w:rPr>
          <w:rFonts w:cs="Arial"/>
          <w:b/>
          <w:szCs w:val="20"/>
        </w:rPr>
      </w:pPr>
      <w:r w:rsidRPr="00921ED0">
        <w:rPr>
          <w:b/>
        </w:rPr>
        <w:t>3.3.</w:t>
      </w:r>
      <w:r w:rsidRPr="00921ED0">
        <w:tab/>
      </w:r>
      <w:r w:rsidRPr="00921ED0">
        <w:rPr>
          <w:b/>
        </w:rPr>
        <w:t>A radarrendszerek jellemzői</w:t>
      </w:r>
    </w:p>
    <w:p w:rsidR="005624E3" w:rsidRPr="00921ED0" w:rsidRDefault="005624E3" w:rsidP="005624E3">
      <w:pPr>
        <w:widowControl w:val="0"/>
        <w:spacing w:line="240" w:lineRule="atLeast"/>
        <w:ind w:firstLine="567"/>
        <w:rPr>
          <w:rFonts w:cs="Arial"/>
          <w:b/>
          <w:szCs w:val="20"/>
        </w:rPr>
      </w:pPr>
    </w:p>
    <w:p w:rsidR="005624E3" w:rsidRPr="00921ED0" w:rsidRDefault="005624E3" w:rsidP="005624E3">
      <w:pPr>
        <w:widowControl w:val="0"/>
        <w:spacing w:line="240" w:lineRule="atLeast"/>
        <w:ind w:left="567"/>
        <w:rPr>
          <w:rFonts w:cs="Arial"/>
          <w:szCs w:val="20"/>
        </w:rPr>
      </w:pPr>
      <w:r w:rsidRPr="00921ED0">
        <w:t>A radarrendszerek egy érzékelőből (adó- és vevőkészülékkel ellátott forgóantennából) és egy kijelzőkészülékből állnak. Az érzékelő vízszintes síkban forgó antennát használ a keskeny radiális szektorok mikrohullámú impulzusokkal történő „bevilágítására”, fogadja a visszaverő tárgyakról visszatérő jeleket, a képernyő pedig kijelzi ezeket, megjelenítve a tárgyak távolságát és irányát. Ily módon egy léptékes, a hajó haladási irányához viszonyított képet kapunk a környezetről. A képen mintegy 5 m-es felbontással és körülbelül 0,5 °-os tájolási pontossággal meghatározható a legalább 15 m távolságra lévő tárgyak helyzete.</w:t>
      </w:r>
    </w:p>
    <w:p w:rsidR="005624E3" w:rsidRPr="00921ED0" w:rsidRDefault="005624E3" w:rsidP="005624E3">
      <w:pPr>
        <w:widowControl w:val="0"/>
        <w:spacing w:line="240" w:lineRule="atLeast"/>
        <w:ind w:left="567"/>
        <w:rPr>
          <w:rFonts w:cs="Arial"/>
          <w:szCs w:val="20"/>
        </w:rPr>
      </w:pPr>
    </w:p>
    <w:p w:rsidR="005624E3" w:rsidRPr="00921ED0" w:rsidRDefault="005624E3" w:rsidP="005624E3">
      <w:pPr>
        <w:widowControl w:val="0"/>
        <w:spacing w:line="240" w:lineRule="atLeast"/>
        <w:ind w:left="567"/>
        <w:rPr>
          <w:rFonts w:cs="Arial"/>
          <w:szCs w:val="20"/>
        </w:rPr>
      </w:pPr>
      <w:r w:rsidRPr="00921ED0">
        <w:t>Mivel – ellentétben a fent említett egyéb technikai segédeszközökkel – a radarrendszerek saját maguk által kibocsátott hullámokkal (radarhullámokkal) működnek, nem függenek a környezeti fény intenzitásától.</w:t>
      </w:r>
    </w:p>
    <w:p w:rsidR="005624E3" w:rsidRPr="00921ED0" w:rsidRDefault="005624E3" w:rsidP="005624E3">
      <w:pPr>
        <w:widowControl w:val="0"/>
        <w:spacing w:line="240" w:lineRule="atLeast"/>
        <w:ind w:left="567"/>
        <w:rPr>
          <w:rFonts w:cs="Arial"/>
          <w:szCs w:val="20"/>
        </w:rPr>
      </w:pPr>
    </w:p>
    <w:p w:rsidR="005624E3" w:rsidRPr="00921ED0" w:rsidRDefault="005624E3" w:rsidP="005624E3">
      <w:pPr>
        <w:widowControl w:val="0"/>
        <w:spacing w:line="240" w:lineRule="atLeast"/>
        <w:ind w:left="567"/>
        <w:rPr>
          <w:rFonts w:cs="Arial"/>
          <w:szCs w:val="20"/>
        </w:rPr>
      </w:pPr>
      <w:r w:rsidRPr="00921ED0">
        <w:t xml:space="preserve">Azonban csak a radarhullámokat visszaverő tárgyak helyzetét érzékelhetik és határozhatják meg, létrehozva a környezet térképszerű képét, hűen ábrázolva a tárgyak irányát és távolságát. A radarrendszerek továbbá nem képesek észlelni és megjeleníteni a tárgyak azonosítását lehetővé tevőrészleteket. </w:t>
      </w:r>
    </w:p>
    <w:p w:rsidR="005624E3" w:rsidRPr="00921ED0" w:rsidRDefault="005624E3" w:rsidP="005624E3">
      <w:pPr>
        <w:widowControl w:val="0"/>
        <w:spacing w:line="240" w:lineRule="atLeast"/>
        <w:ind w:left="567" w:hanging="567"/>
        <w:rPr>
          <w:rFonts w:cs="Arial"/>
          <w:b/>
          <w:szCs w:val="20"/>
        </w:rPr>
      </w:pPr>
    </w:p>
    <w:p w:rsidR="005624E3" w:rsidRPr="00921ED0" w:rsidRDefault="005624E3" w:rsidP="005624E3">
      <w:pPr>
        <w:widowControl w:val="0"/>
        <w:spacing w:line="240" w:lineRule="atLeast"/>
        <w:ind w:left="567" w:hanging="567"/>
        <w:rPr>
          <w:rFonts w:cs="Arial"/>
          <w:b/>
          <w:szCs w:val="20"/>
        </w:rPr>
      </w:pPr>
      <w:r w:rsidRPr="00921ED0">
        <w:rPr>
          <w:b/>
        </w:rPr>
        <w:t>4.</w:t>
      </w:r>
      <w:r w:rsidRPr="00921ED0">
        <w:tab/>
      </w:r>
      <w:r w:rsidRPr="00921ED0">
        <w:rPr>
          <w:b/>
        </w:rPr>
        <w:t>A korlátozott látótér ellenőrzésére szolgáló megfelelő segédeszközök</w:t>
      </w:r>
    </w:p>
    <w:p w:rsidR="005624E3" w:rsidRPr="00921ED0" w:rsidRDefault="005624E3" w:rsidP="005624E3">
      <w:pPr>
        <w:widowControl w:val="0"/>
        <w:spacing w:line="240" w:lineRule="atLeast"/>
        <w:rPr>
          <w:rFonts w:cs="Arial"/>
          <w:szCs w:val="20"/>
        </w:rPr>
      </w:pPr>
    </w:p>
    <w:p w:rsidR="005624E3" w:rsidRPr="00921ED0" w:rsidRDefault="005624E3" w:rsidP="005624E3">
      <w:pPr>
        <w:widowControl w:val="0"/>
        <w:spacing w:line="240" w:lineRule="atLeast"/>
        <w:ind w:left="567" w:hanging="567"/>
        <w:rPr>
          <w:rFonts w:cs="Arial"/>
          <w:b/>
          <w:szCs w:val="20"/>
        </w:rPr>
      </w:pPr>
      <w:r w:rsidRPr="00921ED0">
        <w:rPr>
          <w:b/>
        </w:rPr>
        <w:t>4.1.</w:t>
      </w:r>
      <w:r w:rsidRPr="00921ED0">
        <w:tab/>
      </w:r>
      <w:r w:rsidRPr="00921ED0">
        <w:rPr>
          <w:b/>
        </w:rPr>
        <w:t>Tükrök</w:t>
      </w:r>
    </w:p>
    <w:p w:rsidR="005624E3" w:rsidRPr="00921ED0" w:rsidRDefault="005624E3" w:rsidP="005624E3">
      <w:pPr>
        <w:widowControl w:val="0"/>
        <w:spacing w:before="60" w:line="240" w:lineRule="atLeast"/>
        <w:ind w:left="992"/>
        <w:rPr>
          <w:rFonts w:cs="Arial"/>
          <w:szCs w:val="20"/>
        </w:rPr>
      </w:pPr>
      <w:r w:rsidRPr="00921ED0">
        <w:t>1.</w:t>
      </w:r>
      <w:r w:rsidRPr="00921ED0">
        <w:tab/>
        <w:t>Alak</w:t>
      </w:r>
    </w:p>
    <w:p w:rsidR="005624E3" w:rsidRPr="00921ED0" w:rsidRDefault="005624E3" w:rsidP="005624E3">
      <w:pPr>
        <w:widowControl w:val="0"/>
        <w:spacing w:line="240" w:lineRule="atLeast"/>
        <w:ind w:left="992"/>
        <w:rPr>
          <w:rFonts w:cs="Arial"/>
          <w:szCs w:val="20"/>
        </w:rPr>
      </w:pPr>
      <w:r w:rsidRPr="00921ED0">
        <w:t xml:space="preserve">A tükör alakja a megfigyelendő terület alakjától függ. A négyszögletes tükrök például oldalfedélzetek megfigyelésére  alkalmasak. </w:t>
      </w:r>
    </w:p>
    <w:p w:rsidR="005624E3" w:rsidRPr="00921ED0" w:rsidRDefault="005624E3" w:rsidP="005624E3">
      <w:pPr>
        <w:widowControl w:val="0"/>
        <w:spacing w:before="60" w:line="240" w:lineRule="atLeast"/>
        <w:ind w:left="992"/>
        <w:rPr>
          <w:rFonts w:cs="Arial"/>
          <w:szCs w:val="20"/>
        </w:rPr>
      </w:pPr>
      <w:r w:rsidRPr="00921ED0">
        <w:t>2.</w:t>
      </w:r>
      <w:r w:rsidRPr="00921ED0">
        <w:tab/>
        <w:t>Méret</w:t>
      </w:r>
    </w:p>
    <w:p w:rsidR="005624E3" w:rsidRPr="00921ED0" w:rsidRDefault="005624E3" w:rsidP="005624E3">
      <w:pPr>
        <w:widowControl w:val="0"/>
        <w:spacing w:line="240" w:lineRule="atLeast"/>
        <w:ind w:left="992"/>
        <w:rPr>
          <w:rFonts w:cs="Arial"/>
          <w:szCs w:val="20"/>
        </w:rPr>
      </w:pPr>
      <w:r w:rsidRPr="00921ED0">
        <w:t>A tükörfelület méretét a megfigyelendő szektor szélessége, valamint a kormányos és a tükör közötti távolság határozza meg.</w:t>
      </w:r>
    </w:p>
    <w:p w:rsidR="005624E3" w:rsidRPr="00921ED0" w:rsidRDefault="005624E3" w:rsidP="005624E3">
      <w:pPr>
        <w:widowControl w:val="0"/>
        <w:spacing w:before="60" w:line="240" w:lineRule="atLeast"/>
        <w:ind w:left="992"/>
        <w:rPr>
          <w:rFonts w:cs="Arial"/>
          <w:szCs w:val="20"/>
        </w:rPr>
      </w:pPr>
      <w:r w:rsidRPr="00921ED0">
        <w:t>3.</w:t>
      </w:r>
      <w:r w:rsidRPr="00921ED0">
        <w:tab/>
        <w:t>Minőség</w:t>
      </w:r>
    </w:p>
    <w:p w:rsidR="005624E3" w:rsidRPr="00921ED0" w:rsidRDefault="005624E3" w:rsidP="005624E3">
      <w:pPr>
        <w:widowControl w:val="0"/>
        <w:spacing w:line="240" w:lineRule="atLeast"/>
        <w:ind w:left="992"/>
        <w:rPr>
          <w:rFonts w:cs="Arial"/>
          <w:szCs w:val="20"/>
        </w:rPr>
      </w:pPr>
      <w:r w:rsidRPr="00921ED0">
        <w:t>Közúti járművekre (autóbuszokra és nehéz tehergépjárművekre) tervezett kipróbált és bevált, tömeggyártású termékeket kell használni.</w:t>
      </w:r>
    </w:p>
    <w:p w:rsidR="005624E3" w:rsidRPr="00921ED0" w:rsidRDefault="005624E3" w:rsidP="005624E3">
      <w:pPr>
        <w:widowControl w:val="0"/>
        <w:spacing w:before="60" w:line="240" w:lineRule="atLeast"/>
        <w:ind w:left="992"/>
        <w:rPr>
          <w:rFonts w:cs="Arial"/>
          <w:szCs w:val="20"/>
        </w:rPr>
      </w:pPr>
      <w:r w:rsidRPr="00921ED0">
        <w:t>4.</w:t>
      </w:r>
      <w:r w:rsidRPr="00921ED0">
        <w:tab/>
        <w:t>Görbület</w:t>
      </w:r>
    </w:p>
    <w:p w:rsidR="005624E3" w:rsidRPr="00921ED0" w:rsidRDefault="005624E3" w:rsidP="005624E3">
      <w:pPr>
        <w:widowControl w:val="0"/>
        <w:spacing w:line="240" w:lineRule="atLeast"/>
        <w:ind w:left="992"/>
        <w:rPr>
          <w:rFonts w:cs="Arial"/>
          <w:szCs w:val="20"/>
        </w:rPr>
      </w:pPr>
      <w:r w:rsidRPr="00921ED0">
        <w:t>Sík tükröket, azaz görbület nélküli tükröket kell használni. Amennyiben hasznos, enyhén domború tükrök is használhatók.</w:t>
      </w:r>
    </w:p>
    <w:p w:rsidR="005624E3" w:rsidRPr="00921ED0" w:rsidRDefault="005624E3" w:rsidP="005624E3">
      <w:pPr>
        <w:widowControl w:val="0"/>
        <w:spacing w:before="60" w:line="240" w:lineRule="atLeast"/>
        <w:ind w:left="992"/>
        <w:rPr>
          <w:rFonts w:cs="Arial"/>
          <w:szCs w:val="20"/>
        </w:rPr>
      </w:pPr>
      <w:r w:rsidRPr="00921ED0">
        <w:t>5.</w:t>
      </w:r>
      <w:r w:rsidRPr="00921ED0">
        <w:tab/>
        <w:t>Tartószerelvény</w:t>
      </w:r>
    </w:p>
    <w:p w:rsidR="005624E3" w:rsidRPr="00921ED0" w:rsidRDefault="005624E3" w:rsidP="005624E3">
      <w:pPr>
        <w:widowControl w:val="0"/>
        <w:spacing w:line="240" w:lineRule="atLeast"/>
        <w:ind w:left="992"/>
        <w:rPr>
          <w:rFonts w:cs="Arial"/>
          <w:szCs w:val="20"/>
        </w:rPr>
      </w:pPr>
      <w:r w:rsidRPr="00921ED0">
        <w:t>A tartószerelvénynek biztosítania kell, hogy a tükör állandó és stabil helyzetben maradjon (rezgéstől mentes legyen).</w:t>
      </w:r>
    </w:p>
    <w:p w:rsidR="005624E3" w:rsidRPr="00921ED0" w:rsidRDefault="005624E3" w:rsidP="005624E3">
      <w:pPr>
        <w:widowControl w:val="0"/>
        <w:spacing w:before="60" w:line="240" w:lineRule="atLeast"/>
        <w:ind w:left="992"/>
        <w:rPr>
          <w:rFonts w:cs="Arial"/>
          <w:szCs w:val="20"/>
        </w:rPr>
      </w:pPr>
      <w:r w:rsidRPr="00921ED0">
        <w:t>6.</w:t>
      </w:r>
      <w:r w:rsidRPr="00921ED0">
        <w:tab/>
        <w:t>Eső elleni védelem</w:t>
      </w:r>
    </w:p>
    <w:p w:rsidR="005624E3" w:rsidRPr="00921ED0" w:rsidRDefault="005624E3" w:rsidP="005624E3">
      <w:pPr>
        <w:widowControl w:val="0"/>
        <w:spacing w:line="240" w:lineRule="atLeast"/>
        <w:ind w:left="992"/>
        <w:rPr>
          <w:rFonts w:cs="Arial"/>
          <w:szCs w:val="20"/>
        </w:rPr>
      </w:pPr>
      <w:r w:rsidRPr="00921ED0">
        <w:t>A tükröt úgy kell felszerelni, hogy védve legyen az eső ellen.</w:t>
      </w:r>
    </w:p>
    <w:p w:rsidR="005624E3" w:rsidRPr="00921ED0" w:rsidRDefault="005624E3" w:rsidP="005624E3">
      <w:pPr>
        <w:widowControl w:val="0"/>
        <w:spacing w:before="60" w:line="240" w:lineRule="atLeast"/>
        <w:ind w:left="992"/>
        <w:rPr>
          <w:rFonts w:cs="Arial"/>
          <w:szCs w:val="20"/>
        </w:rPr>
      </w:pPr>
      <w:r w:rsidRPr="00921ED0">
        <w:t>7.</w:t>
      </w:r>
      <w:r w:rsidRPr="00921ED0">
        <w:tab/>
        <w:t>Fagy elleni védelem</w:t>
      </w:r>
    </w:p>
    <w:p w:rsidR="005624E3" w:rsidRPr="00921ED0" w:rsidRDefault="005624E3" w:rsidP="005624E3">
      <w:pPr>
        <w:widowControl w:val="0"/>
        <w:spacing w:line="240" w:lineRule="atLeast"/>
        <w:ind w:left="992"/>
        <w:rPr>
          <w:rFonts w:cs="Arial"/>
          <w:szCs w:val="20"/>
        </w:rPr>
      </w:pPr>
      <w:r w:rsidRPr="00921ED0">
        <w:t>Meg kell akadályozni, hogy a tükör felületén kicsapódjon a dér.</w:t>
      </w:r>
    </w:p>
    <w:p w:rsidR="005624E3" w:rsidRPr="00921ED0" w:rsidRDefault="005624E3" w:rsidP="005624E3">
      <w:pPr>
        <w:widowControl w:val="0"/>
        <w:spacing w:before="60" w:line="240" w:lineRule="atLeast"/>
        <w:ind w:left="992"/>
        <w:rPr>
          <w:rFonts w:cs="Arial"/>
          <w:szCs w:val="20"/>
        </w:rPr>
      </w:pPr>
      <w:r w:rsidRPr="00921ED0">
        <w:t>8.</w:t>
      </w:r>
      <w:r w:rsidRPr="00921ED0">
        <w:tab/>
        <w:t>Elhelyezés</w:t>
      </w:r>
    </w:p>
    <w:p w:rsidR="005624E3" w:rsidRPr="00921ED0" w:rsidRDefault="005624E3" w:rsidP="005624E3">
      <w:pPr>
        <w:widowControl w:val="0"/>
        <w:spacing w:line="240" w:lineRule="atLeast"/>
        <w:ind w:left="992"/>
        <w:rPr>
          <w:rFonts w:cs="Arial"/>
          <w:szCs w:val="20"/>
        </w:rPr>
      </w:pPr>
      <w:r w:rsidRPr="00921ED0">
        <w:t xml:space="preserve">Biztosítani kell, hogy a kormányos a tükröt munkaállomásának elhagyása nélkül használhassa oly módon, hogy csupán rápillant a tükörre vagy arcát a tükör felé fordítja. Ezért a kormányállás külső válaszfalainak (valamint külső ajtajainak) felső pereme megfelelő rögzítési pontként szolgál. Biztosítani kell, hogy a kormányos tükörre való rálátását semmi ne korlátozza. </w:t>
      </w:r>
    </w:p>
    <w:p w:rsidR="005624E3" w:rsidRPr="00921ED0" w:rsidRDefault="005624E3" w:rsidP="005624E3">
      <w:pPr>
        <w:widowControl w:val="0"/>
        <w:spacing w:before="60" w:line="240" w:lineRule="atLeast"/>
        <w:ind w:left="992"/>
        <w:rPr>
          <w:rFonts w:cs="Arial"/>
          <w:szCs w:val="20"/>
        </w:rPr>
      </w:pPr>
      <w:r w:rsidRPr="00921ED0">
        <w:t>9.</w:t>
      </w:r>
      <w:r w:rsidRPr="00921ED0">
        <w:tab/>
        <w:t>Beállítás</w:t>
      </w:r>
    </w:p>
    <w:p w:rsidR="005624E3" w:rsidRPr="00921ED0" w:rsidRDefault="005624E3" w:rsidP="005624E3">
      <w:pPr>
        <w:widowControl w:val="0"/>
        <w:spacing w:line="240" w:lineRule="atLeast"/>
        <w:ind w:left="992"/>
        <w:rPr>
          <w:rFonts w:cs="Arial"/>
          <w:szCs w:val="20"/>
        </w:rPr>
      </w:pPr>
      <w:r w:rsidRPr="00921ED0">
        <w:t>A hajó tükörben látható részei (peremek, közlekedőutak) tájolásának a lehető legvalósághűbbnek kell lennie.</w:t>
      </w:r>
    </w:p>
    <w:p w:rsidR="005624E3" w:rsidRPr="00921ED0" w:rsidRDefault="005624E3" w:rsidP="005624E3">
      <w:pPr>
        <w:widowControl w:val="0"/>
        <w:spacing w:line="240" w:lineRule="atLeast"/>
        <w:rPr>
          <w:rFonts w:cs="Arial"/>
          <w:szCs w:val="20"/>
        </w:rPr>
      </w:pPr>
    </w:p>
    <w:p w:rsidR="005624E3" w:rsidRPr="00921ED0" w:rsidRDefault="005624E3" w:rsidP="005624E3">
      <w:pPr>
        <w:widowControl w:val="0"/>
        <w:spacing w:line="240" w:lineRule="atLeast"/>
        <w:ind w:left="567" w:hanging="567"/>
        <w:rPr>
          <w:rFonts w:cs="Arial"/>
          <w:b/>
          <w:szCs w:val="20"/>
        </w:rPr>
      </w:pPr>
      <w:r w:rsidRPr="00921ED0">
        <w:br w:type="page"/>
      </w:r>
      <w:r w:rsidRPr="00921ED0">
        <w:rPr>
          <w:b/>
        </w:rPr>
        <w:t>4.2.</w:t>
      </w:r>
      <w:r w:rsidRPr="00921ED0">
        <w:tab/>
      </w:r>
      <w:r w:rsidRPr="00921ED0">
        <w:rPr>
          <w:b/>
        </w:rPr>
        <w:t>Videórendszerek</w:t>
      </w:r>
    </w:p>
    <w:p w:rsidR="005624E3" w:rsidRPr="00921ED0" w:rsidRDefault="005624E3" w:rsidP="005624E3">
      <w:pPr>
        <w:widowControl w:val="0"/>
        <w:spacing w:line="240" w:lineRule="atLeast"/>
        <w:ind w:left="567" w:hanging="567"/>
        <w:rPr>
          <w:rFonts w:cs="Arial"/>
          <w:b/>
          <w:szCs w:val="20"/>
        </w:rPr>
      </w:pPr>
    </w:p>
    <w:p w:rsidR="005624E3" w:rsidRPr="00921ED0" w:rsidRDefault="005624E3" w:rsidP="005624E3">
      <w:pPr>
        <w:widowControl w:val="0"/>
        <w:spacing w:line="240" w:lineRule="atLeast"/>
        <w:ind w:left="567" w:hanging="567"/>
        <w:rPr>
          <w:rFonts w:cs="Arial"/>
          <w:b/>
          <w:szCs w:val="20"/>
        </w:rPr>
      </w:pPr>
      <w:r w:rsidRPr="00921ED0">
        <w:rPr>
          <w:b/>
        </w:rPr>
        <w:t>4.2.1.</w:t>
      </w:r>
      <w:r w:rsidRPr="00921ED0">
        <w:tab/>
      </w:r>
      <w:r w:rsidRPr="00921ED0">
        <w:rPr>
          <w:b/>
        </w:rPr>
        <w:t>Kamerák</w:t>
      </w:r>
    </w:p>
    <w:p w:rsidR="005624E3" w:rsidRPr="00921ED0" w:rsidRDefault="005624E3" w:rsidP="005624E3">
      <w:pPr>
        <w:widowControl w:val="0"/>
        <w:spacing w:before="60" w:line="240" w:lineRule="atLeast"/>
        <w:ind w:left="992"/>
        <w:rPr>
          <w:rFonts w:cs="Arial"/>
          <w:szCs w:val="20"/>
        </w:rPr>
      </w:pPr>
      <w:r w:rsidRPr="00921ED0">
        <w:t>1.</w:t>
      </w:r>
      <w:r w:rsidRPr="00921ED0">
        <w:tab/>
        <w:t>Típus</w:t>
      </w:r>
    </w:p>
    <w:p w:rsidR="005624E3" w:rsidRPr="00921ED0" w:rsidRDefault="005624E3" w:rsidP="005624E3">
      <w:pPr>
        <w:widowControl w:val="0"/>
        <w:spacing w:line="240" w:lineRule="atLeast"/>
        <w:ind w:left="992"/>
        <w:rPr>
          <w:rFonts w:cs="Arial"/>
          <w:szCs w:val="20"/>
        </w:rPr>
      </w:pPr>
      <w:r w:rsidRPr="00921ED0">
        <w:t>Olyan raszterelven működő színes videókamerát kell használni, amely automatikus fekete-fehér üzemmóddal is rendelkezik, képaránya pl. 4:3 (fekvő), és megfelel az alkalmazott monitornak.</w:t>
      </w:r>
    </w:p>
    <w:p w:rsidR="005624E3" w:rsidRPr="00921ED0" w:rsidRDefault="005624E3" w:rsidP="005624E3">
      <w:pPr>
        <w:widowControl w:val="0"/>
        <w:spacing w:before="60" w:line="240" w:lineRule="atLeast"/>
        <w:ind w:left="992"/>
        <w:rPr>
          <w:rFonts w:cs="Arial"/>
          <w:szCs w:val="20"/>
        </w:rPr>
      </w:pPr>
      <w:r w:rsidRPr="00921ED0">
        <w:t>2.</w:t>
      </w:r>
      <w:r w:rsidRPr="00921ED0">
        <w:tab/>
        <w:t>Felbontás</w:t>
      </w:r>
    </w:p>
    <w:p w:rsidR="005624E3" w:rsidRPr="00921ED0" w:rsidRDefault="005624E3" w:rsidP="005624E3">
      <w:pPr>
        <w:widowControl w:val="0"/>
        <w:spacing w:line="240" w:lineRule="atLeast"/>
        <w:ind w:left="992"/>
        <w:rPr>
          <w:rFonts w:cs="Arial"/>
          <w:szCs w:val="20"/>
        </w:rPr>
      </w:pPr>
      <w:r w:rsidRPr="00921ED0">
        <w:t>Követelmény az egyformán jó felbontás mind a vízszintes, mind a függőleges tengely mentén, lehetőleg legalább 576 pixel (képpont) a kép rövidebb oldalán, valamint az, hogy a képpontok négyzet alakúak legyenek.</w:t>
      </w:r>
    </w:p>
    <w:p w:rsidR="005624E3" w:rsidRPr="00921ED0" w:rsidRDefault="005624E3" w:rsidP="005624E3">
      <w:pPr>
        <w:widowControl w:val="0"/>
        <w:spacing w:before="60" w:line="240" w:lineRule="atLeast"/>
        <w:ind w:left="992"/>
        <w:rPr>
          <w:rFonts w:cs="Arial"/>
          <w:szCs w:val="20"/>
        </w:rPr>
      </w:pPr>
      <w:r w:rsidRPr="00921ED0">
        <w:t>3.</w:t>
      </w:r>
      <w:r w:rsidRPr="00921ED0">
        <w:tab/>
        <w:t>Fényérzékenység</w:t>
      </w:r>
    </w:p>
    <w:p w:rsidR="005624E3" w:rsidRPr="00921ED0" w:rsidRDefault="005624E3" w:rsidP="005624E3">
      <w:pPr>
        <w:widowControl w:val="0"/>
        <w:spacing w:line="240" w:lineRule="atLeast"/>
        <w:ind w:left="992"/>
        <w:rPr>
          <w:rFonts w:cs="Arial"/>
          <w:szCs w:val="20"/>
        </w:rPr>
      </w:pPr>
      <w:r w:rsidRPr="00921ED0">
        <w:t>Követelmény színes üzemmódban a 0,6 lux, fekete-fehér üzemmódban a 0,1 lux megvilágítás (az EN 61146-1 szabvány szerint, a megfelelő lencsével, képintegrálás nélkül).</w:t>
      </w:r>
    </w:p>
    <w:p w:rsidR="005624E3" w:rsidRPr="00921ED0" w:rsidRDefault="005624E3" w:rsidP="005624E3">
      <w:pPr>
        <w:widowControl w:val="0"/>
        <w:spacing w:before="60" w:line="240" w:lineRule="atLeast"/>
        <w:ind w:left="992"/>
        <w:rPr>
          <w:rFonts w:cs="Arial"/>
          <w:szCs w:val="20"/>
        </w:rPr>
      </w:pPr>
      <w:r w:rsidRPr="00921ED0">
        <w:t>4.</w:t>
      </w:r>
      <w:r w:rsidRPr="00921ED0">
        <w:tab/>
        <w:t>Képfrissítési gyakoriság</w:t>
      </w:r>
    </w:p>
    <w:p w:rsidR="005624E3" w:rsidRPr="00921ED0" w:rsidRDefault="005624E3" w:rsidP="005624E3">
      <w:pPr>
        <w:widowControl w:val="0"/>
        <w:spacing w:line="240" w:lineRule="atLeast"/>
        <w:ind w:left="992"/>
        <w:rPr>
          <w:rFonts w:cs="Arial"/>
          <w:szCs w:val="20"/>
        </w:rPr>
      </w:pPr>
      <w:r w:rsidRPr="00921ED0">
        <w:t>Követelmény a legalább 25 kép/s képfrissítési gyakoriság.</w:t>
      </w:r>
    </w:p>
    <w:p w:rsidR="005624E3" w:rsidRPr="00921ED0" w:rsidRDefault="005624E3" w:rsidP="005624E3">
      <w:pPr>
        <w:widowControl w:val="0"/>
        <w:spacing w:before="60" w:line="240" w:lineRule="atLeast"/>
        <w:ind w:left="992"/>
        <w:rPr>
          <w:rFonts w:cs="Arial"/>
          <w:szCs w:val="20"/>
        </w:rPr>
      </w:pPr>
      <w:r w:rsidRPr="00921ED0">
        <w:t>5.</w:t>
      </w:r>
      <w:r w:rsidRPr="00921ED0">
        <w:tab/>
        <w:t>Látószög</w:t>
      </w:r>
    </w:p>
    <w:p w:rsidR="005624E3" w:rsidRPr="00921ED0" w:rsidRDefault="005624E3" w:rsidP="005624E3">
      <w:pPr>
        <w:widowControl w:val="0"/>
        <w:spacing w:line="240" w:lineRule="atLeast"/>
        <w:ind w:left="992"/>
        <w:rPr>
          <w:rFonts w:cs="Arial"/>
          <w:szCs w:val="20"/>
        </w:rPr>
      </w:pPr>
      <w:r w:rsidRPr="00921ED0">
        <w:t>A kamera látószögét a megfelelő fókusztávolság kiválasztásával kell meghatározni. Annak érdekében, hogy a felhasználót ne zavarja a nem természetes perspektíva, ajánlott a látószöget az emberi szem látószögéhez (kb. 30–45°) igazítani. A vízszintes látószög ezért nem lehet kisebb 30°-nál.</w:t>
      </w:r>
    </w:p>
    <w:p w:rsidR="005624E3" w:rsidRPr="00921ED0" w:rsidRDefault="005624E3" w:rsidP="005624E3">
      <w:pPr>
        <w:widowControl w:val="0"/>
        <w:spacing w:before="60" w:line="240" w:lineRule="atLeast"/>
        <w:ind w:left="992"/>
        <w:rPr>
          <w:rFonts w:cs="Arial"/>
          <w:szCs w:val="20"/>
        </w:rPr>
      </w:pPr>
      <w:r w:rsidRPr="00921ED0">
        <w:t>6.</w:t>
      </w:r>
      <w:r w:rsidRPr="00921ED0">
        <w:tab/>
        <w:t>Zoomolás és forgathatóság</w:t>
      </w:r>
    </w:p>
    <w:p w:rsidR="005624E3" w:rsidRPr="00921ED0" w:rsidRDefault="005624E3" w:rsidP="005624E3">
      <w:pPr>
        <w:widowControl w:val="0"/>
        <w:spacing w:line="240" w:lineRule="atLeast"/>
        <w:ind w:left="992"/>
        <w:rPr>
          <w:rFonts w:cs="Arial"/>
          <w:szCs w:val="20"/>
        </w:rPr>
      </w:pPr>
      <w:r w:rsidRPr="00921ED0">
        <w:t>Amikor forgatható és zoomoló kamera segíti az előrefelé történő látást, biztosítani kell, hogy egy gombnyomással elérhető legyen egy, az optimális fókusztávolság és a lencse előrefelé irányulását biztosító alapbeállítás.</w:t>
      </w:r>
    </w:p>
    <w:p w:rsidR="005624E3" w:rsidRPr="00921ED0" w:rsidRDefault="005624E3" w:rsidP="005624E3">
      <w:pPr>
        <w:widowControl w:val="0"/>
        <w:spacing w:before="60" w:line="240" w:lineRule="atLeast"/>
        <w:ind w:left="992"/>
        <w:rPr>
          <w:rFonts w:cs="Arial"/>
          <w:szCs w:val="20"/>
        </w:rPr>
      </w:pPr>
      <w:r w:rsidRPr="00921ED0">
        <w:t>7.</w:t>
      </w:r>
      <w:r w:rsidRPr="00921ED0">
        <w:tab/>
        <w:t>Elhelyezés</w:t>
      </w:r>
    </w:p>
    <w:p w:rsidR="005624E3" w:rsidRPr="00921ED0" w:rsidRDefault="005624E3" w:rsidP="005624E3">
      <w:pPr>
        <w:widowControl w:val="0"/>
        <w:spacing w:line="240" w:lineRule="atLeast"/>
        <w:ind w:left="992"/>
        <w:rPr>
          <w:rFonts w:cs="Arial"/>
          <w:szCs w:val="20"/>
        </w:rPr>
      </w:pPr>
      <w:r w:rsidRPr="00921ED0">
        <w:t>A kamera elhelyezése a megfigyelendő terület helyzetétől függ.</w:t>
      </w:r>
    </w:p>
    <w:p w:rsidR="005624E3" w:rsidRPr="00921ED0" w:rsidRDefault="005624E3" w:rsidP="005624E3">
      <w:pPr>
        <w:widowControl w:val="0"/>
        <w:spacing w:before="60" w:line="240" w:lineRule="atLeast"/>
        <w:ind w:left="992"/>
        <w:rPr>
          <w:rFonts w:cs="Arial"/>
          <w:szCs w:val="20"/>
        </w:rPr>
      </w:pPr>
      <w:r w:rsidRPr="00921ED0">
        <w:t>8.</w:t>
      </w:r>
      <w:r w:rsidRPr="00921ED0">
        <w:tab/>
        <w:t>Felszerelés</w:t>
      </w:r>
    </w:p>
    <w:p w:rsidR="005624E3" w:rsidRPr="00921ED0" w:rsidRDefault="005624E3" w:rsidP="005624E3">
      <w:pPr>
        <w:widowControl w:val="0"/>
        <w:spacing w:line="240" w:lineRule="atLeast"/>
        <w:ind w:left="992"/>
        <w:rPr>
          <w:rFonts w:cs="Arial"/>
          <w:szCs w:val="20"/>
        </w:rPr>
      </w:pPr>
      <w:r w:rsidRPr="00921ED0">
        <w:t>A tartószerelvénynek biztosítania kell, hogy a kamera állandó és stabil helyzetben maradjon (rezgéstől mentes legyen). A tartószerelvény fűtött védőburkolatot is magában foglalhat.</w:t>
      </w:r>
    </w:p>
    <w:p w:rsidR="005624E3" w:rsidRPr="00921ED0" w:rsidRDefault="005624E3" w:rsidP="005624E3">
      <w:pPr>
        <w:widowControl w:val="0"/>
        <w:spacing w:line="240" w:lineRule="atLeast"/>
        <w:rPr>
          <w:rFonts w:cs="Arial"/>
          <w:szCs w:val="20"/>
        </w:rPr>
      </w:pPr>
    </w:p>
    <w:p w:rsidR="005624E3" w:rsidRPr="00921ED0" w:rsidRDefault="005624E3" w:rsidP="005624E3">
      <w:pPr>
        <w:widowControl w:val="0"/>
        <w:spacing w:line="240" w:lineRule="atLeast"/>
        <w:ind w:left="567" w:hanging="567"/>
        <w:rPr>
          <w:rFonts w:cs="Arial"/>
          <w:b/>
          <w:szCs w:val="20"/>
        </w:rPr>
      </w:pPr>
      <w:r w:rsidRPr="00921ED0">
        <w:rPr>
          <w:b/>
        </w:rPr>
        <w:t>4.2.2.</w:t>
      </w:r>
      <w:r w:rsidRPr="00921ED0">
        <w:tab/>
      </w:r>
      <w:r w:rsidRPr="00921ED0">
        <w:rPr>
          <w:b/>
        </w:rPr>
        <w:t>Monitorok</w:t>
      </w:r>
    </w:p>
    <w:p w:rsidR="005624E3" w:rsidRPr="00921ED0" w:rsidRDefault="005624E3" w:rsidP="005624E3">
      <w:pPr>
        <w:widowControl w:val="0"/>
        <w:spacing w:before="60" w:line="240" w:lineRule="atLeast"/>
        <w:ind w:left="992"/>
        <w:rPr>
          <w:rFonts w:cs="Arial"/>
          <w:szCs w:val="20"/>
        </w:rPr>
      </w:pPr>
      <w:r w:rsidRPr="00921ED0">
        <w:t>1.</w:t>
      </w:r>
      <w:r w:rsidRPr="00921ED0">
        <w:tab/>
        <w:t>Típus</w:t>
      </w:r>
    </w:p>
    <w:p w:rsidR="005624E3" w:rsidRPr="00921ED0" w:rsidRDefault="005624E3" w:rsidP="005624E3">
      <w:pPr>
        <w:widowControl w:val="0"/>
        <w:spacing w:line="240" w:lineRule="atLeast"/>
        <w:ind w:left="992"/>
        <w:rPr>
          <w:rFonts w:cs="Arial"/>
          <w:szCs w:val="20"/>
        </w:rPr>
      </w:pPr>
      <w:r w:rsidRPr="00921ED0">
        <w:t>Követelmény a raszterképernyő (lehetőleg vékonyréteg-tranzisztoros (TFT) síkképernyő), melynek átlója legalább 30 cm.</w:t>
      </w:r>
    </w:p>
    <w:p w:rsidR="005624E3" w:rsidRPr="00921ED0" w:rsidRDefault="005624E3" w:rsidP="005624E3">
      <w:pPr>
        <w:widowControl w:val="0"/>
        <w:spacing w:before="60" w:line="240" w:lineRule="atLeast"/>
        <w:ind w:left="992"/>
        <w:rPr>
          <w:rFonts w:cs="Arial"/>
          <w:szCs w:val="20"/>
        </w:rPr>
      </w:pPr>
      <w:r w:rsidRPr="00921ED0">
        <w:t>2.</w:t>
      </w:r>
      <w:r w:rsidRPr="00921ED0">
        <w:tab/>
        <w:t>Elhelyezés</w:t>
      </w:r>
    </w:p>
    <w:p w:rsidR="005624E3" w:rsidRPr="00921ED0" w:rsidRDefault="005624E3" w:rsidP="005624E3">
      <w:pPr>
        <w:widowControl w:val="0"/>
        <w:spacing w:before="60" w:line="240" w:lineRule="atLeast"/>
        <w:ind w:left="1417"/>
        <w:rPr>
          <w:rFonts w:cs="Arial"/>
          <w:szCs w:val="20"/>
        </w:rPr>
      </w:pPr>
      <w:r w:rsidRPr="00921ED0">
        <w:t>a)</w:t>
      </w:r>
      <w:r w:rsidRPr="00921ED0">
        <w:tab/>
        <w:t xml:space="preserve">Azon monitoroknak, amelyek elsősorban előrefelé irányuló kamerák képeit mutatják, a kormányos látóterében kell lenniük oly módon, hogy a kormányos azokat fejének túlzott mozgatása nélkül láthassa. A monitorokat egymás mellett kell elhelyezni oly módon, hogy helyzetük leképezze a kamerák helyzetét (bal oldal, közép, jobb oldal). </w:t>
      </w:r>
    </w:p>
    <w:p w:rsidR="005624E3" w:rsidRPr="00921ED0" w:rsidRDefault="005624E3" w:rsidP="005624E3">
      <w:pPr>
        <w:widowControl w:val="0"/>
        <w:spacing w:before="60" w:line="240" w:lineRule="atLeast"/>
        <w:ind w:left="1417"/>
        <w:rPr>
          <w:rFonts w:cs="Arial"/>
          <w:szCs w:val="20"/>
        </w:rPr>
      </w:pPr>
      <w:r w:rsidRPr="00921ED0">
        <w:t>b)</w:t>
      </w:r>
      <w:r w:rsidRPr="00921ED0">
        <w:tab/>
        <w:t xml:space="preserve">A hátrafelé irányuló kamerákhoz tartozó monitorok elhelyezhetők például a már említett monitorok alatt vagy fölött egy második sorban, középen, illetve a megfelelő oldalon. A monitorok által mutatott képek ily módon megfelelnek a tükrök által mutatott képeknek. Ha ezekre a képekre csak kikötéskor vagy kikötőből való elinduláskor van szükség, célszerű e monitorokat a kormányállás hátsó falán elhelyezni, mivel a kormányos e manőverek végrehajtásakor minden esetben hátrafelé néz vagy hátrafordul. A monitorok által mutatott képek ekkor azonban már nem felelnek meg a tükrök által mutatott képeknek. </w:t>
      </w:r>
    </w:p>
    <w:p w:rsidR="005624E3" w:rsidRPr="00921ED0" w:rsidRDefault="005624E3" w:rsidP="005624E3">
      <w:pPr>
        <w:widowControl w:val="0"/>
        <w:spacing w:before="60" w:line="240" w:lineRule="atLeast"/>
        <w:ind w:left="992"/>
        <w:rPr>
          <w:rFonts w:cs="Arial"/>
          <w:szCs w:val="20"/>
        </w:rPr>
      </w:pPr>
      <w:r w:rsidRPr="00921ED0">
        <w:t>3.</w:t>
      </w:r>
      <w:r w:rsidRPr="00921ED0">
        <w:tab/>
        <w:t>Több monitor használata</w:t>
      </w:r>
    </w:p>
    <w:p w:rsidR="005624E3" w:rsidRPr="00921ED0" w:rsidRDefault="005624E3" w:rsidP="005624E3">
      <w:pPr>
        <w:widowControl w:val="0"/>
        <w:spacing w:line="240" w:lineRule="atLeast"/>
        <w:ind w:left="992"/>
        <w:rPr>
          <w:rFonts w:cs="Arial"/>
          <w:szCs w:val="20"/>
        </w:rPr>
      </w:pPr>
      <w:r w:rsidRPr="00921ED0">
        <w:t>Előrefelé nézéskor nem megfelelő, ha több kamera képét egyetlen monitoron jelenítik meg (akár úgy, hogy a képernyő egyidejűleg két vagy több zónára oszlik, akár úgy, hogy a különböző kamerák képei egymás után jelennek meg a képernyőn).</w:t>
      </w:r>
    </w:p>
    <w:p w:rsidR="005624E3" w:rsidRPr="00921ED0" w:rsidRDefault="005624E3" w:rsidP="005624E3">
      <w:pPr>
        <w:widowControl w:val="0"/>
        <w:spacing w:before="60" w:line="240" w:lineRule="atLeast"/>
        <w:ind w:left="992"/>
        <w:rPr>
          <w:rFonts w:cs="Arial"/>
          <w:szCs w:val="20"/>
        </w:rPr>
      </w:pPr>
      <w:r w:rsidRPr="00921ED0">
        <w:t>4.</w:t>
      </w:r>
      <w:r w:rsidRPr="00921ED0">
        <w:tab/>
        <w:t>Felbontás</w:t>
      </w:r>
    </w:p>
    <w:p w:rsidR="005624E3" w:rsidRPr="00921ED0" w:rsidRDefault="005624E3" w:rsidP="005624E3">
      <w:pPr>
        <w:widowControl w:val="0"/>
        <w:spacing w:line="240" w:lineRule="atLeast"/>
        <w:ind w:left="992"/>
        <w:rPr>
          <w:rFonts w:cs="Arial"/>
          <w:szCs w:val="20"/>
        </w:rPr>
      </w:pPr>
      <w:r w:rsidRPr="00921ED0">
        <w:t>A felbontásnak legalább 800 x 600 pixelnek kell lennie.</w:t>
      </w:r>
    </w:p>
    <w:p w:rsidR="005624E3" w:rsidRPr="00921ED0" w:rsidRDefault="005624E3" w:rsidP="005624E3">
      <w:pPr>
        <w:rPr>
          <w:szCs w:val="20"/>
        </w:rPr>
      </w:pPr>
      <w:r w:rsidRPr="00921ED0">
        <w:br w:type="page"/>
      </w:r>
    </w:p>
    <w:p w:rsidR="005624E3" w:rsidRPr="00921ED0" w:rsidRDefault="005624E3" w:rsidP="005624E3">
      <w:pPr>
        <w:widowControl w:val="0"/>
        <w:spacing w:before="60" w:line="240" w:lineRule="atLeast"/>
        <w:ind w:left="992"/>
        <w:rPr>
          <w:rFonts w:cs="Arial"/>
          <w:szCs w:val="20"/>
        </w:rPr>
      </w:pPr>
      <w:r w:rsidRPr="00921ED0">
        <w:t>5.</w:t>
      </w:r>
      <w:r w:rsidRPr="00921ED0">
        <w:tab/>
        <w:t>Fényerő</w:t>
      </w:r>
    </w:p>
    <w:p w:rsidR="005624E3" w:rsidRPr="00921ED0" w:rsidRDefault="005624E3" w:rsidP="005624E3">
      <w:pPr>
        <w:widowControl w:val="0"/>
        <w:spacing w:line="240" w:lineRule="atLeast"/>
        <w:ind w:left="992"/>
        <w:rPr>
          <w:rFonts w:cs="Arial"/>
          <w:szCs w:val="20"/>
        </w:rPr>
      </w:pPr>
      <w:r w:rsidRPr="00921ED0">
        <w:t xml:space="preserve">Minimális fényerő: FG ≤ 15 cd/m²; BG ≤ 5 cd/m². Maximális fényerő VG ≥ 5000 cd/m² </w:t>
      </w:r>
      <w:r w:rsidRPr="00921ED0">
        <w:br/>
        <w:t>(FG = előtér; BG = háttér).</w:t>
      </w:r>
    </w:p>
    <w:p w:rsidR="005624E3" w:rsidRPr="00921ED0" w:rsidRDefault="005624E3" w:rsidP="005624E3">
      <w:pPr>
        <w:widowControl w:val="0"/>
        <w:spacing w:line="240" w:lineRule="atLeast"/>
        <w:rPr>
          <w:rFonts w:cs="Arial"/>
          <w:szCs w:val="20"/>
        </w:rPr>
      </w:pPr>
    </w:p>
    <w:p w:rsidR="005624E3" w:rsidRPr="00921ED0" w:rsidRDefault="005624E3" w:rsidP="005624E3">
      <w:pPr>
        <w:widowControl w:val="0"/>
        <w:spacing w:line="240" w:lineRule="atLeast"/>
        <w:ind w:left="567" w:hanging="567"/>
        <w:rPr>
          <w:rFonts w:cs="Arial"/>
          <w:b/>
          <w:szCs w:val="20"/>
        </w:rPr>
      </w:pPr>
      <w:r w:rsidRPr="00921ED0">
        <w:rPr>
          <w:b/>
        </w:rPr>
        <w:t>4.3.</w:t>
      </w:r>
      <w:r w:rsidRPr="00921ED0">
        <w:tab/>
      </w:r>
      <w:r w:rsidRPr="00921ED0">
        <w:rPr>
          <w:b/>
        </w:rPr>
        <w:t>Radarrendszerek</w:t>
      </w:r>
    </w:p>
    <w:p w:rsidR="005624E3" w:rsidRPr="00921ED0" w:rsidRDefault="005624E3" w:rsidP="005624E3">
      <w:pPr>
        <w:widowControl w:val="0"/>
        <w:spacing w:before="60" w:line="240" w:lineRule="atLeast"/>
        <w:ind w:left="992"/>
        <w:rPr>
          <w:rFonts w:cs="Arial"/>
          <w:szCs w:val="20"/>
        </w:rPr>
      </w:pPr>
      <w:r w:rsidRPr="00921ED0">
        <w:t>1.</w:t>
      </w:r>
      <w:r w:rsidRPr="00921ED0">
        <w:tab/>
        <w:t>Radarrendszerek</w:t>
      </w:r>
    </w:p>
    <w:p w:rsidR="005624E3" w:rsidRPr="00921ED0" w:rsidRDefault="005624E3" w:rsidP="005624E3">
      <w:pPr>
        <w:widowControl w:val="0"/>
        <w:spacing w:line="240" w:lineRule="atLeast"/>
        <w:ind w:left="992"/>
        <w:rPr>
          <w:rFonts w:cs="Arial"/>
          <w:szCs w:val="20"/>
        </w:rPr>
      </w:pPr>
      <w:r w:rsidRPr="00921ED0">
        <w:t>A belvízi hajók fedélzetén használt navigációs radarberendezésekre vonatkozó minimumkövetelmények és vizsgálati feltételek (az ES-TRIN 5. mellékletének I. szakasza) mellett a radarrendszernek meg kell felelnie az alábbi követelményeknek.</w:t>
      </w:r>
    </w:p>
    <w:p w:rsidR="005624E3" w:rsidRPr="00921ED0" w:rsidRDefault="005624E3" w:rsidP="005624E3">
      <w:pPr>
        <w:widowControl w:val="0"/>
        <w:spacing w:before="60" w:line="240" w:lineRule="atLeast"/>
        <w:ind w:left="992"/>
        <w:rPr>
          <w:rFonts w:cs="Arial"/>
          <w:szCs w:val="20"/>
        </w:rPr>
      </w:pPr>
      <w:r w:rsidRPr="00921ED0">
        <w:t>2.</w:t>
      </w:r>
      <w:r w:rsidRPr="00921ED0">
        <w:tab/>
        <w:t>Antenna hosszúsága</w:t>
      </w:r>
    </w:p>
    <w:p w:rsidR="005624E3" w:rsidRPr="00921ED0" w:rsidRDefault="005624E3" w:rsidP="005624E3">
      <w:pPr>
        <w:widowControl w:val="0"/>
        <w:spacing w:line="240" w:lineRule="atLeast"/>
        <w:ind w:left="992"/>
        <w:rPr>
          <w:rFonts w:cs="Arial"/>
          <w:szCs w:val="20"/>
        </w:rPr>
      </w:pPr>
      <w:r w:rsidRPr="00921ED0">
        <w:t>legalább 1,80 m.</w:t>
      </w:r>
    </w:p>
    <w:p w:rsidR="005624E3" w:rsidRPr="00921ED0" w:rsidRDefault="005624E3" w:rsidP="005624E3">
      <w:pPr>
        <w:widowControl w:val="0"/>
        <w:spacing w:before="60" w:line="240" w:lineRule="atLeast"/>
        <w:ind w:left="992"/>
        <w:rPr>
          <w:rFonts w:cs="Arial"/>
          <w:szCs w:val="20"/>
        </w:rPr>
      </w:pPr>
      <w:r w:rsidRPr="00921ED0">
        <w:t>3.</w:t>
      </w:r>
      <w:r w:rsidRPr="00921ED0">
        <w:tab/>
        <w:t>Felbontás (közelzóna)</w:t>
      </w:r>
    </w:p>
    <w:p w:rsidR="005624E3" w:rsidRPr="00921ED0" w:rsidRDefault="005624E3" w:rsidP="005624E3">
      <w:pPr>
        <w:widowControl w:val="0"/>
        <w:spacing w:line="240" w:lineRule="atLeast"/>
        <w:ind w:left="992"/>
        <w:rPr>
          <w:rFonts w:cs="Arial"/>
          <w:szCs w:val="20"/>
        </w:rPr>
      </w:pPr>
      <w:r w:rsidRPr="00921ED0">
        <w:t>≤ 15 m.</w:t>
      </w:r>
    </w:p>
    <w:p w:rsidR="005624E3" w:rsidRPr="00921ED0" w:rsidRDefault="005624E3" w:rsidP="005624E3">
      <w:pPr>
        <w:widowControl w:val="0"/>
        <w:spacing w:before="60" w:line="240" w:lineRule="atLeast"/>
        <w:ind w:left="992"/>
        <w:rPr>
          <w:rFonts w:cs="Arial"/>
          <w:szCs w:val="20"/>
        </w:rPr>
      </w:pPr>
      <w:r w:rsidRPr="00921ED0">
        <w:t>4.</w:t>
      </w:r>
      <w:r w:rsidRPr="00921ED0">
        <w:tab/>
        <w:t>Radiális felbontás</w:t>
      </w:r>
    </w:p>
    <w:p w:rsidR="005624E3" w:rsidRPr="00921ED0" w:rsidRDefault="005624E3" w:rsidP="005624E3">
      <w:pPr>
        <w:widowControl w:val="0"/>
        <w:spacing w:line="240" w:lineRule="atLeast"/>
        <w:ind w:left="992"/>
        <w:rPr>
          <w:rFonts w:cs="Arial"/>
          <w:szCs w:val="20"/>
        </w:rPr>
      </w:pPr>
      <w:r w:rsidRPr="00921ED0">
        <w:t>impulzus-időtartam ≤ 5 m; impulzusköz ≤ 15 m.</w:t>
      </w:r>
    </w:p>
    <w:p w:rsidR="005624E3" w:rsidRPr="00921ED0" w:rsidRDefault="005624E3" w:rsidP="005624E3">
      <w:pPr>
        <w:widowControl w:val="0"/>
        <w:spacing w:before="60" w:line="240" w:lineRule="atLeast"/>
        <w:ind w:left="992"/>
        <w:rPr>
          <w:rFonts w:cs="Arial"/>
          <w:szCs w:val="20"/>
        </w:rPr>
      </w:pPr>
      <w:r w:rsidRPr="00921ED0">
        <w:t>5.</w:t>
      </w:r>
      <w:r w:rsidRPr="00921ED0">
        <w:tab/>
        <w:t>Azimutális felbontás</w:t>
      </w:r>
    </w:p>
    <w:p w:rsidR="005624E3" w:rsidRPr="00921ED0" w:rsidRDefault="005624E3" w:rsidP="005624E3">
      <w:pPr>
        <w:widowControl w:val="0"/>
        <w:spacing w:line="240" w:lineRule="atLeast"/>
        <w:ind w:left="992"/>
        <w:rPr>
          <w:rFonts w:cs="Arial"/>
          <w:szCs w:val="20"/>
        </w:rPr>
      </w:pPr>
      <w:r w:rsidRPr="00921ED0">
        <w:t>≤ 1,2 °.</w:t>
      </w:r>
    </w:p>
    <w:p w:rsidR="005624E3" w:rsidRPr="00921ED0" w:rsidRDefault="005624E3" w:rsidP="005624E3">
      <w:pPr>
        <w:widowControl w:val="0"/>
        <w:spacing w:before="60" w:line="240" w:lineRule="atLeast"/>
        <w:ind w:left="992"/>
        <w:rPr>
          <w:rFonts w:cs="Arial"/>
          <w:szCs w:val="20"/>
        </w:rPr>
      </w:pPr>
      <w:r w:rsidRPr="00921ED0">
        <w:t>6.</w:t>
      </w:r>
      <w:r w:rsidRPr="00921ED0">
        <w:tab/>
        <w:t>Antenna magassága</w:t>
      </w:r>
    </w:p>
    <w:p w:rsidR="005624E3" w:rsidRPr="00921ED0" w:rsidRDefault="005624E3" w:rsidP="005624E3">
      <w:pPr>
        <w:widowControl w:val="0"/>
        <w:spacing w:line="240" w:lineRule="atLeast"/>
        <w:ind w:left="992"/>
        <w:rPr>
          <w:rFonts w:cs="Arial"/>
          <w:szCs w:val="20"/>
        </w:rPr>
      </w:pPr>
      <w:r w:rsidRPr="00921ED0">
        <w:t>Az antenna magasságát a hajó magassága és a rakomány határozza meg. Az antennának legalább 3 m-rel a fedélzet magassága felett kell lennie az antenna forgásából eredő balesetek megelőzése érdekében.</w:t>
      </w:r>
    </w:p>
    <w:p w:rsidR="005624E3" w:rsidRPr="00921ED0" w:rsidRDefault="005624E3" w:rsidP="005624E3">
      <w:pPr>
        <w:widowControl w:val="0"/>
        <w:spacing w:before="60" w:line="240" w:lineRule="atLeast"/>
        <w:ind w:left="992"/>
        <w:rPr>
          <w:rFonts w:cs="Arial"/>
          <w:szCs w:val="20"/>
        </w:rPr>
      </w:pPr>
      <w:r w:rsidRPr="00921ED0">
        <w:t>7.</w:t>
      </w:r>
      <w:r w:rsidRPr="00921ED0">
        <w:tab/>
        <w:t>Típus</w:t>
      </w:r>
    </w:p>
    <w:p w:rsidR="005624E3" w:rsidRPr="00921ED0" w:rsidRDefault="005624E3" w:rsidP="005624E3">
      <w:pPr>
        <w:widowControl w:val="0"/>
        <w:spacing w:line="240" w:lineRule="atLeast"/>
        <w:ind w:left="992"/>
        <w:rPr>
          <w:rFonts w:cs="Arial"/>
          <w:szCs w:val="20"/>
        </w:rPr>
      </w:pPr>
      <w:r w:rsidRPr="00921ED0">
        <w:t xml:space="preserve">TFT-síkképernyős, álló formátumú monitort kell használni. </w:t>
      </w:r>
    </w:p>
    <w:p w:rsidR="005624E3" w:rsidRPr="00921ED0" w:rsidRDefault="005624E3" w:rsidP="005624E3">
      <w:pPr>
        <w:widowControl w:val="0"/>
        <w:spacing w:before="60" w:line="240" w:lineRule="atLeast"/>
        <w:ind w:left="992"/>
        <w:rPr>
          <w:rFonts w:cs="Arial"/>
          <w:szCs w:val="20"/>
        </w:rPr>
      </w:pPr>
      <w:r w:rsidRPr="00921ED0">
        <w:t>8.</w:t>
      </w:r>
      <w:r w:rsidRPr="00921ED0">
        <w:tab/>
        <w:t>Képméret</w:t>
      </w:r>
    </w:p>
    <w:p w:rsidR="005624E3" w:rsidRPr="00921ED0" w:rsidRDefault="005624E3" w:rsidP="005624E3">
      <w:pPr>
        <w:widowControl w:val="0"/>
        <w:spacing w:line="240" w:lineRule="atLeast"/>
        <w:ind w:left="992"/>
        <w:rPr>
          <w:rFonts w:cs="Arial"/>
          <w:szCs w:val="20"/>
        </w:rPr>
      </w:pPr>
      <w:r w:rsidRPr="00921ED0">
        <w:t>A képernyő rövidebb oldalának legalább 270 mm-nek kell lennie.</w:t>
      </w:r>
    </w:p>
    <w:p w:rsidR="005624E3" w:rsidRPr="00921ED0" w:rsidRDefault="005624E3" w:rsidP="005624E3">
      <w:pPr>
        <w:widowControl w:val="0"/>
        <w:spacing w:before="60" w:line="240" w:lineRule="atLeast"/>
        <w:ind w:left="992"/>
        <w:rPr>
          <w:rFonts w:cs="Arial"/>
          <w:szCs w:val="20"/>
        </w:rPr>
      </w:pPr>
      <w:r w:rsidRPr="00921ED0">
        <w:t>9.</w:t>
      </w:r>
      <w:r w:rsidRPr="00921ED0">
        <w:tab/>
        <w:t>Felbontás</w:t>
      </w:r>
    </w:p>
    <w:p w:rsidR="005624E3" w:rsidRPr="00921ED0" w:rsidRDefault="005624E3" w:rsidP="005624E3">
      <w:pPr>
        <w:widowControl w:val="0"/>
        <w:spacing w:line="240" w:lineRule="atLeast"/>
        <w:ind w:left="992"/>
        <w:rPr>
          <w:rFonts w:cs="Arial"/>
          <w:szCs w:val="20"/>
        </w:rPr>
      </w:pPr>
      <w:r w:rsidRPr="00921ED0">
        <w:t>A monitor felbontásának mindkét irányban azonosnak kell lennie, a képpontoknak pedig négyzet alakúaknak kell lenniük. A rövidebb oldalnak legalább 1024 képpontból kell állnia (jellemző az 1024 × 1280 képpontból álló kép).</w:t>
      </w:r>
    </w:p>
    <w:p w:rsidR="005624E3" w:rsidRPr="00921ED0" w:rsidRDefault="005624E3" w:rsidP="005624E3">
      <w:pPr>
        <w:widowControl w:val="0"/>
        <w:spacing w:before="60" w:line="240" w:lineRule="atLeast"/>
        <w:ind w:left="992"/>
        <w:rPr>
          <w:rFonts w:cs="Arial"/>
          <w:szCs w:val="20"/>
        </w:rPr>
      </w:pPr>
      <w:r w:rsidRPr="00921ED0">
        <w:t>10.</w:t>
      </w:r>
      <w:r w:rsidRPr="00921ED0">
        <w:tab/>
        <w:t>Fényerő</w:t>
      </w:r>
    </w:p>
    <w:p w:rsidR="005624E3" w:rsidRPr="00921ED0" w:rsidRDefault="005624E3" w:rsidP="005624E3">
      <w:pPr>
        <w:widowControl w:val="0"/>
        <w:spacing w:line="240" w:lineRule="atLeast"/>
        <w:ind w:left="992"/>
        <w:rPr>
          <w:rFonts w:cs="Arial"/>
          <w:szCs w:val="20"/>
        </w:rPr>
      </w:pPr>
      <w:r w:rsidRPr="00921ED0">
        <w:t>Minimális fényerő: FG ≤ 15 cd/m²; BG ≤ 5 cd/m².</w:t>
      </w:r>
    </w:p>
    <w:p w:rsidR="005624E3" w:rsidRPr="00921ED0" w:rsidRDefault="005624E3" w:rsidP="005624E3">
      <w:pPr>
        <w:widowControl w:val="0"/>
        <w:spacing w:before="60" w:line="240" w:lineRule="atLeast"/>
        <w:ind w:left="992"/>
        <w:rPr>
          <w:rFonts w:cs="Arial"/>
          <w:szCs w:val="20"/>
        </w:rPr>
      </w:pPr>
      <w:r w:rsidRPr="00921ED0">
        <w:t>11.</w:t>
      </w:r>
      <w:r w:rsidRPr="00921ED0">
        <w:tab/>
        <w:t>A monitor elhelyezése/működtetése</w:t>
      </w:r>
    </w:p>
    <w:p w:rsidR="005624E3" w:rsidRPr="00921ED0" w:rsidRDefault="005624E3" w:rsidP="005624E3">
      <w:pPr>
        <w:spacing w:line="240" w:lineRule="atLeast"/>
        <w:ind w:left="993"/>
        <w:rPr>
          <w:noProof/>
        </w:rPr>
      </w:pPr>
      <w:r w:rsidRPr="00921ED0">
        <w:t>A radarképernyőt és annak kezelőszerveit a belvízi hajók fedélzetén használt navigációs radarberendezések és fordulási szögsebességjelzők beszerelésére és teljesítménypróbájára vonatkozó követelményekkel (az ES-TRIN 5. melléklete III. szakaszának 5. cikke) összhangban kell felszerelni.</w:t>
      </w:r>
    </w:p>
    <w:p w:rsidR="005624E3" w:rsidRPr="00921ED0" w:rsidRDefault="005624E3" w:rsidP="005624E3">
      <w:pPr>
        <w:spacing w:line="240" w:lineRule="atLeast"/>
        <w:jc w:val="center"/>
        <w:rPr>
          <w:noProof/>
        </w:rPr>
      </w:pPr>
    </w:p>
    <w:p w:rsidR="005624E3" w:rsidRPr="00921ED0" w:rsidRDefault="005624E3" w:rsidP="005624E3">
      <w:pPr>
        <w:spacing w:line="240" w:lineRule="atLeast"/>
        <w:jc w:val="center"/>
        <w:rPr>
          <w:noProof/>
        </w:rPr>
      </w:pPr>
      <w:r w:rsidRPr="00921ED0">
        <w:br w:type="page"/>
      </w:r>
    </w:p>
    <w:p w:rsidR="005624E3" w:rsidRPr="00921ED0" w:rsidRDefault="005624E3" w:rsidP="005624E3">
      <w:pPr>
        <w:spacing w:line="240" w:lineRule="atLeast"/>
        <w:jc w:val="center"/>
        <w:rPr>
          <w:noProof/>
        </w:rPr>
      </w:pPr>
    </w:p>
    <w:p w:rsidR="005624E3" w:rsidRPr="00921ED0" w:rsidRDefault="005624E3" w:rsidP="005624E3">
      <w:pPr>
        <w:spacing w:line="240" w:lineRule="atLeast"/>
        <w:jc w:val="center"/>
        <w:rPr>
          <w:noProof/>
        </w:rPr>
      </w:pPr>
    </w:p>
    <w:p w:rsidR="005624E3" w:rsidRPr="00921ED0" w:rsidRDefault="005624E3" w:rsidP="005624E3">
      <w:pPr>
        <w:spacing w:line="240" w:lineRule="atLeast"/>
        <w:jc w:val="center"/>
        <w:rPr>
          <w:noProof/>
        </w:rPr>
      </w:pPr>
    </w:p>
    <w:p w:rsidR="005624E3" w:rsidRPr="00921ED0" w:rsidRDefault="005624E3" w:rsidP="005624E3">
      <w:pPr>
        <w:spacing w:line="240" w:lineRule="atLeast"/>
        <w:jc w:val="center"/>
        <w:rPr>
          <w:noProof/>
        </w:rPr>
      </w:pPr>
    </w:p>
    <w:p w:rsidR="005624E3" w:rsidRPr="00921ED0" w:rsidRDefault="005624E3" w:rsidP="005624E3">
      <w:pPr>
        <w:overflowPunct w:val="0"/>
        <w:adjustRightInd w:val="0"/>
        <w:textAlignment w:val="baseline"/>
        <w:rPr>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pPr>
      <w:bookmarkStart w:id="749" w:name="_Toc491854356"/>
      <w:bookmarkStart w:id="750" w:name="_Toc535854137"/>
      <w:r w:rsidRPr="00921ED0">
        <w:t>ESI-II-7</w:t>
      </w:r>
      <w:r w:rsidRPr="00921ED0">
        <w:br/>
        <w:t>Fáradtolajgyűjtő berendezések</w:t>
      </w:r>
      <w:bookmarkEnd w:id="749"/>
      <w:bookmarkEnd w:id="750"/>
    </w:p>
    <w:p w:rsidR="005624E3" w:rsidRPr="00921ED0" w:rsidRDefault="005624E3" w:rsidP="005624E3">
      <w:pPr>
        <w:tabs>
          <w:tab w:val="center" w:pos="4513"/>
        </w:tabs>
        <w:overflowPunct w:val="0"/>
        <w:adjustRightInd w:val="0"/>
        <w:jc w:val="center"/>
        <w:textAlignment w:val="baseline"/>
        <w:rPr>
          <w:b/>
          <w:szCs w:val="20"/>
        </w:rPr>
      </w:pPr>
    </w:p>
    <w:p w:rsidR="005624E3" w:rsidRPr="00921ED0" w:rsidRDefault="005624E3" w:rsidP="005624E3">
      <w:pPr>
        <w:tabs>
          <w:tab w:val="center" w:pos="4513"/>
        </w:tabs>
        <w:overflowPunct w:val="0"/>
        <w:adjustRightInd w:val="0"/>
        <w:jc w:val="center"/>
        <w:textAlignment w:val="baseline"/>
        <w:rPr>
          <w:b/>
          <w:szCs w:val="20"/>
        </w:rPr>
      </w:pPr>
      <w:r w:rsidRPr="00921ED0">
        <w:rPr>
          <w:b/>
        </w:rPr>
        <w:t>(8.09. cikk)</w:t>
      </w:r>
    </w:p>
    <w:p w:rsidR="005624E3" w:rsidRPr="00921ED0" w:rsidRDefault="005624E3" w:rsidP="005624E3">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rPr>
      </w:pPr>
    </w:p>
    <w:p w:rsidR="005624E3" w:rsidRPr="00921ED0" w:rsidRDefault="005624E3" w:rsidP="005624E3">
      <w:pPr>
        <w:spacing w:line="240" w:lineRule="atLeast"/>
        <w:rPr>
          <w:noProof/>
        </w:rPr>
      </w:pPr>
      <w:r w:rsidRPr="00921ED0">
        <w:t>A 32.02. cikk 1. bekezdésében említett azon meglévő hajók, amelyek géptereiből eltávolításra kerültek a tartósan beépített fenékvízszivattyúk és vízelvezető rendszerek, valamint statikus olajleválasztók, már nem felelnek meg a rajnai hajók 1994. december 31-én hatályban lévő szemleszabályzata 5.07. cikkének.</w:t>
      </w:r>
    </w:p>
    <w:p w:rsidR="005624E3" w:rsidRPr="00921ED0" w:rsidRDefault="005624E3" w:rsidP="005624E3">
      <w:pPr>
        <w:spacing w:line="240" w:lineRule="atLeast"/>
        <w:rPr>
          <w:noProof/>
        </w:rPr>
      </w:pPr>
    </w:p>
    <w:p w:rsidR="005624E3" w:rsidRPr="00921ED0" w:rsidRDefault="005624E3" w:rsidP="005624E3">
      <w:pPr>
        <w:spacing w:line="240" w:lineRule="atLeast"/>
        <w:rPr>
          <w:noProof/>
        </w:rPr>
      </w:pPr>
      <w:r w:rsidRPr="00921ED0">
        <w:t>Az átmeneti rendelkezésekkel összhangban ezeket a hajókat a 8.09. cikk 2. bekezdésében említett fáradtolajgyűjtő edénnyel kell felszerelni, kivéve a 8.09. cikk 3. bekezdésében említett esetet.</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r w:rsidRPr="00921ED0">
        <w:br w:type="page"/>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rPr>
          <w:snapToGrid w:val="0"/>
        </w:rPr>
      </w:pPr>
      <w:bookmarkStart w:id="751" w:name="_Toc491854357"/>
      <w:bookmarkStart w:id="752" w:name="_Toc535854138"/>
      <w:r w:rsidRPr="00921ED0">
        <w:t>ESI-II-8</w:t>
      </w:r>
      <w:r w:rsidRPr="00921ED0">
        <w:br/>
        <w:t>(Üres)</w:t>
      </w:r>
      <w:bookmarkEnd w:id="751"/>
      <w:bookmarkEnd w:id="752"/>
    </w:p>
    <w:p w:rsidR="005624E3" w:rsidRPr="00921ED0" w:rsidRDefault="005624E3" w:rsidP="005624E3">
      <w:pPr>
        <w:overflowPunct w:val="0"/>
        <w:adjustRightInd w:val="0"/>
        <w:textAlignment w:val="baseline"/>
        <w:rPr>
          <w:szCs w:val="20"/>
        </w:rPr>
      </w:pPr>
    </w:p>
    <w:p w:rsidR="005624E3" w:rsidRPr="00921ED0" w:rsidRDefault="005624E3" w:rsidP="005624E3">
      <w:pPr>
        <w:spacing w:line="240" w:lineRule="atLeast"/>
        <w:rPr>
          <w:rFonts w:cs="Arial"/>
          <w:color w:val="000000"/>
        </w:rPr>
      </w:pPr>
    </w:p>
    <w:p w:rsidR="005624E3" w:rsidRPr="00921ED0" w:rsidRDefault="005624E3" w:rsidP="005624E3">
      <w:pPr>
        <w:rPr>
          <w:rFonts w:cs="Arial"/>
          <w:color w:val="000000"/>
        </w:rPr>
      </w:pPr>
      <w:r w:rsidRPr="00921ED0">
        <w:br w:type="page"/>
      </w:r>
    </w:p>
    <w:p w:rsidR="005624E3" w:rsidRPr="00921ED0" w:rsidRDefault="005624E3" w:rsidP="005624E3">
      <w:pPr>
        <w:spacing w:line="240" w:lineRule="atLeast"/>
        <w:rPr>
          <w:rFonts w:cs="Arial"/>
          <w:color w:val="000000"/>
        </w:rPr>
      </w:pPr>
    </w:p>
    <w:p w:rsidR="005624E3" w:rsidRPr="00921ED0" w:rsidRDefault="005624E3" w:rsidP="005624E3">
      <w:pPr>
        <w:spacing w:line="240" w:lineRule="atLeast"/>
        <w:rPr>
          <w:rFonts w:cs="Arial"/>
          <w:color w:val="000000"/>
        </w:rPr>
      </w:pPr>
    </w:p>
    <w:p w:rsidR="005624E3" w:rsidRPr="00921ED0" w:rsidRDefault="005624E3" w:rsidP="005624E3">
      <w:pPr>
        <w:spacing w:line="240" w:lineRule="atLeast"/>
        <w:rPr>
          <w:rFonts w:cs="Arial"/>
          <w:color w:val="000000"/>
        </w:rPr>
      </w:pPr>
    </w:p>
    <w:p w:rsidR="005624E3" w:rsidRPr="00921ED0" w:rsidRDefault="005624E3" w:rsidP="005624E3">
      <w:pPr>
        <w:spacing w:line="240" w:lineRule="atLeast"/>
        <w:rPr>
          <w:rFonts w:cs="Arial"/>
          <w:color w:val="000000"/>
        </w:rPr>
      </w:pPr>
    </w:p>
    <w:p w:rsidR="005624E3" w:rsidRPr="00921ED0" w:rsidRDefault="005624E3" w:rsidP="005624E3">
      <w:pPr>
        <w:spacing w:line="240" w:lineRule="atLeast"/>
        <w:rPr>
          <w:rFonts w:cs="Arial"/>
          <w:color w:val="000000"/>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pPr>
      <w:bookmarkStart w:id="753" w:name="_Toc491854358"/>
      <w:bookmarkStart w:id="754" w:name="_Toc535854139"/>
      <w:r w:rsidRPr="00921ED0">
        <w:t>ESI-II-9</w:t>
      </w:r>
      <w:r w:rsidRPr="00921ED0">
        <w:br/>
        <w:t>Csökkentett tömegű különleges horgonyok</w:t>
      </w:r>
      <w:bookmarkEnd w:id="753"/>
      <w:bookmarkEnd w:id="754"/>
    </w:p>
    <w:p w:rsidR="005624E3" w:rsidRPr="00921ED0" w:rsidRDefault="005624E3" w:rsidP="005624E3">
      <w:pPr>
        <w:overflowPunct w:val="0"/>
        <w:adjustRightInd w:val="0"/>
        <w:textAlignment w:val="baseline"/>
        <w:rPr>
          <w:szCs w:val="20"/>
        </w:rPr>
      </w:pPr>
    </w:p>
    <w:p w:rsidR="005624E3" w:rsidRPr="00921ED0" w:rsidRDefault="005624E3" w:rsidP="005624E3">
      <w:pPr>
        <w:tabs>
          <w:tab w:val="left" w:pos="284"/>
          <w:tab w:val="left" w:pos="567"/>
        </w:tabs>
        <w:overflowPunct w:val="0"/>
        <w:adjustRightInd w:val="0"/>
        <w:jc w:val="center"/>
        <w:textAlignment w:val="baseline"/>
        <w:rPr>
          <w:szCs w:val="20"/>
        </w:rPr>
      </w:pPr>
      <w:r w:rsidRPr="00921ED0">
        <w:rPr>
          <w:b/>
        </w:rPr>
        <w:t>(13.01. cikk 5. bekezdés)</w:t>
      </w:r>
    </w:p>
    <w:p w:rsidR="005624E3" w:rsidRPr="00921ED0" w:rsidRDefault="005624E3" w:rsidP="005624E3">
      <w:pPr>
        <w:tabs>
          <w:tab w:val="left" w:pos="284"/>
          <w:tab w:val="left" w:pos="567"/>
        </w:tabs>
        <w:overflowPunct w:val="0"/>
        <w:adjustRightInd w:val="0"/>
        <w:textAlignment w:val="baseline"/>
        <w:rPr>
          <w:szCs w:val="20"/>
        </w:rPr>
      </w:pPr>
    </w:p>
    <w:p w:rsidR="005624E3" w:rsidRPr="00921ED0" w:rsidRDefault="005624E3" w:rsidP="005624E3">
      <w:pPr>
        <w:tabs>
          <w:tab w:val="left" w:pos="284"/>
          <w:tab w:val="left" w:pos="567"/>
        </w:tabs>
        <w:overflowPunct w:val="0"/>
        <w:adjustRightInd w:val="0"/>
        <w:ind w:left="284" w:hanging="284"/>
        <w:textAlignment w:val="baseline"/>
        <w:rPr>
          <w:b/>
          <w:szCs w:val="20"/>
        </w:rPr>
      </w:pPr>
      <w:r w:rsidRPr="00921ED0">
        <w:rPr>
          <w:b/>
        </w:rPr>
        <w:t>1. szakasz</w:t>
      </w:r>
    </w:p>
    <w:p w:rsidR="005624E3" w:rsidRPr="00921ED0" w:rsidRDefault="005624E3" w:rsidP="005624E3">
      <w:pPr>
        <w:tabs>
          <w:tab w:val="left" w:pos="284"/>
          <w:tab w:val="left" w:pos="567"/>
        </w:tabs>
        <w:overflowPunct w:val="0"/>
        <w:adjustRightInd w:val="0"/>
        <w:ind w:left="284" w:hanging="284"/>
        <w:textAlignment w:val="baseline"/>
        <w:rPr>
          <w:b/>
          <w:szCs w:val="20"/>
        </w:rPr>
      </w:pPr>
    </w:p>
    <w:p w:rsidR="005624E3" w:rsidRPr="00921ED0" w:rsidRDefault="005624E3" w:rsidP="005624E3">
      <w:pPr>
        <w:tabs>
          <w:tab w:val="left" w:pos="284"/>
          <w:tab w:val="left" w:pos="567"/>
        </w:tabs>
        <w:overflowPunct w:val="0"/>
        <w:adjustRightInd w:val="0"/>
        <w:ind w:left="284" w:hanging="284"/>
        <w:textAlignment w:val="baseline"/>
        <w:rPr>
          <w:szCs w:val="20"/>
        </w:rPr>
      </w:pPr>
      <w:r w:rsidRPr="00921ED0">
        <w:rPr>
          <w:b/>
        </w:rPr>
        <w:t>Engedélyezett különleges horgonyok</w:t>
      </w:r>
    </w:p>
    <w:p w:rsidR="005624E3" w:rsidRPr="00921ED0" w:rsidRDefault="005624E3" w:rsidP="005624E3">
      <w:pPr>
        <w:tabs>
          <w:tab w:val="left" w:pos="284"/>
          <w:tab w:val="left" w:pos="567"/>
        </w:tabs>
        <w:overflowPunct w:val="0"/>
        <w:adjustRightInd w:val="0"/>
        <w:ind w:left="284" w:hanging="284"/>
        <w:textAlignment w:val="baseline"/>
        <w:rPr>
          <w:szCs w:val="20"/>
        </w:rPr>
      </w:pPr>
    </w:p>
    <w:p w:rsidR="005624E3" w:rsidRPr="00921ED0" w:rsidRDefault="005624E3" w:rsidP="005624E3">
      <w:pPr>
        <w:tabs>
          <w:tab w:val="left" w:pos="0"/>
          <w:tab w:val="left" w:pos="567"/>
        </w:tabs>
        <w:overflowPunct w:val="0"/>
        <w:adjustRightInd w:val="0"/>
        <w:textAlignment w:val="baseline"/>
        <w:rPr>
          <w:szCs w:val="20"/>
        </w:rPr>
      </w:pPr>
      <w:r w:rsidRPr="00921ED0">
        <w:t>Az illetékes hatóságok által a 13.01. cikk 5. bekezdése szerint engedélyezett csökkentett tömegű különleges horgonyokat az alábbi táblázat ismerteti.</w:t>
      </w:r>
    </w:p>
    <w:p w:rsidR="005624E3" w:rsidRPr="00921ED0" w:rsidRDefault="005624E3" w:rsidP="005624E3">
      <w:pPr>
        <w:tabs>
          <w:tab w:val="left" w:pos="284"/>
          <w:tab w:val="left" w:pos="567"/>
        </w:tabs>
        <w:overflowPunct w:val="0"/>
        <w:adjustRightInd w:val="0"/>
        <w:ind w:left="284" w:hanging="284"/>
        <w:textAlignment w:val="baseline"/>
        <w:rPr>
          <w:szCs w:val="20"/>
        </w:rPr>
      </w:pPr>
    </w:p>
    <w:tbl>
      <w:tblPr>
        <w:tblW w:w="0" w:type="auto"/>
        <w:jc w:val="center"/>
        <w:tblLayout w:type="fixed"/>
        <w:tblCellMar>
          <w:left w:w="0" w:type="dxa"/>
          <w:right w:w="0" w:type="dxa"/>
        </w:tblCellMar>
        <w:tblLook w:val="0000" w:firstRow="0" w:lastRow="0" w:firstColumn="0" w:lastColumn="0" w:noHBand="0" w:noVBand="0"/>
      </w:tblPr>
      <w:tblGrid>
        <w:gridCol w:w="2948"/>
        <w:gridCol w:w="2778"/>
        <w:gridCol w:w="2552"/>
      </w:tblGrid>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tabs>
                <w:tab w:val="center" w:pos="1464"/>
              </w:tabs>
              <w:overflowPunct w:val="0"/>
              <w:adjustRightInd w:val="0"/>
              <w:spacing w:before="100" w:after="100" w:line="240" w:lineRule="atLeast"/>
              <w:jc w:val="center"/>
              <w:textAlignment w:val="baseline"/>
              <w:rPr>
                <w:sz w:val="18"/>
                <w:szCs w:val="20"/>
              </w:rPr>
            </w:pPr>
            <w:r w:rsidRPr="00921ED0">
              <w:rPr>
                <w:sz w:val="18"/>
              </w:rPr>
              <w:t>Horgony sorszáma</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center" w:pos="1445"/>
              </w:tabs>
              <w:overflowPunct w:val="0"/>
              <w:adjustRightInd w:val="0"/>
              <w:spacing w:before="100" w:after="100" w:line="240" w:lineRule="atLeast"/>
              <w:jc w:val="center"/>
              <w:textAlignment w:val="baseline"/>
              <w:rPr>
                <w:sz w:val="18"/>
                <w:szCs w:val="20"/>
              </w:rPr>
            </w:pPr>
            <w:r w:rsidRPr="00921ED0">
              <w:rPr>
                <w:sz w:val="18"/>
              </w:rPr>
              <w:t>A horgony tömegének engedélyezett csökkentése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Illetékes hatóság</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8" w:right="113"/>
              <w:textAlignment w:val="baseline"/>
              <w:rPr>
                <w:sz w:val="18"/>
                <w:szCs w:val="20"/>
              </w:rPr>
            </w:pPr>
            <w:r w:rsidRPr="00921ED0">
              <w:rPr>
                <w:sz w:val="18"/>
              </w:rPr>
              <w:t>1.</w:t>
            </w:r>
            <w:r w:rsidRPr="00921ED0">
              <w:tab/>
            </w:r>
            <w:r w:rsidRPr="00921ED0">
              <w:rPr>
                <w:noProof/>
                <w:sz w:val="18"/>
              </w:rPr>
              <w:t>HA-DU</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30 %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 xml:space="preserve">Németország </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8" w:right="113"/>
              <w:textAlignment w:val="baseline"/>
              <w:rPr>
                <w:sz w:val="18"/>
                <w:szCs w:val="20"/>
              </w:rPr>
            </w:pPr>
            <w:r w:rsidRPr="00921ED0">
              <w:rPr>
                <w:sz w:val="18"/>
              </w:rPr>
              <w:t>2.</w:t>
            </w:r>
            <w:r w:rsidRPr="00921ED0">
              <w:tab/>
            </w:r>
            <w:r w:rsidRPr="00921ED0">
              <w:rPr>
                <w:noProof/>
                <w:sz w:val="18"/>
              </w:rPr>
              <w:t>D'Hone Spezial</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30 %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 xml:space="preserve">Németország </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8" w:right="113"/>
              <w:textAlignment w:val="baseline"/>
              <w:rPr>
                <w:sz w:val="18"/>
                <w:szCs w:val="20"/>
              </w:rPr>
            </w:pPr>
            <w:r w:rsidRPr="00921ED0">
              <w:rPr>
                <w:sz w:val="18"/>
              </w:rPr>
              <w:t>3.</w:t>
            </w:r>
            <w:r w:rsidRPr="00921ED0">
              <w:tab/>
            </w:r>
            <w:r w:rsidRPr="00921ED0">
              <w:rPr>
                <w:noProof/>
                <w:sz w:val="18"/>
              </w:rPr>
              <w:t>Pool 1 (üreges)</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35 %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 xml:space="preserve">Németország </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8" w:right="113"/>
              <w:textAlignment w:val="baseline"/>
              <w:rPr>
                <w:sz w:val="18"/>
                <w:szCs w:val="20"/>
              </w:rPr>
            </w:pPr>
            <w:r w:rsidRPr="00921ED0">
              <w:rPr>
                <w:sz w:val="18"/>
              </w:rPr>
              <w:t>4.</w:t>
            </w:r>
            <w:r w:rsidRPr="00921ED0">
              <w:tab/>
            </w:r>
            <w:r w:rsidRPr="00921ED0">
              <w:rPr>
                <w:noProof/>
                <w:sz w:val="18"/>
              </w:rPr>
              <w:t>Pool 2 (tömör)</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40 %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 xml:space="preserve">Németország </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8" w:right="113"/>
              <w:textAlignment w:val="baseline"/>
              <w:rPr>
                <w:sz w:val="18"/>
                <w:szCs w:val="20"/>
              </w:rPr>
            </w:pPr>
            <w:r w:rsidRPr="00921ED0">
              <w:rPr>
                <w:sz w:val="18"/>
              </w:rPr>
              <w:t>5.</w:t>
            </w:r>
            <w:r w:rsidRPr="00921ED0">
              <w:tab/>
            </w:r>
            <w:r w:rsidRPr="00921ED0">
              <w:rPr>
                <w:noProof/>
                <w:sz w:val="18"/>
              </w:rPr>
              <w:t>De Biesbosch-Danforth</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50 %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 xml:space="preserve">Németország </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8" w:right="113"/>
              <w:textAlignment w:val="baseline"/>
              <w:rPr>
                <w:sz w:val="18"/>
                <w:szCs w:val="20"/>
              </w:rPr>
            </w:pPr>
            <w:r w:rsidRPr="00921ED0">
              <w:rPr>
                <w:sz w:val="18"/>
              </w:rPr>
              <w:t>6.</w:t>
            </w:r>
            <w:r w:rsidRPr="00921ED0">
              <w:tab/>
            </w:r>
            <w:r w:rsidRPr="00921ED0">
              <w:rPr>
                <w:noProof/>
                <w:sz w:val="18"/>
              </w:rPr>
              <w:t>Vicinay-Danforth</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50 %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 xml:space="preserve">Franciaország </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8" w:right="113"/>
              <w:textAlignment w:val="baseline"/>
              <w:rPr>
                <w:sz w:val="18"/>
                <w:szCs w:val="20"/>
              </w:rPr>
            </w:pPr>
            <w:r w:rsidRPr="00921ED0">
              <w:rPr>
                <w:sz w:val="18"/>
              </w:rPr>
              <w:t>7.</w:t>
            </w:r>
            <w:r w:rsidRPr="00921ED0">
              <w:tab/>
            </w:r>
            <w:r w:rsidRPr="00921ED0">
              <w:rPr>
                <w:noProof/>
                <w:sz w:val="18"/>
              </w:rPr>
              <w:t>Vicinay AC 14</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25 %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Franciaország</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8" w:right="113"/>
              <w:textAlignment w:val="baseline"/>
              <w:rPr>
                <w:sz w:val="18"/>
                <w:szCs w:val="20"/>
              </w:rPr>
            </w:pPr>
            <w:r w:rsidRPr="00921ED0">
              <w:rPr>
                <w:sz w:val="18"/>
              </w:rPr>
              <w:t>8.</w:t>
            </w:r>
            <w:r w:rsidRPr="00921ED0">
              <w:tab/>
            </w:r>
            <w:r w:rsidRPr="00921ED0">
              <w:rPr>
                <w:noProof/>
                <w:sz w:val="18"/>
              </w:rPr>
              <w:t>Vicinay 1. típus</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45 %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Franciaország</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8" w:right="113"/>
              <w:textAlignment w:val="baseline"/>
              <w:rPr>
                <w:sz w:val="18"/>
                <w:szCs w:val="20"/>
              </w:rPr>
            </w:pPr>
            <w:r w:rsidRPr="00921ED0">
              <w:rPr>
                <w:sz w:val="18"/>
              </w:rPr>
              <w:t>9.</w:t>
            </w:r>
            <w:r w:rsidRPr="00921ED0">
              <w:tab/>
            </w:r>
            <w:r w:rsidRPr="00921ED0">
              <w:rPr>
                <w:noProof/>
                <w:sz w:val="18"/>
              </w:rPr>
              <w:t>Vicinay 2. típus</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45 %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Franciaország</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9" w:right="113" w:hanging="482"/>
              <w:textAlignment w:val="baseline"/>
              <w:rPr>
                <w:sz w:val="18"/>
                <w:szCs w:val="20"/>
              </w:rPr>
            </w:pPr>
            <w:r w:rsidRPr="00921ED0">
              <w:rPr>
                <w:sz w:val="18"/>
              </w:rPr>
              <w:t>10.</w:t>
            </w:r>
            <w:r w:rsidRPr="00921ED0">
              <w:tab/>
            </w:r>
            <w:r w:rsidRPr="00921ED0">
              <w:rPr>
                <w:noProof/>
                <w:sz w:val="18"/>
              </w:rPr>
              <w:t>Vicinay 3. típus</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40 %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Franciaország</w:t>
            </w:r>
          </w:p>
        </w:tc>
      </w:tr>
      <w:tr w:rsidR="005624E3" w:rsidRPr="00921ED0" w:rsidTr="00101A80">
        <w:trPr>
          <w:jc w:val="center"/>
        </w:trPr>
        <w:tc>
          <w:tcPr>
            <w:tcW w:w="2948" w:type="dxa"/>
            <w:tcBorders>
              <w:top w:val="single" w:sz="6" w:space="0" w:color="auto"/>
              <w:left w:val="single" w:sz="6" w:space="0" w:color="auto"/>
              <w:bottom w:val="nil"/>
              <w:right w:val="nil"/>
            </w:tcBorders>
            <w:vAlign w:val="center"/>
          </w:tcPr>
          <w:p w:rsidR="005624E3" w:rsidRPr="00921ED0" w:rsidRDefault="005624E3" w:rsidP="00101A80">
            <w:pPr>
              <w:overflowPunct w:val="0"/>
              <w:adjustRightInd w:val="0"/>
              <w:spacing w:before="100" w:after="100" w:line="240" w:lineRule="atLeast"/>
              <w:ind w:left="539" w:right="113" w:hanging="482"/>
              <w:textAlignment w:val="baseline"/>
              <w:rPr>
                <w:sz w:val="18"/>
                <w:szCs w:val="20"/>
              </w:rPr>
            </w:pPr>
            <w:r w:rsidRPr="00921ED0">
              <w:rPr>
                <w:sz w:val="18"/>
              </w:rPr>
              <w:t>11.</w:t>
            </w:r>
            <w:r w:rsidRPr="00921ED0">
              <w:tab/>
            </w:r>
            <w:r w:rsidRPr="00921ED0">
              <w:rPr>
                <w:noProof/>
                <w:sz w:val="18"/>
              </w:rPr>
              <w:t>Stockes</w:t>
            </w:r>
          </w:p>
        </w:tc>
        <w:tc>
          <w:tcPr>
            <w:tcW w:w="2778" w:type="dxa"/>
            <w:tcBorders>
              <w:top w:val="single" w:sz="6" w:space="0" w:color="auto"/>
              <w:left w:val="single" w:sz="6" w:space="0" w:color="auto"/>
              <w:bottom w:val="nil"/>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35 %</w:t>
            </w:r>
          </w:p>
        </w:tc>
        <w:tc>
          <w:tcPr>
            <w:tcW w:w="2552" w:type="dxa"/>
            <w:tcBorders>
              <w:top w:val="single" w:sz="6" w:space="0" w:color="auto"/>
              <w:left w:val="single" w:sz="6" w:space="0" w:color="auto"/>
              <w:bottom w:val="nil"/>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Franciaország</w:t>
            </w:r>
          </w:p>
        </w:tc>
      </w:tr>
      <w:tr w:rsidR="005624E3" w:rsidRPr="00921ED0" w:rsidTr="00101A80">
        <w:trPr>
          <w:jc w:val="center"/>
        </w:trPr>
        <w:tc>
          <w:tcPr>
            <w:tcW w:w="2948" w:type="dxa"/>
            <w:tcBorders>
              <w:top w:val="single" w:sz="6" w:space="0" w:color="auto"/>
              <w:left w:val="single" w:sz="6" w:space="0" w:color="auto"/>
              <w:bottom w:val="single" w:sz="4" w:space="0" w:color="auto"/>
              <w:right w:val="nil"/>
            </w:tcBorders>
            <w:vAlign w:val="center"/>
          </w:tcPr>
          <w:p w:rsidR="005624E3" w:rsidRPr="00921ED0" w:rsidRDefault="005624E3" w:rsidP="00101A80">
            <w:pPr>
              <w:overflowPunct w:val="0"/>
              <w:adjustRightInd w:val="0"/>
              <w:spacing w:before="100" w:after="100" w:line="240" w:lineRule="atLeast"/>
              <w:ind w:left="539" w:right="113" w:hanging="482"/>
              <w:textAlignment w:val="baseline"/>
              <w:rPr>
                <w:sz w:val="18"/>
                <w:szCs w:val="20"/>
              </w:rPr>
            </w:pPr>
            <w:r w:rsidRPr="00921ED0">
              <w:rPr>
                <w:sz w:val="18"/>
              </w:rPr>
              <w:t>12.</w:t>
            </w:r>
            <w:r w:rsidRPr="00921ED0">
              <w:tab/>
            </w:r>
            <w:r w:rsidRPr="00921ED0">
              <w:rPr>
                <w:noProof/>
                <w:sz w:val="18"/>
              </w:rPr>
              <w:t>D'Hone-Danforth</w:t>
            </w:r>
          </w:p>
        </w:tc>
        <w:tc>
          <w:tcPr>
            <w:tcW w:w="2778" w:type="dxa"/>
            <w:tcBorders>
              <w:top w:val="single" w:sz="6" w:space="0" w:color="auto"/>
              <w:left w:val="single" w:sz="6" w:space="0" w:color="auto"/>
              <w:bottom w:val="single" w:sz="4" w:space="0" w:color="auto"/>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50 %</w:t>
            </w:r>
          </w:p>
        </w:tc>
        <w:tc>
          <w:tcPr>
            <w:tcW w:w="2552" w:type="dxa"/>
            <w:tcBorders>
              <w:top w:val="single" w:sz="6" w:space="0" w:color="auto"/>
              <w:left w:val="single" w:sz="6" w:space="0" w:color="auto"/>
              <w:bottom w:val="single" w:sz="4" w:space="0" w:color="auto"/>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 xml:space="preserve">Németország </w:t>
            </w:r>
          </w:p>
        </w:tc>
      </w:tr>
      <w:tr w:rsidR="005624E3" w:rsidRPr="00921ED0" w:rsidTr="00101A80">
        <w:trPr>
          <w:jc w:val="center"/>
        </w:trPr>
        <w:tc>
          <w:tcPr>
            <w:tcW w:w="2948" w:type="dxa"/>
            <w:tcBorders>
              <w:top w:val="single" w:sz="4" w:space="0" w:color="auto"/>
              <w:left w:val="single" w:sz="6" w:space="0" w:color="auto"/>
              <w:bottom w:val="single" w:sz="6" w:space="0" w:color="auto"/>
              <w:right w:val="nil"/>
            </w:tcBorders>
            <w:vAlign w:val="center"/>
          </w:tcPr>
          <w:p w:rsidR="005624E3" w:rsidRPr="00921ED0" w:rsidRDefault="005624E3" w:rsidP="00101A80">
            <w:pPr>
              <w:overflowPunct w:val="0"/>
              <w:adjustRightInd w:val="0"/>
              <w:spacing w:before="100" w:after="100" w:line="240" w:lineRule="atLeast"/>
              <w:ind w:left="539" w:right="113" w:hanging="482"/>
              <w:textAlignment w:val="baseline"/>
              <w:rPr>
                <w:sz w:val="18"/>
                <w:szCs w:val="20"/>
              </w:rPr>
            </w:pPr>
            <w:r w:rsidRPr="00921ED0">
              <w:rPr>
                <w:sz w:val="18"/>
              </w:rPr>
              <w:t>13.</w:t>
            </w:r>
            <w:r w:rsidRPr="00921ED0">
              <w:tab/>
            </w:r>
            <w:r w:rsidRPr="00921ED0">
              <w:rPr>
                <w:noProof/>
                <w:sz w:val="18"/>
              </w:rPr>
              <w:t>Schmitt széleskapás horgony</w:t>
            </w:r>
          </w:p>
        </w:tc>
        <w:tc>
          <w:tcPr>
            <w:tcW w:w="2778" w:type="dxa"/>
            <w:tcBorders>
              <w:top w:val="single" w:sz="4" w:space="0" w:color="auto"/>
              <w:left w:val="single" w:sz="6" w:space="0" w:color="auto"/>
              <w:bottom w:val="single" w:sz="6" w:space="0" w:color="auto"/>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40 %</w:t>
            </w:r>
          </w:p>
        </w:tc>
        <w:tc>
          <w:tcPr>
            <w:tcW w:w="2552" w:type="dxa"/>
            <w:tcBorders>
              <w:top w:val="single" w:sz="4" w:space="0" w:color="auto"/>
              <w:left w:val="single" w:sz="6" w:space="0" w:color="auto"/>
              <w:bottom w:val="single" w:sz="6" w:space="0" w:color="auto"/>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Hollandia</w:t>
            </w:r>
          </w:p>
        </w:tc>
      </w:tr>
      <w:tr w:rsidR="005624E3" w:rsidRPr="00921ED0" w:rsidTr="00101A80">
        <w:trPr>
          <w:jc w:val="center"/>
        </w:trPr>
        <w:tc>
          <w:tcPr>
            <w:tcW w:w="2948" w:type="dxa"/>
            <w:tcBorders>
              <w:top w:val="single" w:sz="4" w:space="0" w:color="auto"/>
              <w:left w:val="single" w:sz="6" w:space="0" w:color="auto"/>
              <w:bottom w:val="single" w:sz="6" w:space="0" w:color="auto"/>
              <w:right w:val="nil"/>
            </w:tcBorders>
            <w:vAlign w:val="center"/>
          </w:tcPr>
          <w:p w:rsidR="005624E3" w:rsidRPr="00921ED0" w:rsidRDefault="005624E3" w:rsidP="00101A80">
            <w:pPr>
              <w:overflowPunct w:val="0"/>
              <w:adjustRightInd w:val="0"/>
              <w:spacing w:before="100" w:after="100" w:line="240" w:lineRule="atLeast"/>
              <w:ind w:left="539" w:right="113" w:hanging="482"/>
              <w:textAlignment w:val="baseline"/>
              <w:rPr>
                <w:sz w:val="18"/>
                <w:szCs w:val="20"/>
              </w:rPr>
            </w:pPr>
            <w:r w:rsidRPr="00921ED0">
              <w:rPr>
                <w:sz w:val="18"/>
              </w:rPr>
              <w:t>14.</w:t>
            </w:r>
            <w:r w:rsidRPr="00921ED0">
              <w:tab/>
            </w:r>
            <w:r w:rsidRPr="00921ED0">
              <w:rPr>
                <w:noProof/>
                <w:sz w:val="18"/>
              </w:rPr>
              <w:t>SHI széleskapás horgony, ST típus (standard)</w:t>
            </w:r>
          </w:p>
        </w:tc>
        <w:tc>
          <w:tcPr>
            <w:tcW w:w="2778" w:type="dxa"/>
            <w:tcBorders>
              <w:top w:val="single" w:sz="4" w:space="0" w:color="auto"/>
              <w:left w:val="single" w:sz="6" w:space="0" w:color="auto"/>
              <w:bottom w:val="single" w:sz="6" w:space="0" w:color="auto"/>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rPr>
            </w:pPr>
            <w:r w:rsidRPr="00921ED0">
              <w:rPr>
                <w:sz w:val="18"/>
              </w:rPr>
              <w:t>30 %</w:t>
            </w:r>
          </w:p>
        </w:tc>
        <w:tc>
          <w:tcPr>
            <w:tcW w:w="2552" w:type="dxa"/>
            <w:tcBorders>
              <w:top w:val="single" w:sz="4" w:space="0" w:color="auto"/>
              <w:left w:val="single" w:sz="6" w:space="0" w:color="auto"/>
              <w:bottom w:val="single" w:sz="6" w:space="0" w:color="auto"/>
              <w:right w:val="single" w:sz="6" w:space="0" w:color="auto"/>
            </w:tcBorders>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rPr>
            </w:pPr>
            <w:r w:rsidRPr="00921ED0">
              <w:rPr>
                <w:noProof/>
                <w:sz w:val="18"/>
              </w:rPr>
              <w:t xml:space="preserve">Hollandia </w:t>
            </w:r>
          </w:p>
        </w:tc>
      </w:tr>
      <w:tr w:rsidR="005624E3" w:rsidRPr="00921ED0" w:rsidTr="00101A80">
        <w:trPr>
          <w:jc w:val="center"/>
        </w:trPr>
        <w:tc>
          <w:tcPr>
            <w:tcW w:w="2948" w:type="dxa"/>
            <w:tcBorders>
              <w:top w:val="single" w:sz="4" w:space="0" w:color="auto"/>
              <w:left w:val="single" w:sz="6" w:space="0" w:color="auto"/>
              <w:bottom w:val="single" w:sz="6" w:space="0" w:color="auto"/>
              <w:right w:val="nil"/>
            </w:tcBorders>
            <w:vAlign w:val="center"/>
          </w:tcPr>
          <w:p w:rsidR="005624E3" w:rsidRPr="00921ED0" w:rsidRDefault="005624E3" w:rsidP="00101A80">
            <w:pPr>
              <w:overflowPunct w:val="0"/>
              <w:adjustRightInd w:val="0"/>
              <w:spacing w:before="100" w:after="100"/>
              <w:ind w:left="539" w:right="113" w:hanging="482"/>
              <w:textAlignment w:val="baseline"/>
              <w:rPr>
                <w:sz w:val="18"/>
                <w:szCs w:val="20"/>
              </w:rPr>
            </w:pPr>
            <w:r w:rsidRPr="00921ED0">
              <w:rPr>
                <w:sz w:val="18"/>
              </w:rPr>
              <w:t>15.</w:t>
            </w:r>
            <w:r w:rsidRPr="00921ED0">
              <w:tab/>
            </w:r>
            <w:r w:rsidRPr="00921ED0">
              <w:rPr>
                <w:noProof/>
                <w:sz w:val="18"/>
              </w:rPr>
              <w:t>SHI széleskapás horgony, FB típus (teljesen kiegyenlített)</w:t>
            </w:r>
          </w:p>
        </w:tc>
        <w:tc>
          <w:tcPr>
            <w:tcW w:w="2778" w:type="dxa"/>
            <w:tcBorders>
              <w:top w:val="single" w:sz="4" w:space="0" w:color="auto"/>
              <w:left w:val="single" w:sz="6" w:space="0" w:color="auto"/>
              <w:bottom w:val="single" w:sz="6" w:space="0" w:color="auto"/>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rPr>
            </w:pPr>
            <w:r w:rsidRPr="00921ED0">
              <w:rPr>
                <w:sz w:val="18"/>
              </w:rPr>
              <w:t>30 %</w:t>
            </w:r>
          </w:p>
        </w:tc>
        <w:tc>
          <w:tcPr>
            <w:tcW w:w="2552" w:type="dxa"/>
            <w:tcBorders>
              <w:top w:val="single" w:sz="4" w:space="0" w:color="auto"/>
              <w:left w:val="single" w:sz="6" w:space="0" w:color="auto"/>
              <w:bottom w:val="single" w:sz="6" w:space="0" w:color="auto"/>
              <w:right w:val="single" w:sz="6" w:space="0" w:color="auto"/>
            </w:tcBorders>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rPr>
            </w:pPr>
            <w:r w:rsidRPr="00921ED0">
              <w:rPr>
                <w:noProof/>
                <w:sz w:val="18"/>
              </w:rPr>
              <w:t xml:space="preserve">Hollandia </w:t>
            </w:r>
          </w:p>
        </w:tc>
      </w:tr>
      <w:tr w:rsidR="005624E3" w:rsidRPr="00921ED0" w:rsidTr="00101A80">
        <w:trPr>
          <w:jc w:val="center"/>
        </w:trPr>
        <w:tc>
          <w:tcPr>
            <w:tcW w:w="2948" w:type="dxa"/>
            <w:tcBorders>
              <w:top w:val="single" w:sz="4" w:space="0" w:color="auto"/>
              <w:left w:val="single" w:sz="6" w:space="0" w:color="auto"/>
              <w:bottom w:val="single" w:sz="4" w:space="0" w:color="auto"/>
              <w:right w:val="nil"/>
            </w:tcBorders>
            <w:vAlign w:val="center"/>
          </w:tcPr>
          <w:p w:rsidR="005624E3" w:rsidRPr="00921ED0" w:rsidRDefault="005624E3" w:rsidP="00101A80">
            <w:pPr>
              <w:overflowPunct w:val="0"/>
              <w:adjustRightInd w:val="0"/>
              <w:spacing w:before="100" w:after="100"/>
              <w:ind w:left="539" w:right="113" w:hanging="482"/>
              <w:textAlignment w:val="baseline"/>
              <w:rPr>
                <w:sz w:val="18"/>
                <w:szCs w:val="20"/>
              </w:rPr>
            </w:pPr>
            <w:r w:rsidRPr="00921ED0">
              <w:rPr>
                <w:sz w:val="18"/>
              </w:rPr>
              <w:t>16.</w:t>
            </w:r>
            <w:r w:rsidRPr="00921ED0">
              <w:tab/>
            </w:r>
            <w:r w:rsidRPr="00921ED0">
              <w:rPr>
                <w:noProof/>
                <w:sz w:val="18"/>
              </w:rPr>
              <w:t>Klinsmann-horgony</w:t>
            </w:r>
          </w:p>
        </w:tc>
        <w:tc>
          <w:tcPr>
            <w:tcW w:w="2778" w:type="dxa"/>
            <w:tcBorders>
              <w:top w:val="single" w:sz="4" w:space="0" w:color="auto"/>
              <w:left w:val="single" w:sz="6" w:space="0" w:color="auto"/>
              <w:bottom w:val="single" w:sz="4" w:space="0" w:color="auto"/>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rPr>
            </w:pPr>
            <w:r w:rsidRPr="00921ED0">
              <w:rPr>
                <w:sz w:val="18"/>
              </w:rPr>
              <w:t>30 %</w:t>
            </w:r>
          </w:p>
        </w:tc>
        <w:tc>
          <w:tcPr>
            <w:tcW w:w="2552" w:type="dxa"/>
            <w:tcBorders>
              <w:top w:val="single" w:sz="4" w:space="0" w:color="auto"/>
              <w:left w:val="single" w:sz="6" w:space="0" w:color="auto"/>
              <w:bottom w:val="single" w:sz="4" w:space="0" w:color="auto"/>
              <w:right w:val="single" w:sz="6" w:space="0" w:color="auto"/>
            </w:tcBorders>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rPr>
            </w:pPr>
            <w:r w:rsidRPr="00921ED0">
              <w:rPr>
                <w:noProof/>
                <w:sz w:val="18"/>
              </w:rPr>
              <w:t xml:space="preserve">Hollandia </w:t>
            </w:r>
          </w:p>
        </w:tc>
      </w:tr>
      <w:tr w:rsidR="005624E3" w:rsidRPr="00921ED0" w:rsidTr="00101A80">
        <w:trPr>
          <w:jc w:val="center"/>
        </w:trPr>
        <w:tc>
          <w:tcPr>
            <w:tcW w:w="2948" w:type="dxa"/>
            <w:tcBorders>
              <w:top w:val="single" w:sz="4" w:space="0" w:color="auto"/>
              <w:left w:val="single" w:sz="6" w:space="0" w:color="auto"/>
              <w:bottom w:val="single" w:sz="6" w:space="0" w:color="auto"/>
              <w:right w:val="nil"/>
            </w:tcBorders>
            <w:vAlign w:val="center"/>
          </w:tcPr>
          <w:p w:rsidR="005624E3" w:rsidRPr="00921ED0" w:rsidRDefault="005624E3" w:rsidP="00101A80">
            <w:pPr>
              <w:overflowPunct w:val="0"/>
              <w:adjustRightInd w:val="0"/>
              <w:spacing w:before="100" w:after="100"/>
              <w:ind w:left="539" w:right="113" w:hanging="482"/>
              <w:textAlignment w:val="baseline"/>
              <w:rPr>
                <w:sz w:val="18"/>
                <w:szCs w:val="20"/>
              </w:rPr>
            </w:pPr>
            <w:r w:rsidRPr="00921ED0">
              <w:rPr>
                <w:sz w:val="18"/>
              </w:rPr>
              <w:t>17.</w:t>
            </w:r>
            <w:r w:rsidRPr="00921ED0">
              <w:tab/>
            </w:r>
            <w:r w:rsidRPr="00921ED0">
              <w:rPr>
                <w:noProof/>
                <w:sz w:val="18"/>
              </w:rPr>
              <w:t>HA-DU-POWER horgony</w:t>
            </w:r>
          </w:p>
        </w:tc>
        <w:tc>
          <w:tcPr>
            <w:tcW w:w="2778" w:type="dxa"/>
            <w:tcBorders>
              <w:top w:val="single" w:sz="4" w:space="0" w:color="auto"/>
              <w:left w:val="single" w:sz="6" w:space="0" w:color="auto"/>
              <w:bottom w:val="single" w:sz="6" w:space="0" w:color="auto"/>
              <w:right w:val="nil"/>
            </w:tcBorders>
            <w:vAlign w:val="center"/>
          </w:tcPr>
          <w:p w:rsidR="005624E3" w:rsidRPr="00921ED0" w:rsidRDefault="005624E3" w:rsidP="00101A80">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921ED0">
              <w:rPr>
                <w:sz w:val="18"/>
              </w:rPr>
              <w:t>50 %</w:t>
            </w:r>
          </w:p>
        </w:tc>
        <w:tc>
          <w:tcPr>
            <w:tcW w:w="2552" w:type="dxa"/>
            <w:tcBorders>
              <w:top w:val="single" w:sz="4" w:space="0" w:color="auto"/>
              <w:left w:val="single" w:sz="6" w:space="0" w:color="auto"/>
              <w:bottom w:val="single" w:sz="6" w:space="0" w:color="auto"/>
              <w:right w:val="single" w:sz="6" w:space="0" w:color="auto"/>
            </w:tcBorders>
            <w:vAlign w:val="center"/>
          </w:tcPr>
          <w:p w:rsidR="005624E3" w:rsidRPr="00921ED0" w:rsidRDefault="005624E3" w:rsidP="00101A80">
            <w:pPr>
              <w:spacing w:before="100" w:after="100" w:line="240" w:lineRule="atLeast"/>
              <w:ind w:left="516" w:right="113" w:hanging="403"/>
              <w:jc w:val="center"/>
              <w:rPr>
                <w:noProof/>
                <w:sz w:val="18"/>
              </w:rPr>
            </w:pPr>
            <w:r w:rsidRPr="00921ED0">
              <w:rPr>
                <w:noProof/>
                <w:sz w:val="18"/>
              </w:rPr>
              <w:t xml:space="preserve">Németország </w:t>
            </w:r>
          </w:p>
        </w:tc>
      </w:tr>
    </w:tbl>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rPr>
          <w:b/>
          <w:szCs w:val="20"/>
        </w:rPr>
      </w:pPr>
      <w:r w:rsidRPr="00921ED0">
        <w:br w:type="page"/>
      </w:r>
      <w:r w:rsidRPr="00921ED0">
        <w:rPr>
          <w:b/>
        </w:rPr>
        <w:t>2. szakasz</w:t>
      </w:r>
    </w:p>
    <w:p w:rsidR="005624E3" w:rsidRPr="00921ED0" w:rsidRDefault="005624E3" w:rsidP="005624E3">
      <w:pPr>
        <w:overflowPunct w:val="0"/>
        <w:adjustRightInd w:val="0"/>
        <w:textAlignment w:val="baseline"/>
        <w:rPr>
          <w:b/>
          <w:szCs w:val="20"/>
        </w:rPr>
      </w:pPr>
    </w:p>
    <w:p w:rsidR="005624E3" w:rsidRPr="00921ED0" w:rsidRDefault="005624E3" w:rsidP="005624E3">
      <w:pPr>
        <w:overflowPunct w:val="0"/>
        <w:adjustRightInd w:val="0"/>
        <w:textAlignment w:val="baseline"/>
        <w:rPr>
          <w:b/>
          <w:szCs w:val="20"/>
        </w:rPr>
      </w:pPr>
    </w:p>
    <w:p w:rsidR="005624E3" w:rsidRPr="00921ED0" w:rsidRDefault="005624E3" w:rsidP="005624E3">
      <w:pPr>
        <w:overflowPunct w:val="0"/>
        <w:adjustRightInd w:val="0"/>
        <w:jc w:val="center"/>
        <w:textAlignment w:val="baseline"/>
        <w:rPr>
          <w:b/>
          <w:szCs w:val="20"/>
        </w:rPr>
      </w:pPr>
      <w:r w:rsidRPr="00921ED0">
        <w:rPr>
          <w:b/>
        </w:rPr>
        <w:t>A csökkentett tömegű különleges horgonyokra vonatkozó engedélyezési és vizsgálati eljárás</w:t>
      </w:r>
    </w:p>
    <w:p w:rsidR="005624E3" w:rsidRPr="00921ED0" w:rsidRDefault="005624E3" w:rsidP="005624E3">
      <w:pPr>
        <w:overflowPunct w:val="0"/>
        <w:adjustRightInd w:val="0"/>
        <w:jc w:val="center"/>
        <w:textAlignment w:val="baseline"/>
        <w:rPr>
          <w:b/>
          <w:szCs w:val="20"/>
        </w:rPr>
      </w:pPr>
    </w:p>
    <w:p w:rsidR="005624E3" w:rsidRPr="00921ED0" w:rsidRDefault="005624E3" w:rsidP="005624E3">
      <w:pPr>
        <w:overflowPunct w:val="0"/>
        <w:adjustRightInd w:val="0"/>
        <w:jc w:val="center"/>
        <w:textAlignment w:val="baseline"/>
        <w:rPr>
          <w:b/>
          <w:szCs w:val="20"/>
        </w:rPr>
      </w:pPr>
      <w:r w:rsidRPr="00921ED0">
        <w:rPr>
          <w:b/>
        </w:rPr>
        <w:t xml:space="preserve">Meghatározott horgonytömeg-csökkentések értékek </w:t>
      </w:r>
    </w:p>
    <w:p w:rsidR="005624E3" w:rsidRPr="00921ED0" w:rsidRDefault="005624E3" w:rsidP="005624E3">
      <w:pPr>
        <w:overflowPunct w:val="0"/>
        <w:adjustRightInd w:val="0"/>
        <w:jc w:val="center"/>
        <w:textAlignment w:val="baseline"/>
        <w:rPr>
          <w:szCs w:val="20"/>
        </w:rPr>
      </w:pPr>
      <w:r w:rsidRPr="00921ED0">
        <w:rPr>
          <w:b/>
        </w:rPr>
        <w:t xml:space="preserve">a 13.01. cikk 1–4. bekezdésének megfelelően </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spacing w:line="240" w:lineRule="atLeast"/>
        <w:ind w:left="567" w:hanging="567"/>
        <w:textAlignment w:val="baseline"/>
        <w:rPr>
          <w:szCs w:val="20"/>
        </w:rPr>
      </w:pPr>
      <w:r w:rsidRPr="00921ED0">
        <w:rPr>
          <w:b/>
        </w:rPr>
        <w:t>1.</w:t>
      </w:r>
      <w:r w:rsidRPr="00921ED0">
        <w:tab/>
      </w:r>
      <w:r w:rsidRPr="00921ED0">
        <w:rPr>
          <w:b/>
        </w:rPr>
        <w:t>1. fejezet – Engedélyezési eljárás</w:t>
      </w:r>
    </w:p>
    <w:p w:rsidR="005624E3" w:rsidRPr="00921ED0" w:rsidRDefault="005624E3" w:rsidP="005624E3">
      <w:pPr>
        <w:overflowPunct w:val="0"/>
        <w:adjustRightInd w:val="0"/>
        <w:spacing w:line="240" w:lineRule="atLeast"/>
        <w:ind w:left="567" w:hanging="567"/>
        <w:textAlignment w:val="baseline"/>
        <w:rPr>
          <w:szCs w:val="20"/>
        </w:rPr>
      </w:pPr>
    </w:p>
    <w:p w:rsidR="005624E3" w:rsidRPr="00921ED0" w:rsidRDefault="005624E3" w:rsidP="005624E3">
      <w:pPr>
        <w:overflowPunct w:val="0"/>
        <w:adjustRightInd w:val="0"/>
        <w:spacing w:line="240" w:lineRule="atLeast"/>
        <w:ind w:left="567" w:hanging="567"/>
        <w:textAlignment w:val="baseline"/>
        <w:rPr>
          <w:szCs w:val="20"/>
        </w:rPr>
      </w:pPr>
      <w:r w:rsidRPr="00921ED0">
        <w:rPr>
          <w:b/>
        </w:rPr>
        <w:t>1.1.</w:t>
      </w:r>
      <w:r w:rsidRPr="00921ED0">
        <w:tab/>
        <w:t>A 13.01. cikk 5. bekezdése szerinti csökkentett tömegű különleges horgonyokat az illetékes hatóságok engedélyezik. A különleges horgonyok tömegének engedélyezett csökkentését az illetékes hatóságok az alábbiakban leírt eljárás szerint határozzák meg.</w:t>
      </w:r>
    </w:p>
    <w:p w:rsidR="005624E3" w:rsidRPr="00921ED0" w:rsidRDefault="005624E3" w:rsidP="005624E3">
      <w:pPr>
        <w:overflowPunct w:val="0"/>
        <w:adjustRightInd w:val="0"/>
        <w:spacing w:line="240" w:lineRule="atLeast"/>
        <w:ind w:left="567" w:hanging="567"/>
        <w:textAlignment w:val="baseline"/>
        <w:rPr>
          <w:szCs w:val="20"/>
        </w:rPr>
      </w:pPr>
    </w:p>
    <w:p w:rsidR="005624E3" w:rsidRPr="00921ED0" w:rsidRDefault="005624E3" w:rsidP="005624E3">
      <w:pPr>
        <w:overflowPunct w:val="0"/>
        <w:adjustRightInd w:val="0"/>
        <w:spacing w:line="240" w:lineRule="atLeast"/>
        <w:ind w:left="567" w:hanging="567"/>
        <w:textAlignment w:val="baseline"/>
        <w:rPr>
          <w:szCs w:val="20"/>
        </w:rPr>
      </w:pPr>
      <w:r w:rsidRPr="00921ED0">
        <w:rPr>
          <w:b/>
        </w:rPr>
        <w:t>1.2.</w:t>
      </w:r>
      <w:r w:rsidRPr="00921ED0">
        <w:tab/>
        <w:t>Különleges horgonyként történő engedélyezés csak akkor lehetséges, ha a horgony tömegének megállapított csökkentése legalább 15 %.</w:t>
      </w:r>
    </w:p>
    <w:p w:rsidR="005624E3" w:rsidRPr="00921ED0" w:rsidRDefault="005624E3" w:rsidP="005624E3">
      <w:pPr>
        <w:overflowPunct w:val="0"/>
        <w:adjustRightInd w:val="0"/>
        <w:spacing w:line="240" w:lineRule="atLeast"/>
        <w:ind w:left="567" w:hanging="567"/>
        <w:textAlignment w:val="baseline"/>
        <w:rPr>
          <w:szCs w:val="20"/>
        </w:rPr>
      </w:pPr>
    </w:p>
    <w:p w:rsidR="005624E3" w:rsidRPr="00921ED0" w:rsidRDefault="005624E3" w:rsidP="005624E3">
      <w:pPr>
        <w:overflowPunct w:val="0"/>
        <w:adjustRightInd w:val="0"/>
        <w:spacing w:line="240" w:lineRule="atLeast"/>
        <w:ind w:left="567" w:hanging="567"/>
        <w:textAlignment w:val="baseline"/>
        <w:rPr>
          <w:szCs w:val="20"/>
        </w:rPr>
      </w:pPr>
      <w:r w:rsidRPr="00921ED0">
        <w:rPr>
          <w:b/>
        </w:rPr>
        <w:t>1.3.</w:t>
      </w:r>
      <w:r w:rsidRPr="00921ED0">
        <w:tab/>
        <w:t>Az 1.1. pontban szereplő különleges horgonyok engedélyezése iránti kérelmet egy tagállam illetékes hatóságához kell benyújtani. A kérelemhez tíz példányban kell csatolni a következő dokumentumokat:</w:t>
      </w:r>
    </w:p>
    <w:p w:rsidR="005624E3" w:rsidRPr="00921ED0" w:rsidRDefault="005624E3" w:rsidP="005624E3">
      <w:pPr>
        <w:tabs>
          <w:tab w:val="left" w:pos="992"/>
        </w:tabs>
        <w:overflowPunct w:val="0"/>
        <w:adjustRightInd w:val="0"/>
        <w:spacing w:before="60" w:line="240" w:lineRule="atLeast"/>
        <w:ind w:left="992"/>
        <w:textAlignment w:val="baseline"/>
        <w:rPr>
          <w:szCs w:val="20"/>
        </w:rPr>
      </w:pPr>
      <w:r w:rsidRPr="00921ED0">
        <w:t>a)</w:t>
      </w:r>
      <w:r w:rsidRPr="00921ED0">
        <w:tab/>
        <w:t>a különleges horgony méreteinek és tömegének leírása, amely minden rendelkezésre álló horgonyméret esetében külön-külön feltünteti a fő méreteket és a típus leírását;</w:t>
      </w:r>
    </w:p>
    <w:p w:rsidR="005624E3" w:rsidRPr="00921ED0" w:rsidRDefault="005624E3" w:rsidP="005624E3">
      <w:pPr>
        <w:tabs>
          <w:tab w:val="left" w:pos="992"/>
        </w:tabs>
        <w:overflowPunct w:val="0"/>
        <w:adjustRightInd w:val="0"/>
        <w:spacing w:before="60" w:line="240" w:lineRule="atLeast"/>
        <w:ind w:left="992"/>
        <w:textAlignment w:val="baseline"/>
        <w:rPr>
          <w:szCs w:val="20"/>
        </w:rPr>
      </w:pPr>
      <w:r w:rsidRPr="00921ED0">
        <w:t>b)</w:t>
      </w:r>
      <w:r w:rsidRPr="00921ED0">
        <w:tab/>
        <w:t xml:space="preserve">az </w:t>
      </w:r>
      <m:oMath>
        <m:r>
          <w:rPr>
            <w:rFonts w:ascii="Cambria Math" w:hAnsi="Cambria Math"/>
            <w:szCs w:val="20"/>
          </w:rPr>
          <m:t>A</m:t>
        </m:r>
      </m:oMath>
      <w:r w:rsidRPr="00921ED0">
        <w:t xml:space="preserve"> referenciahorgony fékerődiagramja (a 2.2. pont szerint) és az engedélyeztetni kívánt </w:t>
      </w:r>
      <m:oMath>
        <m:r>
          <w:rPr>
            <w:rFonts w:ascii="Cambria Math" w:hAnsi="Cambria Math"/>
            <w:szCs w:val="20"/>
          </w:rPr>
          <m:t>B</m:t>
        </m:r>
      </m:oMath>
      <w:r w:rsidRPr="00921ED0">
        <w:t xml:space="preserve"> különleges horgony fékerődiagramja, amelyet az illetékes hatóság által kijelölt intézménynek kell elkészítenie és kiértékelnie.</w:t>
      </w:r>
    </w:p>
    <w:p w:rsidR="005624E3" w:rsidRPr="00921ED0" w:rsidRDefault="005624E3" w:rsidP="005624E3">
      <w:pPr>
        <w:overflowPunct w:val="0"/>
        <w:adjustRightInd w:val="0"/>
        <w:spacing w:line="240" w:lineRule="atLeast"/>
        <w:ind w:left="567" w:hanging="567"/>
        <w:textAlignment w:val="baseline"/>
        <w:rPr>
          <w:szCs w:val="20"/>
        </w:rPr>
      </w:pPr>
    </w:p>
    <w:p w:rsidR="005624E3" w:rsidRPr="00921ED0" w:rsidRDefault="005624E3" w:rsidP="005624E3">
      <w:pPr>
        <w:overflowPunct w:val="0"/>
        <w:adjustRightInd w:val="0"/>
        <w:spacing w:line="240" w:lineRule="atLeast"/>
        <w:ind w:left="567" w:hanging="567"/>
        <w:textAlignment w:val="baseline"/>
        <w:rPr>
          <w:szCs w:val="20"/>
        </w:rPr>
      </w:pPr>
      <w:r w:rsidRPr="00921ED0">
        <w:rPr>
          <w:b/>
        </w:rPr>
        <w:t>1.4.</w:t>
      </w:r>
      <w:r w:rsidRPr="00921ED0">
        <w:tab/>
        <w:t xml:space="preserve">Az illetékes hatóság tájékoztatja a CESNI-t azon horgonytömeg-csökkentési kérelmekről, amelyeket a vizsgálatokat követően engedélyezésre javasol. </w:t>
      </w:r>
    </w:p>
    <w:p w:rsidR="005624E3" w:rsidRPr="00921ED0" w:rsidRDefault="005624E3" w:rsidP="005624E3">
      <w:pPr>
        <w:overflowPunct w:val="0"/>
        <w:adjustRightInd w:val="0"/>
        <w:spacing w:line="240" w:lineRule="atLeast"/>
        <w:ind w:left="567" w:hanging="567"/>
        <w:textAlignment w:val="baseline"/>
        <w:rPr>
          <w:szCs w:val="20"/>
        </w:rPr>
      </w:pPr>
    </w:p>
    <w:p w:rsidR="005624E3" w:rsidRPr="00921ED0" w:rsidRDefault="005624E3" w:rsidP="005624E3">
      <w:pPr>
        <w:overflowPunct w:val="0"/>
        <w:adjustRightInd w:val="0"/>
        <w:spacing w:line="240" w:lineRule="atLeast"/>
        <w:ind w:left="567" w:hanging="567"/>
        <w:textAlignment w:val="baseline"/>
        <w:rPr>
          <w:szCs w:val="20"/>
        </w:rPr>
      </w:pPr>
    </w:p>
    <w:p w:rsidR="005624E3" w:rsidRPr="00921ED0" w:rsidRDefault="005624E3" w:rsidP="005624E3">
      <w:pPr>
        <w:overflowPunct w:val="0"/>
        <w:adjustRightInd w:val="0"/>
        <w:spacing w:line="240" w:lineRule="atLeast"/>
        <w:ind w:left="567" w:hanging="567"/>
        <w:textAlignment w:val="baseline"/>
        <w:rPr>
          <w:b/>
          <w:szCs w:val="20"/>
        </w:rPr>
      </w:pPr>
      <w:r w:rsidRPr="00921ED0">
        <w:rPr>
          <w:b/>
        </w:rPr>
        <w:t>2.</w:t>
      </w:r>
      <w:r w:rsidRPr="00921ED0">
        <w:tab/>
      </w:r>
      <w:r w:rsidRPr="00921ED0">
        <w:rPr>
          <w:b/>
        </w:rPr>
        <w:t>2. fejezet – Vizsgálati eljárás</w:t>
      </w:r>
    </w:p>
    <w:p w:rsidR="005624E3" w:rsidRPr="00921ED0" w:rsidRDefault="005624E3" w:rsidP="005624E3">
      <w:pPr>
        <w:overflowPunct w:val="0"/>
        <w:adjustRightInd w:val="0"/>
        <w:spacing w:line="240" w:lineRule="atLeast"/>
        <w:ind w:left="567" w:hanging="567"/>
        <w:textAlignment w:val="baseline"/>
        <w:rPr>
          <w:b/>
          <w:szCs w:val="20"/>
        </w:rPr>
      </w:pPr>
    </w:p>
    <w:p w:rsidR="005624E3" w:rsidRPr="00921ED0" w:rsidRDefault="005624E3" w:rsidP="005624E3">
      <w:pPr>
        <w:overflowPunct w:val="0"/>
        <w:adjustRightInd w:val="0"/>
        <w:spacing w:line="240" w:lineRule="atLeast"/>
        <w:ind w:left="567" w:hanging="567"/>
        <w:textAlignment w:val="baseline"/>
        <w:rPr>
          <w:szCs w:val="20"/>
        </w:rPr>
      </w:pPr>
      <w:r w:rsidRPr="00921ED0">
        <w:rPr>
          <w:b/>
        </w:rPr>
        <w:t>2.1.</w:t>
      </w:r>
      <w:r w:rsidRPr="00921ED0">
        <w:tab/>
        <w:t xml:space="preserve">Az 1.3. pontban megadott fékerődiagramoknak a sebesség függvényeként kell bemutatniuk a fékerőt az </w:t>
      </w:r>
      <m:oMath>
        <m:r>
          <w:rPr>
            <w:rFonts w:ascii="Cambria Math" w:hAnsi="Cambria Math"/>
            <w:szCs w:val="20"/>
          </w:rPr>
          <m:t>A</m:t>
        </m:r>
      </m:oMath>
      <w:r w:rsidRPr="00921ED0">
        <w:t xml:space="preserve"> referenciahorgony és az engedélyeztetni kívánt </w:t>
      </w:r>
      <m:oMath>
        <m:r>
          <w:rPr>
            <w:rFonts w:ascii="Cambria Math" w:hAnsi="Cambria Math"/>
            <w:szCs w:val="20"/>
          </w:rPr>
          <m:t>B</m:t>
        </m:r>
      </m:oMath>
      <w:r w:rsidRPr="00921ED0">
        <w:t xml:space="preserve"> különleges horgony tekintetében, az alábbi 2.2–2.5. pontban szereplő vizsgálatok alapján. Az 1. melléklet bemutat egy lehetséges fékerővizsgálatot.</w:t>
      </w:r>
    </w:p>
    <w:p w:rsidR="005624E3" w:rsidRPr="00921ED0" w:rsidRDefault="005624E3" w:rsidP="005624E3">
      <w:pPr>
        <w:overflowPunct w:val="0"/>
        <w:adjustRightInd w:val="0"/>
        <w:spacing w:line="240" w:lineRule="atLeast"/>
        <w:ind w:left="567" w:hanging="567"/>
        <w:textAlignment w:val="baseline"/>
        <w:rPr>
          <w:szCs w:val="20"/>
        </w:rPr>
      </w:pPr>
    </w:p>
    <w:p w:rsidR="005624E3" w:rsidRPr="00921ED0" w:rsidRDefault="005624E3" w:rsidP="005624E3">
      <w:pPr>
        <w:overflowPunct w:val="0"/>
        <w:adjustRightInd w:val="0"/>
        <w:spacing w:line="240" w:lineRule="atLeast"/>
        <w:ind w:left="567" w:hanging="567"/>
        <w:textAlignment w:val="baseline"/>
        <w:rPr>
          <w:szCs w:val="20"/>
        </w:rPr>
      </w:pPr>
    </w:p>
    <w:p w:rsidR="005624E3" w:rsidRPr="00921ED0" w:rsidRDefault="005624E3" w:rsidP="005624E3">
      <w:pPr>
        <w:overflowPunct w:val="0"/>
        <w:adjustRightInd w:val="0"/>
        <w:spacing w:line="240" w:lineRule="atLeast"/>
        <w:ind w:left="567" w:hanging="567"/>
        <w:textAlignment w:val="baseline"/>
        <w:rPr>
          <w:szCs w:val="20"/>
        </w:rPr>
      </w:pPr>
      <w:r w:rsidRPr="00921ED0">
        <w:br w:type="page"/>
      </w:r>
    </w:p>
    <w:p w:rsidR="005624E3" w:rsidRPr="00921ED0" w:rsidRDefault="005624E3" w:rsidP="005624E3">
      <w:pPr>
        <w:overflowPunct w:val="0"/>
        <w:adjustRightInd w:val="0"/>
        <w:spacing w:line="240" w:lineRule="atLeast"/>
        <w:ind w:left="567" w:hanging="567"/>
        <w:textAlignment w:val="baseline"/>
        <w:rPr>
          <w:szCs w:val="20"/>
        </w:rPr>
      </w:pPr>
      <w:r w:rsidRPr="00921ED0">
        <w:rPr>
          <w:b/>
        </w:rPr>
        <w:t>2.2.</w:t>
      </w:r>
      <w:r w:rsidRPr="00921ED0">
        <w:tab/>
        <w:t xml:space="preserve">A vizsgálatok során az alábbiakban megadott vázlatnak és adatoknak megfelelő, legalább 400 kg tömegű, hagyományos billenőkapás horgonyt kell </w:t>
      </w:r>
      <m:oMath>
        <m:r>
          <w:rPr>
            <w:rFonts w:ascii="Cambria Math" w:hAnsi="Cambria Math"/>
            <w:szCs w:val="20"/>
          </w:rPr>
          <m:t>A</m:t>
        </m:r>
      </m:oMath>
      <w:r w:rsidRPr="00921ED0">
        <w:t xml:space="preserve"> referenciahorgonyként használni.</w:t>
      </w:r>
    </w:p>
    <w:p w:rsidR="005624E3" w:rsidRPr="00921ED0" w:rsidRDefault="005624E3" w:rsidP="005624E3">
      <w:pPr>
        <w:overflowPunct w:val="0"/>
        <w:adjustRightInd w:val="0"/>
        <w:ind w:left="426" w:hanging="426"/>
        <w:textAlignment w:val="baseline"/>
        <w:rPr>
          <w:szCs w:val="20"/>
        </w:rPr>
      </w:pPr>
    </w:p>
    <w:p w:rsidR="005624E3" w:rsidRPr="00921ED0" w:rsidRDefault="005624E3" w:rsidP="005624E3">
      <w:pPr>
        <w:overflowPunct w:val="0"/>
        <w:adjustRightInd w:val="0"/>
        <w:ind w:left="426" w:hanging="426"/>
        <w:textAlignment w:val="baseline"/>
        <w:rPr>
          <w:szCs w:val="20"/>
        </w:rPr>
      </w:pPr>
      <w:r w:rsidRPr="00921ED0">
        <w:rPr>
          <w:noProof/>
          <w:sz w:val="16"/>
          <w:szCs w:val="16"/>
        </w:rPr>
        <w:drawing>
          <wp:inline distT="0" distB="0" distL="0" distR="0" wp14:anchorId="03E6EF27" wp14:editId="4D714F48">
            <wp:extent cx="5962650" cy="2971800"/>
            <wp:effectExtent l="0" t="0" r="0" b="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962650" cy="2971800"/>
                    </a:xfrm>
                    <a:prstGeom prst="rect">
                      <a:avLst/>
                    </a:prstGeom>
                    <a:solidFill>
                      <a:srgbClr val="FFFFFF"/>
                    </a:solidFill>
                    <a:ln>
                      <a:noFill/>
                    </a:ln>
                  </pic:spPr>
                </pic:pic>
              </a:graphicData>
            </a:graphic>
          </wp:inline>
        </w:drawing>
      </w:r>
    </w:p>
    <w:p w:rsidR="005624E3" w:rsidRPr="00921ED0" w:rsidRDefault="005624E3" w:rsidP="005624E3">
      <w:pPr>
        <w:overflowPunct w:val="0"/>
        <w:adjustRightInd w:val="0"/>
        <w:ind w:left="426" w:hanging="426"/>
        <w:textAlignment w:val="baseline"/>
        <w:rPr>
          <w:szCs w:val="20"/>
        </w:rPr>
      </w:pPr>
    </w:p>
    <w:p w:rsidR="005624E3" w:rsidRPr="00921ED0" w:rsidRDefault="005624E3" w:rsidP="005624E3">
      <w:pPr>
        <w:overflowPunct w:val="0"/>
        <w:adjustRightInd w:val="0"/>
        <w:ind w:left="567" w:hanging="567"/>
        <w:textAlignment w:val="baseline"/>
        <w:rPr>
          <w:szCs w:val="20"/>
        </w:rPr>
      </w:pPr>
      <w:r w:rsidRPr="00921ED0">
        <w:tab/>
        <w:t>Az előírt méretekre és tömegre ±5 % tűréshatár vonatkozik. Az egyes horgonykarmok felületének azonban legalább 0,15 m</w:t>
      </w:r>
      <w:r w:rsidRPr="00921ED0">
        <w:rPr>
          <w:vertAlign w:val="superscript"/>
        </w:rPr>
        <w:t>2</w:t>
      </w:r>
      <w:r w:rsidRPr="00921ED0">
        <w:t>-nek kell lennie.</w:t>
      </w:r>
    </w:p>
    <w:p w:rsidR="005624E3" w:rsidRPr="00921ED0" w:rsidRDefault="005624E3" w:rsidP="005624E3">
      <w:pPr>
        <w:overflowPunct w:val="0"/>
        <w:adjustRightInd w:val="0"/>
        <w:ind w:left="567" w:hanging="567"/>
        <w:textAlignment w:val="baseline"/>
        <w:rPr>
          <w:szCs w:val="20"/>
        </w:rPr>
      </w:pPr>
    </w:p>
    <w:p w:rsidR="005624E3" w:rsidRPr="00921ED0" w:rsidRDefault="005624E3" w:rsidP="005624E3">
      <w:pPr>
        <w:overflowPunct w:val="0"/>
        <w:adjustRightInd w:val="0"/>
        <w:ind w:left="567" w:hanging="567"/>
        <w:textAlignment w:val="baseline"/>
        <w:rPr>
          <w:szCs w:val="20"/>
        </w:rPr>
      </w:pPr>
      <w:r w:rsidRPr="00921ED0">
        <w:rPr>
          <w:b/>
        </w:rPr>
        <w:t>2.3.</w:t>
      </w:r>
      <w:r w:rsidRPr="00921ED0">
        <w:tab/>
        <w:t xml:space="preserve">A vizsgálatok során használt B különleges horgony tömege legfeljebb 10 %-kal térhet el az </w:t>
      </w:r>
      <m:oMath>
        <m:r>
          <w:rPr>
            <w:rFonts w:ascii="Cambria Math" w:hAnsi="Cambria Math"/>
            <w:szCs w:val="20"/>
          </w:rPr>
          <m:t>A</m:t>
        </m:r>
      </m:oMath>
      <w:r w:rsidRPr="00921ED0">
        <w:t xml:space="preserve"> referenciahorgony tömegétől. Ha a tűréshatár ennél nagyobb, az erőket át kell számítani a tömeg arányában.</w:t>
      </w:r>
    </w:p>
    <w:p w:rsidR="005624E3" w:rsidRPr="00921ED0" w:rsidRDefault="005624E3" w:rsidP="005624E3">
      <w:pPr>
        <w:overflowPunct w:val="0"/>
        <w:adjustRightInd w:val="0"/>
        <w:ind w:left="567" w:hanging="567"/>
        <w:textAlignment w:val="baseline"/>
        <w:rPr>
          <w:szCs w:val="20"/>
        </w:rPr>
      </w:pPr>
    </w:p>
    <w:p w:rsidR="005624E3" w:rsidRPr="00921ED0" w:rsidRDefault="005624E3" w:rsidP="005624E3">
      <w:pPr>
        <w:overflowPunct w:val="0"/>
        <w:adjustRightInd w:val="0"/>
        <w:ind w:left="567" w:hanging="567"/>
        <w:textAlignment w:val="baseline"/>
        <w:rPr>
          <w:szCs w:val="20"/>
        </w:rPr>
      </w:pPr>
      <w:r w:rsidRPr="00921ED0">
        <w:rPr>
          <w:b/>
        </w:rPr>
        <w:t>2.4.</w:t>
      </w:r>
      <w:r w:rsidRPr="00921ED0">
        <w:tab/>
        <w:t>A fékerődiagramoknak lineárisan kell ábrázolniuk a sebességet (</w:t>
      </w:r>
      <m:oMath>
        <m:r>
          <w:rPr>
            <w:rFonts w:ascii="Cambria Math" w:hAnsi="Cambria Math"/>
            <w:szCs w:val="20"/>
          </w:rPr>
          <m:t>v</m:t>
        </m:r>
      </m:oMath>
      <w:r w:rsidRPr="00921ED0">
        <w:t xml:space="preserve">) a (parthoz viszonyított) 0 és 5 km/h közötti tartományban. Ebből a célból három-három vizsgálatot kell végrehajtani folyásiránnyal szemben, felváltva az </w:t>
      </w:r>
      <m:oMath>
        <m:r>
          <w:rPr>
            <w:rFonts w:ascii="Cambria Math" w:hAnsi="Cambria Math"/>
            <w:szCs w:val="20"/>
          </w:rPr>
          <m:t>A</m:t>
        </m:r>
      </m:oMath>
      <w:r w:rsidRPr="00921ED0">
        <w:t xml:space="preserve"> referencia-horgonnyal és a </w:t>
      </w:r>
      <m:oMath>
        <m:r>
          <w:rPr>
            <w:rFonts w:ascii="Cambria Math" w:hAnsi="Cambria Math"/>
            <w:szCs w:val="20"/>
          </w:rPr>
          <m:t>B</m:t>
        </m:r>
      </m:oMath>
      <w:r w:rsidRPr="00921ED0">
        <w:t xml:space="preserve"> különleges horgonnyal, az illetékes hatóság által meghatározott két folyószakaszon, az egyiket kavicsos, a másikat finom homokkal borított mederben. A Rajna folyón a 401 km és 402 km közötti szakasz szolgálhat referenciaszakaszként a kavicsos mederágyban lefolytatott vizsgálatokhoz, a 480 km és 481 km közötti szakasz pedig a finom homokkal borított mederben lefolytatott vizsgálatokhoz.</w:t>
      </w:r>
    </w:p>
    <w:p w:rsidR="005624E3" w:rsidRPr="00921ED0" w:rsidRDefault="005624E3" w:rsidP="005624E3">
      <w:pPr>
        <w:overflowPunct w:val="0"/>
        <w:adjustRightInd w:val="0"/>
        <w:ind w:left="567" w:hanging="567"/>
        <w:textAlignment w:val="baseline"/>
        <w:rPr>
          <w:szCs w:val="20"/>
        </w:rPr>
      </w:pPr>
    </w:p>
    <w:p w:rsidR="005624E3" w:rsidRPr="00921ED0" w:rsidRDefault="005624E3" w:rsidP="005624E3">
      <w:pPr>
        <w:overflowPunct w:val="0"/>
        <w:adjustRightInd w:val="0"/>
        <w:ind w:left="567" w:hanging="567"/>
        <w:textAlignment w:val="baseline"/>
        <w:rPr>
          <w:szCs w:val="20"/>
        </w:rPr>
      </w:pPr>
      <w:r w:rsidRPr="00921ED0">
        <w:rPr>
          <w:b/>
        </w:rPr>
        <w:t>2.5.</w:t>
      </w:r>
      <w:r w:rsidRPr="00921ED0">
        <w:tab/>
        <w:t>Minden egyes vizsgálat során a vizsgálat alá vetett horgonyt olyan acélsodronykábellel kell vontatni, amelynek a horgony csatlakozópontja és a vontatóhajó vagy vontatókészülék csatlakozópontja között mért hosszúsága tízszer annyi, mint a vontatóhajó csatlakozási pontjának a horgonyzótalaj feletti magassága.</w:t>
      </w:r>
    </w:p>
    <w:p w:rsidR="005624E3" w:rsidRPr="00921ED0" w:rsidRDefault="005624E3" w:rsidP="005624E3">
      <w:pPr>
        <w:overflowPunct w:val="0"/>
        <w:adjustRightInd w:val="0"/>
        <w:ind w:left="567" w:hanging="567"/>
        <w:textAlignment w:val="baseline"/>
        <w:rPr>
          <w:szCs w:val="20"/>
        </w:rPr>
      </w:pPr>
    </w:p>
    <w:p w:rsidR="005624E3" w:rsidRPr="00921ED0" w:rsidRDefault="005624E3" w:rsidP="005624E3">
      <w:pPr>
        <w:overflowPunct w:val="0"/>
        <w:adjustRightInd w:val="0"/>
        <w:ind w:left="567" w:hanging="567"/>
        <w:textAlignment w:val="baseline"/>
        <w:rPr>
          <w:szCs w:val="20"/>
        </w:rPr>
      </w:pPr>
      <w:r w:rsidRPr="00921ED0">
        <w:br w:type="page"/>
      </w:r>
    </w:p>
    <w:p w:rsidR="005624E3" w:rsidRPr="00921ED0" w:rsidRDefault="005624E3" w:rsidP="005624E3">
      <w:pPr>
        <w:overflowPunct w:val="0"/>
        <w:adjustRightInd w:val="0"/>
        <w:ind w:left="567" w:hanging="567"/>
        <w:textAlignment w:val="baseline"/>
        <w:rPr>
          <w:szCs w:val="20"/>
        </w:rPr>
      </w:pPr>
      <w:r w:rsidRPr="00921ED0">
        <w:rPr>
          <w:b/>
        </w:rPr>
        <w:t>2.6.</w:t>
      </w:r>
      <w:r w:rsidRPr="00921ED0">
        <w:tab/>
        <w:t>A horgonytömeg csökkentésének százalékos arányát a következő képlettel kell kiszámítani:</w:t>
      </w:r>
    </w:p>
    <w:p w:rsidR="005624E3" w:rsidRPr="00921ED0" w:rsidRDefault="005624E3" w:rsidP="005624E3">
      <w:pPr>
        <w:tabs>
          <w:tab w:val="left" w:pos="567"/>
        </w:tabs>
        <w:overflowPunct w:val="0"/>
        <w:adjustRightInd w:val="0"/>
        <w:ind w:left="567" w:hanging="567"/>
        <w:textAlignment w:val="baseline"/>
        <w:rPr>
          <w:szCs w:val="20"/>
        </w:rPr>
      </w:pPr>
    </w:p>
    <w:p w:rsidR="005624E3" w:rsidRPr="00921ED0" w:rsidRDefault="005624E3" w:rsidP="005624E3">
      <w:pPr>
        <w:tabs>
          <w:tab w:val="left" w:pos="567"/>
        </w:tabs>
        <w:overflowPunct w:val="0"/>
        <w:adjustRightInd w:val="0"/>
        <w:ind w:left="284" w:hanging="426"/>
        <w:textAlignment w:val="baseline"/>
        <w:rPr>
          <w:szCs w:val="20"/>
        </w:rPr>
      </w:pPr>
      <m:oMathPara>
        <m:oMath>
          <m:r>
            <w:rPr>
              <w:rFonts w:ascii="Cambria Math" w:hAnsi="Cambria Math"/>
              <w:szCs w:val="20"/>
            </w:rPr>
            <m:t xml:space="preserve">r=75 ∙ </m:t>
          </m:r>
          <m:d>
            <m:dPr>
              <m:ctrlPr>
                <w:rPr>
                  <w:rFonts w:ascii="Cambria Math" w:hAnsi="Cambria Math"/>
                  <w:i/>
                  <w:szCs w:val="20"/>
                </w:rPr>
              </m:ctrlPr>
            </m:dPr>
            <m:e>
              <m:r>
                <w:rPr>
                  <w:rFonts w:ascii="Cambria Math" w:hAnsi="Cambria Math"/>
                  <w:szCs w:val="20"/>
                </w:rPr>
                <m:t xml:space="preserve">1-0,5  </m:t>
              </m:r>
              <m:f>
                <m:fPr>
                  <m:ctrlPr>
                    <w:rPr>
                      <w:rFonts w:ascii="Cambria Math" w:hAnsi="Cambria Math"/>
                      <w:i/>
                      <w:szCs w:val="20"/>
                    </w:rPr>
                  </m:ctrlPr>
                </m:fPr>
                <m:num>
                  <m:r>
                    <w:rPr>
                      <w:rFonts w:ascii="Cambria Math" w:hAnsi="Cambria Math"/>
                      <w:szCs w:val="20"/>
                    </w:rPr>
                    <m:t>PB</m:t>
                  </m:r>
                </m:num>
                <m:den>
                  <m:r>
                    <w:rPr>
                      <w:rFonts w:ascii="Cambria Math" w:hAnsi="Cambria Math"/>
                      <w:szCs w:val="20"/>
                    </w:rPr>
                    <m:t>PA</m:t>
                  </m:r>
                </m:den>
              </m:f>
              <m:r>
                <w:rPr>
                  <w:rFonts w:ascii="Cambria Math" w:hAnsi="Cambria Math"/>
                  <w:szCs w:val="20"/>
                </w:rPr>
                <m:t xml:space="preserve">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FA</m:t>
                      </m:r>
                    </m:num>
                    <m:den>
                      <m:r>
                        <w:rPr>
                          <w:rFonts w:ascii="Cambria Math" w:hAnsi="Cambria Math"/>
                          <w:szCs w:val="20"/>
                        </w:rPr>
                        <m:t>FB</m:t>
                      </m:r>
                    </m:den>
                  </m:f>
                  <m:r>
                    <w:rPr>
                      <w:rFonts w:ascii="Cambria Math" w:hAnsi="Cambria Math"/>
                      <w:szCs w:val="20"/>
                    </w:rPr>
                    <m:t xml:space="preserve">+ </m:t>
                  </m:r>
                  <m:f>
                    <m:fPr>
                      <m:ctrlPr>
                        <w:rPr>
                          <w:rFonts w:ascii="Cambria Math" w:hAnsi="Cambria Math"/>
                          <w:i/>
                          <w:szCs w:val="20"/>
                        </w:rPr>
                      </m:ctrlPr>
                    </m:fPr>
                    <m:num>
                      <m:r>
                        <w:rPr>
                          <w:rFonts w:ascii="Cambria Math" w:hAnsi="Cambria Math"/>
                          <w:szCs w:val="20"/>
                        </w:rPr>
                        <m:t>AA</m:t>
                      </m:r>
                    </m:num>
                    <m:den>
                      <m:r>
                        <w:rPr>
                          <w:rFonts w:ascii="Cambria Math" w:hAnsi="Cambria Math"/>
                          <w:szCs w:val="20"/>
                        </w:rPr>
                        <m:t>AB</m:t>
                      </m:r>
                    </m:den>
                  </m:f>
                </m:e>
              </m:d>
            </m:e>
          </m:d>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m:t>
              </m:r>
            </m:e>
          </m:d>
        </m:oMath>
      </m:oMathPara>
    </w:p>
    <w:p w:rsidR="005624E3" w:rsidRPr="00921ED0" w:rsidRDefault="005624E3" w:rsidP="005624E3">
      <w:pPr>
        <w:tabs>
          <w:tab w:val="left" w:pos="567"/>
        </w:tabs>
        <w:overflowPunct w:val="0"/>
        <w:adjustRightInd w:val="0"/>
        <w:ind w:left="284" w:hanging="426"/>
        <w:textAlignment w:val="baseline"/>
        <w:rPr>
          <w:szCs w:val="20"/>
        </w:rPr>
      </w:pPr>
    </w:p>
    <w:p w:rsidR="005624E3" w:rsidRPr="00921ED0" w:rsidRDefault="005624E3" w:rsidP="005624E3">
      <w:pPr>
        <w:tabs>
          <w:tab w:val="left" w:pos="567"/>
        </w:tabs>
        <w:overflowPunct w:val="0"/>
        <w:adjustRightInd w:val="0"/>
        <w:ind w:left="567"/>
        <w:textAlignment w:val="baseline"/>
        <w:rPr>
          <w:szCs w:val="20"/>
        </w:rPr>
      </w:pPr>
      <w:r w:rsidRPr="00921ED0">
        <w:t>ahol:</w:t>
      </w:r>
    </w:p>
    <w:p w:rsidR="005624E3" w:rsidRPr="00921ED0" w:rsidRDefault="005624E3" w:rsidP="005624E3">
      <w:pPr>
        <w:tabs>
          <w:tab w:val="left" w:pos="567"/>
        </w:tabs>
        <w:overflowPunct w:val="0"/>
        <w:adjustRightInd w:val="0"/>
        <w:ind w:left="567"/>
        <w:textAlignment w:val="baseline"/>
        <w:rPr>
          <w:szCs w:val="20"/>
        </w:rPr>
      </w:pPr>
    </w:p>
    <w:p w:rsidR="005624E3" w:rsidRPr="00921ED0" w:rsidRDefault="005624E3" w:rsidP="005624E3">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r</m:t>
        </m:r>
      </m:oMath>
      <w:r w:rsidRPr="00921ED0">
        <w:tab/>
        <w:t>=</w:t>
      </w:r>
      <w:r w:rsidRPr="00921ED0">
        <w:tab/>
        <w:t xml:space="preserve">a </w:t>
      </w:r>
      <m:oMath>
        <m:r>
          <w:rPr>
            <w:rFonts w:ascii="Cambria Math" w:hAnsi="Cambria Math"/>
            <w:szCs w:val="20"/>
          </w:rPr>
          <m:t>B</m:t>
        </m:r>
      </m:oMath>
      <w:r w:rsidRPr="00921ED0">
        <w:t xml:space="preserve"> különleges horgony tömegének százalékban megadott csökkentése az </w:t>
      </w:r>
      <m:oMath>
        <m:r>
          <w:rPr>
            <w:rFonts w:ascii="Cambria Math" w:hAnsi="Cambria Math"/>
            <w:szCs w:val="20"/>
          </w:rPr>
          <m:t>A</m:t>
        </m:r>
      </m:oMath>
      <w:r w:rsidRPr="00921ED0">
        <w:t xml:space="preserve"> referenciahorgonyhoz képest;</w:t>
      </w:r>
    </w:p>
    <w:p w:rsidR="005624E3" w:rsidRPr="00921ED0" w:rsidRDefault="005624E3" w:rsidP="005624E3">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PA</m:t>
        </m:r>
      </m:oMath>
      <w:r w:rsidRPr="00921ED0">
        <w:tab/>
        <w:t>=</w:t>
      </w:r>
      <w:r w:rsidRPr="00921ED0">
        <w:tab/>
        <w:t xml:space="preserve">az </w:t>
      </w:r>
      <m:oMath>
        <m:r>
          <w:rPr>
            <w:rFonts w:ascii="Cambria Math" w:hAnsi="Cambria Math"/>
            <w:szCs w:val="20"/>
          </w:rPr>
          <m:t>A</m:t>
        </m:r>
      </m:oMath>
      <w:r w:rsidRPr="00921ED0">
        <w:t xml:space="preserve"> referenciahorgony tömege;</w:t>
      </w:r>
    </w:p>
    <w:p w:rsidR="005624E3" w:rsidRPr="00921ED0" w:rsidRDefault="005624E3" w:rsidP="005624E3">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PB</m:t>
        </m:r>
      </m:oMath>
      <w:r w:rsidRPr="00921ED0">
        <w:tab/>
        <w:t>=</w:t>
      </w:r>
      <w:r w:rsidRPr="00921ED0">
        <w:tab/>
        <w:t xml:space="preserve">a </w:t>
      </w:r>
      <m:oMath>
        <m:r>
          <w:rPr>
            <w:rFonts w:ascii="Cambria Math" w:hAnsi="Cambria Math"/>
            <w:szCs w:val="20"/>
          </w:rPr>
          <m:t>B</m:t>
        </m:r>
      </m:oMath>
      <w:r w:rsidRPr="00921ED0">
        <w:t xml:space="preserve"> különleges horgony tömege;</w:t>
      </w:r>
    </w:p>
    <w:p w:rsidR="005624E3" w:rsidRPr="00921ED0" w:rsidRDefault="005624E3" w:rsidP="005624E3">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FA</m:t>
        </m:r>
      </m:oMath>
      <w:r w:rsidRPr="00921ED0">
        <w:tab/>
        <w:t>=</w:t>
      </w:r>
      <w:r w:rsidRPr="00921ED0">
        <w:tab/>
        <w:t xml:space="preserve">az </w:t>
      </w:r>
      <m:oMath>
        <m:r>
          <w:rPr>
            <w:rFonts w:ascii="Cambria Math" w:hAnsi="Cambria Math"/>
            <w:szCs w:val="20"/>
          </w:rPr>
          <m:t>A</m:t>
        </m:r>
      </m:oMath>
      <w:r w:rsidRPr="00921ED0">
        <w:t xml:space="preserve"> referenciahorgony tartóereje </w:t>
      </w:r>
      <m:oMath>
        <m:r>
          <w:rPr>
            <w:rFonts w:ascii="Cambria Math" w:hAnsi="Cambria Math"/>
            <w:szCs w:val="20"/>
          </w:rPr>
          <m:t>v</m:t>
        </m:r>
      </m:oMath>
      <w:r w:rsidRPr="00921ED0">
        <w:t xml:space="preserve"> = 0,5 km/h sebességnél;</w:t>
      </w:r>
    </w:p>
    <w:p w:rsidR="005624E3" w:rsidRPr="00921ED0" w:rsidRDefault="005624E3" w:rsidP="005624E3">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FB</m:t>
        </m:r>
      </m:oMath>
      <w:r w:rsidRPr="00921ED0">
        <w:tab/>
        <w:t>=</w:t>
      </w:r>
      <w:r w:rsidRPr="00921ED0">
        <w:tab/>
        <w:t xml:space="preserve">a </w:t>
      </w:r>
      <m:oMath>
        <m:r>
          <w:rPr>
            <w:rFonts w:ascii="Cambria Math" w:hAnsi="Cambria Math"/>
            <w:szCs w:val="20"/>
          </w:rPr>
          <m:t>B</m:t>
        </m:r>
      </m:oMath>
      <w:r w:rsidRPr="00921ED0">
        <w:t xml:space="preserve"> különleges horgony tartóereje </w:t>
      </w:r>
      <m:oMath>
        <m:r>
          <w:rPr>
            <w:rFonts w:ascii="Cambria Math" w:hAnsi="Cambria Math"/>
            <w:szCs w:val="20"/>
          </w:rPr>
          <m:t>v</m:t>
        </m:r>
      </m:oMath>
      <w:r w:rsidRPr="00921ED0">
        <w:t xml:space="preserve"> = 0,5 km/h sebességnél;</w:t>
      </w:r>
    </w:p>
    <w:p w:rsidR="005624E3" w:rsidRPr="00921ED0" w:rsidRDefault="005624E3" w:rsidP="005624E3">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AA</m:t>
        </m:r>
      </m:oMath>
      <w:r w:rsidRPr="00921ED0">
        <w:tab/>
        <w:t>=</w:t>
      </w:r>
      <w:r w:rsidRPr="00921ED0">
        <w:tab/>
        <w:t>a következők által határolt fékerődiagram területe:</w:t>
      </w:r>
    </w:p>
    <w:p w:rsidR="005624E3" w:rsidRPr="00921ED0" w:rsidRDefault="005624E3" w:rsidP="005624E3">
      <w:pPr>
        <w:tabs>
          <w:tab w:val="left" w:pos="1985"/>
        </w:tabs>
        <w:overflowPunct w:val="0"/>
        <w:adjustRightInd w:val="0"/>
        <w:spacing w:before="60"/>
        <w:ind w:left="1984"/>
        <w:textAlignment w:val="baseline"/>
        <w:rPr>
          <w:szCs w:val="20"/>
        </w:rPr>
      </w:pPr>
      <w:r w:rsidRPr="00921ED0">
        <w:t>-</w:t>
      </w:r>
      <w:r w:rsidRPr="00921ED0">
        <w:tab/>
        <w:t xml:space="preserve">az y-tengellyel párhuzamos egyenes </w:t>
      </w:r>
      <m:oMath>
        <m:r>
          <w:rPr>
            <w:rFonts w:ascii="Cambria Math" w:hAnsi="Cambria Math"/>
            <w:szCs w:val="20"/>
          </w:rPr>
          <m:t>v</m:t>
        </m:r>
      </m:oMath>
      <w:r w:rsidRPr="00921ED0">
        <w:t xml:space="preserve"> = 0 sebességnél</w:t>
      </w:r>
    </w:p>
    <w:p w:rsidR="005624E3" w:rsidRPr="00921ED0" w:rsidRDefault="005624E3" w:rsidP="005624E3">
      <w:pPr>
        <w:tabs>
          <w:tab w:val="left" w:pos="1985"/>
        </w:tabs>
        <w:overflowPunct w:val="0"/>
        <w:adjustRightInd w:val="0"/>
        <w:spacing w:before="60"/>
        <w:ind w:left="1984"/>
        <w:textAlignment w:val="baseline"/>
        <w:rPr>
          <w:szCs w:val="20"/>
        </w:rPr>
      </w:pPr>
      <w:r w:rsidRPr="00921ED0">
        <w:t>-</w:t>
      </w:r>
      <w:r w:rsidRPr="00921ED0">
        <w:tab/>
        <w:t xml:space="preserve">az y-tengellyel párhuzamos egyenes </w:t>
      </w:r>
      <m:oMath>
        <m:r>
          <w:rPr>
            <w:rFonts w:ascii="Cambria Math" w:hAnsi="Cambria Math"/>
            <w:szCs w:val="20"/>
          </w:rPr>
          <m:t>v</m:t>
        </m:r>
      </m:oMath>
      <w:r w:rsidRPr="00921ED0">
        <w:t xml:space="preserve"> = 5 km/h sebességnél</w:t>
      </w:r>
    </w:p>
    <w:p w:rsidR="005624E3" w:rsidRPr="00921ED0" w:rsidRDefault="005624E3" w:rsidP="005624E3">
      <w:pPr>
        <w:tabs>
          <w:tab w:val="left" w:pos="1985"/>
        </w:tabs>
        <w:overflowPunct w:val="0"/>
        <w:adjustRightInd w:val="0"/>
        <w:spacing w:before="60"/>
        <w:ind w:left="1984"/>
        <w:textAlignment w:val="baseline"/>
        <w:rPr>
          <w:szCs w:val="20"/>
        </w:rPr>
      </w:pPr>
      <w:r w:rsidRPr="00921ED0">
        <w:t>-</w:t>
      </w:r>
      <w:r w:rsidRPr="00921ED0">
        <w:tab/>
        <w:t xml:space="preserve">az x-tengellyel párhuzamos egyenes </w:t>
      </w:r>
      <m:oMath>
        <m:r>
          <w:rPr>
            <w:rFonts w:ascii="Cambria Math" w:hAnsi="Cambria Math"/>
            <w:szCs w:val="20"/>
          </w:rPr>
          <m:t>F</m:t>
        </m:r>
      </m:oMath>
      <w:r w:rsidRPr="00921ED0">
        <w:t xml:space="preserve"> = 0 tartóerőnél</w:t>
      </w:r>
    </w:p>
    <w:p w:rsidR="005624E3" w:rsidRPr="00921ED0" w:rsidRDefault="005624E3" w:rsidP="005624E3">
      <w:pPr>
        <w:tabs>
          <w:tab w:val="left" w:pos="1985"/>
        </w:tabs>
        <w:overflowPunct w:val="0"/>
        <w:adjustRightInd w:val="0"/>
        <w:spacing w:before="60"/>
        <w:ind w:left="1984"/>
        <w:textAlignment w:val="baseline"/>
        <w:rPr>
          <w:szCs w:val="20"/>
        </w:rPr>
      </w:pPr>
      <w:r w:rsidRPr="00921ED0">
        <w:t>-</w:t>
      </w:r>
      <w:r w:rsidRPr="00921ED0">
        <w:tab/>
        <w:t xml:space="preserve">az </w:t>
      </w:r>
      <m:oMath>
        <m:r>
          <w:rPr>
            <w:rFonts w:ascii="Cambria Math" w:hAnsi="Cambria Math"/>
            <w:szCs w:val="20"/>
          </w:rPr>
          <m:t>A</m:t>
        </m:r>
      </m:oMath>
      <w:r w:rsidRPr="00921ED0">
        <w:t xml:space="preserve"> referenciahorgony fékerőgörbéje;</w:t>
      </w:r>
    </w:p>
    <w:p w:rsidR="005624E3" w:rsidRPr="00921ED0" w:rsidRDefault="005624E3" w:rsidP="005624E3">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AB</m:t>
        </m:r>
      </m:oMath>
      <w:r w:rsidRPr="00921ED0">
        <w:tab/>
        <w:t>=</w:t>
      </w:r>
      <w:r w:rsidRPr="00921ED0">
        <w:tab/>
        <w:t xml:space="preserve">meghatározása azonos az </w:t>
      </w:r>
      <m:oMath>
        <m:r>
          <w:rPr>
            <w:rFonts w:ascii="Cambria Math" w:hAnsi="Cambria Math"/>
            <w:szCs w:val="20"/>
          </w:rPr>
          <m:t>AA</m:t>
        </m:r>
      </m:oMath>
      <w:r w:rsidRPr="00921ED0">
        <w:t xml:space="preserve"> területével, csak a </w:t>
      </w:r>
      <m:oMath>
        <m:r>
          <w:rPr>
            <w:rFonts w:ascii="Cambria Math" w:hAnsi="Cambria Math"/>
            <w:szCs w:val="20"/>
          </w:rPr>
          <m:t>B</m:t>
        </m:r>
      </m:oMath>
      <w:r w:rsidRPr="00921ED0">
        <w:t xml:space="preserve"> különleges horgony fékerődiagramjára vonatkoztatva.</w:t>
      </w:r>
    </w:p>
    <w:p w:rsidR="005624E3" w:rsidRPr="00921ED0" w:rsidRDefault="005624E3" w:rsidP="005624E3">
      <w:pPr>
        <w:tabs>
          <w:tab w:val="left" w:pos="284"/>
        </w:tabs>
        <w:overflowPunct w:val="0"/>
        <w:adjustRightInd w:val="0"/>
        <w:textAlignment w:val="baseline"/>
        <w:rPr>
          <w:szCs w:val="20"/>
        </w:rPr>
      </w:pPr>
    </w:p>
    <w:p w:rsidR="005624E3" w:rsidRPr="00921ED0" w:rsidRDefault="005624E3" w:rsidP="005624E3">
      <w:pPr>
        <w:tabs>
          <w:tab w:val="left" w:pos="284"/>
        </w:tabs>
        <w:overflowPunct w:val="0"/>
        <w:adjustRightInd w:val="0"/>
        <w:textAlignment w:val="baseline"/>
        <w:rPr>
          <w:szCs w:val="20"/>
        </w:rPr>
      </w:pPr>
    </w:p>
    <w:p w:rsidR="005624E3" w:rsidRPr="00921ED0" w:rsidRDefault="005624E3" w:rsidP="005624E3">
      <w:pPr>
        <w:tabs>
          <w:tab w:val="left" w:pos="284"/>
        </w:tabs>
        <w:overflowPunct w:val="0"/>
        <w:adjustRightInd w:val="0"/>
        <w:jc w:val="center"/>
        <w:textAlignment w:val="baseline"/>
        <w:rPr>
          <w:b/>
          <w:szCs w:val="20"/>
        </w:rPr>
      </w:pPr>
      <w:r w:rsidRPr="00921ED0">
        <w:rPr>
          <w:b/>
        </w:rPr>
        <w:t>Példa a fékerődiagramra</w:t>
      </w:r>
    </w:p>
    <w:p w:rsidR="005624E3" w:rsidRPr="00921ED0" w:rsidRDefault="005624E3" w:rsidP="005624E3">
      <w:pPr>
        <w:tabs>
          <w:tab w:val="left" w:pos="284"/>
        </w:tabs>
        <w:overflowPunct w:val="0"/>
        <w:adjustRightInd w:val="0"/>
        <w:jc w:val="center"/>
        <w:textAlignment w:val="baseline"/>
        <w:rPr>
          <w:b/>
          <w:szCs w:val="20"/>
        </w:rPr>
      </w:pPr>
      <w:r w:rsidRPr="00921ED0">
        <w:rPr>
          <w:b/>
        </w:rPr>
        <w:t xml:space="preserve">(Az </w:t>
      </w:r>
      <m:oMath>
        <m:r>
          <m:rPr>
            <m:sty m:val="bi"/>
          </m:rPr>
          <w:rPr>
            <w:rFonts w:ascii="Cambria Math" w:hAnsi="Cambria Math"/>
            <w:szCs w:val="20"/>
          </w:rPr>
          <m:t>AA</m:t>
        </m:r>
      </m:oMath>
      <w:r w:rsidRPr="00921ED0">
        <w:rPr>
          <w:b/>
        </w:rPr>
        <w:t xml:space="preserve"> és az </w:t>
      </w:r>
      <m:oMath>
        <m:r>
          <m:rPr>
            <m:sty m:val="bi"/>
          </m:rPr>
          <w:rPr>
            <w:rFonts w:ascii="Cambria Math" w:hAnsi="Cambria Math"/>
            <w:szCs w:val="20"/>
          </w:rPr>
          <m:t xml:space="preserve"> AB</m:t>
        </m:r>
      </m:oMath>
      <w:r w:rsidRPr="00921ED0">
        <w:rPr>
          <w:b/>
        </w:rPr>
        <w:t xml:space="preserve"> felület meghatározása)</w:t>
      </w:r>
    </w:p>
    <w:p w:rsidR="005624E3" w:rsidRPr="00921ED0" w:rsidRDefault="005624E3" w:rsidP="005624E3">
      <w:pPr>
        <w:tabs>
          <w:tab w:val="left" w:pos="284"/>
        </w:tabs>
        <w:overflowPunct w:val="0"/>
        <w:adjustRightInd w:val="0"/>
        <w:ind w:left="1134" w:hanging="1276"/>
        <w:jc w:val="center"/>
        <w:textAlignment w:val="baseline"/>
        <w:rPr>
          <w:noProof/>
          <w:szCs w:val="20"/>
        </w:rPr>
      </w:pPr>
      <w:r w:rsidRPr="00921ED0">
        <w:rPr>
          <w:rFonts w:cs="Arial"/>
          <w:noProof/>
          <w:szCs w:val="20"/>
        </w:rPr>
        <w:drawing>
          <wp:anchor distT="0" distB="0" distL="114300" distR="114300" simplePos="0" relativeHeight="251692032" behindDoc="0" locked="0" layoutInCell="1" allowOverlap="1" wp14:anchorId="0EFB6C21" wp14:editId="5E6FE1D6">
            <wp:simplePos x="0" y="0"/>
            <wp:positionH relativeFrom="column">
              <wp:posOffset>533400</wp:posOffset>
            </wp:positionH>
            <wp:positionV relativeFrom="paragraph">
              <wp:posOffset>213360</wp:posOffset>
            </wp:positionV>
            <wp:extent cx="5114290" cy="2333625"/>
            <wp:effectExtent l="0" t="0" r="0" b="9525"/>
            <wp:wrapTopAndBottom/>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11429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24E3" w:rsidRPr="00921ED0" w:rsidRDefault="005624E3" w:rsidP="005624E3">
      <w:pPr>
        <w:tabs>
          <w:tab w:val="left" w:pos="284"/>
        </w:tabs>
        <w:overflowPunct w:val="0"/>
        <w:adjustRightInd w:val="0"/>
        <w:ind w:left="1134" w:hanging="1276"/>
        <w:jc w:val="center"/>
        <w:textAlignment w:val="baseline"/>
        <w:rPr>
          <w:szCs w:val="20"/>
        </w:rPr>
      </w:pPr>
    </w:p>
    <w:p w:rsidR="005624E3" w:rsidRPr="00921ED0" w:rsidRDefault="005624E3" w:rsidP="005624E3">
      <w:pPr>
        <w:tabs>
          <w:tab w:val="left" w:pos="284"/>
        </w:tabs>
        <w:overflowPunct w:val="0"/>
        <w:adjustRightInd w:val="0"/>
        <w:ind w:left="1134" w:hanging="1276"/>
        <w:textAlignment w:val="baseline"/>
        <w:rPr>
          <w:szCs w:val="20"/>
        </w:rPr>
      </w:pPr>
    </w:p>
    <w:p w:rsidR="005624E3" w:rsidRPr="00921ED0" w:rsidRDefault="005624E3" w:rsidP="005624E3">
      <w:pPr>
        <w:tabs>
          <w:tab w:val="left" w:pos="567"/>
        </w:tabs>
        <w:overflowPunct w:val="0"/>
        <w:adjustRightInd w:val="0"/>
        <w:ind w:left="567" w:hanging="567"/>
        <w:textAlignment w:val="baseline"/>
        <w:rPr>
          <w:szCs w:val="20"/>
        </w:rPr>
      </w:pPr>
      <w:r w:rsidRPr="00921ED0">
        <w:rPr>
          <w:b/>
        </w:rPr>
        <w:t>2.7.</w:t>
      </w:r>
      <w:r w:rsidRPr="00921ED0">
        <w:tab/>
        <w:t xml:space="preserve">Az elfogadható százalékos arány a 2.6. pont szerint kiszámított </w:t>
      </w:r>
      <m:oMath>
        <m:r>
          <w:rPr>
            <w:rFonts w:ascii="Cambria Math" w:hAnsi="Cambria Math"/>
            <w:szCs w:val="20"/>
          </w:rPr>
          <m:t>r</m:t>
        </m:r>
      </m:oMath>
      <w:r w:rsidRPr="00921ED0">
        <w:t xml:space="preserve"> hat értékének átlaga.</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4"/>
      </w:pPr>
      <w:r w:rsidRPr="00921ED0">
        <w:t xml:space="preserve">1. melléklet az ESI-II-9 utasításhoz </w:t>
      </w:r>
    </w:p>
    <w:p w:rsidR="005624E3" w:rsidRPr="00921ED0" w:rsidRDefault="005624E3" w:rsidP="005624E3">
      <w:pPr>
        <w:pStyle w:val="ES-Titre4a"/>
      </w:pPr>
      <w:r w:rsidRPr="00921ED0">
        <w:t>Példa a horgonyvizsgálati módszerre az egy oszlopban haladó, két részből álló tolt kötelék esetén</w:t>
      </w:r>
    </w:p>
    <w:p w:rsidR="005624E3" w:rsidRPr="00921ED0" w:rsidRDefault="005624E3" w:rsidP="005624E3">
      <w:pPr>
        <w:tabs>
          <w:tab w:val="left" w:pos="284"/>
          <w:tab w:val="left" w:pos="567"/>
        </w:tabs>
        <w:overflowPunct w:val="0"/>
        <w:adjustRightInd w:val="0"/>
        <w:ind w:left="284" w:hanging="426"/>
        <w:textAlignment w:val="baseline"/>
        <w:rPr>
          <w:szCs w:val="20"/>
        </w:rPr>
      </w:pPr>
    </w:p>
    <w:p w:rsidR="005624E3" w:rsidRPr="00921ED0" w:rsidRDefault="005624E3" w:rsidP="005624E3">
      <w:pPr>
        <w:tabs>
          <w:tab w:val="left" w:pos="284"/>
          <w:tab w:val="left" w:pos="567"/>
        </w:tabs>
        <w:overflowPunct w:val="0"/>
        <w:adjustRightInd w:val="0"/>
        <w:ind w:left="284" w:hanging="426"/>
        <w:textAlignment w:val="baseline"/>
        <w:rPr>
          <w:szCs w:val="20"/>
        </w:rPr>
      </w:pPr>
    </w:p>
    <w:p w:rsidR="005624E3" w:rsidRPr="00921ED0" w:rsidRDefault="005624E3" w:rsidP="005624E3">
      <w:pPr>
        <w:tabs>
          <w:tab w:val="left" w:pos="567"/>
        </w:tabs>
        <w:overflowPunct w:val="0"/>
        <w:adjustRightInd w:val="0"/>
        <w:ind w:left="284" w:hanging="426"/>
        <w:textAlignment w:val="baseline"/>
        <w:rPr>
          <w:szCs w:val="20"/>
        </w:rPr>
      </w:pPr>
    </w:p>
    <w:p w:rsidR="005624E3" w:rsidRPr="00921ED0" w:rsidRDefault="005624E3" w:rsidP="005624E3">
      <w:pPr>
        <w:tabs>
          <w:tab w:val="left" w:pos="567"/>
        </w:tabs>
        <w:overflowPunct w:val="0"/>
        <w:adjustRightInd w:val="0"/>
        <w:ind w:left="284" w:hanging="426"/>
        <w:textAlignment w:val="baseline"/>
        <w:rPr>
          <w:szCs w:val="20"/>
        </w:rPr>
      </w:pPr>
    </w:p>
    <w:tbl>
      <w:tblPr>
        <w:tblW w:w="0" w:type="auto"/>
        <w:jc w:val="center"/>
        <w:tblLayout w:type="fixed"/>
        <w:tblLook w:val="0000" w:firstRow="0" w:lastRow="0" w:firstColumn="0" w:lastColumn="0" w:noHBand="0" w:noVBand="0"/>
      </w:tblPr>
      <w:tblGrid>
        <w:gridCol w:w="1240"/>
        <w:gridCol w:w="1268"/>
        <w:gridCol w:w="293"/>
        <w:gridCol w:w="945"/>
        <w:gridCol w:w="529"/>
        <w:gridCol w:w="765"/>
        <w:gridCol w:w="69"/>
        <w:gridCol w:w="752"/>
        <w:gridCol w:w="1476"/>
        <w:gridCol w:w="483"/>
        <w:gridCol w:w="998"/>
        <w:gridCol w:w="1082"/>
      </w:tblGrid>
      <w:tr w:rsidR="005624E3" w:rsidRPr="00921ED0" w:rsidTr="00101A80">
        <w:trPr>
          <w:jc w:val="center"/>
        </w:trPr>
        <w:tc>
          <w:tcPr>
            <w:tcW w:w="2801" w:type="dxa"/>
            <w:gridSpan w:val="3"/>
          </w:tcPr>
          <w:p w:rsidR="005624E3" w:rsidRPr="00921ED0" w:rsidRDefault="005624E3" w:rsidP="00101A80">
            <w:pPr>
              <w:suppressAutoHyphens/>
              <w:snapToGrid w:val="0"/>
              <w:spacing w:before="120" w:after="120"/>
              <w:rPr>
                <w:rFonts w:cs="Arial"/>
                <w:sz w:val="18"/>
                <w:szCs w:val="18"/>
              </w:rPr>
            </w:pPr>
            <w:r w:rsidRPr="00921ED0">
              <w:rPr>
                <w:sz w:val="18"/>
              </w:rPr>
              <w:t>Tolóhajó</w:t>
            </w:r>
          </w:p>
        </w:tc>
        <w:tc>
          <w:tcPr>
            <w:tcW w:w="1474" w:type="dxa"/>
            <w:gridSpan w:val="2"/>
          </w:tcPr>
          <w:p w:rsidR="005624E3" w:rsidRPr="00921ED0" w:rsidRDefault="005624E3" w:rsidP="00101A80">
            <w:pPr>
              <w:suppressAutoHyphens/>
              <w:snapToGrid w:val="0"/>
              <w:spacing w:before="120" w:after="120"/>
              <w:rPr>
                <w:rFonts w:cs="Arial"/>
                <w:sz w:val="18"/>
                <w:szCs w:val="18"/>
              </w:rPr>
            </w:pPr>
            <w:r w:rsidRPr="00921ED0">
              <w:rPr>
                <w:sz w:val="18"/>
              </w:rPr>
              <w:t>2. bárka</w:t>
            </w:r>
          </w:p>
        </w:tc>
        <w:tc>
          <w:tcPr>
            <w:tcW w:w="1586" w:type="dxa"/>
            <w:gridSpan w:val="3"/>
          </w:tcPr>
          <w:p w:rsidR="005624E3" w:rsidRPr="00921ED0" w:rsidRDefault="005624E3" w:rsidP="00101A80">
            <w:pPr>
              <w:suppressAutoHyphens/>
              <w:snapToGrid w:val="0"/>
              <w:spacing w:before="120" w:after="120"/>
              <w:rPr>
                <w:rFonts w:cs="Arial"/>
                <w:sz w:val="18"/>
                <w:szCs w:val="18"/>
              </w:rPr>
            </w:pPr>
          </w:p>
        </w:tc>
        <w:tc>
          <w:tcPr>
            <w:tcW w:w="1476" w:type="dxa"/>
          </w:tcPr>
          <w:p w:rsidR="005624E3" w:rsidRPr="00921ED0" w:rsidRDefault="005624E3" w:rsidP="00101A80">
            <w:pPr>
              <w:suppressAutoHyphens/>
              <w:snapToGrid w:val="0"/>
              <w:spacing w:before="120" w:after="120"/>
              <w:rPr>
                <w:rFonts w:cs="Arial"/>
                <w:sz w:val="18"/>
                <w:szCs w:val="18"/>
              </w:rPr>
            </w:pPr>
          </w:p>
        </w:tc>
        <w:tc>
          <w:tcPr>
            <w:tcW w:w="1481" w:type="dxa"/>
            <w:gridSpan w:val="2"/>
          </w:tcPr>
          <w:p w:rsidR="005624E3" w:rsidRPr="00921ED0" w:rsidRDefault="005624E3" w:rsidP="00101A80">
            <w:pPr>
              <w:suppressAutoHyphens/>
              <w:snapToGrid w:val="0"/>
              <w:spacing w:before="120" w:after="120"/>
              <w:rPr>
                <w:rFonts w:cs="Arial"/>
                <w:sz w:val="18"/>
                <w:szCs w:val="18"/>
              </w:rPr>
            </w:pPr>
            <w:r w:rsidRPr="00921ED0">
              <w:rPr>
                <w:sz w:val="18"/>
              </w:rPr>
              <w:t>1. bárka</w:t>
            </w:r>
          </w:p>
        </w:tc>
        <w:tc>
          <w:tcPr>
            <w:tcW w:w="1082" w:type="dxa"/>
          </w:tcPr>
          <w:p w:rsidR="005624E3" w:rsidRPr="00921ED0" w:rsidRDefault="005624E3" w:rsidP="00101A80">
            <w:pPr>
              <w:suppressAutoHyphens/>
              <w:snapToGrid w:val="0"/>
              <w:spacing w:before="120" w:after="120"/>
              <w:rPr>
                <w:rFonts w:cs="Arial"/>
                <w:sz w:val="18"/>
                <w:szCs w:val="18"/>
              </w:rPr>
            </w:pPr>
          </w:p>
        </w:tc>
      </w:tr>
      <w:tr w:rsidR="005624E3" w:rsidRPr="00921ED0" w:rsidTr="00101A80">
        <w:trPr>
          <w:jc w:val="center"/>
        </w:trPr>
        <w:tc>
          <w:tcPr>
            <w:tcW w:w="9900" w:type="dxa"/>
            <w:gridSpan w:val="12"/>
          </w:tcPr>
          <w:p w:rsidR="005624E3" w:rsidRPr="00921ED0" w:rsidRDefault="005624E3" w:rsidP="00101A80">
            <w:pPr>
              <w:suppressAutoHyphens/>
              <w:snapToGrid w:val="0"/>
              <w:rPr>
                <w:sz w:val="2"/>
                <w:szCs w:val="2"/>
              </w:rPr>
            </w:pPr>
            <w:r w:rsidRPr="00921ED0">
              <w:rPr>
                <w:noProof/>
              </w:rPr>
              <w:drawing>
                <wp:anchor distT="0" distB="0" distL="114935" distR="114935" simplePos="0" relativeHeight="251686912" behindDoc="0" locked="0" layoutInCell="1" allowOverlap="1" wp14:anchorId="3FA9C3EE" wp14:editId="6ECE5B99">
                  <wp:simplePos x="0" y="0"/>
                  <wp:positionH relativeFrom="column">
                    <wp:posOffset>-70485</wp:posOffset>
                  </wp:positionH>
                  <wp:positionV relativeFrom="paragraph">
                    <wp:posOffset>-1298575</wp:posOffset>
                  </wp:positionV>
                  <wp:extent cx="6282690" cy="1290320"/>
                  <wp:effectExtent l="0" t="0" r="3810" b="5080"/>
                  <wp:wrapTopAndBottom/>
                  <wp:docPr id="304" name="Imag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6282690" cy="1290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5624E3" w:rsidRPr="00921ED0" w:rsidTr="00101A80">
        <w:trPr>
          <w:jc w:val="center"/>
        </w:trPr>
        <w:tc>
          <w:tcPr>
            <w:tcW w:w="1240" w:type="dxa"/>
          </w:tcPr>
          <w:p w:rsidR="005624E3" w:rsidRPr="00921ED0" w:rsidRDefault="005624E3" w:rsidP="00101A80">
            <w:pPr>
              <w:suppressAutoHyphens/>
              <w:snapToGrid w:val="0"/>
              <w:spacing w:before="120" w:after="120"/>
              <w:jc w:val="center"/>
              <w:rPr>
                <w:rFonts w:cs="Arial"/>
                <w:sz w:val="18"/>
                <w:szCs w:val="18"/>
              </w:rPr>
            </w:pPr>
            <w:r w:rsidRPr="00921ED0">
              <w:rPr>
                <w:sz w:val="18"/>
              </w:rPr>
              <w:t>Horgony</w:t>
            </w:r>
          </w:p>
        </w:tc>
        <w:tc>
          <w:tcPr>
            <w:tcW w:w="1268" w:type="dxa"/>
          </w:tcPr>
          <w:p w:rsidR="005624E3" w:rsidRPr="00921ED0" w:rsidRDefault="005624E3" w:rsidP="00101A80">
            <w:pPr>
              <w:suppressAutoHyphens/>
              <w:snapToGrid w:val="0"/>
              <w:spacing w:before="120" w:after="120"/>
              <w:jc w:val="center"/>
              <w:rPr>
                <w:rFonts w:cs="Arial"/>
                <w:sz w:val="18"/>
                <w:szCs w:val="18"/>
              </w:rPr>
            </w:pPr>
            <w:r w:rsidRPr="00921ED0">
              <w:rPr>
                <w:sz w:val="18"/>
              </w:rPr>
              <w:t>Csörlő</w:t>
            </w:r>
          </w:p>
        </w:tc>
        <w:tc>
          <w:tcPr>
            <w:tcW w:w="1238" w:type="dxa"/>
            <w:gridSpan w:val="2"/>
          </w:tcPr>
          <w:p w:rsidR="005624E3" w:rsidRPr="00921ED0" w:rsidRDefault="005624E3" w:rsidP="00101A80">
            <w:pPr>
              <w:suppressAutoHyphens/>
              <w:snapToGrid w:val="0"/>
              <w:spacing w:before="120" w:after="120"/>
              <w:jc w:val="center"/>
              <w:rPr>
                <w:rFonts w:cs="Arial"/>
                <w:sz w:val="18"/>
                <w:szCs w:val="18"/>
              </w:rPr>
            </w:pPr>
            <w:r w:rsidRPr="00921ED0">
              <w:rPr>
                <w:sz w:val="18"/>
              </w:rPr>
              <w:t>Horgonylánc</w:t>
            </w:r>
          </w:p>
        </w:tc>
        <w:tc>
          <w:tcPr>
            <w:tcW w:w="1363" w:type="dxa"/>
            <w:gridSpan w:val="3"/>
          </w:tcPr>
          <w:p w:rsidR="005624E3" w:rsidRPr="00921ED0" w:rsidRDefault="005624E3" w:rsidP="00101A80">
            <w:pPr>
              <w:suppressAutoHyphens/>
              <w:snapToGrid w:val="0"/>
              <w:spacing w:before="120" w:after="120"/>
              <w:jc w:val="center"/>
              <w:rPr>
                <w:rFonts w:cs="Arial"/>
                <w:sz w:val="18"/>
                <w:szCs w:val="18"/>
              </w:rPr>
            </w:pPr>
            <w:r w:rsidRPr="00921ED0">
              <w:rPr>
                <w:sz w:val="18"/>
              </w:rPr>
              <w:t>Vontatókötél</w:t>
            </w:r>
          </w:p>
        </w:tc>
        <w:tc>
          <w:tcPr>
            <w:tcW w:w="2711" w:type="dxa"/>
            <w:gridSpan w:val="3"/>
          </w:tcPr>
          <w:p w:rsidR="005624E3" w:rsidRPr="00921ED0" w:rsidRDefault="005624E3" w:rsidP="00101A80">
            <w:pPr>
              <w:suppressAutoHyphens/>
              <w:snapToGrid w:val="0"/>
              <w:spacing w:before="120" w:after="120"/>
              <w:jc w:val="center"/>
              <w:rPr>
                <w:rFonts w:cs="Arial"/>
                <w:sz w:val="18"/>
                <w:szCs w:val="18"/>
              </w:rPr>
            </w:pPr>
            <w:r w:rsidRPr="00921ED0">
              <w:rPr>
                <w:sz w:val="18"/>
              </w:rPr>
              <w:t>Szakítószilárdsági dinamométer</w:t>
            </w:r>
          </w:p>
        </w:tc>
        <w:tc>
          <w:tcPr>
            <w:tcW w:w="2080" w:type="dxa"/>
            <w:gridSpan w:val="2"/>
          </w:tcPr>
          <w:p w:rsidR="005624E3" w:rsidRPr="00921ED0" w:rsidRDefault="005624E3" w:rsidP="00101A80">
            <w:pPr>
              <w:suppressAutoHyphens/>
              <w:snapToGrid w:val="0"/>
              <w:spacing w:before="120" w:after="120"/>
              <w:jc w:val="center"/>
              <w:rPr>
                <w:rFonts w:cs="Arial"/>
                <w:sz w:val="18"/>
                <w:szCs w:val="18"/>
              </w:rPr>
            </w:pPr>
            <w:r w:rsidRPr="00921ED0">
              <w:rPr>
                <w:sz w:val="18"/>
              </w:rPr>
              <w:t>Horgonyzóhely</w:t>
            </w:r>
          </w:p>
        </w:tc>
      </w:tr>
      <w:tr w:rsidR="005624E3" w:rsidRPr="00921ED0" w:rsidTr="00101A80">
        <w:trPr>
          <w:jc w:val="center"/>
        </w:trPr>
        <w:tc>
          <w:tcPr>
            <w:tcW w:w="1240" w:type="dxa"/>
          </w:tcPr>
          <w:p w:rsidR="005624E3" w:rsidRPr="00921ED0" w:rsidRDefault="005624E3" w:rsidP="00101A80">
            <w:pPr>
              <w:suppressAutoHyphens/>
              <w:snapToGrid w:val="0"/>
              <w:spacing w:before="120" w:after="120"/>
              <w:jc w:val="center"/>
              <w:rPr>
                <w:rFonts w:cs="Arial"/>
                <w:sz w:val="18"/>
                <w:szCs w:val="18"/>
              </w:rPr>
            </w:pPr>
            <w:r w:rsidRPr="00921ED0">
              <w:rPr>
                <w:sz w:val="18"/>
              </w:rPr>
              <w:t>500 kg</w:t>
            </w:r>
          </w:p>
        </w:tc>
        <w:tc>
          <w:tcPr>
            <w:tcW w:w="1268" w:type="dxa"/>
          </w:tcPr>
          <w:p w:rsidR="005624E3" w:rsidRPr="00921ED0" w:rsidRDefault="005624E3" w:rsidP="00101A80">
            <w:pPr>
              <w:suppressAutoHyphens/>
              <w:snapToGrid w:val="0"/>
              <w:spacing w:before="120" w:after="120"/>
              <w:jc w:val="center"/>
              <w:rPr>
                <w:rFonts w:cs="Arial"/>
                <w:sz w:val="18"/>
                <w:szCs w:val="18"/>
              </w:rPr>
            </w:pPr>
            <w:r w:rsidRPr="00921ED0">
              <w:rPr>
                <w:sz w:val="18"/>
              </w:rPr>
              <w:t>750 kg</w:t>
            </w:r>
          </w:p>
        </w:tc>
        <w:tc>
          <w:tcPr>
            <w:tcW w:w="1238" w:type="dxa"/>
            <w:gridSpan w:val="2"/>
          </w:tcPr>
          <w:p w:rsidR="005624E3" w:rsidRPr="00921ED0" w:rsidRDefault="005624E3" w:rsidP="00101A80">
            <w:pPr>
              <w:suppressAutoHyphens/>
              <w:snapToGrid w:val="0"/>
              <w:spacing w:before="120" w:after="120"/>
              <w:jc w:val="center"/>
              <w:rPr>
                <w:rFonts w:ascii="Symbol" w:hAnsi="Symbol"/>
                <w:sz w:val="18"/>
                <w:szCs w:val="18"/>
              </w:rPr>
            </w:pPr>
            <w:r w:rsidRPr="00921ED0">
              <w:rPr>
                <w:sz w:val="18"/>
              </w:rPr>
              <w:t xml:space="preserve">12 mm </w:t>
            </w:r>
          </w:p>
        </w:tc>
        <w:tc>
          <w:tcPr>
            <w:tcW w:w="1363" w:type="dxa"/>
            <w:gridSpan w:val="3"/>
          </w:tcPr>
          <w:p w:rsidR="005624E3" w:rsidRPr="00921ED0" w:rsidRDefault="005624E3" w:rsidP="00101A80">
            <w:pPr>
              <w:suppressAutoHyphens/>
              <w:snapToGrid w:val="0"/>
              <w:spacing w:before="120" w:after="120"/>
              <w:jc w:val="center"/>
              <w:rPr>
                <w:rFonts w:ascii="Symbol" w:hAnsi="Symbol"/>
                <w:sz w:val="18"/>
                <w:szCs w:val="18"/>
              </w:rPr>
            </w:pPr>
            <w:r w:rsidRPr="00921ED0">
              <w:rPr>
                <w:sz w:val="18"/>
              </w:rPr>
              <w:t xml:space="preserve">24 mm </w:t>
            </w:r>
          </w:p>
        </w:tc>
        <w:tc>
          <w:tcPr>
            <w:tcW w:w="2711" w:type="dxa"/>
            <w:gridSpan w:val="3"/>
          </w:tcPr>
          <w:p w:rsidR="005624E3" w:rsidRPr="00921ED0" w:rsidRDefault="005624E3" w:rsidP="00101A80">
            <w:pPr>
              <w:suppressAutoHyphens/>
              <w:snapToGrid w:val="0"/>
              <w:spacing w:before="120" w:after="120"/>
              <w:jc w:val="center"/>
              <w:rPr>
                <w:rFonts w:ascii="Symbol" w:hAnsi="Symbol" w:cs="Arial"/>
                <w:sz w:val="18"/>
                <w:szCs w:val="18"/>
              </w:rPr>
            </w:pPr>
            <w:r w:rsidRPr="00921ED0">
              <w:rPr>
                <w:sz w:val="18"/>
              </w:rPr>
              <w:t>20 t</w:t>
            </w:r>
          </w:p>
        </w:tc>
        <w:tc>
          <w:tcPr>
            <w:tcW w:w="2080" w:type="dxa"/>
            <w:gridSpan w:val="2"/>
          </w:tcPr>
          <w:p w:rsidR="005624E3" w:rsidRPr="00921ED0" w:rsidRDefault="005624E3" w:rsidP="00101A80">
            <w:pPr>
              <w:suppressAutoHyphens/>
              <w:snapToGrid w:val="0"/>
              <w:spacing w:before="120" w:after="120"/>
              <w:jc w:val="center"/>
              <w:rPr>
                <w:rFonts w:cs="Arial"/>
                <w:sz w:val="18"/>
                <w:szCs w:val="18"/>
              </w:rPr>
            </w:pPr>
            <w:r w:rsidRPr="00921ED0">
              <w:rPr>
                <w:sz w:val="18"/>
              </w:rPr>
              <w:t>Homok / Kavics</w:t>
            </w:r>
          </w:p>
        </w:tc>
      </w:tr>
      <w:tr w:rsidR="005624E3" w:rsidRPr="00921ED0" w:rsidTr="00101A80">
        <w:trPr>
          <w:jc w:val="center"/>
        </w:trPr>
        <w:tc>
          <w:tcPr>
            <w:tcW w:w="5040" w:type="dxa"/>
            <w:gridSpan w:val="6"/>
          </w:tcPr>
          <w:p w:rsidR="005624E3" w:rsidRPr="00921ED0" w:rsidRDefault="005624E3" w:rsidP="00101A80">
            <w:pPr>
              <w:suppressAutoHyphens/>
              <w:snapToGrid w:val="0"/>
              <w:spacing w:before="120" w:after="120"/>
              <w:jc w:val="center"/>
              <w:rPr>
                <w:rFonts w:cs="Arial"/>
                <w:sz w:val="18"/>
                <w:szCs w:val="18"/>
              </w:rPr>
            </w:pPr>
            <w:r w:rsidRPr="00921ED0">
              <w:rPr>
                <w:sz w:val="18"/>
              </w:rPr>
              <w:t xml:space="preserve">Vontatási sebesség: </w:t>
            </w:r>
            <w:r w:rsidRPr="00921ED0">
              <w:rPr>
                <w:rFonts w:cs="Arial"/>
                <w:sz w:val="18"/>
                <w:szCs w:val="18"/>
                <w:lang w:eastAsia="ar-SA"/>
              </w:rPr>
              <w:t xml:space="preserve">0 </w:t>
            </w:r>
            <w:r w:rsidRPr="00921ED0">
              <w:rPr>
                <w:rFonts w:ascii="Symbol" w:hAnsi="Symbol"/>
                <w:sz w:val="18"/>
                <w:szCs w:val="18"/>
                <w:lang w:eastAsia="ar-SA"/>
              </w:rPr>
              <w:t></w:t>
            </w:r>
            <w:r w:rsidRPr="00921ED0">
              <w:rPr>
                <w:rFonts w:cs="Arial"/>
                <w:sz w:val="18"/>
                <w:szCs w:val="18"/>
                <w:lang w:eastAsia="ar-SA"/>
              </w:rPr>
              <w:t xml:space="preserve"> 5 km/h</w:t>
            </w:r>
          </w:p>
        </w:tc>
        <w:tc>
          <w:tcPr>
            <w:tcW w:w="4860" w:type="dxa"/>
            <w:gridSpan w:val="6"/>
          </w:tcPr>
          <w:p w:rsidR="005624E3" w:rsidRPr="00921ED0" w:rsidRDefault="005624E3" w:rsidP="00101A80">
            <w:pPr>
              <w:suppressAutoHyphens/>
              <w:snapToGrid w:val="0"/>
              <w:spacing w:before="120" w:after="120"/>
              <w:jc w:val="center"/>
              <w:rPr>
                <w:rFonts w:cs="Arial"/>
                <w:sz w:val="18"/>
                <w:szCs w:val="18"/>
              </w:rPr>
            </w:pPr>
            <w:r w:rsidRPr="00921ED0">
              <w:rPr>
                <w:sz w:val="18"/>
              </w:rPr>
              <w:t xml:space="preserve">Vontatókötél esési szöge: </w:t>
            </w:r>
            <w:r w:rsidRPr="00921ED0">
              <w:rPr>
                <w:rFonts w:ascii="Symbol" w:hAnsi="Symbol"/>
                <w:sz w:val="18"/>
                <w:szCs w:val="18"/>
                <w:lang w:eastAsia="ar-SA"/>
              </w:rPr>
              <w:t></w:t>
            </w:r>
            <w:r w:rsidRPr="00921ED0">
              <w:rPr>
                <w:rFonts w:ascii="Symbol" w:hAnsi="Symbol"/>
                <w:sz w:val="18"/>
                <w:szCs w:val="18"/>
              </w:rPr>
              <w:t></w:t>
            </w:r>
            <w:r w:rsidRPr="00921ED0">
              <w:rPr>
                <w:rFonts w:ascii="Symbol" w:hAnsi="Symbol"/>
                <w:sz w:val="18"/>
                <w:szCs w:val="18"/>
              </w:rPr>
              <w:t></w:t>
            </w:r>
            <w:r w:rsidRPr="00921ED0">
              <w:rPr>
                <w:rFonts w:ascii="Symbol" w:hAnsi="Symbol"/>
                <w:sz w:val="18"/>
                <w:szCs w:val="18"/>
              </w:rPr>
              <w:t></w:t>
            </w:r>
            <w:r w:rsidRPr="00921ED0">
              <w:rPr>
                <w:rFonts w:ascii="Symbol" w:hAnsi="Symbol"/>
                <w:sz w:val="18"/>
                <w:szCs w:val="18"/>
              </w:rPr>
              <w:t></w:t>
            </w:r>
            <w:r w:rsidRPr="00921ED0">
              <w:rPr>
                <w:rFonts w:ascii="Symbol" w:hAnsi="Symbol"/>
                <w:sz w:val="18"/>
                <w:szCs w:val="18"/>
              </w:rPr>
              <w:t></w:t>
            </w:r>
          </w:p>
        </w:tc>
      </w:tr>
    </w:tbl>
    <w:p w:rsidR="005624E3" w:rsidRPr="00921ED0" w:rsidRDefault="005624E3" w:rsidP="005624E3">
      <w:pPr>
        <w:tabs>
          <w:tab w:val="left" w:pos="567"/>
        </w:tabs>
        <w:overflowPunct w:val="0"/>
        <w:adjustRightInd w:val="0"/>
        <w:ind w:left="284" w:hanging="426"/>
        <w:textAlignment w:val="baseline"/>
        <w:rPr>
          <w:szCs w:val="20"/>
        </w:rPr>
      </w:pPr>
    </w:p>
    <w:p w:rsidR="005624E3" w:rsidRPr="00921ED0" w:rsidRDefault="005624E3" w:rsidP="005624E3">
      <w:pPr>
        <w:tabs>
          <w:tab w:val="left" w:pos="567"/>
        </w:tabs>
        <w:overflowPunct w:val="0"/>
        <w:adjustRightInd w:val="0"/>
        <w:ind w:left="284" w:hanging="426"/>
        <w:jc w:val="center"/>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r w:rsidRPr="00921ED0">
        <w:br w:type="page"/>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headerReference w:type="default" r:id="rId146"/>
          <w:footerReference w:type="default" r:id="rId147"/>
          <w:footnotePr>
            <w:numRestart w:val="eachPage"/>
          </w:footnotePr>
          <w:pgSz w:w="16840" w:h="11907" w:orient="landscape" w:code="9"/>
          <w:pgMar w:top="1418" w:right="1418" w:bottom="1418" w:left="1418" w:header="680" w:footer="680" w:gutter="0"/>
          <w:cols w:space="720"/>
          <w:docGrid w:linePitch="326"/>
        </w:sectPr>
      </w:pPr>
    </w:p>
    <w:p w:rsidR="005624E3" w:rsidRPr="00921ED0" w:rsidRDefault="005624E3" w:rsidP="005624E3">
      <w:pPr>
        <w:pStyle w:val="ES-Titre2ESI"/>
      </w:pPr>
      <w:bookmarkStart w:id="755" w:name="_Toc491854359"/>
      <w:bookmarkStart w:id="756" w:name="_Toc535854140"/>
      <w:r w:rsidRPr="00921ED0">
        <w:t>ESI-II-10</w:t>
      </w:r>
      <w:r w:rsidRPr="00921ED0">
        <w:br/>
        <w:t>Automatikus, vízpermettel oltó túlnyomásos berendezések</w:t>
      </w:r>
      <w:bookmarkEnd w:id="755"/>
      <w:bookmarkEnd w:id="756"/>
    </w:p>
    <w:p w:rsidR="005624E3" w:rsidRPr="00921ED0" w:rsidRDefault="005624E3" w:rsidP="005624E3">
      <w:pPr>
        <w:jc w:val="center"/>
        <w:rPr>
          <w:rFonts w:cs="Arial"/>
          <w:b/>
          <w:bCs/>
        </w:rPr>
      </w:pPr>
    </w:p>
    <w:p w:rsidR="005624E3" w:rsidRPr="00921ED0" w:rsidRDefault="005624E3" w:rsidP="005624E3">
      <w:pPr>
        <w:jc w:val="center"/>
        <w:rPr>
          <w:rFonts w:cs="Arial"/>
          <w:b/>
          <w:bCs/>
        </w:rPr>
      </w:pPr>
      <w:r w:rsidRPr="00921ED0">
        <w:rPr>
          <w:b/>
          <w:noProof/>
        </w:rPr>
        <w:t>(13.04. cikk 1. és 4. bekezdés)</w:t>
      </w:r>
    </w:p>
    <w:p w:rsidR="005624E3" w:rsidRPr="00921ED0" w:rsidRDefault="005624E3" w:rsidP="005624E3">
      <w:pPr>
        <w:rPr>
          <w:rFonts w:cs="Arial"/>
        </w:rPr>
      </w:pPr>
    </w:p>
    <w:p w:rsidR="005624E3" w:rsidRPr="00921ED0" w:rsidRDefault="005624E3" w:rsidP="005624E3">
      <w:pPr>
        <w:spacing w:line="240" w:lineRule="atLeast"/>
        <w:rPr>
          <w:noProof/>
        </w:rPr>
      </w:pPr>
      <w:r w:rsidRPr="00921ED0">
        <w:t>A 13.04. cikk 1. és 4. bekezdése szerinti automatikus, vízpermettel oltó túlnyomásos berendezéseknek meg kell felelniük a következő követelményeknek:</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1.</w:t>
      </w:r>
      <w:r w:rsidRPr="00921ED0">
        <w:tab/>
        <w:t>Amikor a fedélzeten személyek tartózkodnak, az automatikus, vízpermettel oltó túlnyomásos berendezésnek folyamatosan üzemkész állapotban kell lennie. A berendezésnek a személyzet minden további beavatkozása nélkül működésbe kell lépnie.</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2.</w:t>
      </w:r>
      <w:r w:rsidRPr="00921ED0">
        <w:tab/>
        <w:t>A rendszernek folyamatosan fenn kell tartania a szükséges nyomást. Biztosítani kell, hogy a csövek mindig fel legyenek töltve vízzel, egészen a permetező fúvókákig. Biztosítani kell továbbá a rendszer folyamatos vízellátását. Működést veszélyeztető szennyeződések nem kerülhetnek a rendszerbe. A rendszer megfigyelésére és ellenőrzésére megfelelő kijelző műszereket és vizsgálati rendszereket (például nyomásmérőket, nyomástartály-vízszintjelzőket, szivattyú-próbacsöveket) kell felszerelni. A hűtőraktárakban és fagyasztóhelyiségekben elhelyezett, vízpermettel oltó túlnyomásos berendezéseket nem szabad tartósan vízzel feltölteni. Ezek a helyiségek száraz permetezőberendezésekkel védhetők.</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3.</w:t>
      </w:r>
      <w:r w:rsidRPr="00921ED0">
        <w:tab/>
        <w:t>A permetező fúvókák vízellátását biztosító szivattyúnak automatikusan be kell indulnia, ha a rendszerben csökken a nyomás. A szivattyút úgy kell méretezni, hogy akkor is képes legyen folyamatosan elegendő vizet szállítani a szükséges nyomással, ha egyszerre aktiválódik a legnagyobb védendő helyiség területét biztosító összes fúvóka. A szivattyú kizárólag az automatikus, vízpermettel oltó túlnyomásos berendezéshez szállíthat vizet. A szivattyú meghibásodása esetére lehetővé kell tenni a permetező fúvókák elegendő vízzel történő ellátását egy másik fedélzeti szivattyúról.</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4.</w:t>
      </w:r>
      <w:r w:rsidRPr="00921ED0">
        <w:tab/>
        <w:t>A rendszert egyenként legfeljebb ötven permetező fúvókát tartalmazó részekre kell osztani. Az ellenőrző szerv engedélyezhet több permetező fúvókát is, amennyiben az – különösen a hidraulikai számítások alapján – kellőképpen indokolt.</w:t>
      </w:r>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567" w:hanging="567"/>
      </w:pPr>
      <w:r w:rsidRPr="00921ED0">
        <w:t>5.</w:t>
      </w:r>
      <w:r w:rsidRPr="00921ED0">
        <w:tab/>
        <w:t>A permetező fúvókák számának és elrendezésének biztosítania kell a víz hatékony eloszlását a védett helyiségekben.</w:t>
      </w:r>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567" w:hanging="567"/>
        <w:rPr>
          <w:noProof/>
        </w:rPr>
      </w:pPr>
      <w:r w:rsidRPr="00921ED0">
        <w:t>6.</w:t>
      </w:r>
      <w:r w:rsidRPr="00921ED0">
        <w:tab/>
        <w:t>A permetező fúvókáknak 68 és 79 °C közötti hőmérsékleten kell működésbe lépniük; a működés kiváltó hőmérséklet a konyhákban legfeljebb 93 °C, a szaunákban legfeljebb 141 °C lehet.</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7.</w:t>
      </w:r>
      <w:r w:rsidRPr="00921ED0">
        <w:tab/>
        <w:t>Az automatikus, vízpermettel oltó túlnyomásos berendezésnek a védett helyiségekben felszerelt elemeit a szükséges minimumra kell korlátozni. A rendszer egyetlen eleme sem szerelhető fel a fő gépterekben.</w:t>
      </w:r>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567" w:hanging="567"/>
        <w:rPr>
          <w:noProof/>
        </w:rPr>
      </w:pPr>
      <w:r w:rsidRPr="00921ED0">
        <w:t>8.</w:t>
      </w:r>
      <w:r w:rsidRPr="00921ED0">
        <w:tab/>
        <w:t>Látható és hallható jelzést adó kijelzőket kell felszerelni egy vagy több erre alkalmas helyen, amelyek közül legalább az egyiken állandóan tartózkodik személyzet. A kijelzőknek jelezniük kell az automatikus, vízpermettel oltó túlnyomásos berendezés aktiválódását az egyes részekben.</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9.</w:t>
      </w:r>
      <w:r w:rsidRPr="00921ED0">
        <w:tab/>
        <w:t>Az automatikus, vízpermettel oltó túlnyomásos berendezés energiaellátását két egymástól független energiaforrásból kell biztosítani, amelyek nem lehetnek azonos helyen felszerelve. Mindegyik energiaforrásnak képesnek kell lennie a teljes rendszer önálló energiaellátására.</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br w:type="page"/>
      </w:r>
    </w:p>
    <w:p w:rsidR="005624E3" w:rsidRPr="00921ED0" w:rsidRDefault="005624E3" w:rsidP="005624E3">
      <w:pPr>
        <w:spacing w:line="240" w:lineRule="atLeast"/>
        <w:ind w:left="567" w:hanging="567"/>
      </w:pPr>
      <w:r w:rsidRPr="00921ED0">
        <w:t>10.</w:t>
      </w:r>
      <w:r w:rsidRPr="00921ED0">
        <w:tab/>
        <w:t>Az automatikus, vízpermettel oltó túlnyomásos berendezés felszerelési tervét a rendszer felszerelése előtt ellenőrzés céljából be kell mutatni az ellenőrző szervnek. A terven fel kell tüntetni az igénybe vett gépek és berendezések típusát és teljesítményadatait. Elfogadott hajóosztályozó társaság által megvizsgált és minősített berendezés, amely legalább a fenti előírásoknak megfelel, minden további vizsgálat nélkül engedélyezhető.</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rPr>
          <w:noProof/>
        </w:rPr>
      </w:pPr>
      <w:r w:rsidRPr="00921ED0">
        <w:t>11.</w:t>
      </w:r>
      <w:r w:rsidRPr="00921ED0">
        <w:tab/>
        <w:t>Az automatikus, vízpermettel oltó túlnyomásos berendezés rendelkezésre állását be kell jegyezni a közösségi bizonyítvány 43. rovatába.</w:t>
      </w:r>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ind w:left="567" w:hanging="567"/>
        <w:rPr>
          <w:noProof/>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headerReference w:type="default" r:id="rId148"/>
          <w:footerReference w:type="default" r:id="rId149"/>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pPr>
      <w:bookmarkStart w:id="757" w:name="_Toc491854360"/>
      <w:bookmarkStart w:id="758" w:name="_Toc535854141"/>
      <w:r w:rsidRPr="00921ED0">
        <w:t>ESI-II-11</w:t>
      </w:r>
      <w:r w:rsidRPr="00921ED0">
        <w:br/>
        <w:t>A hajó saját erejéből megvalósuló kormányozhatósága</w:t>
      </w:r>
      <w:bookmarkEnd w:id="757"/>
      <w:bookmarkEnd w:id="758"/>
    </w:p>
    <w:p w:rsidR="005624E3" w:rsidRPr="00921ED0" w:rsidRDefault="005624E3" w:rsidP="005624E3">
      <w:pPr>
        <w:tabs>
          <w:tab w:val="center" w:pos="4513"/>
        </w:tabs>
        <w:overflowPunct w:val="0"/>
        <w:adjustRightInd w:val="0"/>
        <w:jc w:val="center"/>
        <w:textAlignment w:val="baseline"/>
        <w:rPr>
          <w:rFonts w:cs="Arial"/>
          <w:b/>
          <w:szCs w:val="20"/>
        </w:rPr>
      </w:pPr>
    </w:p>
    <w:p w:rsidR="005624E3" w:rsidRPr="00921ED0" w:rsidRDefault="005624E3" w:rsidP="005624E3">
      <w:pPr>
        <w:tabs>
          <w:tab w:val="center" w:pos="4513"/>
        </w:tabs>
        <w:overflowPunct w:val="0"/>
        <w:adjustRightInd w:val="0"/>
        <w:jc w:val="center"/>
        <w:textAlignment w:val="baseline"/>
        <w:rPr>
          <w:rFonts w:cs="Arial"/>
          <w:b/>
          <w:szCs w:val="20"/>
        </w:rPr>
      </w:pPr>
      <w:r w:rsidRPr="00921ED0">
        <w:rPr>
          <w:b/>
        </w:rPr>
        <w:t>(13.05. cikk 2. bekezdés a) pont, 19.07. cikk 1. bekezdés, 28.04. cikk 1. bekezdés a) pont)</w:t>
      </w:r>
    </w:p>
    <w:p w:rsidR="005624E3" w:rsidRPr="00921ED0" w:rsidRDefault="005624E3" w:rsidP="005624E3">
      <w:pPr>
        <w:tabs>
          <w:tab w:val="left" w:pos="567"/>
        </w:tabs>
        <w:overflowPunct w:val="0"/>
        <w:adjustRightInd w:val="0"/>
        <w:spacing w:line="240" w:lineRule="atLeast"/>
        <w:ind w:left="567" w:hanging="567"/>
        <w:textAlignment w:val="baseline"/>
        <w:rPr>
          <w:rFonts w:cs="Arial"/>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1.</w:t>
      </w:r>
      <w:r w:rsidRPr="00921ED0">
        <w:tab/>
      </w:r>
      <w:r w:rsidRPr="00921ED0">
        <w:rPr>
          <w:b/>
          <w:color w:val="000000"/>
        </w:rPr>
        <w:t>A hajó kormányozhatóságára vonatkozó minimális követelmények</w:t>
      </w:r>
    </w:p>
    <w:p w:rsidR="005624E3" w:rsidRPr="00921ED0" w:rsidRDefault="005624E3" w:rsidP="005624E3">
      <w:pPr>
        <w:tabs>
          <w:tab w:val="left" w:pos="567"/>
        </w:tabs>
        <w:overflowPunct w:val="0"/>
        <w:adjustRightInd w:val="0"/>
        <w:spacing w:line="240" w:lineRule="atLeast"/>
        <w:ind w:left="567" w:hanging="567"/>
        <w:textAlignment w:val="baseline"/>
        <w:rPr>
          <w:rFonts w:cs="Arial"/>
          <w:szCs w:val="20"/>
        </w:rPr>
      </w:pPr>
    </w:p>
    <w:p w:rsidR="005624E3" w:rsidRPr="00921ED0" w:rsidRDefault="005624E3" w:rsidP="005624E3">
      <w:pPr>
        <w:spacing w:line="240" w:lineRule="atLeast"/>
        <w:ind w:left="567"/>
      </w:pPr>
      <w:r w:rsidRPr="00921ED0">
        <w:t>A hajó saját erejéből megvalósuló kormányozhatósága a 13.05. cikk 2. bekezdésének a) pontja, a 19.07. cikk 1. bekezdése és a 28.04. cikk 1. bekezdésének a) pontja szerint akkor tekintendő elégségesnek, ha – orrsugárkormány használata esetén – a hajó vagy az általa hajtott alakzat eléri a vízhez viszonyított 6,5 km/h sebességet, a 20°/min fordulási sebesség elérhető és fenntartható, miközben a hajó vízhez viszonyított sebessége 6,5 km/h.</w:t>
      </w:r>
    </w:p>
    <w:p w:rsidR="005624E3" w:rsidRPr="00921ED0" w:rsidRDefault="005624E3" w:rsidP="005624E3">
      <w:pPr>
        <w:tabs>
          <w:tab w:val="left" w:pos="567"/>
        </w:tabs>
        <w:overflowPunct w:val="0"/>
        <w:adjustRightInd w:val="0"/>
        <w:spacing w:line="240" w:lineRule="atLeast"/>
        <w:ind w:left="567" w:hanging="567"/>
        <w:textAlignment w:val="baseline"/>
        <w:rPr>
          <w:rFonts w:cs="Arial"/>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2.</w:t>
      </w:r>
      <w:r w:rsidRPr="00921ED0">
        <w:tab/>
      </w:r>
      <w:r w:rsidRPr="00921ED0">
        <w:rPr>
          <w:b/>
          <w:color w:val="000000"/>
        </w:rPr>
        <w:t>Próbautak</w:t>
      </w:r>
    </w:p>
    <w:p w:rsidR="005624E3" w:rsidRPr="00921ED0" w:rsidRDefault="005624E3" w:rsidP="005624E3">
      <w:pPr>
        <w:tabs>
          <w:tab w:val="left" w:pos="567"/>
        </w:tabs>
        <w:overflowPunct w:val="0"/>
        <w:adjustRightInd w:val="0"/>
        <w:spacing w:line="240" w:lineRule="atLeast"/>
        <w:ind w:left="567" w:hanging="567"/>
        <w:textAlignment w:val="baseline"/>
        <w:rPr>
          <w:rFonts w:cs="Arial"/>
          <w:szCs w:val="20"/>
        </w:rPr>
      </w:pPr>
    </w:p>
    <w:p w:rsidR="005624E3" w:rsidRPr="00921ED0" w:rsidRDefault="005624E3" w:rsidP="005624E3">
      <w:pPr>
        <w:spacing w:line="240" w:lineRule="atLeast"/>
        <w:ind w:left="567"/>
      </w:pPr>
      <w:r w:rsidRPr="00921ED0">
        <w:t>Az ellenőrzés során teljesíteni kell az 5.03. és 5.04. cikk szerinti minimális követelményeket.</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r w:rsidRPr="00921ED0">
        <w:br w:type="page"/>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headerReference w:type="default" r:id="rId150"/>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pPr>
      <w:bookmarkStart w:id="759" w:name="_Toc491854361"/>
      <w:bookmarkStart w:id="760" w:name="_Toc535854142"/>
      <w:r w:rsidRPr="00921ED0">
        <w:t>ESI-II-12</w:t>
      </w:r>
      <w:r w:rsidRPr="00921ED0">
        <w:br/>
        <w:t>Megfelelő tűzriasztó rendszer</w:t>
      </w:r>
      <w:bookmarkEnd w:id="759"/>
      <w:bookmarkEnd w:id="760"/>
    </w:p>
    <w:p w:rsidR="005624E3" w:rsidRPr="00921ED0" w:rsidRDefault="005624E3" w:rsidP="005624E3">
      <w:pPr>
        <w:jc w:val="center"/>
        <w:rPr>
          <w:rFonts w:cs="Arial"/>
          <w:b/>
          <w:bCs/>
        </w:rPr>
      </w:pPr>
    </w:p>
    <w:p w:rsidR="005624E3" w:rsidRPr="00921ED0" w:rsidRDefault="005624E3" w:rsidP="005624E3">
      <w:pPr>
        <w:tabs>
          <w:tab w:val="left" w:pos="426"/>
          <w:tab w:val="left" w:pos="709"/>
        </w:tabs>
        <w:spacing w:line="240" w:lineRule="atLeast"/>
        <w:ind w:left="709" w:hanging="709"/>
        <w:jc w:val="center"/>
        <w:rPr>
          <w:b/>
          <w:bCs/>
          <w:szCs w:val="20"/>
        </w:rPr>
      </w:pPr>
      <w:r w:rsidRPr="00921ED0">
        <w:rPr>
          <w:b/>
          <w:noProof/>
        </w:rPr>
        <w:t>(13.05. cikk 3. bekezdés, 19.11. cikk 18. bekezdés, 29.10. cikk 1. bekezdés)</w:t>
      </w:r>
    </w:p>
    <w:p w:rsidR="005624E3" w:rsidRPr="00921ED0" w:rsidRDefault="005624E3" w:rsidP="005624E3">
      <w:pPr>
        <w:tabs>
          <w:tab w:val="left" w:pos="426"/>
          <w:tab w:val="left" w:pos="709"/>
        </w:tabs>
        <w:spacing w:line="240" w:lineRule="atLeast"/>
        <w:ind w:left="709" w:hanging="709"/>
        <w:rPr>
          <w:szCs w:val="20"/>
        </w:rPr>
      </w:pPr>
    </w:p>
    <w:p w:rsidR="005624E3" w:rsidRPr="00921ED0" w:rsidRDefault="005624E3" w:rsidP="005624E3">
      <w:pPr>
        <w:tabs>
          <w:tab w:val="left" w:pos="426"/>
          <w:tab w:val="left" w:pos="709"/>
        </w:tabs>
        <w:spacing w:line="240" w:lineRule="atLeast"/>
        <w:rPr>
          <w:szCs w:val="20"/>
        </w:rPr>
      </w:pPr>
      <w:r w:rsidRPr="00921ED0">
        <w:t>A tűzriasztó rendszerek akkor tekinthetők megfelelőnek, ha teljesítik a következő feltételeket:</w:t>
      </w:r>
    </w:p>
    <w:p w:rsidR="005624E3" w:rsidRPr="00921ED0" w:rsidRDefault="005624E3" w:rsidP="005624E3">
      <w:pPr>
        <w:tabs>
          <w:tab w:val="left" w:pos="426"/>
          <w:tab w:val="left" w:pos="709"/>
        </w:tabs>
        <w:spacing w:line="240" w:lineRule="atLeast"/>
        <w:ind w:left="709" w:hanging="709"/>
        <w:rPr>
          <w:szCs w:val="20"/>
        </w:rPr>
      </w:pPr>
    </w:p>
    <w:p w:rsidR="005624E3" w:rsidRPr="00921ED0" w:rsidRDefault="005624E3" w:rsidP="005624E3">
      <w:pPr>
        <w:tabs>
          <w:tab w:val="num" w:pos="709"/>
        </w:tabs>
        <w:spacing w:line="240" w:lineRule="atLeast"/>
        <w:ind w:left="709" w:hanging="709"/>
        <w:rPr>
          <w:b/>
          <w:bCs/>
          <w:szCs w:val="20"/>
        </w:rPr>
      </w:pPr>
      <w:r w:rsidRPr="00921ED0">
        <w:rPr>
          <w:b/>
        </w:rPr>
        <w:t>0.</w:t>
      </w:r>
      <w:r w:rsidRPr="00921ED0">
        <w:tab/>
      </w:r>
      <w:r w:rsidRPr="00921ED0">
        <w:rPr>
          <w:b/>
          <w:noProof/>
        </w:rPr>
        <w:t>Alkotóelemek</w:t>
      </w:r>
    </w:p>
    <w:p w:rsidR="005624E3" w:rsidRPr="00921ED0" w:rsidRDefault="005624E3" w:rsidP="005624E3">
      <w:pPr>
        <w:tabs>
          <w:tab w:val="num" w:pos="709"/>
        </w:tabs>
        <w:spacing w:line="240" w:lineRule="atLeast"/>
        <w:ind w:left="709" w:hanging="709"/>
        <w:rPr>
          <w:szCs w:val="20"/>
        </w:rPr>
      </w:pPr>
    </w:p>
    <w:p w:rsidR="005624E3" w:rsidRPr="00921ED0" w:rsidRDefault="005624E3" w:rsidP="005624E3">
      <w:pPr>
        <w:tabs>
          <w:tab w:val="num" w:pos="709"/>
        </w:tabs>
        <w:spacing w:line="240" w:lineRule="atLeast"/>
        <w:ind w:left="709" w:hanging="709"/>
        <w:rPr>
          <w:szCs w:val="20"/>
        </w:rPr>
      </w:pPr>
      <w:r w:rsidRPr="00921ED0">
        <w:t>0.1.</w:t>
      </w:r>
      <w:r w:rsidRPr="00921ED0">
        <w:tab/>
        <w:t>A tűzriasztó rendszerek a következőkből állnak:</w:t>
      </w:r>
    </w:p>
    <w:p w:rsidR="005624E3" w:rsidRPr="00921ED0" w:rsidRDefault="005624E3" w:rsidP="005624E3">
      <w:pPr>
        <w:tabs>
          <w:tab w:val="num" w:pos="1134"/>
        </w:tabs>
        <w:spacing w:before="60" w:line="240" w:lineRule="atLeast"/>
        <w:ind w:left="1134"/>
        <w:rPr>
          <w:szCs w:val="20"/>
        </w:rPr>
      </w:pPr>
      <w:r w:rsidRPr="00921ED0">
        <w:t>a)</w:t>
      </w:r>
      <w:r w:rsidRPr="00921ED0">
        <w:tab/>
        <w:t>tűzérzékelő rendszer;</w:t>
      </w:r>
    </w:p>
    <w:p w:rsidR="005624E3" w:rsidRPr="00921ED0" w:rsidRDefault="005624E3" w:rsidP="005624E3">
      <w:pPr>
        <w:tabs>
          <w:tab w:val="num" w:pos="1134"/>
        </w:tabs>
        <w:spacing w:before="60" w:line="240" w:lineRule="atLeast"/>
        <w:ind w:left="1134"/>
        <w:rPr>
          <w:szCs w:val="20"/>
        </w:rPr>
      </w:pPr>
      <w:r w:rsidRPr="00921ED0">
        <w:t>b)</w:t>
      </w:r>
      <w:r w:rsidRPr="00921ED0">
        <w:tab/>
        <w:t>tűzjelző rendszer;</w:t>
      </w:r>
    </w:p>
    <w:p w:rsidR="005624E3" w:rsidRPr="00921ED0" w:rsidRDefault="005624E3" w:rsidP="005624E3">
      <w:pPr>
        <w:tabs>
          <w:tab w:val="num" w:pos="1134"/>
        </w:tabs>
        <w:spacing w:before="60" w:line="240" w:lineRule="atLeast"/>
        <w:ind w:left="1134"/>
        <w:rPr>
          <w:szCs w:val="20"/>
        </w:rPr>
      </w:pPr>
      <w:r w:rsidRPr="00921ED0">
        <w:t>c)</w:t>
      </w:r>
      <w:r w:rsidRPr="00921ED0">
        <w:tab/>
        <w:t>vezérlőpult,</w:t>
      </w:r>
    </w:p>
    <w:p w:rsidR="005624E3" w:rsidRPr="00921ED0" w:rsidRDefault="005624E3" w:rsidP="005624E3">
      <w:pPr>
        <w:tabs>
          <w:tab w:val="num" w:pos="709"/>
        </w:tabs>
        <w:spacing w:before="60" w:line="240" w:lineRule="atLeast"/>
        <w:ind w:left="709"/>
        <w:rPr>
          <w:noProof/>
          <w:szCs w:val="20"/>
        </w:rPr>
      </w:pPr>
      <w:r w:rsidRPr="00921ED0">
        <w:t>valamint külső áramforrás.</w:t>
      </w:r>
    </w:p>
    <w:p w:rsidR="005624E3" w:rsidRPr="00921ED0" w:rsidRDefault="005624E3" w:rsidP="005624E3">
      <w:pPr>
        <w:tabs>
          <w:tab w:val="num" w:pos="709"/>
        </w:tabs>
        <w:spacing w:line="240" w:lineRule="atLeast"/>
        <w:ind w:left="709" w:hanging="709"/>
        <w:rPr>
          <w:szCs w:val="20"/>
        </w:rPr>
      </w:pPr>
    </w:p>
    <w:p w:rsidR="005624E3" w:rsidRPr="00921ED0" w:rsidRDefault="005624E3" w:rsidP="005624E3">
      <w:pPr>
        <w:tabs>
          <w:tab w:val="num" w:pos="709"/>
        </w:tabs>
        <w:spacing w:line="240" w:lineRule="atLeast"/>
        <w:ind w:left="709" w:hanging="709"/>
        <w:rPr>
          <w:szCs w:val="20"/>
        </w:rPr>
      </w:pPr>
      <w:r w:rsidRPr="00921ED0">
        <w:t>0.2.</w:t>
      </w:r>
      <w:r w:rsidRPr="00921ED0">
        <w:tab/>
        <w:t>A tűzérzékelő rendszer felosztható egy vagy több tűzzónára.</w:t>
      </w:r>
    </w:p>
    <w:p w:rsidR="005624E3" w:rsidRPr="00921ED0" w:rsidRDefault="005624E3" w:rsidP="005624E3">
      <w:pPr>
        <w:tabs>
          <w:tab w:val="num" w:pos="709"/>
        </w:tabs>
        <w:spacing w:line="240" w:lineRule="atLeast"/>
        <w:ind w:left="709" w:hanging="709"/>
        <w:rPr>
          <w:szCs w:val="20"/>
        </w:rPr>
      </w:pPr>
    </w:p>
    <w:p w:rsidR="005624E3" w:rsidRPr="00921ED0" w:rsidRDefault="005624E3" w:rsidP="005624E3">
      <w:pPr>
        <w:tabs>
          <w:tab w:val="num" w:pos="709"/>
        </w:tabs>
        <w:spacing w:line="240" w:lineRule="atLeast"/>
        <w:ind w:left="709" w:hanging="709"/>
        <w:rPr>
          <w:szCs w:val="20"/>
        </w:rPr>
      </w:pPr>
      <w:r w:rsidRPr="00921ED0">
        <w:t>0.3.</w:t>
      </w:r>
      <w:r w:rsidRPr="00921ED0">
        <w:tab/>
        <w:t>A tűzjelző rendszerhez egy vagy több tűzjelző készülék tartozhat.</w:t>
      </w:r>
    </w:p>
    <w:p w:rsidR="005624E3" w:rsidRPr="00921ED0" w:rsidRDefault="005624E3" w:rsidP="005624E3">
      <w:pPr>
        <w:tabs>
          <w:tab w:val="num" w:pos="709"/>
        </w:tabs>
        <w:spacing w:line="240" w:lineRule="atLeast"/>
        <w:ind w:left="709" w:hanging="709"/>
        <w:rPr>
          <w:szCs w:val="20"/>
        </w:rPr>
      </w:pPr>
    </w:p>
    <w:p w:rsidR="005624E3" w:rsidRPr="00921ED0" w:rsidRDefault="005624E3" w:rsidP="005624E3">
      <w:pPr>
        <w:tabs>
          <w:tab w:val="num" w:pos="709"/>
        </w:tabs>
        <w:spacing w:line="240" w:lineRule="atLeast"/>
        <w:ind w:left="709" w:hanging="709"/>
        <w:rPr>
          <w:szCs w:val="20"/>
        </w:rPr>
      </w:pPr>
      <w:r w:rsidRPr="00921ED0">
        <w:t>0.4.</w:t>
      </w:r>
      <w:r w:rsidRPr="00921ED0">
        <w:tab/>
        <w:t>A vezérlőpult a tűzriasztó rendszer központi vezérlőegysége. Ez tartalmazza a tűzjelző rendszer elemeit is (vagyis a tűzjelző készüléket).</w:t>
      </w:r>
    </w:p>
    <w:p w:rsidR="005624E3" w:rsidRPr="00921ED0" w:rsidRDefault="005624E3" w:rsidP="005624E3">
      <w:pPr>
        <w:tabs>
          <w:tab w:val="num" w:pos="709"/>
        </w:tabs>
        <w:spacing w:line="240" w:lineRule="atLeast"/>
        <w:ind w:left="709" w:hanging="709"/>
        <w:rPr>
          <w:szCs w:val="20"/>
        </w:rPr>
      </w:pPr>
    </w:p>
    <w:p w:rsidR="005624E3" w:rsidRPr="00921ED0" w:rsidRDefault="005624E3" w:rsidP="005624E3">
      <w:pPr>
        <w:tabs>
          <w:tab w:val="num" w:pos="709"/>
        </w:tabs>
        <w:spacing w:line="240" w:lineRule="atLeast"/>
        <w:ind w:left="709" w:hanging="709"/>
        <w:rPr>
          <w:szCs w:val="20"/>
        </w:rPr>
      </w:pPr>
      <w:r w:rsidRPr="00921ED0">
        <w:t>0.5.</w:t>
      </w:r>
      <w:r w:rsidRPr="00921ED0">
        <w:tab/>
        <w:t>Egy tűzérzékelési zónához egy vagy több tűzérzékelő készülék tartozhat.</w:t>
      </w:r>
    </w:p>
    <w:p w:rsidR="005624E3" w:rsidRPr="00921ED0" w:rsidRDefault="005624E3" w:rsidP="005624E3">
      <w:pPr>
        <w:tabs>
          <w:tab w:val="num" w:pos="709"/>
        </w:tabs>
        <w:spacing w:line="240" w:lineRule="atLeast"/>
        <w:ind w:left="709" w:hanging="709"/>
        <w:rPr>
          <w:szCs w:val="20"/>
        </w:rPr>
      </w:pPr>
    </w:p>
    <w:p w:rsidR="005624E3" w:rsidRPr="00921ED0" w:rsidRDefault="005624E3" w:rsidP="005624E3">
      <w:pPr>
        <w:tabs>
          <w:tab w:val="num" w:pos="709"/>
        </w:tabs>
        <w:spacing w:line="240" w:lineRule="atLeast"/>
        <w:ind w:left="709" w:hanging="709"/>
        <w:rPr>
          <w:szCs w:val="20"/>
        </w:rPr>
      </w:pPr>
      <w:r w:rsidRPr="00921ED0">
        <w:t>0.6.</w:t>
      </w:r>
      <w:r w:rsidRPr="00921ED0">
        <w:tab/>
        <w:t>A tűzérzékelők lehetnek:</w:t>
      </w:r>
    </w:p>
    <w:p w:rsidR="005624E3" w:rsidRPr="00921ED0" w:rsidRDefault="005624E3" w:rsidP="005624E3">
      <w:pPr>
        <w:tabs>
          <w:tab w:val="num" w:pos="1134"/>
        </w:tabs>
        <w:spacing w:before="60" w:line="240" w:lineRule="atLeast"/>
        <w:ind w:left="1134"/>
        <w:rPr>
          <w:szCs w:val="20"/>
        </w:rPr>
      </w:pPr>
      <w:r w:rsidRPr="00921ED0">
        <w:t>a)</w:t>
      </w:r>
      <w:r w:rsidRPr="00921ED0">
        <w:tab/>
        <w:t>hőérzékelők,</w:t>
      </w:r>
    </w:p>
    <w:p w:rsidR="005624E3" w:rsidRPr="00921ED0" w:rsidRDefault="005624E3" w:rsidP="005624E3">
      <w:pPr>
        <w:tabs>
          <w:tab w:val="num" w:pos="1134"/>
        </w:tabs>
        <w:spacing w:before="60" w:line="240" w:lineRule="atLeast"/>
        <w:ind w:left="1134"/>
        <w:rPr>
          <w:szCs w:val="20"/>
        </w:rPr>
      </w:pPr>
      <w:r w:rsidRPr="00921ED0">
        <w:t>b)</w:t>
      </w:r>
      <w:r w:rsidRPr="00921ED0">
        <w:tab/>
        <w:t>füstérzékelők,</w:t>
      </w:r>
    </w:p>
    <w:p w:rsidR="005624E3" w:rsidRPr="00921ED0" w:rsidRDefault="005624E3" w:rsidP="005624E3">
      <w:pPr>
        <w:tabs>
          <w:tab w:val="num" w:pos="1134"/>
        </w:tabs>
        <w:spacing w:before="60" w:line="240" w:lineRule="atLeast"/>
        <w:ind w:left="1134"/>
        <w:rPr>
          <w:szCs w:val="20"/>
        </w:rPr>
      </w:pPr>
      <w:r w:rsidRPr="00921ED0">
        <w:t>c)</w:t>
      </w:r>
      <w:r w:rsidRPr="00921ED0">
        <w:tab/>
        <w:t>ionérzékelők,</w:t>
      </w:r>
    </w:p>
    <w:p w:rsidR="005624E3" w:rsidRPr="00921ED0" w:rsidRDefault="005624E3" w:rsidP="005624E3">
      <w:pPr>
        <w:tabs>
          <w:tab w:val="num" w:pos="1134"/>
        </w:tabs>
        <w:spacing w:before="60" w:line="240" w:lineRule="atLeast"/>
        <w:ind w:left="1134"/>
        <w:rPr>
          <w:szCs w:val="20"/>
        </w:rPr>
      </w:pPr>
      <w:r w:rsidRPr="00921ED0">
        <w:t>d)</w:t>
      </w:r>
      <w:r w:rsidRPr="00921ED0">
        <w:tab/>
        <w:t>lángérzékelők,</w:t>
      </w:r>
    </w:p>
    <w:p w:rsidR="005624E3" w:rsidRPr="00921ED0" w:rsidRDefault="005624E3" w:rsidP="005624E3">
      <w:pPr>
        <w:tabs>
          <w:tab w:val="num" w:pos="1134"/>
        </w:tabs>
        <w:spacing w:before="60" w:line="240" w:lineRule="atLeast"/>
        <w:ind w:left="1134"/>
        <w:rPr>
          <w:szCs w:val="20"/>
        </w:rPr>
      </w:pPr>
      <w:r w:rsidRPr="00921ED0">
        <w:t>e)</w:t>
      </w:r>
      <w:r w:rsidRPr="00921ED0">
        <w:tab/>
        <w:t>kombinált érzékelők (vagyis az a)–d) pontban felsorolt érzékelők közül kettő vagy több kombinációja).</w:t>
      </w:r>
    </w:p>
    <w:p w:rsidR="005624E3" w:rsidRPr="00921ED0" w:rsidRDefault="005624E3" w:rsidP="005624E3">
      <w:pPr>
        <w:tabs>
          <w:tab w:val="num" w:pos="709"/>
        </w:tabs>
        <w:spacing w:line="240" w:lineRule="atLeast"/>
        <w:ind w:left="709" w:hanging="709"/>
        <w:rPr>
          <w:szCs w:val="20"/>
        </w:rPr>
      </w:pPr>
    </w:p>
    <w:p w:rsidR="005624E3" w:rsidRPr="00921ED0" w:rsidRDefault="005624E3" w:rsidP="005624E3">
      <w:pPr>
        <w:tabs>
          <w:tab w:val="num" w:pos="709"/>
        </w:tabs>
        <w:spacing w:line="240" w:lineRule="atLeast"/>
        <w:ind w:left="709"/>
        <w:rPr>
          <w:szCs w:val="20"/>
        </w:rPr>
      </w:pPr>
      <w:r w:rsidRPr="00921ED0">
        <w:t>Az ellenőrző szerv engedélyezhet olyan tűzérzékelőket, amelyek más tényezőkre reagálnak a tűz keletkezésekor, amennyiben érzékenységük eléri az a)–e) pontban felsorolt érzékelők érzékenységét.</w:t>
      </w:r>
    </w:p>
    <w:p w:rsidR="005624E3" w:rsidRPr="00921ED0" w:rsidRDefault="005624E3" w:rsidP="005624E3">
      <w:pPr>
        <w:tabs>
          <w:tab w:val="num" w:pos="709"/>
        </w:tabs>
        <w:spacing w:line="240" w:lineRule="atLeast"/>
        <w:ind w:left="709" w:hanging="709"/>
        <w:rPr>
          <w:szCs w:val="20"/>
        </w:rPr>
      </w:pPr>
    </w:p>
    <w:p w:rsidR="005624E3" w:rsidRPr="00921ED0" w:rsidRDefault="005624E3" w:rsidP="005624E3">
      <w:pPr>
        <w:tabs>
          <w:tab w:val="num" w:pos="709"/>
        </w:tabs>
        <w:spacing w:line="240" w:lineRule="atLeast"/>
        <w:rPr>
          <w:szCs w:val="20"/>
        </w:rPr>
      </w:pPr>
      <w:r w:rsidRPr="00921ED0">
        <w:t>0.7.</w:t>
      </w:r>
      <w:r w:rsidRPr="00921ED0">
        <w:tab/>
        <w:t>A tűzérzékelők felszerelhetők:</w:t>
      </w:r>
    </w:p>
    <w:p w:rsidR="005624E3" w:rsidRPr="00921ED0" w:rsidRDefault="005624E3" w:rsidP="005624E3">
      <w:pPr>
        <w:tabs>
          <w:tab w:val="num" w:pos="1134"/>
        </w:tabs>
        <w:spacing w:before="60" w:line="240" w:lineRule="atLeast"/>
        <w:ind w:left="1134"/>
        <w:rPr>
          <w:szCs w:val="20"/>
        </w:rPr>
      </w:pPr>
      <w:r w:rsidRPr="00921ED0">
        <w:t>a)</w:t>
      </w:r>
      <w:r w:rsidRPr="00921ED0">
        <w:tab/>
        <w:t>egyéni azonosítóval, vagy</w:t>
      </w:r>
    </w:p>
    <w:p w:rsidR="005624E3" w:rsidRPr="00921ED0" w:rsidRDefault="005624E3" w:rsidP="005624E3">
      <w:pPr>
        <w:tabs>
          <w:tab w:val="num" w:pos="1134"/>
        </w:tabs>
        <w:spacing w:before="60" w:line="240" w:lineRule="atLeast"/>
        <w:ind w:left="1134"/>
        <w:rPr>
          <w:szCs w:val="20"/>
        </w:rPr>
      </w:pPr>
      <w:r w:rsidRPr="00921ED0">
        <w:t>b)</w:t>
      </w:r>
      <w:r w:rsidRPr="00921ED0">
        <w:tab/>
        <w:t>egyéni</w:t>
      </w:r>
    </w:p>
    <w:p w:rsidR="005624E3" w:rsidRPr="00921ED0" w:rsidRDefault="005624E3" w:rsidP="005624E3">
      <w:pPr>
        <w:tabs>
          <w:tab w:val="num" w:pos="709"/>
        </w:tabs>
        <w:spacing w:before="60" w:line="240" w:lineRule="atLeast"/>
        <w:ind w:left="709"/>
        <w:rPr>
          <w:noProof/>
          <w:szCs w:val="20"/>
        </w:rPr>
      </w:pPr>
      <w:r w:rsidRPr="00921ED0">
        <w:t>azonosító nélkül.</w:t>
      </w:r>
    </w:p>
    <w:p w:rsidR="005624E3" w:rsidRPr="00921ED0" w:rsidRDefault="005624E3" w:rsidP="005624E3">
      <w:pPr>
        <w:tabs>
          <w:tab w:val="left" w:pos="426"/>
          <w:tab w:val="left" w:pos="709"/>
        </w:tabs>
        <w:spacing w:line="240" w:lineRule="atLeast"/>
        <w:ind w:left="709" w:hanging="709"/>
        <w:rPr>
          <w:szCs w:val="20"/>
        </w:rPr>
      </w:pPr>
    </w:p>
    <w:p w:rsidR="005624E3" w:rsidRPr="00921ED0" w:rsidRDefault="005624E3" w:rsidP="005624E3">
      <w:pPr>
        <w:tabs>
          <w:tab w:val="left" w:pos="426"/>
          <w:tab w:val="left" w:pos="709"/>
        </w:tabs>
        <w:spacing w:line="240" w:lineRule="atLeast"/>
        <w:ind w:left="709" w:hanging="709"/>
        <w:rPr>
          <w:szCs w:val="20"/>
        </w:rPr>
      </w:pPr>
      <w:r w:rsidRPr="00921ED0">
        <w:br w:type="page"/>
      </w:r>
    </w:p>
    <w:p w:rsidR="005624E3" w:rsidRPr="00921ED0" w:rsidRDefault="005624E3" w:rsidP="005624E3">
      <w:pPr>
        <w:tabs>
          <w:tab w:val="left" w:pos="709"/>
        </w:tabs>
        <w:spacing w:line="240" w:lineRule="atLeast"/>
        <w:ind w:left="709" w:hanging="709"/>
        <w:rPr>
          <w:szCs w:val="20"/>
        </w:rPr>
      </w:pPr>
      <w:r w:rsidRPr="00921ED0">
        <w:rPr>
          <w:b/>
        </w:rPr>
        <w:t>1.</w:t>
      </w:r>
      <w:r w:rsidRPr="00921ED0">
        <w:tab/>
      </w:r>
      <w:r w:rsidRPr="00921ED0">
        <w:rPr>
          <w:b/>
          <w:noProof/>
        </w:rPr>
        <w:t>Konstrukciós követelmények</w:t>
      </w:r>
    </w:p>
    <w:p w:rsidR="005624E3" w:rsidRPr="00921ED0" w:rsidRDefault="005624E3" w:rsidP="005624E3">
      <w:pPr>
        <w:tabs>
          <w:tab w:val="left" w:pos="709"/>
        </w:tabs>
        <w:spacing w:line="240" w:lineRule="atLeast"/>
        <w:ind w:left="709" w:hanging="709"/>
        <w:rPr>
          <w:szCs w:val="20"/>
        </w:rPr>
      </w:pPr>
    </w:p>
    <w:p w:rsidR="005624E3" w:rsidRPr="00921ED0" w:rsidRDefault="005624E3" w:rsidP="005624E3">
      <w:pPr>
        <w:tabs>
          <w:tab w:val="left" w:pos="709"/>
        </w:tabs>
        <w:spacing w:line="240" w:lineRule="atLeast"/>
        <w:ind w:left="709" w:hanging="709"/>
        <w:rPr>
          <w:szCs w:val="20"/>
        </w:rPr>
      </w:pPr>
      <w:r w:rsidRPr="00921ED0">
        <w:t>1.1.</w:t>
      </w:r>
      <w:r w:rsidRPr="00921ED0">
        <w:tab/>
        <w:t>Általános rész</w:t>
      </w:r>
    </w:p>
    <w:p w:rsidR="005624E3" w:rsidRPr="00921ED0" w:rsidRDefault="005624E3" w:rsidP="005624E3">
      <w:pPr>
        <w:tabs>
          <w:tab w:val="left" w:pos="426"/>
          <w:tab w:val="left" w:pos="709"/>
        </w:tabs>
        <w:spacing w:line="240" w:lineRule="atLeast"/>
        <w:rPr>
          <w:szCs w:val="20"/>
        </w:rPr>
      </w:pPr>
    </w:p>
    <w:p w:rsidR="005624E3" w:rsidRPr="00921ED0" w:rsidRDefault="005624E3" w:rsidP="005624E3">
      <w:pPr>
        <w:tabs>
          <w:tab w:val="left" w:pos="426"/>
          <w:tab w:val="left" w:pos="709"/>
        </w:tabs>
        <w:spacing w:line="240" w:lineRule="atLeast"/>
        <w:ind w:left="709" w:hanging="709"/>
        <w:rPr>
          <w:szCs w:val="20"/>
        </w:rPr>
      </w:pPr>
      <w:r w:rsidRPr="00921ED0">
        <w:t>1.1.1.</w:t>
      </w:r>
      <w:r w:rsidRPr="00921ED0">
        <w:tab/>
        <w:t>A kötelező tűzriasztó rendszereknek mindenkor működőképeseknek kell lenniük.</w:t>
      </w:r>
    </w:p>
    <w:p w:rsidR="005624E3" w:rsidRPr="00921ED0" w:rsidRDefault="005624E3" w:rsidP="005624E3">
      <w:pPr>
        <w:tabs>
          <w:tab w:val="left" w:pos="426"/>
          <w:tab w:val="left" w:pos="709"/>
        </w:tabs>
        <w:spacing w:line="240" w:lineRule="atLeast"/>
        <w:ind w:left="709" w:hanging="709"/>
        <w:rPr>
          <w:szCs w:val="20"/>
        </w:rPr>
      </w:pPr>
    </w:p>
    <w:p w:rsidR="005624E3" w:rsidRPr="00921ED0" w:rsidRDefault="005624E3" w:rsidP="005624E3">
      <w:pPr>
        <w:tabs>
          <w:tab w:val="left" w:pos="426"/>
          <w:tab w:val="left" w:pos="709"/>
        </w:tabs>
        <w:spacing w:after="80" w:line="240" w:lineRule="atLeast"/>
        <w:ind w:left="709" w:hanging="709"/>
        <w:rPr>
          <w:szCs w:val="20"/>
        </w:rPr>
      </w:pPr>
      <w:r w:rsidRPr="00921ED0">
        <w:t>1.1.2.</w:t>
      </w:r>
      <w:r w:rsidRPr="00921ED0">
        <w:tab/>
        <w:t>A 2.2. pont értelmében megkövetelt tűzérzékelőknek automatikusan kell működniük. Kiegészítő, kézi működtetésű tűzérzékelők felszerelhetők.</w:t>
      </w:r>
    </w:p>
    <w:p w:rsidR="005624E3" w:rsidRPr="00921ED0" w:rsidRDefault="005624E3" w:rsidP="005624E3">
      <w:pPr>
        <w:tabs>
          <w:tab w:val="left" w:pos="709"/>
        </w:tabs>
        <w:spacing w:line="240" w:lineRule="atLeast"/>
        <w:ind w:left="709" w:hanging="709"/>
        <w:rPr>
          <w:szCs w:val="20"/>
        </w:rPr>
      </w:pPr>
      <w:r w:rsidRPr="00921ED0">
        <w:t>1.1.3.</w:t>
      </w:r>
      <w:r w:rsidRPr="00921ED0">
        <w:tab/>
        <w:t>A rendszernek és alkotóelemeinek képeseknek kell lenniük arra, hogy kibírják a hajókon szokásosan előforduló feszültségingadozásokat, túlfeszültséget, környezetihőmérséklet-változásokat, rezgéseket, nedvességet, rázkódásokat, ütéseket és korróziót.</w:t>
      </w:r>
    </w:p>
    <w:p w:rsidR="005624E3" w:rsidRPr="00921ED0" w:rsidRDefault="005624E3" w:rsidP="005624E3">
      <w:pPr>
        <w:tabs>
          <w:tab w:val="left" w:pos="426"/>
          <w:tab w:val="left" w:pos="709"/>
        </w:tabs>
        <w:spacing w:line="240" w:lineRule="atLeast"/>
        <w:rPr>
          <w:szCs w:val="20"/>
        </w:rPr>
      </w:pPr>
    </w:p>
    <w:p w:rsidR="005624E3" w:rsidRPr="00921ED0" w:rsidRDefault="005624E3" w:rsidP="005624E3">
      <w:pPr>
        <w:tabs>
          <w:tab w:val="num" w:pos="709"/>
        </w:tabs>
        <w:spacing w:after="80" w:line="240" w:lineRule="atLeast"/>
        <w:ind w:left="709" w:hanging="709"/>
        <w:rPr>
          <w:b/>
          <w:bCs/>
          <w:szCs w:val="20"/>
        </w:rPr>
      </w:pPr>
      <w:r w:rsidRPr="00921ED0">
        <w:rPr>
          <w:b/>
          <w:noProof/>
        </w:rPr>
        <w:t>1.2.</w:t>
      </w:r>
      <w:r w:rsidRPr="00921ED0">
        <w:tab/>
      </w:r>
      <w:r w:rsidRPr="00921ED0">
        <w:rPr>
          <w:b/>
          <w:noProof/>
        </w:rPr>
        <w:t>Energiaellátás</w:t>
      </w:r>
    </w:p>
    <w:p w:rsidR="005624E3" w:rsidRPr="00921ED0" w:rsidRDefault="005624E3" w:rsidP="005624E3">
      <w:pPr>
        <w:tabs>
          <w:tab w:val="left" w:pos="709"/>
        </w:tabs>
        <w:spacing w:after="80" w:line="240" w:lineRule="atLeast"/>
        <w:ind w:left="709" w:hanging="709"/>
        <w:rPr>
          <w:szCs w:val="20"/>
        </w:rPr>
      </w:pPr>
      <w:r w:rsidRPr="00921ED0">
        <w:t>1.2.1.</w:t>
      </w:r>
      <w:r w:rsidRPr="00921ED0">
        <w:tab/>
        <w:t>A tűzriasztó rendszer működéséhez szükséges energiaellátásnak és elektromos áramköröknek önellenőrzőknek kell lenniük. Bármely bekövetkező hibának látható és hallható, a tűzriasztástól megkülönböztethető figyelmeztető jelzést kell működésbe léptetnie a vezérlőpulton.</w:t>
      </w:r>
    </w:p>
    <w:p w:rsidR="005624E3" w:rsidRPr="00921ED0" w:rsidRDefault="005624E3" w:rsidP="005624E3">
      <w:pPr>
        <w:tabs>
          <w:tab w:val="left" w:pos="709"/>
        </w:tabs>
        <w:spacing w:line="240" w:lineRule="atLeast"/>
        <w:ind w:left="709" w:hanging="709"/>
        <w:rPr>
          <w:szCs w:val="20"/>
        </w:rPr>
      </w:pPr>
      <w:r w:rsidRPr="00921ED0">
        <w:t>1.2.2.</w:t>
      </w:r>
      <w:r w:rsidRPr="00921ED0">
        <w:tab/>
        <w:t xml:space="preserve">A tűzriasztó rendszer elektromos részét legalább két áramforrásra kell csatlakoztatni, amelyek közül az egyiknek vészhelyzeti energiaellátó rendszernek (vagyis vészhelyzeti áramforrásnak és vészhelyzeti kapcsolótáblának) kell lennie. Két különálló tápellátásnak kell rendelkezésre állnia kizárólag erre a célra. Ezeknek egy, a tűzriasztó rendszer vezérlőpultjában vagy annak közelében elhelyezett automatikus kapcsolóhoz kell vezetniük. Az olyan, egynapos utazásra alkalmas hajókat, amelyeknek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rsidRPr="00921ED0">
        <w:t xml:space="preserve"> hosszúsága legfeljebb 25 méter, valamint az önjáró hajókat elegendő különálló vészhelyzeti áramellátással felszerelni.</w:t>
      </w:r>
    </w:p>
    <w:p w:rsidR="005624E3" w:rsidRPr="00921ED0" w:rsidRDefault="005624E3" w:rsidP="005624E3">
      <w:pPr>
        <w:tabs>
          <w:tab w:val="left" w:pos="709"/>
        </w:tabs>
        <w:spacing w:line="240" w:lineRule="atLeast"/>
        <w:ind w:left="426" w:hanging="426"/>
        <w:rPr>
          <w:szCs w:val="20"/>
        </w:rPr>
      </w:pPr>
    </w:p>
    <w:p w:rsidR="005624E3" w:rsidRPr="00921ED0" w:rsidRDefault="005624E3" w:rsidP="005624E3">
      <w:pPr>
        <w:tabs>
          <w:tab w:val="num" w:pos="709"/>
        </w:tabs>
        <w:spacing w:line="240" w:lineRule="atLeast"/>
        <w:ind w:left="709" w:hanging="709"/>
        <w:rPr>
          <w:b/>
          <w:bCs/>
          <w:szCs w:val="20"/>
        </w:rPr>
      </w:pPr>
      <w:r w:rsidRPr="00921ED0">
        <w:rPr>
          <w:b/>
          <w:noProof/>
        </w:rPr>
        <w:t>1.3.</w:t>
      </w:r>
      <w:r w:rsidRPr="00921ED0">
        <w:tab/>
      </w:r>
      <w:r w:rsidRPr="00921ED0">
        <w:rPr>
          <w:b/>
          <w:noProof/>
        </w:rPr>
        <w:t>Tűzérzékelő rendszer</w:t>
      </w:r>
    </w:p>
    <w:p w:rsidR="005624E3" w:rsidRPr="00921ED0" w:rsidRDefault="005624E3" w:rsidP="005624E3">
      <w:pPr>
        <w:tabs>
          <w:tab w:val="left" w:pos="709"/>
        </w:tabs>
        <w:spacing w:before="140" w:line="240" w:lineRule="atLeast"/>
        <w:ind w:left="709" w:hanging="709"/>
        <w:rPr>
          <w:szCs w:val="20"/>
        </w:rPr>
      </w:pPr>
      <w:r w:rsidRPr="00921ED0">
        <w:t>1.3.1.</w:t>
      </w:r>
      <w:r w:rsidRPr="00921ED0">
        <w:tab/>
        <w:t>A tűzérzékelőket tűzérzékelési zónák szerint kell csoportosítani.</w:t>
      </w:r>
    </w:p>
    <w:p w:rsidR="005624E3" w:rsidRPr="00921ED0" w:rsidRDefault="005624E3" w:rsidP="005624E3">
      <w:pPr>
        <w:tabs>
          <w:tab w:val="left" w:pos="709"/>
        </w:tabs>
        <w:spacing w:before="140" w:line="240" w:lineRule="atLeast"/>
        <w:ind w:left="709" w:hanging="709"/>
        <w:rPr>
          <w:szCs w:val="20"/>
        </w:rPr>
      </w:pPr>
      <w:r w:rsidRPr="00921ED0">
        <w:t>1.3.2.</w:t>
      </w:r>
      <w:r w:rsidRPr="00921ED0">
        <w:tab/>
        <w:t>A tűzérzékelő rendszerek más célra nem használhatók. Eltérés alkalmazásával az ajtóknak a 19.11. cikk (9) bekezdése szerinti bezárása és a hasonló funkciók aktiválhatók és kijelezhetők a vezérlőpulton.</w:t>
      </w:r>
    </w:p>
    <w:p w:rsidR="005624E3" w:rsidRPr="00921ED0" w:rsidRDefault="005624E3" w:rsidP="005624E3">
      <w:pPr>
        <w:tabs>
          <w:tab w:val="left" w:pos="426"/>
          <w:tab w:val="left" w:pos="709"/>
        </w:tabs>
        <w:spacing w:line="240" w:lineRule="atLeast"/>
        <w:ind w:left="709" w:hanging="568"/>
        <w:rPr>
          <w:szCs w:val="20"/>
        </w:rPr>
      </w:pPr>
    </w:p>
    <w:p w:rsidR="005624E3" w:rsidRPr="00921ED0" w:rsidRDefault="005624E3" w:rsidP="005624E3">
      <w:pPr>
        <w:tabs>
          <w:tab w:val="left" w:pos="709"/>
        </w:tabs>
        <w:spacing w:line="240" w:lineRule="atLeast"/>
        <w:ind w:left="709" w:hanging="709"/>
        <w:rPr>
          <w:szCs w:val="20"/>
        </w:rPr>
      </w:pPr>
      <w:r w:rsidRPr="00921ED0">
        <w:t>1.3.3.</w:t>
      </w:r>
      <w:r w:rsidRPr="00921ED0">
        <w:tab/>
        <w:t>A tűzérzékelő rendszereket oly módon kell kialakítani, hogy az első kijelzett tűzriasztás ne akadályozhassa meg a többi érzékelő által kiváltott riasztást.</w:t>
      </w:r>
    </w:p>
    <w:p w:rsidR="005624E3" w:rsidRPr="00921ED0" w:rsidRDefault="005624E3" w:rsidP="005624E3">
      <w:pPr>
        <w:tabs>
          <w:tab w:val="left" w:pos="709"/>
        </w:tabs>
        <w:spacing w:line="240" w:lineRule="atLeast"/>
        <w:rPr>
          <w:szCs w:val="20"/>
        </w:rPr>
      </w:pPr>
    </w:p>
    <w:p w:rsidR="005624E3" w:rsidRPr="00921ED0" w:rsidRDefault="005624E3" w:rsidP="005624E3">
      <w:pPr>
        <w:tabs>
          <w:tab w:val="num" w:pos="709"/>
        </w:tabs>
        <w:spacing w:line="240" w:lineRule="atLeast"/>
        <w:rPr>
          <w:b/>
          <w:bCs/>
          <w:szCs w:val="20"/>
        </w:rPr>
      </w:pPr>
      <w:r w:rsidRPr="00921ED0">
        <w:rPr>
          <w:b/>
          <w:noProof/>
        </w:rPr>
        <w:t>1.4.</w:t>
      </w:r>
      <w:r w:rsidRPr="00921ED0">
        <w:tab/>
      </w:r>
      <w:r w:rsidRPr="00921ED0">
        <w:rPr>
          <w:b/>
          <w:noProof/>
        </w:rPr>
        <w:t>Tűzérzékelési zónák</w:t>
      </w:r>
    </w:p>
    <w:p w:rsidR="005624E3" w:rsidRPr="00921ED0" w:rsidRDefault="005624E3" w:rsidP="005624E3">
      <w:pPr>
        <w:tabs>
          <w:tab w:val="left" w:pos="709"/>
        </w:tabs>
        <w:spacing w:line="240" w:lineRule="atLeast"/>
        <w:rPr>
          <w:szCs w:val="20"/>
        </w:rPr>
      </w:pPr>
    </w:p>
    <w:p w:rsidR="005624E3" w:rsidRPr="00921ED0" w:rsidRDefault="005624E3" w:rsidP="005624E3">
      <w:pPr>
        <w:tabs>
          <w:tab w:val="left" w:pos="709"/>
        </w:tabs>
        <w:spacing w:line="240" w:lineRule="atLeast"/>
        <w:ind w:left="709" w:hanging="709"/>
        <w:rPr>
          <w:szCs w:val="20"/>
        </w:rPr>
      </w:pPr>
      <w:r w:rsidRPr="00921ED0">
        <w:t>1.4.1.</w:t>
      </w:r>
      <w:r w:rsidRPr="00921ED0">
        <w:tab/>
        <w:t>Ha a tűzérzékelőket nem lehet távolról külön-külön azonosítani, akkor a tűzérzékelési zóna legfeljebb egy fedélzetet figyelhet meg. Ez nem vonatkozik a zárt lépcsőházakat megfigyelő tűzérzékelési zónákra.</w:t>
      </w:r>
    </w:p>
    <w:p w:rsidR="005624E3" w:rsidRPr="00921ED0" w:rsidRDefault="005624E3" w:rsidP="005624E3">
      <w:pPr>
        <w:tabs>
          <w:tab w:val="left" w:pos="709"/>
        </w:tabs>
        <w:spacing w:line="240" w:lineRule="atLeast"/>
        <w:ind w:left="709" w:hanging="709"/>
        <w:rPr>
          <w:szCs w:val="20"/>
        </w:rPr>
      </w:pPr>
    </w:p>
    <w:p w:rsidR="005624E3" w:rsidRPr="00921ED0" w:rsidRDefault="005624E3" w:rsidP="005624E3">
      <w:pPr>
        <w:tabs>
          <w:tab w:val="left" w:pos="709"/>
        </w:tabs>
        <w:spacing w:line="240" w:lineRule="atLeast"/>
        <w:ind w:left="709"/>
        <w:rPr>
          <w:szCs w:val="20"/>
        </w:rPr>
      </w:pPr>
      <w:r w:rsidRPr="00921ED0">
        <w:t>A tűz keletkezésének észlelésében bekövetkező késlekedések elkerülése érdekében korlátozni kell az egyes tűzérzékelési zónákhoz tartozó zárt helyek számát. Egy-egy tűzérzékelési zónához legfeljebb ötven zárt hely tartozhat.</w:t>
      </w:r>
    </w:p>
    <w:p w:rsidR="005624E3" w:rsidRPr="00921ED0" w:rsidRDefault="005624E3" w:rsidP="005624E3">
      <w:pPr>
        <w:tabs>
          <w:tab w:val="left" w:pos="709"/>
        </w:tabs>
        <w:spacing w:line="240" w:lineRule="atLeast"/>
        <w:ind w:left="709"/>
        <w:rPr>
          <w:szCs w:val="20"/>
        </w:rPr>
      </w:pPr>
    </w:p>
    <w:p w:rsidR="005624E3" w:rsidRPr="00921ED0" w:rsidRDefault="005624E3" w:rsidP="005624E3">
      <w:pPr>
        <w:tabs>
          <w:tab w:val="left" w:pos="709"/>
        </w:tabs>
        <w:spacing w:line="240" w:lineRule="atLeast"/>
        <w:ind w:left="709"/>
        <w:rPr>
          <w:szCs w:val="20"/>
        </w:rPr>
      </w:pPr>
      <w:r w:rsidRPr="00921ED0">
        <w:br w:type="page"/>
      </w:r>
    </w:p>
    <w:p w:rsidR="005624E3" w:rsidRPr="00921ED0" w:rsidRDefault="005624E3" w:rsidP="005624E3">
      <w:pPr>
        <w:tabs>
          <w:tab w:val="left" w:pos="709"/>
        </w:tabs>
        <w:spacing w:line="240" w:lineRule="atLeast"/>
        <w:ind w:left="709"/>
        <w:rPr>
          <w:szCs w:val="20"/>
        </w:rPr>
      </w:pPr>
      <w:r w:rsidRPr="00921ED0">
        <w:t>Ha a tűzérzékelő rendszer egyes tűzérzékelői távolról külön-külön azonosíthatók, akkor a tűzérzékelési zónák több fedélzetet és bármilyen számú zárt helyet megfigyelhetnek.</w:t>
      </w:r>
    </w:p>
    <w:p w:rsidR="005624E3" w:rsidRPr="00921ED0" w:rsidRDefault="005624E3" w:rsidP="005624E3">
      <w:pPr>
        <w:tabs>
          <w:tab w:val="left" w:pos="709"/>
        </w:tabs>
        <w:spacing w:line="240" w:lineRule="atLeast"/>
        <w:ind w:left="709"/>
        <w:rPr>
          <w:szCs w:val="20"/>
        </w:rPr>
      </w:pPr>
    </w:p>
    <w:p w:rsidR="005624E3" w:rsidRPr="00921ED0" w:rsidRDefault="005624E3" w:rsidP="005624E3">
      <w:pPr>
        <w:tabs>
          <w:tab w:val="left" w:pos="709"/>
        </w:tabs>
        <w:spacing w:line="240" w:lineRule="atLeast"/>
        <w:ind w:left="709" w:hanging="709"/>
        <w:rPr>
          <w:szCs w:val="20"/>
        </w:rPr>
      </w:pPr>
      <w:r w:rsidRPr="00921ED0">
        <w:t>1.4.2.</w:t>
      </w:r>
      <w:r w:rsidRPr="00921ED0">
        <w:tab/>
        <w:t>Azokon a személyhajókon, ahol a tűzérzékelő rendszer egyes tűzérzékelői távolról nem azonosíthatók, a tűzérzékelési zóna legfeljebb a 19.11. cikk 11. bekezdése szerint meghatározott területből állhat. Az ehhez a tűzérzékelési zónához tartozó egyes kabinokban felszerelt tűzérzékelő aktiválódásának ki kell váltania egy látható és hallható jelzést a kabinon kívül, az átjáróban.</w:t>
      </w:r>
    </w:p>
    <w:p w:rsidR="005624E3" w:rsidRPr="00921ED0" w:rsidRDefault="005624E3" w:rsidP="005624E3">
      <w:pPr>
        <w:tabs>
          <w:tab w:val="left" w:pos="426"/>
          <w:tab w:val="left" w:pos="709"/>
        </w:tabs>
        <w:spacing w:line="240" w:lineRule="atLeast"/>
        <w:ind w:left="709" w:hanging="568"/>
        <w:rPr>
          <w:szCs w:val="20"/>
        </w:rPr>
      </w:pPr>
    </w:p>
    <w:p w:rsidR="005624E3" w:rsidRPr="00921ED0" w:rsidRDefault="005624E3" w:rsidP="005624E3">
      <w:pPr>
        <w:tabs>
          <w:tab w:val="left" w:pos="709"/>
        </w:tabs>
        <w:spacing w:line="240" w:lineRule="atLeast"/>
        <w:ind w:left="709" w:hanging="709"/>
        <w:rPr>
          <w:szCs w:val="20"/>
        </w:rPr>
      </w:pPr>
      <w:r w:rsidRPr="00921ED0">
        <w:t>1.4.3.</w:t>
      </w:r>
      <w:r w:rsidRPr="00921ED0">
        <w:tab/>
        <w:t>A konyháknak, géptereknek és kazánházaknak külön tűzérzékelési zónákat kell alkotniuk.</w:t>
      </w:r>
    </w:p>
    <w:p w:rsidR="005624E3" w:rsidRPr="00921ED0" w:rsidRDefault="005624E3" w:rsidP="005624E3">
      <w:pPr>
        <w:tabs>
          <w:tab w:val="left" w:pos="426"/>
          <w:tab w:val="left" w:pos="709"/>
        </w:tabs>
        <w:spacing w:line="240" w:lineRule="atLeast"/>
        <w:ind w:left="-142"/>
        <w:rPr>
          <w:szCs w:val="20"/>
        </w:rPr>
      </w:pPr>
    </w:p>
    <w:p w:rsidR="005624E3" w:rsidRPr="00921ED0" w:rsidRDefault="005624E3" w:rsidP="005624E3">
      <w:pPr>
        <w:tabs>
          <w:tab w:val="left" w:pos="709"/>
        </w:tabs>
        <w:spacing w:line="240" w:lineRule="atLeast"/>
        <w:rPr>
          <w:b/>
          <w:bCs/>
          <w:szCs w:val="20"/>
        </w:rPr>
      </w:pPr>
      <w:r w:rsidRPr="00921ED0">
        <w:rPr>
          <w:b/>
        </w:rPr>
        <w:t>1.5.</w:t>
      </w:r>
      <w:r w:rsidRPr="00921ED0">
        <w:tab/>
      </w:r>
      <w:r w:rsidRPr="00921ED0">
        <w:rPr>
          <w:b/>
        </w:rPr>
        <w:t>Tűzérzékelők</w:t>
      </w:r>
    </w:p>
    <w:p w:rsidR="005624E3" w:rsidRPr="00921ED0" w:rsidRDefault="005624E3" w:rsidP="005624E3">
      <w:pPr>
        <w:tabs>
          <w:tab w:val="left" w:pos="426"/>
          <w:tab w:val="left" w:pos="709"/>
        </w:tabs>
        <w:spacing w:line="240" w:lineRule="atLeast"/>
        <w:rPr>
          <w:szCs w:val="20"/>
        </w:rPr>
      </w:pPr>
    </w:p>
    <w:p w:rsidR="005624E3" w:rsidRPr="00921ED0" w:rsidRDefault="005624E3" w:rsidP="005624E3">
      <w:pPr>
        <w:tabs>
          <w:tab w:val="left" w:pos="709"/>
        </w:tabs>
        <w:spacing w:line="240" w:lineRule="atLeast"/>
        <w:ind w:left="709" w:hanging="709"/>
        <w:rPr>
          <w:szCs w:val="20"/>
        </w:rPr>
      </w:pPr>
      <w:r w:rsidRPr="00921ED0">
        <w:t>1.5.1.</w:t>
      </w:r>
      <w:r w:rsidRPr="00921ED0">
        <w:tab/>
        <w:t>Tűzérzékelőként kizárólag hő-, füst- vagy ionérzékelők alkalmazhatók. Más típusú érzékelők kizárólag kiegészítő érzékelőként használhatók.</w:t>
      </w:r>
    </w:p>
    <w:p w:rsidR="005624E3" w:rsidRPr="00921ED0" w:rsidRDefault="005624E3" w:rsidP="005624E3">
      <w:pPr>
        <w:tabs>
          <w:tab w:val="left" w:pos="709"/>
        </w:tabs>
        <w:spacing w:line="240" w:lineRule="atLeast"/>
        <w:rPr>
          <w:szCs w:val="20"/>
        </w:rPr>
      </w:pPr>
    </w:p>
    <w:p w:rsidR="005624E3" w:rsidRPr="00921ED0" w:rsidRDefault="005624E3" w:rsidP="005624E3">
      <w:pPr>
        <w:tabs>
          <w:tab w:val="left" w:pos="709"/>
        </w:tabs>
        <w:spacing w:line="240" w:lineRule="atLeast"/>
        <w:ind w:left="709" w:hanging="709"/>
        <w:rPr>
          <w:szCs w:val="20"/>
        </w:rPr>
      </w:pPr>
      <w:r w:rsidRPr="00921ED0">
        <w:t>1.5.2.</w:t>
      </w:r>
      <w:r w:rsidRPr="00921ED0">
        <w:tab/>
        <w:t>A tűzérzékelőnek típusjóváhagyással kell rendelkezniük.</w:t>
      </w:r>
    </w:p>
    <w:p w:rsidR="005624E3" w:rsidRPr="00921ED0" w:rsidRDefault="005624E3" w:rsidP="005624E3">
      <w:pPr>
        <w:tabs>
          <w:tab w:val="left" w:pos="426"/>
          <w:tab w:val="left" w:pos="709"/>
        </w:tabs>
        <w:spacing w:line="240" w:lineRule="atLeast"/>
        <w:ind w:left="426" w:hanging="568"/>
        <w:rPr>
          <w:szCs w:val="20"/>
        </w:rPr>
      </w:pPr>
    </w:p>
    <w:p w:rsidR="005624E3" w:rsidRPr="00921ED0" w:rsidRDefault="005624E3" w:rsidP="005624E3">
      <w:pPr>
        <w:tabs>
          <w:tab w:val="left" w:pos="709"/>
        </w:tabs>
        <w:spacing w:line="240" w:lineRule="atLeast"/>
        <w:ind w:left="709" w:hanging="709"/>
        <w:rPr>
          <w:szCs w:val="20"/>
        </w:rPr>
      </w:pPr>
      <w:r w:rsidRPr="00921ED0">
        <w:t>1.5.3.</w:t>
      </w:r>
      <w:r w:rsidRPr="00921ED0">
        <w:tab/>
        <w:t>Az automatikus tűzérzékelőket úgy kell kialakítani, hogy megfelelő működésükről próbával meg lehessen győződni, és alkatrészcsere nélkül újból működőképessé lehessen tenni őket.</w:t>
      </w:r>
    </w:p>
    <w:p w:rsidR="005624E3" w:rsidRPr="00921ED0" w:rsidRDefault="005624E3" w:rsidP="005624E3">
      <w:pPr>
        <w:tabs>
          <w:tab w:val="left" w:pos="426"/>
          <w:tab w:val="left" w:pos="709"/>
        </w:tabs>
        <w:spacing w:line="240" w:lineRule="atLeast"/>
        <w:ind w:left="-142" w:firstLine="709"/>
        <w:rPr>
          <w:szCs w:val="20"/>
        </w:rPr>
      </w:pPr>
    </w:p>
    <w:p w:rsidR="005624E3" w:rsidRPr="00921ED0" w:rsidRDefault="005624E3" w:rsidP="005624E3">
      <w:pPr>
        <w:tabs>
          <w:tab w:val="left" w:pos="709"/>
        </w:tabs>
        <w:spacing w:line="240" w:lineRule="atLeast"/>
        <w:ind w:left="709" w:hanging="709"/>
        <w:rPr>
          <w:szCs w:val="20"/>
        </w:rPr>
      </w:pPr>
      <w:r w:rsidRPr="00921ED0">
        <w:t>1.5.4.</w:t>
      </w:r>
      <w:r w:rsidRPr="00921ED0">
        <w:tab/>
        <w:t xml:space="preserve">A füstérzékelőket úgy kell beállítani, hogy reagáljanak a láthatóságnak a füst által előidézett, méterenként 2–12,5 %-osnál nagyobb csökkenésére. A konyhákban, gépterekben és kazánházakban felszerelt füstérzékelőknek érzékenységi határértékeiken belül kell reagálniuk, megfelelve az </w:t>
      </w:r>
      <w:r w:rsidR="00EA3F15">
        <w:t>ellenőrző szerv</w:t>
      </w:r>
      <w:r w:rsidRPr="00921ED0">
        <w:t xml:space="preserve"> követelményeinek, tehát a nem eléggé vagy túlságosan érzékeny érzékelők használatát kerülni kell.</w:t>
      </w:r>
    </w:p>
    <w:p w:rsidR="005624E3" w:rsidRPr="00921ED0" w:rsidRDefault="005624E3" w:rsidP="005624E3">
      <w:pPr>
        <w:tabs>
          <w:tab w:val="left" w:pos="426"/>
          <w:tab w:val="left" w:pos="709"/>
        </w:tabs>
        <w:spacing w:line="240" w:lineRule="atLeast"/>
        <w:ind w:left="426" w:hanging="426"/>
        <w:rPr>
          <w:szCs w:val="20"/>
        </w:rPr>
      </w:pPr>
    </w:p>
    <w:p w:rsidR="005624E3" w:rsidRPr="00921ED0" w:rsidRDefault="005624E3" w:rsidP="005624E3">
      <w:pPr>
        <w:tabs>
          <w:tab w:val="left" w:pos="709"/>
        </w:tabs>
        <w:spacing w:after="120" w:line="240" w:lineRule="atLeast"/>
        <w:ind w:left="709" w:hanging="719"/>
        <w:rPr>
          <w:szCs w:val="20"/>
        </w:rPr>
      </w:pPr>
      <w:r w:rsidRPr="00921ED0">
        <w:t>1.5.5.</w:t>
      </w:r>
      <w:r w:rsidRPr="00921ED0">
        <w:tab/>
        <w:t>A hőérzékelőket úgy kell beállítani, hogy a hőmérséklet 1 °C/min-nél lassabb ütemű növekedése esetén 54 °C és 78 °C közötti hőmérsékleten reagáljanak.</w:t>
      </w:r>
    </w:p>
    <w:p w:rsidR="005624E3" w:rsidRPr="00921ED0" w:rsidRDefault="005624E3" w:rsidP="005624E3">
      <w:pPr>
        <w:tabs>
          <w:tab w:val="left" w:pos="709"/>
        </w:tabs>
        <w:spacing w:line="240" w:lineRule="atLeast"/>
        <w:ind w:left="709"/>
        <w:rPr>
          <w:szCs w:val="20"/>
        </w:rPr>
      </w:pPr>
      <w:r w:rsidRPr="00921ED0">
        <w:t>Gyorsabb ütemű hőmérséklet-növekedés esetén a hőérzékelőknek olyan hőmérséklet-tartományon belül kell reagálniuk, amellyel nem elegendő vagy túlzott érzékenységük elkerülhető.</w:t>
      </w:r>
    </w:p>
    <w:p w:rsidR="005624E3" w:rsidRPr="00921ED0" w:rsidRDefault="005624E3" w:rsidP="005624E3">
      <w:pPr>
        <w:tabs>
          <w:tab w:val="left" w:pos="426"/>
          <w:tab w:val="left" w:pos="709"/>
        </w:tabs>
        <w:spacing w:line="240" w:lineRule="atLeast"/>
        <w:ind w:left="426" w:hanging="426"/>
        <w:rPr>
          <w:szCs w:val="20"/>
        </w:rPr>
      </w:pPr>
    </w:p>
    <w:p w:rsidR="005624E3" w:rsidRPr="00921ED0" w:rsidRDefault="005624E3" w:rsidP="005624E3">
      <w:pPr>
        <w:tabs>
          <w:tab w:val="left" w:pos="709"/>
        </w:tabs>
        <w:spacing w:line="240" w:lineRule="atLeast"/>
        <w:ind w:left="709" w:hanging="709"/>
        <w:rPr>
          <w:szCs w:val="20"/>
        </w:rPr>
      </w:pPr>
      <w:r w:rsidRPr="00921ED0">
        <w:t>1.5.6.</w:t>
      </w:r>
      <w:r w:rsidRPr="00921ED0">
        <w:tab/>
        <w:t>Az ellenőrző szerv jóváhagyásával a gépterek és a kazánházak felső részében 30 °C-kal megnövelhető a hőérzékelők megengedett üzemi hőmérséklete a maximális hőmérséklet felett.</w:t>
      </w:r>
    </w:p>
    <w:p w:rsidR="005624E3" w:rsidRPr="00921ED0" w:rsidRDefault="005624E3" w:rsidP="005624E3">
      <w:pPr>
        <w:tabs>
          <w:tab w:val="left" w:pos="426"/>
          <w:tab w:val="left" w:pos="709"/>
        </w:tabs>
        <w:spacing w:line="240" w:lineRule="atLeast"/>
        <w:ind w:left="709" w:hanging="709"/>
        <w:rPr>
          <w:szCs w:val="20"/>
        </w:rPr>
      </w:pPr>
    </w:p>
    <w:p w:rsidR="005624E3" w:rsidRPr="00921ED0" w:rsidRDefault="005624E3" w:rsidP="005624E3">
      <w:pPr>
        <w:tabs>
          <w:tab w:val="left" w:pos="709"/>
        </w:tabs>
        <w:spacing w:line="240" w:lineRule="atLeast"/>
        <w:ind w:left="709" w:hanging="719"/>
        <w:rPr>
          <w:szCs w:val="20"/>
        </w:rPr>
      </w:pPr>
      <w:r w:rsidRPr="00921ED0">
        <w:t>1.5.7.</w:t>
      </w:r>
      <w:r w:rsidRPr="00921ED0">
        <w:tab/>
        <w:t>A lángérzékelők érzékenységének elégségesnek kell lennie a lángok érzékelésére megvilágított háttér előtt. A lángérzékelőket fel kell szerelni a hamis riasztások kiszűrésére alkalmas rendszerrel is.</w:t>
      </w:r>
    </w:p>
    <w:p w:rsidR="005624E3" w:rsidRPr="00921ED0" w:rsidRDefault="005624E3" w:rsidP="005624E3">
      <w:pPr>
        <w:tabs>
          <w:tab w:val="left" w:pos="709"/>
        </w:tabs>
        <w:spacing w:line="240" w:lineRule="atLeast"/>
        <w:ind w:left="-10"/>
        <w:rPr>
          <w:szCs w:val="20"/>
        </w:rPr>
      </w:pPr>
    </w:p>
    <w:p w:rsidR="005624E3" w:rsidRPr="00921ED0" w:rsidRDefault="005624E3" w:rsidP="005624E3">
      <w:pPr>
        <w:tabs>
          <w:tab w:val="left" w:pos="709"/>
        </w:tabs>
        <w:spacing w:line="240" w:lineRule="atLeast"/>
        <w:ind w:left="-10"/>
        <w:rPr>
          <w:szCs w:val="20"/>
        </w:rPr>
      </w:pPr>
      <w:r w:rsidRPr="00921ED0">
        <w:br w:type="page"/>
      </w:r>
    </w:p>
    <w:p w:rsidR="005624E3" w:rsidRPr="00921ED0" w:rsidRDefault="005624E3" w:rsidP="005624E3">
      <w:pPr>
        <w:tabs>
          <w:tab w:val="left" w:pos="709"/>
        </w:tabs>
        <w:spacing w:line="240" w:lineRule="atLeast"/>
        <w:ind w:left="709" w:hanging="709"/>
        <w:rPr>
          <w:b/>
          <w:bCs/>
          <w:szCs w:val="20"/>
        </w:rPr>
      </w:pPr>
      <w:r w:rsidRPr="00921ED0">
        <w:rPr>
          <w:b/>
          <w:noProof/>
        </w:rPr>
        <w:t>1.6.</w:t>
      </w:r>
      <w:r w:rsidRPr="00921ED0">
        <w:tab/>
      </w:r>
      <w:r w:rsidRPr="00921ED0">
        <w:rPr>
          <w:b/>
          <w:noProof/>
        </w:rPr>
        <w:t>Tűzérzékelési rendszer és vezérlőpult</w:t>
      </w:r>
    </w:p>
    <w:p w:rsidR="005624E3" w:rsidRPr="00921ED0" w:rsidRDefault="005624E3" w:rsidP="005624E3">
      <w:pPr>
        <w:tabs>
          <w:tab w:val="left" w:pos="709"/>
        </w:tabs>
        <w:spacing w:line="240" w:lineRule="atLeast"/>
        <w:ind w:left="709" w:hanging="709"/>
        <w:rPr>
          <w:szCs w:val="20"/>
        </w:rPr>
      </w:pPr>
    </w:p>
    <w:p w:rsidR="005624E3" w:rsidRPr="00921ED0" w:rsidRDefault="005624E3" w:rsidP="005624E3">
      <w:pPr>
        <w:tabs>
          <w:tab w:val="left" w:pos="709"/>
        </w:tabs>
        <w:spacing w:line="240" w:lineRule="atLeast"/>
        <w:ind w:left="709" w:hanging="709"/>
        <w:rPr>
          <w:szCs w:val="20"/>
        </w:rPr>
      </w:pPr>
      <w:r w:rsidRPr="00921ED0">
        <w:t>1.6.1.</w:t>
      </w:r>
      <w:r w:rsidRPr="00921ED0">
        <w:tab/>
        <w:t>A tűzérzékelő aktiválódásának látható és hallható tűzriasztó jelzést kell működésbe hoznia a vezérlőpulton és a visszajelző készülékeken.</w:t>
      </w:r>
    </w:p>
    <w:p w:rsidR="005624E3" w:rsidRPr="00921ED0" w:rsidRDefault="005624E3" w:rsidP="005624E3">
      <w:pPr>
        <w:tabs>
          <w:tab w:val="left" w:pos="709"/>
        </w:tabs>
        <w:spacing w:line="240" w:lineRule="atLeast"/>
        <w:ind w:left="709" w:hanging="709"/>
        <w:rPr>
          <w:szCs w:val="20"/>
        </w:rPr>
      </w:pPr>
    </w:p>
    <w:p w:rsidR="005624E3" w:rsidRPr="00921ED0" w:rsidRDefault="005624E3" w:rsidP="005624E3">
      <w:pPr>
        <w:tabs>
          <w:tab w:val="left" w:pos="709"/>
        </w:tabs>
        <w:spacing w:line="240" w:lineRule="atLeast"/>
        <w:ind w:left="709" w:hanging="709"/>
        <w:rPr>
          <w:szCs w:val="20"/>
        </w:rPr>
      </w:pPr>
      <w:r w:rsidRPr="00921ED0">
        <w:t>1.6.2.</w:t>
      </w:r>
      <w:r w:rsidRPr="00921ED0">
        <w:tab/>
        <w:t>A vezérlőpultot és a visszajelző készülékeket olyan helyen kell felszerelni, ahol állandóan tartózkodik a legénység vagy a kiszolgáló személyzet valamely tagja. Az egyik visszajelzőnek a kormányvezérlő-állásban kell lennie.</w:t>
      </w:r>
    </w:p>
    <w:p w:rsidR="005624E3" w:rsidRPr="00921ED0" w:rsidRDefault="005624E3" w:rsidP="005624E3">
      <w:pPr>
        <w:tabs>
          <w:tab w:val="left" w:pos="709"/>
        </w:tabs>
        <w:spacing w:line="240" w:lineRule="atLeast"/>
        <w:ind w:left="709" w:hanging="709"/>
        <w:rPr>
          <w:szCs w:val="20"/>
        </w:rPr>
      </w:pPr>
    </w:p>
    <w:p w:rsidR="005624E3" w:rsidRPr="00921ED0" w:rsidRDefault="005624E3" w:rsidP="005624E3">
      <w:pPr>
        <w:tabs>
          <w:tab w:val="left" w:pos="709"/>
        </w:tabs>
        <w:spacing w:line="240" w:lineRule="atLeast"/>
        <w:ind w:left="709" w:hanging="709"/>
        <w:rPr>
          <w:szCs w:val="20"/>
        </w:rPr>
      </w:pPr>
      <w:r w:rsidRPr="00921ED0">
        <w:t>1.6.3.</w:t>
      </w:r>
      <w:r w:rsidRPr="00921ED0">
        <w:tab/>
        <w:t>A visszajelző készülékeknek legalább azt a tűzérzékelési zónát jelezniük kell, amelyben a tűzérzékelő aktiválódott.</w:t>
      </w:r>
    </w:p>
    <w:p w:rsidR="005624E3" w:rsidRPr="00921ED0" w:rsidRDefault="005624E3" w:rsidP="005624E3">
      <w:pPr>
        <w:tabs>
          <w:tab w:val="left" w:pos="709"/>
        </w:tabs>
        <w:spacing w:line="240" w:lineRule="atLeast"/>
        <w:ind w:left="709" w:hanging="709"/>
        <w:rPr>
          <w:szCs w:val="20"/>
        </w:rPr>
      </w:pPr>
    </w:p>
    <w:p w:rsidR="005624E3" w:rsidRPr="00921ED0" w:rsidRDefault="005624E3" w:rsidP="005624E3">
      <w:pPr>
        <w:tabs>
          <w:tab w:val="left" w:pos="709"/>
        </w:tabs>
        <w:spacing w:line="240" w:lineRule="atLeast"/>
        <w:ind w:left="709" w:hanging="709"/>
        <w:rPr>
          <w:szCs w:val="20"/>
        </w:rPr>
      </w:pPr>
      <w:r w:rsidRPr="00921ED0">
        <w:t>1.6.4.</w:t>
      </w:r>
      <w:r w:rsidRPr="00921ED0">
        <w:tab/>
        <w:t>A tűzérzékelő készülékeken vagy azok közelében egyértelmű információkat kell feltüntetni a megfigyelt körzetekről és a tűzérzékelési zónák helyéről.</w:t>
      </w:r>
    </w:p>
    <w:p w:rsidR="005624E3" w:rsidRPr="00921ED0" w:rsidRDefault="005624E3" w:rsidP="005624E3">
      <w:pPr>
        <w:tabs>
          <w:tab w:val="left" w:pos="426"/>
          <w:tab w:val="left" w:pos="709"/>
        </w:tabs>
        <w:spacing w:line="240" w:lineRule="atLeast"/>
        <w:ind w:left="426" w:hanging="568"/>
        <w:rPr>
          <w:szCs w:val="20"/>
        </w:rPr>
      </w:pPr>
    </w:p>
    <w:p w:rsidR="005624E3" w:rsidRPr="00921ED0" w:rsidRDefault="005624E3" w:rsidP="005624E3">
      <w:pPr>
        <w:tabs>
          <w:tab w:val="left" w:pos="709"/>
        </w:tabs>
        <w:spacing w:line="240" w:lineRule="atLeast"/>
        <w:ind w:left="709" w:hanging="709"/>
        <w:rPr>
          <w:szCs w:val="20"/>
        </w:rPr>
      </w:pPr>
      <w:r w:rsidRPr="00921ED0">
        <w:rPr>
          <w:b/>
        </w:rPr>
        <w:t>2.</w:t>
      </w:r>
      <w:r w:rsidRPr="00921ED0">
        <w:tab/>
      </w:r>
      <w:r w:rsidRPr="00921ED0">
        <w:rPr>
          <w:b/>
          <w:noProof/>
        </w:rPr>
        <w:t>Felszerelési követelmények</w:t>
      </w:r>
    </w:p>
    <w:p w:rsidR="005624E3" w:rsidRPr="00921ED0" w:rsidRDefault="005624E3" w:rsidP="005624E3">
      <w:pPr>
        <w:tabs>
          <w:tab w:val="left" w:pos="426"/>
          <w:tab w:val="left" w:pos="709"/>
        </w:tabs>
        <w:spacing w:line="240" w:lineRule="atLeast"/>
        <w:ind w:left="426" w:hanging="568"/>
        <w:rPr>
          <w:szCs w:val="20"/>
        </w:rPr>
      </w:pPr>
    </w:p>
    <w:p w:rsidR="005624E3" w:rsidRPr="00921ED0" w:rsidRDefault="005624E3" w:rsidP="005624E3">
      <w:pPr>
        <w:tabs>
          <w:tab w:val="left" w:pos="709"/>
        </w:tabs>
        <w:spacing w:line="240" w:lineRule="atLeast"/>
        <w:ind w:left="709" w:hanging="709"/>
        <w:rPr>
          <w:szCs w:val="20"/>
        </w:rPr>
      </w:pPr>
      <w:r w:rsidRPr="00921ED0">
        <w:t>2.1.</w:t>
      </w:r>
      <w:r w:rsidRPr="00921ED0">
        <w:tab/>
        <w:t>A tűzérzékelőket oly módon kell felszerelni, hogy ezzel biztosítsák a rendszer lehető legjobb működését. Nem alkalmasak tűzérzékelők felszerelésére a fedélzeti talpgerendák és a szellőzőaknák közelében lévő vagy más olyan helyek, ahol a légáramlás kedvezőtlenül befolyásolhatja a rendszer működését, illetve azok a helyek, ahol a készülékeket behatások vagy mechanikai sérülések érhetik.</w:t>
      </w:r>
    </w:p>
    <w:p w:rsidR="005624E3" w:rsidRPr="00921ED0" w:rsidRDefault="005624E3" w:rsidP="005624E3">
      <w:pPr>
        <w:tabs>
          <w:tab w:val="left" w:pos="426"/>
          <w:tab w:val="left" w:pos="709"/>
        </w:tabs>
        <w:spacing w:line="240" w:lineRule="atLeast"/>
        <w:ind w:left="426" w:hanging="710"/>
        <w:rPr>
          <w:szCs w:val="20"/>
        </w:rPr>
      </w:pPr>
    </w:p>
    <w:p w:rsidR="005624E3" w:rsidRPr="00921ED0" w:rsidRDefault="005624E3" w:rsidP="005624E3">
      <w:pPr>
        <w:tabs>
          <w:tab w:val="left" w:pos="709"/>
        </w:tabs>
        <w:spacing w:line="240" w:lineRule="atLeast"/>
        <w:ind w:left="709" w:hanging="709"/>
        <w:rPr>
          <w:szCs w:val="20"/>
        </w:rPr>
      </w:pPr>
      <w:r w:rsidRPr="00921ED0">
        <w:t>2.2.</w:t>
      </w:r>
      <w:r w:rsidRPr="00921ED0">
        <w:tab/>
        <w:t>A mennyezetre szerelt tűzérzékelőket általában a válaszfalaktól legalább 0,5 m-re kell elhelyezni. A tűzérzékelők és a válaszfalak közötti maximális távolságot a következő táblázat szerint kell meghatározni:</w:t>
      </w:r>
    </w:p>
    <w:p w:rsidR="005624E3" w:rsidRPr="00921ED0" w:rsidRDefault="005624E3" w:rsidP="005624E3">
      <w:pPr>
        <w:tabs>
          <w:tab w:val="left" w:pos="426"/>
          <w:tab w:val="left" w:pos="709"/>
        </w:tabs>
        <w:spacing w:line="240" w:lineRule="atLeast"/>
        <w:ind w:left="709" w:hanging="709"/>
        <w:rPr>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2041"/>
        <w:gridCol w:w="2041"/>
        <w:gridCol w:w="2041"/>
      </w:tblGrid>
      <w:tr w:rsidR="005624E3" w:rsidRPr="00921ED0" w:rsidTr="00101A80">
        <w:trPr>
          <w:jc w:val="center"/>
        </w:trPr>
        <w:tc>
          <w:tcPr>
            <w:tcW w:w="1418" w:type="dxa"/>
          </w:tcPr>
          <w:p w:rsidR="005624E3" w:rsidRPr="00921ED0" w:rsidRDefault="005624E3" w:rsidP="00101A80">
            <w:pPr>
              <w:tabs>
                <w:tab w:val="left" w:pos="426"/>
                <w:tab w:val="left" w:pos="709"/>
              </w:tabs>
              <w:spacing w:before="60" w:after="60" w:line="240" w:lineRule="atLeast"/>
              <w:jc w:val="center"/>
              <w:rPr>
                <w:noProof/>
                <w:sz w:val="18"/>
                <w:szCs w:val="18"/>
              </w:rPr>
            </w:pPr>
            <w:r w:rsidRPr="00921ED0">
              <w:rPr>
                <w:noProof/>
                <w:sz w:val="18"/>
              </w:rPr>
              <w:t>Tűzérzékelő típusa</w:t>
            </w:r>
          </w:p>
        </w:tc>
        <w:tc>
          <w:tcPr>
            <w:tcW w:w="2041" w:type="dxa"/>
          </w:tcPr>
          <w:p w:rsidR="005624E3" w:rsidRPr="00921ED0" w:rsidRDefault="005624E3" w:rsidP="00101A80">
            <w:pPr>
              <w:tabs>
                <w:tab w:val="left" w:pos="426"/>
                <w:tab w:val="left" w:pos="709"/>
              </w:tabs>
              <w:spacing w:before="60" w:after="60" w:line="240" w:lineRule="atLeast"/>
              <w:jc w:val="center"/>
              <w:rPr>
                <w:noProof/>
                <w:sz w:val="18"/>
                <w:szCs w:val="18"/>
              </w:rPr>
            </w:pPr>
            <w:r w:rsidRPr="00921ED0">
              <w:rPr>
                <w:noProof/>
                <w:sz w:val="18"/>
              </w:rPr>
              <w:t>Maximális padlóterület tűzérzékelőnként</w:t>
            </w:r>
          </w:p>
        </w:tc>
        <w:tc>
          <w:tcPr>
            <w:tcW w:w="2041" w:type="dxa"/>
          </w:tcPr>
          <w:p w:rsidR="005624E3" w:rsidRPr="00921ED0" w:rsidRDefault="005624E3" w:rsidP="00101A80">
            <w:pPr>
              <w:tabs>
                <w:tab w:val="left" w:pos="426"/>
                <w:tab w:val="left" w:pos="709"/>
              </w:tabs>
              <w:spacing w:before="60" w:after="60" w:line="240" w:lineRule="atLeast"/>
              <w:jc w:val="center"/>
              <w:rPr>
                <w:noProof/>
                <w:sz w:val="18"/>
                <w:szCs w:val="18"/>
              </w:rPr>
            </w:pPr>
            <w:r w:rsidRPr="00921ED0">
              <w:rPr>
                <w:noProof/>
                <w:sz w:val="18"/>
              </w:rPr>
              <w:t>Tűzérzékelők közötti maximális távolság</w:t>
            </w:r>
          </w:p>
        </w:tc>
        <w:tc>
          <w:tcPr>
            <w:tcW w:w="2041" w:type="dxa"/>
          </w:tcPr>
          <w:p w:rsidR="005624E3" w:rsidRPr="00921ED0" w:rsidRDefault="005624E3" w:rsidP="00101A80">
            <w:pPr>
              <w:tabs>
                <w:tab w:val="left" w:pos="426"/>
                <w:tab w:val="left" w:pos="709"/>
              </w:tabs>
              <w:spacing w:before="60" w:after="60" w:line="240" w:lineRule="atLeast"/>
              <w:jc w:val="center"/>
              <w:rPr>
                <w:noProof/>
                <w:sz w:val="18"/>
                <w:szCs w:val="18"/>
              </w:rPr>
            </w:pPr>
            <w:r w:rsidRPr="00921ED0">
              <w:rPr>
                <w:noProof/>
                <w:sz w:val="18"/>
              </w:rPr>
              <w:t>Tűzérzékelők és válaszfalak közötti maximális távolság</w:t>
            </w:r>
          </w:p>
        </w:tc>
      </w:tr>
      <w:tr w:rsidR="005624E3" w:rsidRPr="00921ED0" w:rsidTr="00101A80">
        <w:trPr>
          <w:jc w:val="center"/>
        </w:trPr>
        <w:tc>
          <w:tcPr>
            <w:tcW w:w="1418" w:type="dxa"/>
            <w:vAlign w:val="center"/>
          </w:tcPr>
          <w:p w:rsidR="005624E3" w:rsidRPr="00921ED0" w:rsidRDefault="005624E3" w:rsidP="00101A80">
            <w:pPr>
              <w:tabs>
                <w:tab w:val="left" w:pos="426"/>
                <w:tab w:val="left" w:pos="709"/>
              </w:tabs>
              <w:spacing w:before="60" w:after="60" w:line="240" w:lineRule="atLeast"/>
              <w:ind w:left="709" w:hanging="709"/>
              <w:jc w:val="center"/>
              <w:rPr>
                <w:sz w:val="18"/>
                <w:szCs w:val="18"/>
              </w:rPr>
            </w:pPr>
            <w:r w:rsidRPr="00921ED0">
              <w:rPr>
                <w:noProof/>
                <w:sz w:val="18"/>
              </w:rPr>
              <w:t>Hő</w:t>
            </w:r>
          </w:p>
        </w:tc>
        <w:tc>
          <w:tcPr>
            <w:tcW w:w="2041" w:type="dxa"/>
            <w:vAlign w:val="center"/>
          </w:tcPr>
          <w:p w:rsidR="005624E3" w:rsidRPr="00921ED0" w:rsidRDefault="005624E3" w:rsidP="00101A80">
            <w:pPr>
              <w:tabs>
                <w:tab w:val="left" w:pos="426"/>
                <w:tab w:val="left" w:pos="709"/>
              </w:tabs>
              <w:spacing w:before="60" w:after="60" w:line="240" w:lineRule="atLeast"/>
              <w:ind w:left="709" w:hanging="709"/>
              <w:jc w:val="center"/>
              <w:rPr>
                <w:sz w:val="18"/>
                <w:szCs w:val="18"/>
              </w:rPr>
            </w:pPr>
            <w:r w:rsidRPr="00921ED0">
              <w:rPr>
                <w:noProof/>
                <w:sz w:val="18"/>
              </w:rPr>
              <w:t>37 m</w:t>
            </w:r>
            <w:r w:rsidRPr="00921ED0">
              <w:rPr>
                <w:noProof/>
                <w:position w:val="6"/>
                <w:sz w:val="14"/>
              </w:rPr>
              <w:t>2</w:t>
            </w:r>
          </w:p>
        </w:tc>
        <w:tc>
          <w:tcPr>
            <w:tcW w:w="2041" w:type="dxa"/>
            <w:vAlign w:val="center"/>
          </w:tcPr>
          <w:p w:rsidR="005624E3" w:rsidRPr="00921ED0" w:rsidRDefault="005624E3" w:rsidP="00101A80">
            <w:pPr>
              <w:tabs>
                <w:tab w:val="left" w:pos="426"/>
                <w:tab w:val="left" w:pos="709"/>
              </w:tabs>
              <w:spacing w:before="60" w:after="60" w:line="240" w:lineRule="atLeast"/>
              <w:ind w:left="709" w:hanging="709"/>
              <w:jc w:val="center"/>
              <w:rPr>
                <w:sz w:val="18"/>
                <w:szCs w:val="18"/>
              </w:rPr>
            </w:pPr>
            <w:r w:rsidRPr="00921ED0">
              <w:rPr>
                <w:noProof/>
                <w:sz w:val="18"/>
              </w:rPr>
              <w:t>9 m</w:t>
            </w:r>
          </w:p>
        </w:tc>
        <w:tc>
          <w:tcPr>
            <w:tcW w:w="2041" w:type="dxa"/>
            <w:vAlign w:val="center"/>
          </w:tcPr>
          <w:p w:rsidR="005624E3" w:rsidRPr="00921ED0" w:rsidRDefault="005624E3" w:rsidP="00101A80">
            <w:pPr>
              <w:tabs>
                <w:tab w:val="left" w:pos="426"/>
                <w:tab w:val="left" w:pos="709"/>
              </w:tabs>
              <w:spacing w:before="60" w:after="60" w:line="240" w:lineRule="atLeast"/>
              <w:ind w:left="709" w:hanging="709"/>
              <w:jc w:val="center"/>
              <w:rPr>
                <w:sz w:val="18"/>
                <w:szCs w:val="18"/>
              </w:rPr>
            </w:pPr>
            <w:r w:rsidRPr="00921ED0">
              <w:rPr>
                <w:noProof/>
                <w:sz w:val="18"/>
              </w:rPr>
              <w:t>4,5 m</w:t>
            </w:r>
          </w:p>
        </w:tc>
      </w:tr>
      <w:tr w:rsidR="005624E3" w:rsidRPr="00921ED0" w:rsidTr="00101A80">
        <w:trPr>
          <w:jc w:val="center"/>
        </w:trPr>
        <w:tc>
          <w:tcPr>
            <w:tcW w:w="1418" w:type="dxa"/>
            <w:vAlign w:val="center"/>
          </w:tcPr>
          <w:p w:rsidR="005624E3" w:rsidRPr="00921ED0" w:rsidRDefault="005624E3" w:rsidP="00101A80">
            <w:pPr>
              <w:tabs>
                <w:tab w:val="left" w:pos="426"/>
                <w:tab w:val="left" w:pos="709"/>
              </w:tabs>
              <w:spacing w:before="60" w:after="60" w:line="240" w:lineRule="atLeast"/>
              <w:ind w:left="709" w:hanging="709"/>
              <w:jc w:val="center"/>
              <w:rPr>
                <w:sz w:val="18"/>
                <w:szCs w:val="18"/>
              </w:rPr>
            </w:pPr>
            <w:r w:rsidRPr="00921ED0">
              <w:rPr>
                <w:noProof/>
                <w:sz w:val="18"/>
              </w:rPr>
              <w:t>Füst</w:t>
            </w:r>
          </w:p>
        </w:tc>
        <w:tc>
          <w:tcPr>
            <w:tcW w:w="2041" w:type="dxa"/>
            <w:vAlign w:val="center"/>
          </w:tcPr>
          <w:p w:rsidR="005624E3" w:rsidRPr="00921ED0" w:rsidRDefault="005624E3" w:rsidP="00101A80">
            <w:pPr>
              <w:tabs>
                <w:tab w:val="left" w:pos="426"/>
                <w:tab w:val="left" w:pos="709"/>
              </w:tabs>
              <w:spacing w:before="60" w:after="60" w:line="240" w:lineRule="atLeast"/>
              <w:ind w:left="709" w:hanging="709"/>
              <w:jc w:val="center"/>
              <w:rPr>
                <w:sz w:val="18"/>
                <w:szCs w:val="18"/>
              </w:rPr>
            </w:pPr>
            <w:r w:rsidRPr="00921ED0">
              <w:rPr>
                <w:noProof/>
                <w:sz w:val="18"/>
              </w:rPr>
              <w:t>74 m</w:t>
            </w:r>
            <w:r w:rsidRPr="00921ED0">
              <w:rPr>
                <w:noProof/>
                <w:position w:val="6"/>
                <w:sz w:val="14"/>
              </w:rPr>
              <w:t>2</w:t>
            </w:r>
          </w:p>
        </w:tc>
        <w:tc>
          <w:tcPr>
            <w:tcW w:w="2041" w:type="dxa"/>
            <w:vAlign w:val="center"/>
          </w:tcPr>
          <w:p w:rsidR="005624E3" w:rsidRPr="00921ED0" w:rsidRDefault="005624E3" w:rsidP="00101A80">
            <w:pPr>
              <w:tabs>
                <w:tab w:val="left" w:pos="426"/>
                <w:tab w:val="left" w:pos="709"/>
              </w:tabs>
              <w:spacing w:before="60" w:after="60" w:line="240" w:lineRule="atLeast"/>
              <w:ind w:left="709" w:hanging="709"/>
              <w:jc w:val="center"/>
              <w:rPr>
                <w:sz w:val="18"/>
                <w:szCs w:val="18"/>
              </w:rPr>
            </w:pPr>
            <w:r w:rsidRPr="00921ED0">
              <w:rPr>
                <w:noProof/>
                <w:sz w:val="18"/>
              </w:rPr>
              <w:t>11 m</w:t>
            </w:r>
          </w:p>
        </w:tc>
        <w:tc>
          <w:tcPr>
            <w:tcW w:w="2041" w:type="dxa"/>
            <w:vAlign w:val="center"/>
          </w:tcPr>
          <w:p w:rsidR="005624E3" w:rsidRPr="00921ED0" w:rsidRDefault="005624E3" w:rsidP="00101A80">
            <w:pPr>
              <w:tabs>
                <w:tab w:val="left" w:pos="426"/>
                <w:tab w:val="left" w:pos="709"/>
              </w:tabs>
              <w:spacing w:before="60" w:after="60" w:line="240" w:lineRule="atLeast"/>
              <w:ind w:left="709" w:hanging="709"/>
              <w:jc w:val="center"/>
              <w:rPr>
                <w:sz w:val="18"/>
                <w:szCs w:val="18"/>
              </w:rPr>
            </w:pPr>
            <w:r w:rsidRPr="00921ED0">
              <w:rPr>
                <w:noProof/>
                <w:sz w:val="18"/>
              </w:rPr>
              <w:t>5,5 m</w:t>
            </w:r>
          </w:p>
        </w:tc>
      </w:tr>
    </w:tbl>
    <w:p w:rsidR="005624E3" w:rsidRPr="00921ED0" w:rsidRDefault="005624E3" w:rsidP="005624E3">
      <w:pPr>
        <w:tabs>
          <w:tab w:val="left" w:pos="426"/>
          <w:tab w:val="left" w:pos="709"/>
        </w:tabs>
        <w:spacing w:line="240" w:lineRule="atLeast"/>
        <w:ind w:left="709" w:hanging="709"/>
        <w:rPr>
          <w:szCs w:val="20"/>
        </w:rPr>
      </w:pPr>
    </w:p>
    <w:p w:rsidR="005624E3" w:rsidRPr="00921ED0" w:rsidRDefault="005624E3" w:rsidP="005624E3">
      <w:pPr>
        <w:tabs>
          <w:tab w:val="left" w:pos="709"/>
        </w:tabs>
        <w:spacing w:line="240" w:lineRule="atLeast"/>
        <w:ind w:left="709"/>
        <w:rPr>
          <w:szCs w:val="20"/>
        </w:rPr>
      </w:pPr>
      <w:r w:rsidRPr="00921ED0">
        <w:t>Az ellenőrző szerv előírhat vagy jóváhagyhat más távolságokat is olyan vizsgálat alapján, amelynek során az érzékelők tulajdonságairól kellően meggyőződik.</w:t>
      </w:r>
    </w:p>
    <w:p w:rsidR="005624E3" w:rsidRPr="00921ED0" w:rsidRDefault="005624E3" w:rsidP="005624E3">
      <w:pPr>
        <w:tabs>
          <w:tab w:val="left" w:pos="426"/>
          <w:tab w:val="left" w:pos="709"/>
        </w:tabs>
        <w:spacing w:line="240" w:lineRule="atLeast"/>
        <w:ind w:left="709" w:hanging="709"/>
        <w:rPr>
          <w:szCs w:val="20"/>
        </w:rPr>
      </w:pPr>
    </w:p>
    <w:p w:rsidR="005624E3" w:rsidRPr="00921ED0" w:rsidRDefault="005624E3" w:rsidP="005624E3">
      <w:pPr>
        <w:tabs>
          <w:tab w:val="left" w:pos="709"/>
        </w:tabs>
        <w:spacing w:line="240" w:lineRule="atLeast"/>
        <w:ind w:left="709" w:hanging="709"/>
        <w:rPr>
          <w:szCs w:val="20"/>
        </w:rPr>
      </w:pPr>
      <w:r w:rsidRPr="00921ED0">
        <w:t>2.3.</w:t>
      </w:r>
      <w:r w:rsidRPr="00921ED0">
        <w:tab/>
        <w:t>A tűzriasztó rendszer elektromos kábelei csak akkor vezethetők a géptereken és kazánházakon vagy más tűzveszélyes helyeken keresztül, ha ez szükséges az említett helyeken való tűzérzékeléshez vagy a megfelelő áramellátáshoz történő csatlakoztatáshoz.</w:t>
      </w:r>
    </w:p>
    <w:p w:rsidR="005624E3" w:rsidRPr="00921ED0" w:rsidRDefault="005624E3" w:rsidP="005624E3">
      <w:pPr>
        <w:tabs>
          <w:tab w:val="left" w:pos="426"/>
          <w:tab w:val="left" w:pos="709"/>
        </w:tabs>
        <w:spacing w:line="240" w:lineRule="atLeast"/>
        <w:ind w:left="709" w:hanging="709"/>
        <w:rPr>
          <w:b/>
          <w:bCs/>
          <w:szCs w:val="20"/>
        </w:rPr>
      </w:pPr>
    </w:p>
    <w:p w:rsidR="005624E3" w:rsidRPr="00921ED0" w:rsidRDefault="005624E3" w:rsidP="005624E3">
      <w:pPr>
        <w:tabs>
          <w:tab w:val="left" w:pos="426"/>
          <w:tab w:val="left" w:pos="709"/>
        </w:tabs>
        <w:spacing w:line="240" w:lineRule="atLeast"/>
        <w:ind w:left="709" w:hanging="709"/>
        <w:rPr>
          <w:b/>
          <w:bCs/>
          <w:szCs w:val="20"/>
        </w:rPr>
      </w:pPr>
      <w:r w:rsidRPr="00921ED0">
        <w:br w:type="page"/>
      </w:r>
    </w:p>
    <w:p w:rsidR="005624E3" w:rsidRPr="00921ED0" w:rsidRDefault="005624E3" w:rsidP="005624E3">
      <w:pPr>
        <w:tabs>
          <w:tab w:val="left" w:pos="709"/>
        </w:tabs>
        <w:spacing w:line="240" w:lineRule="atLeast"/>
        <w:ind w:left="709" w:hanging="709"/>
        <w:rPr>
          <w:b/>
          <w:bCs/>
          <w:szCs w:val="20"/>
        </w:rPr>
      </w:pPr>
      <w:r w:rsidRPr="00921ED0">
        <w:rPr>
          <w:b/>
        </w:rPr>
        <w:t>3.</w:t>
      </w:r>
      <w:r w:rsidRPr="00921ED0">
        <w:tab/>
      </w:r>
      <w:r w:rsidRPr="00921ED0">
        <w:rPr>
          <w:b/>
        </w:rPr>
        <w:t>Átvételi vizsgálat</w:t>
      </w:r>
    </w:p>
    <w:p w:rsidR="005624E3" w:rsidRPr="00921ED0" w:rsidRDefault="005624E3" w:rsidP="005624E3">
      <w:pPr>
        <w:tabs>
          <w:tab w:val="left" w:pos="1559"/>
        </w:tabs>
        <w:spacing w:line="240" w:lineRule="atLeast"/>
        <w:ind w:left="1560" w:hanging="709"/>
        <w:rPr>
          <w:szCs w:val="20"/>
        </w:rPr>
      </w:pPr>
    </w:p>
    <w:p w:rsidR="005624E3" w:rsidRPr="00921ED0" w:rsidRDefault="005624E3" w:rsidP="005624E3">
      <w:pPr>
        <w:tabs>
          <w:tab w:val="left" w:pos="709"/>
        </w:tabs>
        <w:spacing w:line="240" w:lineRule="atLeast"/>
        <w:ind w:left="709" w:hanging="709"/>
        <w:rPr>
          <w:szCs w:val="20"/>
        </w:rPr>
      </w:pPr>
      <w:r w:rsidRPr="00921ED0">
        <w:t>3.1.</w:t>
      </w:r>
      <w:r w:rsidRPr="00921ED0">
        <w:tab/>
        <w:t>A tűzjelző rendszereket egy szakértő vizsgálja meg:</w:t>
      </w:r>
    </w:p>
    <w:p w:rsidR="005624E3" w:rsidRPr="00921ED0" w:rsidRDefault="005624E3" w:rsidP="005624E3">
      <w:pPr>
        <w:spacing w:before="60" w:line="240" w:lineRule="atLeast"/>
        <w:ind w:left="1134"/>
        <w:rPr>
          <w:szCs w:val="20"/>
        </w:rPr>
      </w:pPr>
      <w:r w:rsidRPr="00921ED0">
        <w:t>a)</w:t>
      </w:r>
      <w:r w:rsidRPr="00921ED0">
        <w:tab/>
        <w:t>az első használatbavétel előtt;</w:t>
      </w:r>
    </w:p>
    <w:p w:rsidR="005624E3" w:rsidRPr="00921ED0" w:rsidRDefault="005624E3" w:rsidP="005624E3">
      <w:pPr>
        <w:spacing w:before="60" w:line="240" w:lineRule="atLeast"/>
        <w:ind w:left="1134"/>
        <w:rPr>
          <w:szCs w:val="20"/>
        </w:rPr>
      </w:pPr>
      <w:r w:rsidRPr="00921ED0">
        <w:t>b)</w:t>
      </w:r>
      <w:r w:rsidRPr="00921ED0">
        <w:tab/>
        <w:t>jelentős módosítást vagy javítást követő újbóli üzembe helyezés előtt;</w:t>
      </w:r>
    </w:p>
    <w:p w:rsidR="005624E3" w:rsidRPr="00921ED0" w:rsidRDefault="005624E3" w:rsidP="005624E3">
      <w:pPr>
        <w:spacing w:before="60" w:line="240" w:lineRule="atLeast"/>
        <w:ind w:left="1134"/>
        <w:rPr>
          <w:szCs w:val="20"/>
        </w:rPr>
      </w:pPr>
      <w:r w:rsidRPr="00921ED0">
        <w:t>c)</w:t>
      </w:r>
      <w:r w:rsidRPr="00921ED0">
        <w:tab/>
        <w:t>rendszeresen, de legalább kétévente.</w:t>
      </w:r>
    </w:p>
    <w:p w:rsidR="005624E3" w:rsidRPr="00921ED0" w:rsidRDefault="005624E3" w:rsidP="005624E3">
      <w:pPr>
        <w:tabs>
          <w:tab w:val="left" w:pos="709"/>
        </w:tabs>
        <w:spacing w:before="60" w:line="240" w:lineRule="atLeast"/>
        <w:ind w:left="709"/>
        <w:rPr>
          <w:szCs w:val="20"/>
        </w:rPr>
      </w:pPr>
      <w:r w:rsidRPr="00921ED0">
        <w:t>A gépterek és a kazánterek esetében ezeket az ellenőrzéseket eltérő gépüzemeltetési körülmények és változó szellőzési feltételek mellett kell végezni. A fenti c) alrészben említett vizsgálatokat tűzoltó rendszerekre szakosodott, hozzáértő céget képviselő hozzáértő személy is elvégezheti.</w:t>
      </w:r>
    </w:p>
    <w:p w:rsidR="005624E3" w:rsidRPr="00921ED0" w:rsidRDefault="005624E3" w:rsidP="005624E3">
      <w:pPr>
        <w:tabs>
          <w:tab w:val="left" w:pos="709"/>
        </w:tabs>
        <w:spacing w:line="240" w:lineRule="atLeast"/>
        <w:ind w:left="709" w:hanging="709"/>
        <w:rPr>
          <w:szCs w:val="20"/>
        </w:rPr>
      </w:pPr>
    </w:p>
    <w:p w:rsidR="005624E3" w:rsidRPr="00921ED0" w:rsidRDefault="005624E3" w:rsidP="005624E3">
      <w:pPr>
        <w:tabs>
          <w:tab w:val="left" w:pos="709"/>
        </w:tabs>
        <w:spacing w:line="240" w:lineRule="atLeast"/>
        <w:ind w:left="709" w:hanging="709"/>
        <w:rPr>
          <w:szCs w:val="20"/>
        </w:rPr>
      </w:pPr>
      <w:r w:rsidRPr="00921ED0">
        <w:t>3.2.</w:t>
      </w:r>
      <w:r w:rsidRPr="00921ED0">
        <w:tab/>
        <w:t>Ellenőrzési igazolást kell kiadni, amely tartalmazza a szakértő vagy a hozzáértő személy aláírását és az ellenőrzés dátumát.</w:t>
      </w:r>
    </w:p>
    <w:p w:rsidR="005624E3" w:rsidRPr="00921ED0" w:rsidRDefault="005624E3" w:rsidP="005624E3">
      <w:pPr>
        <w:tabs>
          <w:tab w:val="left" w:pos="709"/>
        </w:tabs>
        <w:ind w:left="709" w:hanging="709"/>
        <w:rPr>
          <w:rFonts w:cs="Arial"/>
          <w:noProof/>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r w:rsidRPr="00921ED0">
        <w:br w:type="page"/>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pPr>
      <w:bookmarkStart w:id="761" w:name="_Toc491854362"/>
      <w:bookmarkStart w:id="762" w:name="_Toc535854143"/>
      <w:r w:rsidRPr="00921ED0">
        <w:t>ESI-II-13</w:t>
      </w:r>
      <w:r w:rsidRPr="00921ED0">
        <w:br/>
        <w:t>(Üres)</w:t>
      </w:r>
      <w:bookmarkEnd w:id="761"/>
      <w:bookmarkEnd w:id="762"/>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r w:rsidRPr="00921ED0">
        <w:br w:type="page"/>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1"/>
      </w:pPr>
      <w:bookmarkStart w:id="763" w:name="_Toc491854363"/>
      <w:bookmarkStart w:id="764" w:name="_Toc535854144"/>
      <w:r w:rsidRPr="00921ED0">
        <w:t>III. RÉSZ</w:t>
      </w:r>
      <w:r w:rsidRPr="00921ED0">
        <w:br/>
        <w:t>KÜLÖN RENDELKEZÉSEK</w:t>
      </w:r>
      <w:bookmarkEnd w:id="763"/>
      <w:bookmarkEnd w:id="764"/>
    </w:p>
    <w:p w:rsidR="005624E3" w:rsidRPr="00921ED0" w:rsidRDefault="005624E3" w:rsidP="005624E3">
      <w:pPr>
        <w:overflowPunct w:val="0"/>
        <w:adjustRightInd w:val="0"/>
        <w:textAlignment w:val="baseline"/>
        <w:rPr>
          <w:szCs w:val="20"/>
        </w:rPr>
      </w:pPr>
    </w:p>
    <w:p w:rsidR="005624E3" w:rsidRPr="00921ED0" w:rsidRDefault="005624E3" w:rsidP="005624E3">
      <w:pPr>
        <w:pStyle w:val="ES-Titre2ESI"/>
        <w:rPr>
          <w:szCs w:val="20"/>
        </w:rPr>
      </w:pPr>
      <w:bookmarkStart w:id="765" w:name="_Toc491854364"/>
      <w:bookmarkStart w:id="766" w:name="_Toc535854145"/>
      <w:r w:rsidRPr="00921ED0">
        <w:t>ESI-III-1</w:t>
      </w:r>
      <w:r w:rsidRPr="00921ED0">
        <w:br/>
        <w:t>A 19. fejezet követelményeinek alkalmazása</w:t>
      </w:r>
      <w:bookmarkEnd w:id="765"/>
      <w:bookmarkEnd w:id="766"/>
    </w:p>
    <w:p w:rsidR="005624E3" w:rsidRPr="00921ED0" w:rsidRDefault="005624E3" w:rsidP="005624E3">
      <w:pPr>
        <w:overflowPunct w:val="0"/>
        <w:adjustRightInd w:val="0"/>
        <w:ind w:left="1843"/>
        <w:textAlignment w:val="baseline"/>
        <w:rPr>
          <w:b/>
          <w:bCs/>
          <w:i/>
          <w:noProof/>
        </w:rPr>
      </w:pPr>
      <w:r w:rsidRPr="00921ED0">
        <w:rPr>
          <w:b/>
          <w:i/>
        </w:rPr>
        <w:t>-</w:t>
      </w:r>
      <w:r w:rsidRPr="00921ED0">
        <w:tab/>
      </w:r>
      <w:r w:rsidRPr="00921ED0">
        <w:rPr>
          <w:b/>
          <w:i/>
          <w:noProof/>
        </w:rPr>
        <w:t>Alrekeszek</w:t>
      </w:r>
    </w:p>
    <w:p w:rsidR="005624E3" w:rsidRPr="00921ED0" w:rsidRDefault="005624E3" w:rsidP="005624E3">
      <w:pPr>
        <w:overflowPunct w:val="0"/>
        <w:adjustRightInd w:val="0"/>
        <w:ind w:left="1843"/>
        <w:textAlignment w:val="baseline"/>
        <w:rPr>
          <w:b/>
          <w:i/>
          <w:szCs w:val="20"/>
        </w:rPr>
      </w:pPr>
      <w:r w:rsidRPr="00921ED0">
        <w:rPr>
          <w:b/>
          <w:i/>
          <w:noProof/>
        </w:rPr>
        <w:t>-</w:t>
      </w:r>
      <w:r w:rsidRPr="00921ED0">
        <w:tab/>
      </w:r>
      <w:r w:rsidRPr="00921ED0">
        <w:rPr>
          <w:b/>
          <w:i/>
          <w:noProof/>
        </w:rPr>
        <w:t>A ponyvákkal vagy hasonló mobil felszerelésekkel létrehozott</w:t>
      </w:r>
      <w:r w:rsidRPr="00921ED0">
        <w:t xml:space="preserve"> </w:t>
      </w:r>
      <w:r w:rsidRPr="00921ED0">
        <w:rPr>
          <w:b/>
          <w:i/>
          <w:noProof/>
        </w:rPr>
        <w:t>zárt terekre vonatkozó átmeneti rendelkezések</w:t>
      </w:r>
    </w:p>
    <w:p w:rsidR="005624E3" w:rsidRPr="00921ED0" w:rsidRDefault="005624E3" w:rsidP="005624E3">
      <w:pPr>
        <w:spacing w:line="240" w:lineRule="atLeast"/>
        <w:ind w:left="567" w:hanging="567"/>
      </w:pPr>
    </w:p>
    <w:p w:rsidR="005624E3" w:rsidRPr="00921ED0" w:rsidRDefault="005624E3" w:rsidP="005624E3">
      <w:pPr>
        <w:suppressAutoHyphens/>
        <w:spacing w:line="240" w:lineRule="atLeast"/>
        <w:jc w:val="center"/>
        <w:rPr>
          <w:rFonts w:cs="Arial"/>
          <w:b/>
        </w:rPr>
      </w:pPr>
      <w:r w:rsidRPr="00921ED0">
        <w:rPr>
          <w:b/>
          <w:noProof/>
        </w:rPr>
        <w:t xml:space="preserve">(19.02. cikk 5. bekezdés, 19.03. cikk 5. bekezdés) </w:t>
      </w:r>
    </w:p>
    <w:p w:rsidR="005624E3" w:rsidRPr="00921ED0" w:rsidRDefault="005624E3" w:rsidP="005624E3">
      <w:pPr>
        <w:suppressAutoHyphens/>
        <w:rPr>
          <w:rFonts w:cs="Arial"/>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1.</w:t>
      </w:r>
      <w:r w:rsidRPr="00921ED0">
        <w:tab/>
      </w:r>
      <w:r w:rsidRPr="00921ED0">
        <w:rPr>
          <w:b/>
          <w:noProof/>
          <w:color w:val="000000"/>
        </w:rPr>
        <w:t>Alrekeszek (19.02. cikk 5. bekezdés)</w:t>
      </w:r>
    </w:p>
    <w:p w:rsidR="005624E3" w:rsidRPr="00921ED0" w:rsidRDefault="005624E3" w:rsidP="005624E3">
      <w:pPr>
        <w:suppressAutoHyphens/>
        <w:spacing w:line="240" w:lineRule="atLeast"/>
        <w:rPr>
          <w:rFonts w:cs="Arial"/>
          <w:szCs w:val="20"/>
        </w:rPr>
      </w:pPr>
    </w:p>
    <w:p w:rsidR="005624E3" w:rsidRPr="00921ED0" w:rsidRDefault="005624E3" w:rsidP="005624E3">
      <w:pPr>
        <w:spacing w:line="240" w:lineRule="atLeast"/>
        <w:ind w:left="567"/>
      </w:pPr>
      <w:r w:rsidRPr="00921ED0">
        <w:t>A 19.02. cikk 5. szakasza értelmében elképzelhető, hogy az értékelés nem terjed ki a vízmentes alrekeszekre, nem vesznek részt az értékelésben például a vizsgálandó sérüléshosszt meghaladó hosszúságú, keresztirányban osztott kettősfenékterek. Ebben az esetben előfordulhat, hogy nem lehet figyelembe venni azt a keresztirányú rekeszt, amely nem ér fel a válaszfalfedélzetig. Ez a válaszfalak helytelen beosztásához vezethet.</w:t>
      </w:r>
    </w:p>
    <w:p w:rsidR="005624E3" w:rsidRPr="00921ED0" w:rsidRDefault="005624E3" w:rsidP="005624E3">
      <w:pPr>
        <w:suppressAutoHyphens/>
        <w:spacing w:line="240" w:lineRule="atLeast"/>
        <w:ind w:left="357"/>
        <w:rPr>
          <w:rFonts w:cs="Arial"/>
          <w:b/>
        </w:rPr>
      </w:pPr>
    </w:p>
    <w:p w:rsidR="005624E3" w:rsidRPr="00921ED0" w:rsidRDefault="003142CA" w:rsidP="005624E3">
      <w:pPr>
        <w:suppressAutoHyphens/>
        <w:spacing w:line="240" w:lineRule="atLeast"/>
        <w:ind w:left="357"/>
        <w:rPr>
          <w:rFonts w:cs="Arial"/>
          <w:b/>
        </w:rPr>
      </w:pPr>
      <w:r>
        <w:rPr>
          <w:rFonts w:cs="Arial"/>
          <w:b/>
          <w:noProof/>
        </w:rPr>
      </w:r>
      <w:r>
        <w:rPr>
          <w:rFonts w:cs="Arial"/>
          <w:b/>
          <w:noProof/>
        </w:rPr>
        <w:pict>
          <v:group id="_x0000_s1026" editas="canvas" style="width:387pt;height:162pt;mso-position-horizontal-relative:char;mso-position-vertical-relative:line" coordorigin="1780,9268" coordsize="7740,324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780;top:9268;width:7740;height:3240" o:preferrelative="f">
              <v:fill o:detectmouseclick="t"/>
              <v:path o:extrusionok="t" o:connecttype="none"/>
              <o:lock v:ext="edit" text="t"/>
            </v:shape>
            <v:line id="_x0000_s1028" style="position:absolute" from="2860,11608" to="9160,11608" strokeweight="1.5pt"/>
            <v:line id="_x0000_s1029" style="position:absolute" from="2860,11248" to="9160,11248" strokeweight="1.5pt"/>
            <v:line id="_x0000_s1030" style="position:absolute;flip:y" from="3400,9808" to="3400,11608" strokeweight="1.5pt"/>
            <v:line id="_x0000_s1031" style="position:absolute;flip:y" from="8080,9808" to="8080,11608" strokeweight="1.5pt"/>
            <v:line id="_x0000_s1032" style="position:absolute" from="2860,9808" to="9160,9809" strokeweight="1.5pt"/>
            <v:line id="_x0000_s1033" style="position:absolute;flip:y" from="5020,11248" to="5020,11608" strokeweight="1.5pt"/>
            <v:line id="_x0000_s1034" style="position:absolute;flip:y" from="3400,11248" to="5020,11608">
              <v:stroke dashstyle="dash"/>
            </v:line>
            <v:line id="_x0000_s1035" style="position:absolute" from="3400,11248" to="5020,11608">
              <v:stroke dashstyle="dash"/>
            </v:line>
            <v:line id="_x0000_s1036" style="position:absolute;flip:x y" from="5020,11248" to="8080,11608">
              <v:stroke dashstyle="dash"/>
            </v:line>
            <v:line id="_x0000_s1037" style="position:absolute;flip:y" from="5020,11248" to="8080,11608">
              <v:stroke dashstyle="dash"/>
            </v:line>
            <v:line id="_x0000_s1038" style="position:absolute" from="3400,11788" to="5020,11788">
              <v:stroke startarrow="block" endarrow="block"/>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9" type="#_x0000_t136" style="position:absolute;left:3567;top:11968;width:1395;height:225" fillcolor="black">
              <v:shadow color="#868686"/>
              <v:textpath style="font-family:&quot;Arial&quot;;font-size:9pt;v-text-kern:t" trim="t" fitpath="t" string="&gt; sérülés hossza"/>
            </v:shape>
            <v:line id="_x0000_s1040" style="position:absolute;flip:y" from="5020,9808" to="5020,11248" strokecolor="#969696" strokeweight="1.5pt"/>
            <v:shape id="_x0000_s1041" type="#_x0000_t136" style="position:absolute;left:5200;top:10528;width:2190;height:225" fillcolor="#969696" stroked="f" strokecolor="#969696">
              <v:shadow color="#868686"/>
              <v:textpath style="font-family:&quot;Arial&quot;;font-size:9pt;font-weight:bold;v-text-kern:t" trim="t" fitpath="t" string="A 19.02. cikk 5. bekezdése szerinti követelmény"/>
            </v:shape>
            <v:shape id="_x0000_s1042" type="#_x0000_t136" style="position:absolute;left:5560;top:9448;width:1215;height:225" fillcolor="black">
              <v:shadow color="#868686"/>
              <v:textpath style="font-family:&quot;Arial&quot;;font-size:9pt;v-text-kern:t" trim="t" fitpath="t" string="Válaszfalfedélzet"/>
            </v:shape>
            <w10:wrap type="none"/>
            <w10:anchorlock/>
          </v:group>
        </w:pict>
      </w:r>
    </w:p>
    <w:p w:rsidR="005624E3" w:rsidRPr="00921ED0" w:rsidRDefault="005624E3" w:rsidP="005624E3">
      <w:pPr>
        <w:spacing w:line="240" w:lineRule="atLeast"/>
        <w:ind w:left="567"/>
        <w:rPr>
          <w:rFonts w:cs="Arial"/>
          <w:b/>
          <w:noProof/>
          <w:color w:val="000000"/>
          <w:szCs w:val="20"/>
        </w:rPr>
      </w:pPr>
      <w:r w:rsidRPr="00921ED0">
        <w:rPr>
          <w:b/>
          <w:noProof/>
          <w:color w:val="000000"/>
        </w:rPr>
        <w:t>A követelmény értelmezése:</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Amennyiben a vízmentes rekesz hosszabb a 19.03. cikk 9. bekezdésében előírtnál, és olyan vízmentes alrekeszeket tartalmaz, amelyek között a sérülés minimális hossza elfér, akkor ezeket figyelembe lehet venni a sérült stabilitás kiszámításakor.</w:t>
      </w:r>
    </w:p>
    <w:p w:rsidR="005624E3" w:rsidRPr="00921ED0" w:rsidRDefault="005624E3" w:rsidP="005624E3">
      <w:pPr>
        <w:tabs>
          <w:tab w:val="left" w:pos="425"/>
        </w:tabs>
        <w:suppressAutoHyphens/>
        <w:spacing w:line="240" w:lineRule="atLeast"/>
        <w:rPr>
          <w:rFonts w:cs="Arial"/>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2.</w:t>
      </w:r>
      <w:r w:rsidRPr="00921ED0">
        <w:tab/>
      </w:r>
      <w:r w:rsidRPr="00921ED0">
        <w:rPr>
          <w:b/>
          <w:noProof/>
          <w:color w:val="000000"/>
        </w:rPr>
        <w:t>A ponyvákkal vagy hasonló mobil felszerelésekkel létrehozott zárt terekre vonatkozó átmeneti rendelkezések (19.03. cikk 5. bekezdés)</w:t>
      </w:r>
    </w:p>
    <w:p w:rsidR="005624E3" w:rsidRPr="00921ED0" w:rsidRDefault="005624E3" w:rsidP="005624E3">
      <w:pPr>
        <w:spacing w:line="240" w:lineRule="atLeast"/>
        <w:ind w:left="567"/>
      </w:pPr>
    </w:p>
    <w:p w:rsidR="005624E3" w:rsidRPr="00921ED0" w:rsidRDefault="005624E3" w:rsidP="005624E3">
      <w:pPr>
        <w:spacing w:line="240" w:lineRule="atLeast"/>
        <w:ind w:left="567"/>
      </w:pPr>
      <w:r w:rsidRPr="00921ED0">
        <w:t>A ponyvákkal vagy hasonló mobil felszerelésekkel létrehozott zárt terek a hajó stabilitása szempontjából gondot okozhatnak, mivel – amennyiben ehhez elegendő nagyságúak – befolyásolhatják a szél nyomása miatti billenőnyomatékot.</w:t>
      </w:r>
    </w:p>
    <w:p w:rsidR="005624E3" w:rsidRPr="00921ED0" w:rsidRDefault="005624E3" w:rsidP="005624E3">
      <w:pPr>
        <w:tabs>
          <w:tab w:val="left" w:pos="425"/>
        </w:tabs>
        <w:suppressAutoHyphens/>
        <w:spacing w:line="240" w:lineRule="atLeast"/>
        <w:rPr>
          <w:rFonts w:cs="Arial"/>
        </w:rPr>
      </w:pPr>
    </w:p>
    <w:p w:rsidR="005624E3" w:rsidRPr="00921ED0" w:rsidRDefault="005624E3" w:rsidP="005624E3">
      <w:pPr>
        <w:tabs>
          <w:tab w:val="left" w:pos="425"/>
        </w:tabs>
        <w:suppressAutoHyphens/>
        <w:spacing w:line="240" w:lineRule="atLeast"/>
        <w:rPr>
          <w:rFonts w:cs="Arial"/>
        </w:rPr>
      </w:pPr>
      <w:r w:rsidRPr="00921ED0">
        <w:br w:type="page"/>
      </w:r>
    </w:p>
    <w:p w:rsidR="005624E3" w:rsidRPr="00921ED0" w:rsidRDefault="005624E3" w:rsidP="005624E3">
      <w:pPr>
        <w:spacing w:line="240" w:lineRule="atLeast"/>
        <w:ind w:left="567"/>
        <w:rPr>
          <w:rFonts w:cs="Arial"/>
          <w:b/>
          <w:noProof/>
          <w:color w:val="000000"/>
          <w:szCs w:val="20"/>
        </w:rPr>
      </w:pPr>
      <w:r w:rsidRPr="00921ED0">
        <w:rPr>
          <w:b/>
          <w:noProof/>
          <w:color w:val="000000"/>
        </w:rPr>
        <w:t>A követelmény értelmezése:</w:t>
      </w:r>
    </w:p>
    <w:p w:rsidR="005624E3" w:rsidRPr="00921ED0" w:rsidRDefault="005624E3" w:rsidP="005624E3">
      <w:pPr>
        <w:suppressAutoHyphens/>
        <w:spacing w:line="240" w:lineRule="atLeast"/>
        <w:rPr>
          <w:rFonts w:cs="Arial"/>
        </w:rPr>
      </w:pPr>
    </w:p>
    <w:p w:rsidR="005624E3" w:rsidRPr="00921ED0" w:rsidRDefault="005624E3" w:rsidP="005624E3">
      <w:pPr>
        <w:spacing w:line="240" w:lineRule="atLeast"/>
        <w:ind w:left="567"/>
      </w:pPr>
      <w:r w:rsidRPr="00921ED0">
        <w:t xml:space="preserve">Azon személyhajók esetében, amelyek hajóbizonyítványát a rajnai hajók szemleszabályzatának megfelelően 2006. január 1-je előtt adták ki először, vagy amelyekre érvényes a 32.05. cikk 2. bekezdésének második mondata, a ponyvákból vagy hasonló mobil felszerelésekből álló zárt terek létrehozását követően új stabilitási számítást kell végezni e szabvány 19.04. cikkének megfelelően, amennyiben az </w:t>
      </w:r>
      <m:oMath>
        <m:sSub>
          <m:sSubPr>
            <m:ctrlPr>
              <w:rPr>
                <w:rFonts w:ascii="Cambria Math" w:hAnsi="Cambria Math"/>
                <w:i/>
                <w:noProof/>
              </w:rPr>
            </m:ctrlPr>
          </m:sSubPr>
          <m:e>
            <m:r>
              <w:rPr>
                <w:rFonts w:ascii="Cambria Math" w:hAnsi="Cambria Math"/>
                <w:noProof/>
              </w:rPr>
              <m:t>A</m:t>
            </m:r>
          </m:e>
          <m:sub>
            <m:r>
              <w:rPr>
                <w:rFonts w:ascii="Cambria Math" w:hAnsi="Cambria Math"/>
                <w:noProof/>
              </w:rPr>
              <m:t>wz</m:t>
            </m:r>
          </m:sub>
        </m:sSub>
      </m:oMath>
      <w:r w:rsidRPr="00921ED0">
        <w:t xml:space="preserve"> laterális síkja meghaladja annak a teljes </w:t>
      </w:r>
      <m:oMath>
        <m:sSub>
          <m:sSubPr>
            <m:ctrlPr>
              <w:rPr>
                <w:rFonts w:ascii="Cambria Math" w:hAnsi="Cambria Math"/>
                <w:i/>
                <w:noProof/>
              </w:rPr>
            </m:ctrlPr>
          </m:sSubPr>
          <m:e>
            <m:r>
              <w:rPr>
                <w:rFonts w:ascii="Cambria Math" w:hAnsi="Cambria Math"/>
                <w:noProof/>
              </w:rPr>
              <m:t>A</m:t>
            </m:r>
          </m:e>
          <m:sub>
            <m:r>
              <w:rPr>
                <w:rFonts w:ascii="Cambria Math" w:hAnsi="Cambria Math"/>
                <w:noProof/>
              </w:rPr>
              <m:t>w</m:t>
            </m:r>
          </m:sub>
        </m:sSub>
      </m:oMath>
      <w:r w:rsidRPr="00921ED0">
        <w:t xml:space="preserve"> laterális síknak az 5 %-át, amelyet minden esetben figyelembe kell venni.</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pPr>
      <w:bookmarkStart w:id="767" w:name="_Toc491854365"/>
      <w:bookmarkStart w:id="768" w:name="_Toc535854146"/>
      <w:r w:rsidRPr="00921ED0">
        <w:t>ESI-III-2</w:t>
      </w:r>
      <w:r w:rsidRPr="00921ED0">
        <w:br/>
        <w:t>Csökkent mozgásképességű személyek különleges biztonsági szükségletei</w:t>
      </w:r>
      <w:bookmarkEnd w:id="767"/>
      <w:bookmarkEnd w:id="768"/>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jc w:val="center"/>
        <w:textAlignment w:val="baseline"/>
        <w:rPr>
          <w:rFonts w:cs="Arial"/>
          <w:b/>
          <w:bCs/>
          <w:snapToGrid w:val="0"/>
          <w:szCs w:val="20"/>
        </w:rPr>
      </w:pPr>
      <w:r w:rsidRPr="00921ED0">
        <w:rPr>
          <w:b/>
          <w:noProof/>
          <w:snapToGrid w:val="0"/>
        </w:rPr>
        <w:t>(1.01. cikk 12.2. pont, 19.01. cikk 4. bekezdés, 19.06. cikk 3–5., 9., 10., 13. és 17. bekezdés, 19.08. cikk 3. bekezdés, 19.10. 3. bekezdés, 19.13. cikk 1–4. bekezdés)</w:t>
      </w:r>
    </w:p>
    <w:p w:rsidR="005624E3" w:rsidRPr="00921ED0" w:rsidRDefault="005624E3" w:rsidP="005624E3">
      <w:pPr>
        <w:ind w:left="567" w:hanging="567"/>
        <w:rPr>
          <w:rFonts w:cs="Arial"/>
          <w:snapToGrid w:val="0"/>
          <w:szCs w:val="20"/>
        </w:rPr>
      </w:pPr>
    </w:p>
    <w:p w:rsidR="005624E3" w:rsidRPr="00921ED0" w:rsidRDefault="005624E3" w:rsidP="005624E3">
      <w:pPr>
        <w:spacing w:line="240" w:lineRule="atLeast"/>
        <w:ind w:left="567" w:hanging="567"/>
        <w:rPr>
          <w:rFonts w:cs="Arial"/>
          <w:b/>
          <w:snapToGrid w:val="0"/>
          <w:color w:val="000000"/>
          <w:szCs w:val="20"/>
        </w:rPr>
      </w:pPr>
      <w:r w:rsidRPr="00921ED0">
        <w:rPr>
          <w:b/>
          <w:snapToGrid w:val="0"/>
          <w:color w:val="000000"/>
        </w:rPr>
        <w:t>1.</w:t>
      </w:r>
      <w:r w:rsidRPr="00921ED0">
        <w:tab/>
      </w:r>
      <w:r w:rsidRPr="00921ED0">
        <w:rPr>
          <w:b/>
          <w:noProof/>
          <w:snapToGrid w:val="0"/>
          <w:color w:val="000000"/>
        </w:rPr>
        <w:t>Bevezetés</w:t>
      </w:r>
    </w:p>
    <w:p w:rsidR="005624E3" w:rsidRPr="00921ED0" w:rsidRDefault="005624E3" w:rsidP="005624E3">
      <w:pPr>
        <w:spacing w:line="240" w:lineRule="atLeast"/>
        <w:ind w:left="567" w:hanging="567"/>
        <w:rPr>
          <w:snapToGrid w:val="0"/>
        </w:rPr>
      </w:pPr>
    </w:p>
    <w:p w:rsidR="005624E3" w:rsidRPr="00921ED0" w:rsidRDefault="005624E3" w:rsidP="005624E3">
      <w:pPr>
        <w:spacing w:line="240" w:lineRule="atLeast"/>
        <w:ind w:left="567"/>
        <w:rPr>
          <w:snapToGrid w:val="0"/>
        </w:rPr>
      </w:pPr>
      <w:r w:rsidRPr="00921ED0">
        <w:t>A csökkent mozgásképességű személyek biztonsági szükségleteinek a szintje meghaladja a többi utas biztonsági szükségleteinek a szintjét. E szükségleteket veszik figyelembe a 19. fejezet alább kifejtett követelményei.</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snapToGrid w:val="0"/>
        </w:rPr>
      </w:pPr>
      <w:r w:rsidRPr="00921ED0">
        <w:t>E követelmények azt hivatottak biztosítani, hogy a csökkent mozgásképességű személyek biztonságosan tartózkodhassanak és mozoghassanak a hajók fedélzetén. Ezenkívül vészhelyzetben gondoskodnak arról, hogy az említett személyek a többi utassal megegyező szintű biztonságban legyenek.</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snapToGrid w:val="0"/>
        </w:rPr>
      </w:pPr>
      <w:r w:rsidRPr="00921ED0">
        <w:t xml:space="preserve">Nem szükséges az utasok által használt terület egészén teljesíteni a csökkent mozgásképességű személyek különleges biztonsági szükségleteit. Ezért ezek az előírások csak bizonyos területekre vonatkoznak. A csökkent mozgásképességű személyek számára biztosítani kell a tájékozódás lehetőségét azokra a területekre vonatkozóan, amelyeket kifejezetten az ő biztonságuk szem előtt tartásával alakítottak ki, hogy lehetőségük legyen ennek megfelelően megszervezni tartózkodásukat a hajón. A hajó tulajdonosa köteles gondoskodni arról, hogy a megfelelő területek rendelkezésre álljanak, és hogy ezekről tájékoztassák a csökkent mozgásképességű személyeket. </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snapToGrid w:val="0"/>
        </w:rPr>
      </w:pPr>
      <w:r w:rsidRPr="00921ED0">
        <w:t>A csökkent mozgásképességű személyekkel kapcsolatos rendelkezések a következőkön alapulnak:</w:t>
      </w:r>
    </w:p>
    <w:p w:rsidR="005624E3" w:rsidRPr="00921ED0" w:rsidRDefault="005624E3" w:rsidP="005624E3">
      <w:pPr>
        <w:tabs>
          <w:tab w:val="left" w:pos="992"/>
        </w:tabs>
        <w:spacing w:before="60" w:line="240" w:lineRule="atLeast"/>
        <w:ind w:left="992"/>
        <w:rPr>
          <w:rFonts w:cs="Arial"/>
          <w:snapToGrid w:val="0"/>
          <w:szCs w:val="20"/>
        </w:rPr>
      </w:pPr>
      <w:r w:rsidRPr="00921ED0">
        <w:rPr>
          <w:rFonts w:cs="Arial"/>
          <w:snapToGrid w:val="0"/>
          <w:szCs w:val="20"/>
          <w:shd w:val="clear" w:color="auto" w:fill="FFFFFF"/>
        </w:rPr>
        <w:sym w:font="Symbol" w:char="F0B7"/>
      </w:r>
      <w:r w:rsidRPr="00921ED0">
        <w:tab/>
        <w:t>a 2009/45/EK irányelv</w:t>
      </w:r>
      <w:r w:rsidRPr="00921ED0">
        <w:rPr>
          <w:noProof/>
          <w:vertAlign w:val="superscript"/>
        </w:rPr>
        <w:footnoteReference w:id="83"/>
      </w:r>
      <w:r w:rsidRPr="00921ED0">
        <w:t xml:space="preserve"> és</w:t>
      </w:r>
    </w:p>
    <w:p w:rsidR="005624E3" w:rsidRPr="00921ED0" w:rsidRDefault="005624E3" w:rsidP="005624E3">
      <w:pPr>
        <w:tabs>
          <w:tab w:val="left" w:pos="992"/>
        </w:tabs>
        <w:spacing w:before="60" w:line="240" w:lineRule="atLeast"/>
        <w:ind w:left="992"/>
        <w:rPr>
          <w:rFonts w:cs="Arial"/>
          <w:snapToGrid w:val="0"/>
          <w:szCs w:val="20"/>
        </w:rPr>
      </w:pPr>
      <w:r w:rsidRPr="00921ED0">
        <w:rPr>
          <w:rFonts w:cs="Arial"/>
          <w:snapToGrid w:val="0"/>
          <w:szCs w:val="20"/>
          <w:shd w:val="clear" w:color="auto" w:fill="FFFFFF"/>
        </w:rPr>
        <w:sym w:font="Symbol" w:char="F0B7"/>
      </w:r>
      <w:r w:rsidRPr="00921ED0">
        <w:tab/>
        <w:t>útmutatás a belvízi személyhajók fogyatékos személyek szükségleteihez történő hozzáigazításáról, az ENSZ EGB 69. számú határozatával</w:t>
      </w:r>
      <w:r w:rsidRPr="00921ED0">
        <w:rPr>
          <w:noProof/>
          <w:vertAlign w:val="superscript"/>
        </w:rPr>
        <w:footnoteReference w:id="84"/>
      </w:r>
      <w:r w:rsidRPr="00921ED0">
        <w:t xml:space="preserve"> összhangban.</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bCs/>
          <w:snapToGrid w:val="0"/>
        </w:rPr>
      </w:pPr>
      <w:r w:rsidRPr="00921ED0">
        <w:t>A szabványban alkalmazott „csökkent mozgásképességű személyek” kifejezés meghatározása nagy részben megegyezik az irányelv meghatározásával, és a műszaki követelmények túlnyomó része a fent említett útmutatásra épül. Ezért kétségek esetén mindkét dokumentum figyelembe vehető a döntések meghozatala során. Általánosságban véve az irányelv és az útmutatás követelményei meghaladják e szabvány követelményeit.</w:t>
      </w:r>
    </w:p>
    <w:p w:rsidR="005624E3" w:rsidRPr="00921ED0" w:rsidRDefault="005624E3" w:rsidP="005624E3">
      <w:pPr>
        <w:spacing w:line="240" w:lineRule="atLeast"/>
        <w:ind w:left="567"/>
        <w:rPr>
          <w:bCs/>
          <w:snapToGrid w:val="0"/>
        </w:rPr>
      </w:pPr>
    </w:p>
    <w:p w:rsidR="005624E3" w:rsidRPr="00921ED0" w:rsidRDefault="005624E3" w:rsidP="005624E3">
      <w:pPr>
        <w:spacing w:line="240" w:lineRule="atLeast"/>
        <w:ind w:left="567"/>
        <w:rPr>
          <w:snapToGrid w:val="0"/>
        </w:rPr>
      </w:pPr>
      <w:r w:rsidRPr="00921ED0">
        <w:t>A szabvány követelményei nem foglalkoznak a fekhelyekkel és más hasonló felszerelésekkel. Ezeket nemzeti rendelkezésekkel kell szabályozni.</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hanging="567"/>
        <w:rPr>
          <w:rFonts w:cs="Arial"/>
          <w:b/>
          <w:snapToGrid w:val="0"/>
          <w:color w:val="000000"/>
          <w:szCs w:val="20"/>
        </w:rPr>
      </w:pPr>
      <w:r w:rsidRPr="00921ED0">
        <w:rPr>
          <w:b/>
          <w:snapToGrid w:val="0"/>
          <w:color w:val="000000"/>
        </w:rPr>
        <w:t>2.</w:t>
      </w:r>
      <w:r w:rsidRPr="00921ED0">
        <w:tab/>
      </w:r>
      <w:r w:rsidRPr="00921ED0">
        <w:rPr>
          <w:b/>
          <w:noProof/>
          <w:snapToGrid w:val="0"/>
          <w:color w:val="000000"/>
        </w:rPr>
        <w:t>1.01. cikk 12.2. pont – A „csökkent mozgásképességű személyek” fogalma</w:t>
      </w:r>
    </w:p>
    <w:p w:rsidR="005624E3" w:rsidRPr="00921ED0" w:rsidRDefault="005624E3" w:rsidP="005624E3">
      <w:pPr>
        <w:tabs>
          <w:tab w:val="left" w:pos="567"/>
        </w:tabs>
        <w:spacing w:line="240" w:lineRule="atLeast"/>
        <w:ind w:left="567" w:hanging="567"/>
        <w:rPr>
          <w:rFonts w:cs="Arial"/>
          <w:b/>
          <w:bCs/>
          <w:snapToGrid w:val="0"/>
          <w:szCs w:val="20"/>
        </w:rPr>
      </w:pPr>
    </w:p>
    <w:p w:rsidR="005624E3" w:rsidRPr="00921ED0" w:rsidRDefault="005624E3" w:rsidP="005624E3">
      <w:pPr>
        <w:tabs>
          <w:tab w:val="left" w:pos="567"/>
        </w:tabs>
        <w:spacing w:line="240" w:lineRule="atLeast"/>
        <w:ind w:left="567" w:hanging="567"/>
        <w:rPr>
          <w:rFonts w:cs="Arial"/>
          <w:snapToGrid w:val="0"/>
          <w:szCs w:val="20"/>
        </w:rPr>
      </w:pPr>
      <w:r w:rsidRPr="00921ED0">
        <w:tab/>
        <w:t>A csökkent mozgásképességű személyek kifejezés azokra a személyekre vonatkozik, akik csökkent testi képességeik miatt nem képesek ugyanúgy mozogni vagy felismerni környezetüket, mint a többi utas. Ez a meghatározás magában foglalja a csökkent látási vagy hallási képességekkel rendelkező személyeket kísérő, illetve a gyermekkocsiban vagy karon ülő gyermekekkel utazó személyeket is. Ezen rendelkezések értelmében azonban a csökkent szellemi képességűek nem tartoznak a csökkent mozgásképességű személyek közé.</w:t>
      </w:r>
    </w:p>
    <w:p w:rsidR="005624E3" w:rsidRPr="00921ED0" w:rsidRDefault="005624E3" w:rsidP="005624E3">
      <w:pPr>
        <w:tabs>
          <w:tab w:val="left" w:pos="567"/>
        </w:tabs>
        <w:spacing w:line="240" w:lineRule="atLeast"/>
        <w:ind w:left="567" w:hanging="567"/>
        <w:rPr>
          <w:rFonts w:cs="Arial"/>
          <w:b/>
          <w:bCs/>
          <w:snapToGrid w:val="0"/>
          <w:szCs w:val="20"/>
        </w:rPr>
      </w:pPr>
      <w:r w:rsidRPr="00921ED0">
        <w:br w:type="page"/>
      </w:r>
    </w:p>
    <w:p w:rsidR="005624E3" w:rsidRPr="00921ED0" w:rsidRDefault="005624E3" w:rsidP="005624E3">
      <w:pPr>
        <w:spacing w:line="240" w:lineRule="atLeast"/>
        <w:ind w:left="567" w:hanging="567"/>
        <w:rPr>
          <w:rFonts w:cs="Arial"/>
          <w:b/>
          <w:snapToGrid w:val="0"/>
          <w:color w:val="000000"/>
          <w:szCs w:val="20"/>
        </w:rPr>
      </w:pPr>
      <w:r w:rsidRPr="00921ED0">
        <w:rPr>
          <w:b/>
          <w:snapToGrid w:val="0"/>
          <w:color w:val="000000"/>
        </w:rPr>
        <w:t>3.</w:t>
      </w:r>
      <w:r w:rsidRPr="00921ED0">
        <w:tab/>
      </w:r>
      <w:r w:rsidRPr="00921ED0">
        <w:rPr>
          <w:b/>
          <w:snapToGrid w:val="0"/>
          <w:color w:val="000000"/>
        </w:rPr>
        <w:t xml:space="preserve">19.15. cikk 4. bekezdés – A csökkent mozgásképességű személyek általi használatra szolgáló területek </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A csökkent mozgásképességű személyek általi használatra szolgáló területek – alapesetben – a bejárat környékétől a vészhelyzet esetén kiürítendő területig terjednek. A következőket kell magukban foglalniuk:</w:t>
      </w:r>
    </w:p>
    <w:p w:rsidR="005624E3" w:rsidRPr="00921ED0" w:rsidRDefault="005624E3" w:rsidP="005624E3">
      <w:pPr>
        <w:tabs>
          <w:tab w:val="left" w:pos="992"/>
        </w:tabs>
        <w:spacing w:before="60" w:line="240" w:lineRule="atLeast"/>
        <w:ind w:left="992"/>
        <w:rPr>
          <w:rFonts w:cs="Arial"/>
          <w:snapToGrid w:val="0"/>
          <w:szCs w:val="20"/>
        </w:rPr>
      </w:pPr>
      <w:r w:rsidRPr="00921ED0">
        <w:rPr>
          <w:rFonts w:cs="Arial"/>
          <w:snapToGrid w:val="0"/>
          <w:szCs w:val="20"/>
          <w:shd w:val="clear" w:color="auto" w:fill="FFFFFF"/>
        </w:rPr>
        <w:sym w:font="Symbol" w:char="F0B7"/>
      </w:r>
      <w:r w:rsidRPr="00921ED0">
        <w:tab/>
        <w:t>az a hely, ahol az életmentő felszereléseket tárolják vagy vészhelyzetben kiadják,</w:t>
      </w:r>
    </w:p>
    <w:p w:rsidR="005624E3" w:rsidRPr="00921ED0" w:rsidRDefault="005624E3" w:rsidP="005624E3">
      <w:pPr>
        <w:tabs>
          <w:tab w:val="left" w:pos="992"/>
        </w:tabs>
        <w:spacing w:before="60" w:line="240" w:lineRule="atLeast"/>
        <w:ind w:left="992"/>
        <w:rPr>
          <w:rFonts w:cs="Arial"/>
          <w:snapToGrid w:val="0"/>
          <w:szCs w:val="20"/>
        </w:rPr>
      </w:pPr>
      <w:r w:rsidRPr="00921ED0">
        <w:rPr>
          <w:rFonts w:cs="Arial"/>
          <w:snapToGrid w:val="0"/>
          <w:szCs w:val="20"/>
          <w:shd w:val="clear" w:color="auto" w:fill="FFFFFF"/>
        </w:rPr>
        <w:sym w:font="Symbol" w:char="F0B7"/>
      </w:r>
      <w:r w:rsidRPr="00921ED0">
        <w:tab/>
        <w:t>ülések,</w:t>
      </w:r>
    </w:p>
    <w:p w:rsidR="005624E3" w:rsidRPr="00921ED0" w:rsidRDefault="005624E3" w:rsidP="005624E3">
      <w:pPr>
        <w:tabs>
          <w:tab w:val="left" w:pos="992"/>
        </w:tabs>
        <w:spacing w:before="60" w:line="240" w:lineRule="atLeast"/>
        <w:ind w:left="992"/>
        <w:rPr>
          <w:rFonts w:cs="Arial"/>
          <w:snapToGrid w:val="0"/>
          <w:szCs w:val="20"/>
        </w:rPr>
      </w:pPr>
      <w:r w:rsidRPr="00921ED0">
        <w:rPr>
          <w:rFonts w:cs="Arial"/>
          <w:snapToGrid w:val="0"/>
          <w:szCs w:val="20"/>
          <w:shd w:val="clear" w:color="auto" w:fill="FFFFFF"/>
        </w:rPr>
        <w:sym w:font="Symbol" w:char="F0B7"/>
      </w:r>
      <w:r w:rsidRPr="00921ED0">
        <w:tab/>
        <w:t>megfelelően átalakított mosdók (lásd: az utasítás 10. pontja), és</w:t>
      </w:r>
    </w:p>
    <w:p w:rsidR="005624E3" w:rsidRPr="00921ED0" w:rsidRDefault="005624E3" w:rsidP="005624E3">
      <w:pPr>
        <w:tabs>
          <w:tab w:val="left" w:pos="992"/>
        </w:tabs>
        <w:spacing w:before="60" w:line="240" w:lineRule="atLeast"/>
        <w:ind w:left="992"/>
        <w:rPr>
          <w:rFonts w:cs="Arial"/>
          <w:snapToGrid w:val="0"/>
          <w:szCs w:val="20"/>
        </w:rPr>
      </w:pPr>
      <w:r w:rsidRPr="00921ED0">
        <w:rPr>
          <w:rFonts w:cs="Arial"/>
          <w:snapToGrid w:val="0"/>
          <w:szCs w:val="20"/>
          <w:shd w:val="clear" w:color="auto" w:fill="FFFFFF"/>
        </w:rPr>
        <w:sym w:font="Symbol" w:char="F0B7"/>
      </w:r>
      <w:r w:rsidRPr="00921ED0">
        <w:tab/>
        <w:t>összekötő folyosók.</w:t>
      </w:r>
    </w:p>
    <w:p w:rsidR="005624E3" w:rsidRPr="00921ED0" w:rsidRDefault="005624E3" w:rsidP="005624E3">
      <w:pPr>
        <w:tabs>
          <w:tab w:val="left" w:pos="425"/>
        </w:tabs>
        <w:spacing w:line="240" w:lineRule="atLeast"/>
        <w:rPr>
          <w:rFonts w:cs="Arial"/>
          <w:snapToGrid w:val="0"/>
          <w:szCs w:val="20"/>
        </w:rPr>
      </w:pPr>
    </w:p>
    <w:p w:rsidR="005624E3" w:rsidRPr="00921ED0" w:rsidRDefault="005624E3" w:rsidP="005624E3">
      <w:pPr>
        <w:spacing w:line="240" w:lineRule="atLeast"/>
        <w:ind w:left="567"/>
        <w:rPr>
          <w:snapToGrid w:val="0"/>
        </w:rPr>
      </w:pPr>
      <w:r w:rsidRPr="00921ED0">
        <w:t>Az ülések számának el kell érnie legalább a fedélzeten egy időben tartózkodó csökkent mozgásképességű személyek – huzamosabb időn át tapasztalt – körülbelüli létszámát. Ezt a számot – mivel az illetékes hatóságok nem ismerik – a hajótulajdonosnak a tapasztalatok alapján kell megállapítania.</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snapToGrid w:val="0"/>
        </w:rPr>
      </w:pPr>
      <w:r w:rsidRPr="00921ED0">
        <w:t>Kabinos hajók esetében a csökkent mozgásképességű személyek által használt utaskabinok összekötő folyosóit is figyelembe kell venni. Az ilyen kabinok számát a hajótulajdonosnak az ülések számához hasonlóan kell megállapítania. A kabinok különleges elrendezésére nem vonatkoznak előírások,  kivéve az ajtók szélességét. A tulajdonos köteles gondoskodni minden további szükséges kialakításról.</w:t>
      </w:r>
    </w:p>
    <w:p w:rsidR="005624E3" w:rsidRPr="00921ED0" w:rsidRDefault="005624E3" w:rsidP="005624E3">
      <w:pPr>
        <w:spacing w:line="240" w:lineRule="atLeast"/>
        <w:ind w:left="567"/>
        <w:rPr>
          <w:snapToGrid w:val="0"/>
        </w:rPr>
      </w:pPr>
    </w:p>
    <w:p w:rsidR="005624E3" w:rsidRPr="00921ED0" w:rsidRDefault="005624E3" w:rsidP="005624E3">
      <w:pPr>
        <w:tabs>
          <w:tab w:val="left" w:pos="567"/>
        </w:tabs>
        <w:spacing w:line="240" w:lineRule="atLeast"/>
        <w:ind w:left="567" w:hanging="567"/>
        <w:rPr>
          <w:rFonts w:cs="Arial"/>
          <w:b/>
          <w:bCs/>
          <w:snapToGrid w:val="0"/>
          <w:szCs w:val="20"/>
        </w:rPr>
      </w:pPr>
    </w:p>
    <w:p w:rsidR="005624E3" w:rsidRPr="00921ED0" w:rsidRDefault="005624E3" w:rsidP="005624E3">
      <w:pPr>
        <w:spacing w:line="240" w:lineRule="atLeast"/>
        <w:ind w:left="567" w:hanging="567"/>
        <w:rPr>
          <w:rFonts w:cs="Arial"/>
          <w:b/>
          <w:snapToGrid w:val="0"/>
          <w:color w:val="000000"/>
          <w:szCs w:val="20"/>
        </w:rPr>
      </w:pPr>
      <w:r w:rsidRPr="00921ED0">
        <w:rPr>
          <w:b/>
          <w:snapToGrid w:val="0"/>
          <w:color w:val="000000"/>
        </w:rPr>
        <w:t>4.</w:t>
      </w:r>
      <w:r w:rsidRPr="00921ED0">
        <w:tab/>
      </w:r>
      <w:r w:rsidRPr="00921ED0">
        <w:rPr>
          <w:b/>
          <w:noProof/>
          <w:snapToGrid w:val="0"/>
          <w:color w:val="000000"/>
        </w:rPr>
        <w:t>19.06. cikk 3. bekezdés g) pont – A helyiségek kijáratai</w:t>
      </w:r>
    </w:p>
    <w:p w:rsidR="005624E3" w:rsidRPr="00921ED0" w:rsidRDefault="005624E3" w:rsidP="005624E3">
      <w:pPr>
        <w:tabs>
          <w:tab w:val="left" w:pos="567"/>
        </w:tabs>
        <w:spacing w:line="240" w:lineRule="atLeast"/>
        <w:ind w:left="567" w:hanging="567"/>
        <w:rPr>
          <w:rFonts w:cs="Arial"/>
          <w:b/>
          <w:bCs/>
          <w:snapToGrid w:val="0"/>
          <w:szCs w:val="20"/>
        </w:rPr>
      </w:pPr>
    </w:p>
    <w:p w:rsidR="005624E3" w:rsidRPr="00921ED0" w:rsidRDefault="005624E3" w:rsidP="005624E3">
      <w:pPr>
        <w:spacing w:line="240" w:lineRule="atLeast"/>
        <w:ind w:left="567"/>
        <w:rPr>
          <w:snapToGrid w:val="0"/>
        </w:rPr>
      </w:pPr>
      <w:r w:rsidRPr="00921ED0">
        <w:t>A csökkent mozgásképességű személyek általi használatra szolgáló, vagy pedig a be- és kiszállás során általában csökkent mozgásképességű személyek által használt összekötő folyosókra, a mellvédek vagy védőkorlátok kijárataira vagy nyílásaira vonatkozó követelmények tekintetében figyelembe kell venni a kerekes székeket és azt a tényt, hogy a csökkent mozgásképességű személyek sokféle járássegítő eszközt vagy kerekesszéket vehetnek igénybe. A be- és kiszállásra szolgáló kijáratok és nyílások esetében a segítő személyek számára szükséges többlethelyet is figyelembe kell venni.</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hanging="567"/>
        <w:rPr>
          <w:rFonts w:cs="Arial"/>
          <w:b/>
          <w:snapToGrid w:val="0"/>
          <w:color w:val="000000"/>
          <w:szCs w:val="20"/>
        </w:rPr>
      </w:pPr>
      <w:r w:rsidRPr="00921ED0">
        <w:rPr>
          <w:b/>
          <w:snapToGrid w:val="0"/>
          <w:color w:val="000000"/>
        </w:rPr>
        <w:t>5.</w:t>
      </w:r>
      <w:r w:rsidRPr="00921ED0">
        <w:tab/>
      </w:r>
      <w:r w:rsidRPr="00921ED0">
        <w:rPr>
          <w:b/>
          <w:noProof/>
          <w:snapToGrid w:val="0"/>
          <w:color w:val="000000"/>
        </w:rPr>
        <w:t>19.06. cikk 4. bekezdés d) pont – Ajtók</w:t>
      </w:r>
    </w:p>
    <w:p w:rsidR="005624E3" w:rsidRPr="00921ED0" w:rsidRDefault="005624E3" w:rsidP="005624E3">
      <w:pPr>
        <w:tabs>
          <w:tab w:val="left" w:pos="567"/>
        </w:tabs>
        <w:spacing w:line="240" w:lineRule="atLeast"/>
        <w:ind w:left="567" w:hanging="567"/>
        <w:rPr>
          <w:rFonts w:cs="Arial"/>
          <w:b/>
          <w:bCs/>
          <w:snapToGrid w:val="0"/>
          <w:szCs w:val="20"/>
        </w:rPr>
      </w:pPr>
    </w:p>
    <w:p w:rsidR="005624E3" w:rsidRPr="00921ED0" w:rsidRDefault="005624E3" w:rsidP="005624E3">
      <w:pPr>
        <w:spacing w:line="240" w:lineRule="atLeast"/>
        <w:ind w:left="567"/>
        <w:rPr>
          <w:snapToGrid w:val="0"/>
        </w:rPr>
      </w:pPr>
      <w:r w:rsidRPr="00921ED0">
        <w:t>A csökkent mozgásképességű személyek általi használatra szánt ajtók környezetének elrendezésére vonatkozó előírásoknak gondoskodniuk kell arról, hogy például a járássegítő eszközöket használó személyek biztonságosan ki tudják nyitni ezeket az ajtókat.</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hanging="567"/>
        <w:rPr>
          <w:rFonts w:cs="Arial"/>
          <w:b/>
          <w:snapToGrid w:val="0"/>
          <w:color w:val="000000"/>
          <w:szCs w:val="20"/>
        </w:rPr>
      </w:pPr>
      <w:r w:rsidRPr="00921ED0">
        <w:rPr>
          <w:b/>
          <w:snapToGrid w:val="0"/>
          <w:color w:val="000000"/>
        </w:rPr>
        <w:t>6.</w:t>
      </w:r>
      <w:r w:rsidRPr="00921ED0">
        <w:tab/>
      </w:r>
      <w:r w:rsidRPr="00921ED0">
        <w:rPr>
          <w:b/>
          <w:noProof/>
          <w:snapToGrid w:val="0"/>
          <w:color w:val="000000"/>
        </w:rPr>
        <w:t>19.06. cikk 5. bekezdés c) pont – Összekötő folyosók</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Lásd ezen utasítás 4. pontját.</w:t>
      </w:r>
    </w:p>
    <w:p w:rsidR="005624E3" w:rsidRPr="00921ED0" w:rsidRDefault="005624E3" w:rsidP="005624E3">
      <w:pPr>
        <w:tabs>
          <w:tab w:val="left" w:pos="567"/>
        </w:tabs>
        <w:spacing w:line="240" w:lineRule="atLeast"/>
        <w:ind w:left="567" w:hanging="567"/>
        <w:rPr>
          <w:rFonts w:cs="Arial"/>
          <w:b/>
          <w:bCs/>
          <w:snapToGrid w:val="0"/>
          <w:szCs w:val="20"/>
        </w:rPr>
      </w:pPr>
    </w:p>
    <w:p w:rsidR="005624E3" w:rsidRPr="00921ED0" w:rsidRDefault="005624E3" w:rsidP="005624E3">
      <w:pPr>
        <w:spacing w:line="240" w:lineRule="atLeast"/>
        <w:ind w:left="567" w:hanging="567"/>
        <w:rPr>
          <w:rFonts w:cs="Arial"/>
          <w:b/>
          <w:snapToGrid w:val="0"/>
          <w:color w:val="000000"/>
          <w:szCs w:val="20"/>
        </w:rPr>
      </w:pPr>
      <w:r w:rsidRPr="00921ED0">
        <w:rPr>
          <w:b/>
          <w:snapToGrid w:val="0"/>
          <w:color w:val="000000"/>
        </w:rPr>
        <w:t>7.</w:t>
      </w:r>
      <w:r w:rsidRPr="00921ED0">
        <w:tab/>
      </w:r>
      <w:r w:rsidRPr="00921ED0">
        <w:rPr>
          <w:b/>
          <w:noProof/>
          <w:snapToGrid w:val="0"/>
          <w:color w:val="000000"/>
        </w:rPr>
        <w:t>19.06. cikk 9. bekezdés – Lépcsőházak és felvonók</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A lépcsőházak elrendezésére vonatkozó előírásoknak a csökkent mozgásképességű személyek mellett a látássérültek szükségleteit is figyelembe kell venniük.</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tabs>
          <w:tab w:val="left" w:pos="567"/>
        </w:tabs>
        <w:spacing w:line="240" w:lineRule="atLeast"/>
        <w:ind w:left="567" w:hanging="567"/>
        <w:rPr>
          <w:rFonts w:cs="Arial"/>
          <w:snapToGrid w:val="0"/>
          <w:szCs w:val="20"/>
        </w:rPr>
      </w:pPr>
      <w:r w:rsidRPr="00921ED0">
        <w:br w:type="page"/>
      </w:r>
    </w:p>
    <w:p w:rsidR="005624E3" w:rsidRPr="00921ED0" w:rsidRDefault="005624E3" w:rsidP="005624E3">
      <w:pPr>
        <w:tabs>
          <w:tab w:val="left" w:pos="567"/>
        </w:tabs>
        <w:spacing w:line="240" w:lineRule="atLeast"/>
        <w:ind w:left="567" w:hanging="567"/>
        <w:rPr>
          <w:rFonts w:cs="Arial"/>
          <w:b/>
          <w:bCs/>
          <w:snapToGrid w:val="0"/>
          <w:szCs w:val="20"/>
        </w:rPr>
      </w:pPr>
      <w:r w:rsidRPr="00921ED0">
        <w:rPr>
          <w:b/>
          <w:snapToGrid w:val="0"/>
        </w:rPr>
        <w:t>8.</w:t>
      </w:r>
      <w:r w:rsidRPr="00921ED0">
        <w:tab/>
      </w:r>
      <w:r w:rsidRPr="00921ED0">
        <w:rPr>
          <w:b/>
          <w:noProof/>
          <w:snapToGrid w:val="0"/>
        </w:rPr>
        <w:t>19.06. cikk 10. bekezdés a) és b) pont – Mellvédek és védőkorlátok</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A csökkent mozgásképességű személyek általi használatra szolgáló fedélzetek mellvédeire és védőkorlátaira vonatkozó követelményeknek nagyobb magasságot kell előírniuk, mivel nagyobb a valószínűsége annak, hogy az említett személyek elveszítik az egyensúlyukat vagy hogy nem képesek önállóan megtartani magukat.</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snapToGrid w:val="0"/>
        </w:rPr>
      </w:pPr>
      <w:r w:rsidRPr="00921ED0">
        <w:t>Lásd ezen utasítás 4. pontját is.</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tabs>
          <w:tab w:val="left" w:pos="567"/>
        </w:tabs>
        <w:spacing w:line="240" w:lineRule="atLeast"/>
        <w:ind w:left="567" w:hanging="567"/>
        <w:rPr>
          <w:rFonts w:cs="Arial"/>
          <w:b/>
          <w:bCs/>
          <w:snapToGrid w:val="0"/>
          <w:szCs w:val="20"/>
        </w:rPr>
      </w:pPr>
      <w:r w:rsidRPr="00921ED0">
        <w:rPr>
          <w:b/>
          <w:snapToGrid w:val="0"/>
        </w:rPr>
        <w:t>9.</w:t>
      </w:r>
      <w:r w:rsidRPr="00921ED0">
        <w:tab/>
      </w:r>
      <w:r w:rsidRPr="00921ED0">
        <w:rPr>
          <w:b/>
          <w:noProof/>
          <w:snapToGrid w:val="0"/>
        </w:rPr>
        <w:t>19.06. cikk 13. bekezdés – Átjárók</w:t>
      </w:r>
    </w:p>
    <w:p w:rsidR="005624E3" w:rsidRPr="00921ED0" w:rsidRDefault="005624E3" w:rsidP="005624E3">
      <w:pPr>
        <w:tabs>
          <w:tab w:val="left" w:pos="567"/>
        </w:tabs>
        <w:spacing w:line="240" w:lineRule="atLeast"/>
        <w:ind w:left="567" w:hanging="567"/>
        <w:rPr>
          <w:rFonts w:cs="Arial"/>
          <w:b/>
          <w:bCs/>
          <w:snapToGrid w:val="0"/>
          <w:szCs w:val="20"/>
        </w:rPr>
      </w:pPr>
    </w:p>
    <w:p w:rsidR="005624E3" w:rsidRPr="00921ED0" w:rsidRDefault="005624E3" w:rsidP="005624E3">
      <w:pPr>
        <w:spacing w:line="240" w:lineRule="atLeast"/>
        <w:ind w:left="567"/>
        <w:rPr>
          <w:snapToGrid w:val="0"/>
        </w:rPr>
      </w:pPr>
      <w:r w:rsidRPr="00921ED0">
        <w:t>A csökkent mozgásképességű személyeknek különféle okok miatt gyakrabban kell megtámaszkodniuk vagy megkapaszkodniuk, ezért a csökkent mozgásképességű személyek általi használatra szolgáló átjárók falára a megfelelő magasságban kapaszkodókat kell felszerelni.</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snapToGrid w:val="0"/>
        </w:rPr>
      </w:pPr>
      <w:r w:rsidRPr="00921ED0">
        <w:t>Lásd ezen utasítás 4. pontját is.</w:t>
      </w:r>
    </w:p>
    <w:p w:rsidR="005624E3" w:rsidRPr="00921ED0" w:rsidRDefault="005624E3" w:rsidP="005624E3">
      <w:pPr>
        <w:spacing w:line="240" w:lineRule="atLeast"/>
        <w:ind w:left="567"/>
        <w:rPr>
          <w:snapToGrid w:val="0"/>
        </w:rPr>
      </w:pPr>
    </w:p>
    <w:p w:rsidR="005624E3" w:rsidRPr="00921ED0" w:rsidRDefault="005624E3" w:rsidP="005624E3">
      <w:pPr>
        <w:tabs>
          <w:tab w:val="left" w:pos="567"/>
        </w:tabs>
        <w:spacing w:line="240" w:lineRule="atLeast"/>
        <w:ind w:left="567" w:hanging="567"/>
        <w:rPr>
          <w:rFonts w:cs="Arial"/>
          <w:b/>
          <w:bCs/>
          <w:snapToGrid w:val="0"/>
          <w:szCs w:val="20"/>
        </w:rPr>
      </w:pPr>
      <w:r w:rsidRPr="00921ED0">
        <w:rPr>
          <w:b/>
          <w:snapToGrid w:val="0"/>
        </w:rPr>
        <w:t>10.</w:t>
      </w:r>
      <w:r w:rsidRPr="00921ED0">
        <w:tab/>
      </w:r>
      <w:r w:rsidRPr="00921ED0">
        <w:rPr>
          <w:b/>
          <w:noProof/>
          <w:snapToGrid w:val="0"/>
        </w:rPr>
        <w:t>19.06. cikk 17. bekezdés – WC-k</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A csökkent mozgásképességű személyek számára a WC-kben is biztosítani kell a biztonságos tartózkodást és mozgást, ezért legalább egy WC-t ennek megfelelően kell kialakítani.</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tabs>
          <w:tab w:val="left" w:pos="567"/>
        </w:tabs>
        <w:spacing w:line="240" w:lineRule="atLeast"/>
        <w:ind w:left="567" w:hanging="567"/>
        <w:rPr>
          <w:rFonts w:cs="Arial"/>
          <w:b/>
          <w:bCs/>
          <w:snapToGrid w:val="0"/>
          <w:szCs w:val="20"/>
        </w:rPr>
      </w:pPr>
      <w:r w:rsidRPr="00921ED0">
        <w:rPr>
          <w:b/>
          <w:snapToGrid w:val="0"/>
        </w:rPr>
        <w:t>11.</w:t>
      </w:r>
      <w:r w:rsidRPr="00921ED0">
        <w:tab/>
      </w:r>
      <w:r w:rsidRPr="00921ED0">
        <w:rPr>
          <w:b/>
          <w:noProof/>
          <w:snapToGrid w:val="0"/>
        </w:rPr>
        <w:t>19.08. cikk 3. bekezdés a) és b) pont – Riasztórendszer</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A csökkent mozgásképességű személyek nagyobb valószínűséggel kerülnek olyan helyzetbe, amikor szükségük van mások segítségére. Ezért azokban a helyiségekben, ahol általános szabályként nem láthatják őket a legénység vagy a kiszolgáló személyzet tagjai és az utasok, gondoskodni kell egy riasztórendszer aktiválásának lehetőségéről. Ez vonatkozik a csökkent mozgásképességű személyek által használt WC-kre is.</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snapToGrid w:val="0"/>
        </w:rPr>
      </w:pPr>
      <w:r w:rsidRPr="00921ED0">
        <w:t xml:space="preserve">A látás- vagy hallássérült személyeket is csökkent mozgásképességű személyeknek kell tekinteni. Ennek következtében az utasoknak szánt riasztórendszernek legalább a csökkent mozgásképességű személyek általi használatra szolgáló területeken megfelelő látható és hallható jelzéseket kell kibocsátania. </w:t>
      </w:r>
    </w:p>
    <w:p w:rsidR="005624E3" w:rsidRPr="00921ED0" w:rsidRDefault="005624E3" w:rsidP="005624E3">
      <w:pPr>
        <w:tabs>
          <w:tab w:val="left" w:pos="567"/>
        </w:tabs>
        <w:spacing w:line="240" w:lineRule="atLeast"/>
        <w:ind w:left="567" w:hanging="567"/>
        <w:rPr>
          <w:rFonts w:cs="Arial"/>
          <w:b/>
          <w:bCs/>
          <w:snapToGrid w:val="0"/>
          <w:szCs w:val="20"/>
        </w:rPr>
      </w:pPr>
    </w:p>
    <w:p w:rsidR="005624E3" w:rsidRPr="00921ED0" w:rsidRDefault="005624E3" w:rsidP="005624E3">
      <w:pPr>
        <w:tabs>
          <w:tab w:val="left" w:pos="567"/>
        </w:tabs>
        <w:spacing w:line="240" w:lineRule="atLeast"/>
        <w:ind w:left="567" w:hanging="567"/>
        <w:rPr>
          <w:rFonts w:cs="Arial"/>
          <w:snapToGrid w:val="0"/>
          <w:szCs w:val="20"/>
        </w:rPr>
      </w:pPr>
      <w:r w:rsidRPr="00921ED0">
        <w:rPr>
          <w:b/>
          <w:snapToGrid w:val="0"/>
        </w:rPr>
        <w:t>12.</w:t>
      </w:r>
      <w:r w:rsidRPr="00921ED0">
        <w:tab/>
      </w:r>
      <w:r w:rsidRPr="00921ED0">
        <w:rPr>
          <w:b/>
          <w:noProof/>
          <w:snapToGrid w:val="0"/>
        </w:rPr>
        <w:t>19.10. cikk 3. bekezdés d) pont – Megfelelő világítás</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A látássérült személyeket is csökkent mozgásképességű személyeknek kell tekinteni. Ezért a megfelelő világítás a csökkent mozgásképességű személyek általi használatra szánt területeken elengedhetetlen, és magasabb követelményeknek kell megfelelnie, mint az utastér más részein alkalmazott világításnak.</w:t>
      </w:r>
    </w:p>
    <w:p w:rsidR="005624E3" w:rsidRPr="00921ED0" w:rsidRDefault="005624E3" w:rsidP="005624E3">
      <w:pPr>
        <w:tabs>
          <w:tab w:val="left" w:pos="567"/>
        </w:tabs>
        <w:spacing w:line="240" w:lineRule="atLeast"/>
        <w:ind w:left="567" w:hanging="567"/>
        <w:rPr>
          <w:rFonts w:cs="Arial"/>
          <w:b/>
          <w:bCs/>
          <w:snapToGrid w:val="0"/>
          <w:szCs w:val="20"/>
        </w:rPr>
      </w:pPr>
    </w:p>
    <w:p w:rsidR="005624E3" w:rsidRPr="00921ED0" w:rsidRDefault="005624E3" w:rsidP="005624E3">
      <w:pPr>
        <w:tabs>
          <w:tab w:val="left" w:pos="567"/>
        </w:tabs>
        <w:spacing w:line="240" w:lineRule="atLeast"/>
        <w:ind w:left="567" w:hanging="567"/>
        <w:rPr>
          <w:rFonts w:cs="Arial"/>
          <w:b/>
          <w:bCs/>
          <w:snapToGrid w:val="0"/>
          <w:szCs w:val="20"/>
        </w:rPr>
      </w:pPr>
      <w:r w:rsidRPr="00921ED0">
        <w:rPr>
          <w:b/>
          <w:snapToGrid w:val="0"/>
        </w:rPr>
        <w:t>13.</w:t>
      </w:r>
      <w:r w:rsidRPr="00921ED0">
        <w:tab/>
      </w:r>
      <w:r w:rsidRPr="00921ED0">
        <w:rPr>
          <w:b/>
          <w:noProof/>
          <w:snapToGrid w:val="0"/>
        </w:rPr>
        <w:t>19.13. cikk 1. bekezdés – Biztonsági szolgálati beosztás</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A csökkent mozgásképességű személyek érdekében szükséges, a biztonsági szolgálati beosztásban figyelembe veendő különleges biztonsági intézkedések kidolgozásakor gondolni kell mind a csökkent mozgásképességű, mind a hallás- és látásérült személyek igényeire. Az említett személyek esetében a szokásos tevékenységek intézkedéseit is figyelembe kell venni a vészhelyzeti intézkedések mellett.</w:t>
      </w:r>
    </w:p>
    <w:p w:rsidR="005624E3" w:rsidRPr="00921ED0" w:rsidRDefault="005624E3" w:rsidP="005624E3">
      <w:pPr>
        <w:tabs>
          <w:tab w:val="left" w:pos="567"/>
        </w:tabs>
        <w:spacing w:line="240" w:lineRule="atLeast"/>
        <w:ind w:left="567" w:hanging="567"/>
        <w:rPr>
          <w:rFonts w:cs="Arial"/>
          <w:b/>
          <w:bCs/>
          <w:snapToGrid w:val="0"/>
          <w:szCs w:val="20"/>
        </w:rPr>
      </w:pPr>
    </w:p>
    <w:p w:rsidR="005624E3" w:rsidRPr="00921ED0" w:rsidRDefault="005624E3" w:rsidP="005624E3">
      <w:pPr>
        <w:tabs>
          <w:tab w:val="left" w:pos="567"/>
        </w:tabs>
        <w:spacing w:line="240" w:lineRule="atLeast"/>
        <w:ind w:left="567" w:hanging="567"/>
        <w:rPr>
          <w:rFonts w:cs="Arial"/>
          <w:b/>
          <w:bCs/>
          <w:snapToGrid w:val="0"/>
          <w:szCs w:val="20"/>
        </w:rPr>
      </w:pPr>
      <w:r w:rsidRPr="00921ED0">
        <w:br w:type="page"/>
      </w:r>
    </w:p>
    <w:p w:rsidR="005624E3" w:rsidRPr="00921ED0" w:rsidRDefault="005624E3" w:rsidP="005624E3">
      <w:pPr>
        <w:tabs>
          <w:tab w:val="left" w:pos="567"/>
        </w:tabs>
        <w:spacing w:line="240" w:lineRule="atLeast"/>
        <w:ind w:left="567" w:hanging="567"/>
        <w:rPr>
          <w:rFonts w:cs="Arial"/>
          <w:b/>
          <w:bCs/>
          <w:snapToGrid w:val="0"/>
          <w:szCs w:val="20"/>
        </w:rPr>
      </w:pPr>
      <w:r w:rsidRPr="00921ED0">
        <w:rPr>
          <w:b/>
          <w:snapToGrid w:val="0"/>
        </w:rPr>
        <w:t>14.</w:t>
      </w:r>
      <w:r w:rsidRPr="00921ED0">
        <w:tab/>
      </w:r>
      <w:r w:rsidRPr="00921ED0">
        <w:rPr>
          <w:b/>
          <w:noProof/>
          <w:snapToGrid w:val="0"/>
        </w:rPr>
        <w:t>19.13. cikk 2. bekezdés – Biztonsági terv</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Ki kell jelölni az ezen utasítás 3. pontjának hatálya alá tartozó területeket.</w:t>
      </w:r>
    </w:p>
    <w:p w:rsidR="005624E3" w:rsidRPr="00921ED0" w:rsidRDefault="005624E3" w:rsidP="005624E3">
      <w:pPr>
        <w:tabs>
          <w:tab w:val="left" w:pos="567"/>
        </w:tabs>
        <w:spacing w:line="240" w:lineRule="atLeast"/>
        <w:ind w:left="567" w:hanging="567"/>
        <w:rPr>
          <w:rFonts w:cs="Arial"/>
          <w:b/>
          <w:bCs/>
          <w:snapToGrid w:val="0"/>
          <w:szCs w:val="20"/>
        </w:rPr>
      </w:pPr>
    </w:p>
    <w:p w:rsidR="005624E3" w:rsidRPr="00921ED0" w:rsidRDefault="005624E3" w:rsidP="005624E3">
      <w:pPr>
        <w:tabs>
          <w:tab w:val="left" w:pos="567"/>
        </w:tabs>
        <w:spacing w:line="240" w:lineRule="atLeast"/>
        <w:ind w:left="567" w:hanging="567"/>
        <w:rPr>
          <w:rFonts w:cs="Arial"/>
          <w:b/>
          <w:bCs/>
          <w:snapToGrid w:val="0"/>
          <w:szCs w:val="20"/>
        </w:rPr>
      </w:pPr>
      <w:r w:rsidRPr="00921ED0">
        <w:rPr>
          <w:b/>
          <w:snapToGrid w:val="0"/>
        </w:rPr>
        <w:t>15.</w:t>
      </w:r>
      <w:r w:rsidRPr="00921ED0">
        <w:tab/>
      </w:r>
      <w:r w:rsidRPr="00921ED0">
        <w:rPr>
          <w:b/>
          <w:noProof/>
          <w:snapToGrid w:val="0"/>
        </w:rPr>
        <w:t>19.13. cikk 3. bekezdés b) pont – A biztonsági szolgálati beosztás és a biztonsági terv kifüggesztése</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A biztonsági szolgálati beosztást és a biztonsági tervet ki kell függeszteni legalább a csökkent mozgásképességű személyek általi használatra szolgáló területeken, ha lehetséges, akkor oly módon, hogy azokat a látássérült személyek is képesek legyenek elolvasni. Ez elérhető például elütő színű és megfelelő nagyságú betűméret használatával.</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snapToGrid w:val="0"/>
        </w:rPr>
      </w:pPr>
      <w:r w:rsidRPr="00921ED0">
        <w:t>Ezenkívül a terveket olyan magasságban kell elhelyezni, hogy a kerekesszéket használó személyek is el tudják azokat olvasni.</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tabs>
          <w:tab w:val="left" w:pos="567"/>
        </w:tabs>
        <w:spacing w:line="240" w:lineRule="atLeast"/>
        <w:ind w:left="567" w:hanging="567"/>
        <w:rPr>
          <w:rFonts w:cs="Arial"/>
          <w:b/>
          <w:bCs/>
          <w:snapToGrid w:val="0"/>
          <w:szCs w:val="20"/>
        </w:rPr>
      </w:pPr>
      <w:r w:rsidRPr="00921ED0">
        <w:rPr>
          <w:b/>
          <w:snapToGrid w:val="0"/>
        </w:rPr>
        <w:t>16.</w:t>
      </w:r>
      <w:r w:rsidRPr="00921ED0">
        <w:tab/>
      </w:r>
      <w:r w:rsidRPr="00921ED0">
        <w:rPr>
          <w:b/>
          <w:noProof/>
          <w:snapToGrid w:val="0"/>
        </w:rPr>
        <w:t>19.13. cikk 4. bekezdés – Az utasok számára előírt magatartási kódex</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rPr>
          <w:snapToGrid w:val="0"/>
        </w:rPr>
      </w:pPr>
      <w:r w:rsidRPr="00921ED0">
        <w:t>Ezen utasítás 15. pontját ennek megfelelően kell alkalmazni.</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rPr>
          <w:szCs w:val="20"/>
        </w:rPr>
      </w:pPr>
      <w:bookmarkStart w:id="769" w:name="_Toc491854366"/>
      <w:bookmarkStart w:id="770" w:name="_Toc535854147"/>
      <w:r w:rsidRPr="00921ED0">
        <w:t>ESI-III-3</w:t>
      </w:r>
      <w:r w:rsidRPr="00921ED0">
        <w:br/>
        <w:t>A vízmentes ablakok szilárdsága</w:t>
      </w:r>
      <w:bookmarkEnd w:id="769"/>
      <w:bookmarkEnd w:id="770"/>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jc w:val="center"/>
        <w:textAlignment w:val="baseline"/>
        <w:rPr>
          <w:b/>
          <w:szCs w:val="20"/>
        </w:rPr>
      </w:pPr>
      <w:r w:rsidRPr="00921ED0">
        <w:rPr>
          <w:b/>
        </w:rPr>
        <w:t>(19.02. cikk 16. bekezdés)</w:t>
      </w:r>
    </w:p>
    <w:p w:rsidR="005624E3" w:rsidRPr="00921ED0" w:rsidRDefault="005624E3" w:rsidP="005624E3">
      <w:pPr>
        <w:overflowPunct w:val="0"/>
        <w:adjustRightInd w:val="0"/>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1.</w:t>
      </w:r>
      <w:r w:rsidRPr="00921ED0">
        <w:tab/>
      </w:r>
      <w:r w:rsidRPr="00921ED0">
        <w:rPr>
          <w:b/>
          <w:color w:val="000000"/>
        </w:rPr>
        <w:t>Általános rendelkezések</w:t>
      </w:r>
    </w:p>
    <w:p w:rsidR="005624E3" w:rsidRPr="00921ED0" w:rsidRDefault="005624E3" w:rsidP="005624E3">
      <w:pPr>
        <w:tabs>
          <w:tab w:val="left" w:pos="567"/>
        </w:tabs>
        <w:overflowPunct w:val="0"/>
        <w:adjustRightInd w:val="0"/>
        <w:spacing w:line="240" w:lineRule="atLeast"/>
        <w:ind w:left="567" w:hanging="567"/>
        <w:textAlignment w:val="baseline"/>
        <w:rPr>
          <w:szCs w:val="20"/>
        </w:rPr>
      </w:pPr>
    </w:p>
    <w:p w:rsidR="005624E3" w:rsidRPr="00921ED0" w:rsidRDefault="005624E3" w:rsidP="005624E3">
      <w:pPr>
        <w:spacing w:line="240" w:lineRule="atLeast"/>
        <w:ind w:left="567"/>
      </w:pPr>
      <w:r w:rsidRPr="00921ED0">
        <w:t>A 19.02. cikk 16. bekezdése szerint elhelyezhetők vízmentes ablakok a biztonsági vonal alatt, ha azok nem nyithatók, megfelelő szilárdságúak, és megfelelnek a 19.06. cikk 14. bekezdésében foglalt előírásoknak.</w:t>
      </w:r>
    </w:p>
    <w:p w:rsidR="005624E3" w:rsidRPr="00921ED0" w:rsidRDefault="005624E3" w:rsidP="005624E3">
      <w:pPr>
        <w:tabs>
          <w:tab w:val="left" w:pos="567"/>
        </w:tabs>
        <w:overflowPunct w:val="0"/>
        <w:adjustRightInd w:val="0"/>
        <w:spacing w:line="240" w:lineRule="atLeast"/>
        <w:ind w:left="567" w:hanging="567"/>
        <w:textAlignment w:val="baseline"/>
        <w:rPr>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2.</w:t>
      </w:r>
      <w:r w:rsidRPr="00921ED0">
        <w:tab/>
      </w:r>
      <w:r w:rsidRPr="00921ED0">
        <w:rPr>
          <w:b/>
          <w:color w:val="000000"/>
        </w:rPr>
        <w:t>A vízmentes ablakok kialakítása</w:t>
      </w:r>
    </w:p>
    <w:p w:rsidR="005624E3" w:rsidRPr="00921ED0" w:rsidRDefault="005624E3" w:rsidP="005624E3">
      <w:pPr>
        <w:tabs>
          <w:tab w:val="left" w:pos="567"/>
        </w:tabs>
        <w:overflowPunct w:val="0"/>
        <w:adjustRightInd w:val="0"/>
        <w:spacing w:line="240" w:lineRule="atLeast"/>
        <w:ind w:left="567" w:hanging="567"/>
        <w:textAlignment w:val="baseline"/>
        <w:rPr>
          <w:szCs w:val="20"/>
        </w:rPr>
      </w:pPr>
    </w:p>
    <w:p w:rsidR="005624E3" w:rsidRPr="00921ED0" w:rsidRDefault="005624E3" w:rsidP="005624E3">
      <w:pPr>
        <w:spacing w:line="240" w:lineRule="atLeast"/>
        <w:ind w:left="567"/>
      </w:pPr>
      <w:r w:rsidRPr="00921ED0">
        <w:t>A 19.02. cikk 16. bekezdésének követelményei akkor teljesülnek, ha a vízmentes ablakok kialakítása megfelel az alábbi rendelkezéseknek.</w:t>
      </w:r>
    </w:p>
    <w:p w:rsidR="005624E3" w:rsidRPr="00921ED0" w:rsidRDefault="005624E3" w:rsidP="005624E3">
      <w:pPr>
        <w:tabs>
          <w:tab w:val="left" w:pos="425"/>
        </w:tabs>
        <w:overflowPunct w:val="0"/>
        <w:adjustRightInd w:val="0"/>
        <w:textAlignment w:val="baseline"/>
        <w:rPr>
          <w:szCs w:val="20"/>
        </w:rPr>
      </w:pPr>
    </w:p>
    <w:p w:rsidR="005624E3" w:rsidRPr="00921ED0" w:rsidRDefault="005624E3" w:rsidP="005624E3">
      <w:pPr>
        <w:spacing w:line="240" w:lineRule="atLeast"/>
        <w:ind w:left="567" w:hanging="567"/>
      </w:pPr>
      <w:r w:rsidRPr="00921ED0">
        <w:t>2.1.</w:t>
      </w:r>
      <w:r w:rsidRPr="00921ED0">
        <w:tab/>
        <w:t>Kizárólag az</w:t>
      </w:r>
    </w:p>
    <w:p w:rsidR="005624E3" w:rsidRPr="00921ED0" w:rsidRDefault="005624E3" w:rsidP="005624E3">
      <w:pPr>
        <w:spacing w:line="240" w:lineRule="atLeast"/>
        <w:ind w:left="567"/>
      </w:pPr>
      <w:r w:rsidRPr="00921ED0">
        <w:t xml:space="preserve">ISO 614:2012 nemzetközi szabvány szerinti előfeszített üveg </w:t>
      </w:r>
    </w:p>
    <w:p w:rsidR="005624E3" w:rsidRPr="00921ED0" w:rsidRDefault="005624E3" w:rsidP="005624E3">
      <w:pPr>
        <w:spacing w:line="240" w:lineRule="atLeast"/>
        <w:ind w:left="567"/>
      </w:pPr>
      <w:r w:rsidRPr="00921ED0">
        <w:t>használható.</w:t>
      </w:r>
    </w:p>
    <w:p w:rsidR="005624E3" w:rsidRPr="00921ED0" w:rsidRDefault="005624E3" w:rsidP="005624E3">
      <w:pPr>
        <w:tabs>
          <w:tab w:val="left" w:pos="992"/>
        </w:tabs>
        <w:overflowPunct w:val="0"/>
        <w:adjustRightInd w:val="0"/>
        <w:spacing w:line="240" w:lineRule="atLeast"/>
        <w:ind w:left="567" w:hanging="567"/>
        <w:textAlignment w:val="baseline"/>
        <w:rPr>
          <w:szCs w:val="20"/>
        </w:rPr>
      </w:pPr>
    </w:p>
    <w:p w:rsidR="005624E3" w:rsidRPr="00921ED0" w:rsidRDefault="005624E3" w:rsidP="005624E3">
      <w:pPr>
        <w:spacing w:line="240" w:lineRule="atLeast"/>
        <w:ind w:left="567" w:hanging="567"/>
      </w:pPr>
      <w:r w:rsidRPr="00921ED0">
        <w:t>2.2.</w:t>
      </w:r>
      <w:r w:rsidRPr="00921ED0">
        <w:tab/>
        <w:t>A körablakoknak meg kell felelniük az</w:t>
      </w:r>
    </w:p>
    <w:p w:rsidR="005624E3" w:rsidRPr="00921ED0" w:rsidRDefault="005624E3" w:rsidP="005624E3">
      <w:pPr>
        <w:spacing w:line="240" w:lineRule="atLeast"/>
        <w:ind w:left="567"/>
      </w:pPr>
      <w:r w:rsidRPr="00921ED0">
        <w:t xml:space="preserve">ISO 1751:2012 nemzetközi szabvány szerinti, </w:t>
      </w:r>
    </w:p>
    <w:p w:rsidR="005624E3" w:rsidRPr="00921ED0" w:rsidRDefault="005624E3" w:rsidP="005624E3">
      <w:pPr>
        <w:spacing w:line="240" w:lineRule="atLeast"/>
        <w:ind w:left="567"/>
      </w:pPr>
      <w:r w:rsidRPr="00921ED0">
        <w:t xml:space="preserve">B sorozat: „közepes méretű, nagy igénybevételre tervezett ablakok, </w:t>
      </w:r>
    </w:p>
    <w:p w:rsidR="005624E3" w:rsidRPr="00921ED0" w:rsidRDefault="005624E3" w:rsidP="005624E3">
      <w:pPr>
        <w:spacing w:line="240" w:lineRule="atLeast"/>
        <w:ind w:left="567"/>
      </w:pPr>
      <w:r w:rsidRPr="00921ED0">
        <w:t>nem nyitható ablak” típusának.</w:t>
      </w:r>
    </w:p>
    <w:p w:rsidR="005624E3" w:rsidRPr="00921ED0" w:rsidRDefault="005624E3" w:rsidP="005624E3">
      <w:pPr>
        <w:tabs>
          <w:tab w:val="left" w:pos="992"/>
        </w:tabs>
        <w:overflowPunct w:val="0"/>
        <w:adjustRightInd w:val="0"/>
        <w:spacing w:line="240" w:lineRule="atLeast"/>
        <w:ind w:left="567" w:hanging="567"/>
        <w:textAlignment w:val="baseline"/>
        <w:rPr>
          <w:szCs w:val="20"/>
        </w:rPr>
      </w:pPr>
    </w:p>
    <w:p w:rsidR="005624E3" w:rsidRPr="00921ED0" w:rsidRDefault="005624E3" w:rsidP="005624E3">
      <w:pPr>
        <w:spacing w:line="240" w:lineRule="atLeast"/>
        <w:ind w:left="567" w:hanging="567"/>
      </w:pPr>
      <w:r w:rsidRPr="00921ED0">
        <w:t>2.3.</w:t>
      </w:r>
      <w:r w:rsidRPr="00921ED0">
        <w:tab/>
        <w:t>A körablakoknak meg kell felelniük az</w:t>
      </w:r>
    </w:p>
    <w:p w:rsidR="005624E3" w:rsidRPr="00921ED0" w:rsidRDefault="005624E3" w:rsidP="005624E3">
      <w:pPr>
        <w:spacing w:line="240" w:lineRule="atLeast"/>
        <w:ind w:left="567"/>
      </w:pPr>
      <w:r w:rsidRPr="00921ED0">
        <w:t xml:space="preserve">ISO 3903:2012 nemzetközi szabvány szerinti, </w:t>
      </w:r>
    </w:p>
    <w:p w:rsidR="005624E3" w:rsidRPr="00921ED0" w:rsidRDefault="005624E3" w:rsidP="005624E3">
      <w:pPr>
        <w:spacing w:line="240" w:lineRule="atLeast"/>
        <w:ind w:left="567"/>
      </w:pPr>
      <w:r w:rsidRPr="00921ED0">
        <w:t xml:space="preserve">E sorozat: „nagy igénybevételre tervezett ablakok, </w:t>
      </w:r>
    </w:p>
    <w:p w:rsidR="005624E3" w:rsidRPr="00921ED0" w:rsidRDefault="005624E3" w:rsidP="005624E3">
      <w:pPr>
        <w:spacing w:line="240" w:lineRule="atLeast"/>
        <w:ind w:left="567"/>
      </w:pPr>
      <w:r w:rsidRPr="00921ED0">
        <w:t>nem nyitható ablak” típusának.</w:t>
      </w:r>
    </w:p>
    <w:p w:rsidR="005624E3" w:rsidRPr="00921ED0" w:rsidRDefault="005624E3" w:rsidP="005624E3">
      <w:pPr>
        <w:tabs>
          <w:tab w:val="left" w:pos="992"/>
        </w:tabs>
        <w:overflowPunct w:val="0"/>
        <w:adjustRightInd w:val="0"/>
        <w:spacing w:line="240" w:lineRule="atLeast"/>
        <w:ind w:left="567" w:hanging="567"/>
        <w:textAlignment w:val="baseline"/>
        <w:rPr>
          <w:szCs w:val="20"/>
        </w:rPr>
      </w:pPr>
    </w:p>
    <w:p w:rsidR="005624E3" w:rsidRPr="00921ED0" w:rsidRDefault="005624E3" w:rsidP="005624E3">
      <w:pPr>
        <w:spacing w:line="240" w:lineRule="atLeast"/>
        <w:ind w:left="567" w:hanging="567"/>
      </w:pPr>
      <w:r w:rsidRPr="00921ED0">
        <w:t>2.4.</w:t>
      </w:r>
      <w:r w:rsidRPr="00921ED0">
        <w:tab/>
        <w:t>Az ISO-szabványoknak megfelelő ablakok helyettesíthetők olyan ablakokkal, amelyeknek a kialakítása legalább egyenértékű a 2.1–2.3. pont követelményeivel.</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r w:rsidRPr="00921ED0">
        <w:br w:type="page"/>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rPr>
          <w:szCs w:val="20"/>
        </w:rPr>
      </w:pPr>
      <w:bookmarkStart w:id="771" w:name="_Toc491854367"/>
      <w:bookmarkStart w:id="772" w:name="_Toc535854148"/>
      <w:r w:rsidRPr="00921ED0">
        <w:t>ESI-III-4</w:t>
      </w:r>
      <w:r w:rsidRPr="00921ED0">
        <w:br/>
        <w:t>Biztonsági útvonal-kijelölő rendszer</w:t>
      </w:r>
      <w:bookmarkEnd w:id="771"/>
      <w:bookmarkEnd w:id="772"/>
      <w:r w:rsidRPr="00921ED0">
        <w:t xml:space="preserve"> </w:t>
      </w:r>
    </w:p>
    <w:p w:rsidR="005624E3" w:rsidRPr="00921ED0" w:rsidRDefault="005624E3" w:rsidP="005624E3">
      <w:pPr>
        <w:overflowPunct w:val="0"/>
        <w:adjustRightInd w:val="0"/>
        <w:textAlignment w:val="baseline"/>
        <w:rPr>
          <w:szCs w:val="20"/>
        </w:rPr>
      </w:pPr>
    </w:p>
    <w:p w:rsidR="005624E3" w:rsidRPr="00921ED0" w:rsidRDefault="005624E3" w:rsidP="005624E3">
      <w:pPr>
        <w:adjustRightInd w:val="0"/>
        <w:spacing w:line="240" w:lineRule="atLeast"/>
        <w:jc w:val="center"/>
        <w:rPr>
          <w:rFonts w:cs="Arial"/>
          <w:b/>
          <w:szCs w:val="20"/>
        </w:rPr>
      </w:pPr>
      <w:r w:rsidRPr="00921ED0">
        <w:rPr>
          <w:b/>
        </w:rPr>
        <w:t>(19.06. cikk 7. bekezdés; 29.09. cikk d) pont)</w:t>
      </w:r>
    </w:p>
    <w:p w:rsidR="005624E3" w:rsidRPr="00921ED0" w:rsidRDefault="005624E3" w:rsidP="005624E3">
      <w:pPr>
        <w:tabs>
          <w:tab w:val="left" w:pos="425"/>
        </w:tabs>
        <w:spacing w:line="240" w:lineRule="atLeast"/>
        <w:rPr>
          <w:rFonts w:cs="Arial"/>
        </w:rPr>
      </w:pPr>
    </w:p>
    <w:p w:rsidR="005624E3" w:rsidRPr="00921ED0" w:rsidRDefault="005624E3" w:rsidP="005624E3">
      <w:pPr>
        <w:spacing w:line="240" w:lineRule="atLeast"/>
        <w:ind w:left="567" w:hanging="567"/>
        <w:rPr>
          <w:rFonts w:cs="Arial"/>
          <w:b/>
          <w:color w:val="000000"/>
          <w:szCs w:val="20"/>
        </w:rPr>
      </w:pPr>
      <w:r w:rsidRPr="00921ED0">
        <w:rPr>
          <w:b/>
          <w:color w:val="000000"/>
        </w:rPr>
        <w:t>1.</w:t>
      </w:r>
      <w:r w:rsidRPr="00921ED0">
        <w:tab/>
      </w:r>
      <w:r w:rsidRPr="00921ED0">
        <w:rPr>
          <w:b/>
          <w:color w:val="000000"/>
        </w:rPr>
        <w:t>Általános rendelkezések</w:t>
      </w:r>
    </w:p>
    <w:p w:rsidR="005624E3" w:rsidRPr="00921ED0" w:rsidRDefault="005624E3" w:rsidP="005624E3">
      <w:pPr>
        <w:tabs>
          <w:tab w:val="left" w:pos="425"/>
        </w:tabs>
        <w:spacing w:line="240" w:lineRule="atLeast"/>
        <w:rPr>
          <w:rFonts w:cs="Arial"/>
        </w:rPr>
      </w:pPr>
    </w:p>
    <w:p w:rsidR="005624E3" w:rsidRPr="00921ED0" w:rsidRDefault="005624E3" w:rsidP="005624E3">
      <w:pPr>
        <w:spacing w:line="240" w:lineRule="atLeast"/>
        <w:ind w:left="567" w:hanging="567"/>
        <w:rPr>
          <w:snapToGrid w:val="0"/>
        </w:rPr>
      </w:pPr>
      <w:r w:rsidRPr="00921ED0">
        <w:t>1.1.</w:t>
      </w:r>
      <w:r w:rsidRPr="00921ED0">
        <w:tab/>
        <w:t>A fenti rendelkezések szerint a személyhajókat és gyorsjáratú hajókat a menekülési útvonalakat és a vészkijáratokat egyértelműen azonosító, megfelelő útvonal-kijelölő rendszerekkel kell ellátni arra az esetre, amikor a szokásos vészvilágítás a füst miatt kevésbé hatékony. Az ilyen útvonal-kijelölő rendszereket alsó vészvilágításként (</w:t>
      </w:r>
      <w:r w:rsidRPr="00921ED0">
        <w:rPr>
          <w:i/>
        </w:rPr>
        <w:t>low-location lighting</w:t>
      </w:r>
      <w:r w:rsidRPr="00921ED0">
        <w:t xml:space="preserve"> – LLL) kell kialakítani. Ez az utasítás az ilyen jellegű rendszerek jóváhagyásával, felszerelésével és karbantartásával foglalkozik.</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1.2.</w:t>
      </w:r>
      <w:r w:rsidRPr="00921ED0">
        <w:tab/>
        <w:t>A 19.10. cikk 3. bekezdése által előírt vészvilágítás mellett a menekülési útvonalakat, ideértve a lépcsőházakat, kijáratokat és vészkijáratokat, alsó vészvilágítással (LLL) kell jelölni a menekülési útvonal teljes hosszában, különös tekintettel a fordulókra és a kereszteződésekre.</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1.3.</w:t>
      </w:r>
      <w:r w:rsidRPr="00921ED0">
        <w:tab/>
        <w:t>Az LLL-rendszernek az aktiválástól kezdve legalább 30 percig működnie kell.</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1.4.</w:t>
      </w:r>
      <w:r w:rsidRPr="00921ED0">
        <w:tab/>
        <w:t>Az LLL-termékek nem lehetnek sem radioaktívak, sem pedig toxikusak.</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1.5.</w:t>
      </w:r>
      <w:r w:rsidRPr="00921ED0">
        <w:tab/>
        <w:t>Az LLL-rendszerrel kapcsolatos utasításokat fel kell tüntetni a 19.13. cikk 2. bekezdésében említett biztonsági tervben és ki kell függeszteni minden egyes kabinban.</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rPr>
          <w:rFonts w:cs="Arial"/>
          <w:b/>
          <w:color w:val="000000"/>
          <w:szCs w:val="20"/>
        </w:rPr>
      </w:pPr>
      <w:r w:rsidRPr="00921ED0">
        <w:rPr>
          <w:b/>
          <w:color w:val="000000"/>
        </w:rPr>
        <w:t>2.</w:t>
      </w:r>
      <w:r w:rsidRPr="00921ED0">
        <w:tab/>
      </w:r>
      <w:r w:rsidRPr="00921ED0">
        <w:rPr>
          <w:b/>
          <w:color w:val="000000"/>
        </w:rPr>
        <w:t>Fogalommeghatározások</w:t>
      </w:r>
    </w:p>
    <w:p w:rsidR="005624E3" w:rsidRPr="00921ED0" w:rsidRDefault="005624E3" w:rsidP="005624E3">
      <w:pPr>
        <w:tabs>
          <w:tab w:val="left" w:pos="425"/>
        </w:tabs>
        <w:spacing w:line="240" w:lineRule="atLeast"/>
        <w:rPr>
          <w:rFonts w:cs="Arial"/>
        </w:rPr>
      </w:pPr>
    </w:p>
    <w:p w:rsidR="005624E3" w:rsidRPr="00921ED0" w:rsidRDefault="005624E3" w:rsidP="005624E3">
      <w:pPr>
        <w:spacing w:line="240" w:lineRule="atLeast"/>
        <w:ind w:left="567" w:hanging="567"/>
      </w:pPr>
      <w:r w:rsidRPr="00921ED0">
        <w:t>2.1.</w:t>
      </w:r>
      <w:r w:rsidRPr="00921ED0">
        <w:tab/>
        <w:t>Alsó vészvilágítás (LLL) – A menekülési útvonal mentén elhelyezett elektromosan működő lámpák vagy fotolumineszcens kijelzők, amelyek az összes ilyen jellegű útvonal egyértelmű azonosítására szolgálnak.</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2.2.</w:t>
      </w:r>
      <w:r w:rsidRPr="00921ED0">
        <w:tab/>
        <w:t>Fotolumineszcens (PL) rendszer – PL-anyagokat alkalmazó LLL-rendszer. A fotolumineszcens anyagok olyan vegyi anyagokat tartalmaznak (például: cink-szulfid), amelyek képesek energiát tárolni, ha azokat látható fénnyel megvilágítják. A PL-anyag fényt bocsát ki, amely láthatóvá válik, ha a környezeti fényforrások nem elég hatékonyak. Ha nincs fényforrás, amely újból feltöltené energiával, akkor a PL-anyag bizonyos idő alatt kibocsátja a tárolt energiát, a fényerő csökkenése nélkül.</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2.3.</w:t>
      </w:r>
      <w:r w:rsidRPr="00921ED0">
        <w:tab/>
        <w:t>Elektromossággal működő (EP) rendszer – Olyan LLL-rendszer, amelynek működéséhez elektromos energiára van szükség, ilyenek például az izzólámpákat, világító diódákat, elektrolumineszcens sávokat vagy lámpákat, elektromosan fluoreszkáló lámpákat stb. használó rendszerek.</w:t>
      </w:r>
    </w:p>
    <w:p w:rsidR="005624E3" w:rsidRPr="00921ED0" w:rsidRDefault="005624E3" w:rsidP="005624E3">
      <w:pPr>
        <w:tabs>
          <w:tab w:val="left" w:pos="425"/>
        </w:tabs>
        <w:spacing w:line="240" w:lineRule="atLeast"/>
        <w:rPr>
          <w:rFonts w:cs="Arial"/>
        </w:rPr>
      </w:pPr>
    </w:p>
    <w:p w:rsidR="005624E3" w:rsidRPr="00921ED0" w:rsidRDefault="005624E3" w:rsidP="005624E3">
      <w:pPr>
        <w:tabs>
          <w:tab w:val="left" w:pos="425"/>
        </w:tabs>
        <w:spacing w:line="240" w:lineRule="atLeast"/>
        <w:rPr>
          <w:rFonts w:cs="Arial"/>
        </w:rPr>
      </w:pPr>
      <w:r w:rsidRPr="00921ED0">
        <w:br w:type="page"/>
      </w:r>
    </w:p>
    <w:p w:rsidR="005624E3" w:rsidRPr="00921ED0" w:rsidRDefault="005624E3" w:rsidP="005624E3">
      <w:pPr>
        <w:tabs>
          <w:tab w:val="left" w:pos="567"/>
        </w:tabs>
        <w:spacing w:line="240" w:lineRule="atLeast"/>
        <w:ind w:left="567" w:hanging="567"/>
        <w:rPr>
          <w:rFonts w:cs="Arial"/>
          <w:b/>
        </w:rPr>
      </w:pPr>
      <w:r w:rsidRPr="00921ED0">
        <w:rPr>
          <w:b/>
        </w:rPr>
        <w:t>3.</w:t>
      </w:r>
      <w:r w:rsidRPr="00921ED0">
        <w:tab/>
      </w:r>
      <w:r w:rsidRPr="00921ED0">
        <w:rPr>
          <w:b/>
        </w:rPr>
        <w:t>Átjárók és lépcsőházak</w:t>
      </w:r>
    </w:p>
    <w:p w:rsidR="005624E3" w:rsidRPr="00921ED0" w:rsidRDefault="005624E3" w:rsidP="005624E3">
      <w:pPr>
        <w:tabs>
          <w:tab w:val="left" w:pos="425"/>
        </w:tabs>
        <w:spacing w:line="240" w:lineRule="atLeast"/>
        <w:rPr>
          <w:rFonts w:cs="Arial"/>
        </w:rPr>
      </w:pPr>
    </w:p>
    <w:p w:rsidR="005624E3" w:rsidRPr="00921ED0" w:rsidRDefault="005624E3" w:rsidP="005624E3">
      <w:pPr>
        <w:tabs>
          <w:tab w:val="left" w:pos="567"/>
        </w:tabs>
        <w:spacing w:line="240" w:lineRule="atLeast"/>
        <w:ind w:left="567" w:hanging="567"/>
        <w:rPr>
          <w:rFonts w:cs="Arial"/>
        </w:rPr>
      </w:pPr>
      <w:r w:rsidRPr="00921ED0">
        <w:t>3.1.</w:t>
      </w:r>
      <w:r w:rsidRPr="00921ED0">
        <w:tab/>
        <w:t>Az LLL-nek valamennyi átjárón folyamatosnak kell lennie – kivéve ott, ahol megszakítják folyosók és kabinajtók – annak érdekében, hogy láthatóan kirajzolja a menekülési útvonalat. Azok az LLL-rendszerek is elfogadhatók, amelyek ugyan nem folyamatosak, de egy nemzetközi szabványnak megfelelő módon jól láthatóan kirajzolják az útvonalat. Az LLL-rendszert legalább a folyosó egyik oldalán fel kell szerelni vagy a falra, legfeljebb 0,3 m-re a padlótól, vagy pedig a padlóra, legfeljebb 0,15 m-re a faltól. A több mint két méter széles folyosókon az LLL-rendszert mindkét oldalra fel kell szerelni.</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szCs w:val="20"/>
        </w:rPr>
      </w:pPr>
      <w:r w:rsidRPr="00921ED0">
        <w:t>3.2.</w:t>
      </w:r>
      <w:r w:rsidRPr="00921ED0">
        <w:tab/>
        <w:t>Zárt végű folyosókon az LLL-nek legalább 1 m-ként nyilakat vagy ezekkel egyenértékű jelzéseket kell tartalmaznia, amelyek a menekülési útvonal irányába mutatnak.</w:t>
      </w:r>
    </w:p>
    <w:p w:rsidR="005624E3" w:rsidRPr="00921ED0" w:rsidRDefault="005624E3" w:rsidP="005624E3">
      <w:pPr>
        <w:tabs>
          <w:tab w:val="left" w:pos="567"/>
        </w:tabs>
        <w:spacing w:line="240" w:lineRule="atLeast"/>
        <w:ind w:left="567" w:hanging="567"/>
        <w:rPr>
          <w:rFonts w:cs="Arial"/>
          <w:szCs w:val="20"/>
        </w:rPr>
      </w:pPr>
    </w:p>
    <w:p w:rsidR="005624E3" w:rsidRPr="00921ED0" w:rsidRDefault="005624E3" w:rsidP="005624E3">
      <w:pPr>
        <w:tabs>
          <w:tab w:val="left" w:pos="567"/>
        </w:tabs>
        <w:spacing w:line="240" w:lineRule="atLeast"/>
        <w:ind w:left="567" w:hanging="567"/>
        <w:rPr>
          <w:rFonts w:cs="Arial"/>
          <w:iCs/>
          <w:szCs w:val="20"/>
        </w:rPr>
      </w:pPr>
      <w:r w:rsidRPr="00921ED0">
        <w:t>3.3.</w:t>
      </w:r>
      <w:r w:rsidRPr="00921ED0">
        <w:tab/>
        <w:t>Az LLL-rendszert az összes lépcsőházban fel kell szerelni, legfeljebb 0,3 m magasságban a lépcsők felett, amelyek alapján az adott lépcső felett vagy alatt állva bárki könnyen azonosíthatja az egyes lépcsőfokok helyét. Az alsó vészvilágítást mindkét oldalon fel kell szerelni, ha a lépcsőház szélessége eléri vagy meghaladja a 2 m-t. Minden egyes lépcső tetejét és alját azonosítani kell annak jelölésére, hogy nincs több lépcsőfok.</w:t>
      </w:r>
    </w:p>
    <w:p w:rsidR="005624E3" w:rsidRPr="00921ED0" w:rsidRDefault="005624E3" w:rsidP="005624E3">
      <w:pPr>
        <w:tabs>
          <w:tab w:val="left" w:pos="567"/>
        </w:tabs>
        <w:spacing w:line="240" w:lineRule="atLeast"/>
        <w:ind w:left="567" w:hanging="567"/>
        <w:rPr>
          <w:rFonts w:cs="Arial"/>
          <w:i/>
          <w:iCs/>
          <w:szCs w:val="20"/>
        </w:rPr>
      </w:pPr>
    </w:p>
    <w:p w:rsidR="005624E3" w:rsidRPr="00921ED0" w:rsidRDefault="005624E3" w:rsidP="005624E3">
      <w:pPr>
        <w:tabs>
          <w:tab w:val="left" w:pos="567"/>
        </w:tabs>
        <w:spacing w:line="240" w:lineRule="atLeast"/>
        <w:ind w:left="567" w:hanging="567"/>
        <w:rPr>
          <w:rFonts w:cs="Arial"/>
          <w:b/>
        </w:rPr>
      </w:pPr>
      <w:r w:rsidRPr="00921ED0">
        <w:rPr>
          <w:b/>
        </w:rPr>
        <w:t>4.</w:t>
      </w:r>
      <w:r w:rsidRPr="00921ED0">
        <w:tab/>
      </w:r>
      <w:r w:rsidRPr="00921ED0">
        <w:rPr>
          <w:b/>
        </w:rPr>
        <w:t>Ajtók</w:t>
      </w:r>
    </w:p>
    <w:p w:rsidR="005624E3" w:rsidRPr="00921ED0" w:rsidRDefault="005624E3" w:rsidP="005624E3">
      <w:pPr>
        <w:tabs>
          <w:tab w:val="left" w:pos="425"/>
        </w:tabs>
        <w:spacing w:line="240" w:lineRule="atLeast"/>
        <w:rPr>
          <w:rFonts w:cs="Arial"/>
        </w:rPr>
      </w:pPr>
    </w:p>
    <w:p w:rsidR="005624E3" w:rsidRPr="00921ED0" w:rsidRDefault="005624E3" w:rsidP="005624E3">
      <w:pPr>
        <w:tabs>
          <w:tab w:val="left" w:pos="567"/>
        </w:tabs>
        <w:spacing w:line="240" w:lineRule="atLeast"/>
        <w:ind w:left="567" w:hanging="567"/>
        <w:rPr>
          <w:rFonts w:cs="Arial"/>
        </w:rPr>
      </w:pPr>
      <w:r w:rsidRPr="00921ED0">
        <w:t>4.1.</w:t>
      </w:r>
      <w:r w:rsidRPr="00921ED0">
        <w:tab/>
        <w:t>Az alsó vészvilágításnak el kell vezetnie a kijárati ajtó kilincséhez. A félreértések elkerülése érdekében egyetlen másfajta ajtót sem szabad hasonló módon jelölni.</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4.2.</w:t>
      </w:r>
      <w:r w:rsidRPr="00921ED0">
        <w:tab/>
        <w:t>Ha tolóajtók vannak felszerelve a 19.11. cikk 2. bekezdése szerinti válaszfalakra és a 19.02. cikk 5. bekezdése szerinti válaszfalakra, akkor fel kell tüntetni a nyitás irányát.</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b/>
        </w:rPr>
      </w:pPr>
      <w:r w:rsidRPr="00921ED0">
        <w:rPr>
          <w:b/>
        </w:rPr>
        <w:t>5.</w:t>
      </w:r>
      <w:r w:rsidRPr="00921ED0">
        <w:tab/>
      </w:r>
      <w:r w:rsidRPr="00921ED0">
        <w:rPr>
          <w:b/>
        </w:rPr>
        <w:t>Jelek és jelölések</w:t>
      </w:r>
    </w:p>
    <w:p w:rsidR="005624E3" w:rsidRPr="00921ED0" w:rsidRDefault="005624E3" w:rsidP="005624E3">
      <w:pPr>
        <w:tabs>
          <w:tab w:val="left" w:pos="425"/>
        </w:tabs>
        <w:spacing w:line="240" w:lineRule="atLeast"/>
        <w:rPr>
          <w:rFonts w:cs="Arial"/>
        </w:rPr>
      </w:pPr>
    </w:p>
    <w:p w:rsidR="005624E3" w:rsidRPr="00921ED0" w:rsidRDefault="005624E3" w:rsidP="005624E3">
      <w:pPr>
        <w:tabs>
          <w:tab w:val="left" w:pos="567"/>
        </w:tabs>
        <w:spacing w:line="240" w:lineRule="atLeast"/>
        <w:ind w:left="567" w:hanging="567"/>
        <w:rPr>
          <w:rFonts w:cs="Arial"/>
        </w:rPr>
      </w:pPr>
      <w:r w:rsidRPr="00921ED0">
        <w:t>5.1.</w:t>
      </w:r>
      <w:r w:rsidRPr="00921ED0">
        <w:tab/>
        <w:t>A menekülési útvonalak összes jelét fotolumineszcens anyagból kell elkészíteni vagy elektromos lámpákkal kell jelölni. Az ilyen jelek és jelölések méretének arányosnak kell lennie az LLL-rendszer többi részével.</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5.2.</w:t>
      </w:r>
      <w:r w:rsidRPr="00921ED0">
        <w:tab/>
        <w:t>Az alsó vészvilágítás kijárati jeleit az összes kijáratnál el kell helyezni. A jeleket a kijárati ajtók melletti előírt területen belül kell elhelyezni, a kilincs felőli oldalon.</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 xml:space="preserve">5.3. </w:t>
      </w:r>
      <w:r w:rsidRPr="00921ED0">
        <w:tab/>
        <w:t>Az összes jel színének el kell ütnie a rögzítési hely hátterétől (fal vagy padló).</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5.4.</w:t>
      </w:r>
      <w:r w:rsidRPr="00921ED0">
        <w:tab/>
        <w:t>Az LLL-rendszerben szabványos szimbólumokat kell használni (például az IMO A.760(18) határozatban leírt szimbólumokat).</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b/>
        </w:rPr>
      </w:pPr>
      <w:r w:rsidRPr="00921ED0">
        <w:rPr>
          <w:b/>
        </w:rPr>
        <w:t>6.</w:t>
      </w:r>
      <w:r w:rsidRPr="00921ED0">
        <w:tab/>
      </w:r>
      <w:r w:rsidRPr="00921ED0">
        <w:rPr>
          <w:b/>
        </w:rPr>
        <w:t>Fotolumineszcens rendszerek</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6.1.</w:t>
      </w:r>
      <w:r w:rsidRPr="00921ED0">
        <w:tab/>
        <w:t>A PL-sávok szélessége legfeljebb 0,075 m lehet. Keskenyebb sávok is használhatók azonban, ha a kisebb szélesség ellensúlyozására ennek arányában megnövelik a fényerőt.</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6.2.</w:t>
      </w:r>
      <w:r w:rsidRPr="00921ED0">
        <w:tab/>
        <w:t>A fotolumineszcens anyagoknak legalább 15 mcd/m</w:t>
      </w:r>
      <w:r w:rsidRPr="00921ED0">
        <w:rPr>
          <w:noProof/>
          <w:vertAlign w:val="superscript"/>
        </w:rPr>
        <w:t>2</w:t>
      </w:r>
      <w:r w:rsidRPr="00921ED0">
        <w:t xml:space="preserve"> értéket kell biztosítaniuk az összes külső fényforrás eltávolítása után 10 perccel. A rendszernek ezután további 20 percen keresztül több mint 2 mcd/m</w:t>
      </w:r>
      <w:r w:rsidRPr="00921ED0">
        <w:rPr>
          <w:noProof/>
          <w:vertAlign w:val="superscript"/>
        </w:rPr>
        <w:t>2</w:t>
      </w:r>
      <w:r w:rsidRPr="00921ED0">
        <w:t xml:space="preserve"> értéket kell biztosítania.</w:t>
      </w:r>
    </w:p>
    <w:p w:rsidR="005624E3" w:rsidRPr="00921ED0" w:rsidRDefault="005624E3" w:rsidP="005624E3">
      <w:pPr>
        <w:tabs>
          <w:tab w:val="left" w:pos="567"/>
        </w:tabs>
        <w:spacing w:line="240" w:lineRule="atLeast"/>
        <w:ind w:left="567" w:hanging="567"/>
        <w:rPr>
          <w:rFonts w:cs="Arial"/>
        </w:rPr>
      </w:pPr>
      <w:r w:rsidRPr="00921ED0">
        <w:br w:type="page"/>
      </w:r>
    </w:p>
    <w:p w:rsidR="005624E3" w:rsidRPr="00921ED0" w:rsidRDefault="005624E3" w:rsidP="005624E3">
      <w:pPr>
        <w:tabs>
          <w:tab w:val="left" w:pos="567"/>
        </w:tabs>
        <w:spacing w:line="240" w:lineRule="atLeast"/>
        <w:ind w:left="567" w:hanging="567"/>
        <w:rPr>
          <w:rFonts w:cs="Arial"/>
        </w:rPr>
      </w:pPr>
      <w:r w:rsidRPr="00921ED0">
        <w:t>6.3.</w:t>
      </w:r>
      <w:r w:rsidRPr="00921ED0">
        <w:tab/>
        <w:t>A PL-rendszer anyagai részére legalább olyan szintű környezeti megvilágítást kell biztosítani, mint amilyenre szükség van a PL-anyag feltöltéséhez annak érdekében, hogy teljesíthesse a fenti fényerő-követelményeket.</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b/>
        </w:rPr>
      </w:pPr>
      <w:r w:rsidRPr="00921ED0">
        <w:rPr>
          <w:b/>
        </w:rPr>
        <w:t>7.</w:t>
      </w:r>
      <w:r w:rsidRPr="00921ED0">
        <w:tab/>
      </w:r>
      <w:r w:rsidRPr="00921ED0">
        <w:rPr>
          <w:b/>
        </w:rPr>
        <w:t>Elektromossággal működő rendszerek</w:t>
      </w:r>
    </w:p>
    <w:p w:rsidR="005624E3" w:rsidRPr="00921ED0" w:rsidRDefault="005624E3" w:rsidP="005624E3">
      <w:pPr>
        <w:tabs>
          <w:tab w:val="left" w:pos="567"/>
        </w:tabs>
        <w:spacing w:line="240" w:lineRule="atLeast"/>
        <w:ind w:left="567" w:hanging="567"/>
        <w:rPr>
          <w:rFonts w:cs="Arial"/>
          <w:b/>
        </w:rPr>
      </w:pPr>
    </w:p>
    <w:p w:rsidR="005624E3" w:rsidRPr="00921ED0" w:rsidRDefault="005624E3" w:rsidP="005624E3">
      <w:pPr>
        <w:tabs>
          <w:tab w:val="left" w:pos="567"/>
        </w:tabs>
        <w:spacing w:line="240" w:lineRule="atLeast"/>
        <w:ind w:left="567" w:hanging="567"/>
        <w:rPr>
          <w:rFonts w:cs="Arial"/>
        </w:rPr>
      </w:pPr>
      <w:r w:rsidRPr="00921ED0">
        <w:t>7.1.</w:t>
      </w:r>
      <w:r w:rsidRPr="00921ED0">
        <w:tab/>
        <w:t>Az elektromossággal működő rendszereket csatlakoztatni kell a 19.10. cikk (4) bekezdésben előírt vészhelyzeti kapcsolótáblához, hogy szokásos körülmények között működtethetőek legyenek a fő áramforrásról és – amennyiben üzemel – a vészhelyzeti áramforrásról is. A vészhelyzeti áramforrás méretezése érdekében az EP-rendszert fel kell venni a vészhelyzeti fogyasztók listájára.</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7.2.</w:t>
      </w:r>
      <w:r w:rsidRPr="00921ED0">
        <w:tab/>
        <w:t>Az elektromossággal működő rendszereknek vagy automatikusan be kell kapcsolniuk, vagy pedig egyetlen művelettel aktiválhatóaknak kell lenniük a kormányvezérlő-állásban.</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7.3.</w:t>
      </w:r>
      <w:r w:rsidRPr="00921ED0">
        <w:tab/>
        <w:t xml:space="preserve">Elektromossággal működő rendszerek felszerelése esetén a következő fényerőszabványokat kell alkalmazni: </w:t>
      </w:r>
    </w:p>
    <w:p w:rsidR="005624E3" w:rsidRPr="00921ED0" w:rsidRDefault="005624E3" w:rsidP="005624E3">
      <w:pPr>
        <w:tabs>
          <w:tab w:val="left" w:pos="567"/>
          <w:tab w:val="left" w:pos="992"/>
        </w:tabs>
        <w:spacing w:before="60" w:line="240" w:lineRule="atLeast"/>
        <w:ind w:left="992"/>
        <w:rPr>
          <w:rFonts w:cs="Arial"/>
        </w:rPr>
      </w:pPr>
      <w:r w:rsidRPr="00921ED0">
        <w:t>1.</w:t>
      </w:r>
      <w:r w:rsidRPr="00921ED0">
        <w:tab/>
        <w:t>Az elektromossággal működő rendszerek aktív részei minimális fényerejének előírt értéke 10 cd/m</w:t>
      </w:r>
      <w:r w:rsidRPr="00921ED0">
        <w:rPr>
          <w:noProof/>
          <w:vertAlign w:val="superscript"/>
        </w:rPr>
        <w:t>2</w:t>
      </w:r>
      <w:r w:rsidRPr="00921ED0">
        <w:t>;</w:t>
      </w:r>
    </w:p>
    <w:p w:rsidR="005624E3" w:rsidRPr="00921ED0" w:rsidRDefault="005624E3" w:rsidP="005624E3">
      <w:pPr>
        <w:tabs>
          <w:tab w:val="left" w:pos="567"/>
          <w:tab w:val="left" w:pos="992"/>
        </w:tabs>
        <w:spacing w:before="60" w:line="240" w:lineRule="atLeast"/>
        <w:ind w:left="992"/>
        <w:rPr>
          <w:rFonts w:cs="Arial"/>
        </w:rPr>
      </w:pPr>
      <w:r w:rsidRPr="00921ED0">
        <w:t>2.</w:t>
      </w:r>
      <w:r w:rsidRPr="00921ED0">
        <w:tab/>
        <w:t>A miniatűr izzólámpák pontszerű fényforrásainak legalább 150 mcd átlagos sugárirányú fényerősséget kell biztosítaniuk legfeljebb 0,1 m-enként elhelyezett lámpákkal;</w:t>
      </w:r>
    </w:p>
    <w:p w:rsidR="005624E3" w:rsidRPr="00921ED0" w:rsidRDefault="005624E3" w:rsidP="005624E3">
      <w:pPr>
        <w:tabs>
          <w:tab w:val="left" w:pos="567"/>
          <w:tab w:val="left" w:pos="992"/>
        </w:tabs>
        <w:spacing w:before="60" w:line="240" w:lineRule="atLeast"/>
        <w:ind w:left="992"/>
        <w:rPr>
          <w:rFonts w:cs="Arial"/>
        </w:rPr>
      </w:pPr>
      <w:r w:rsidRPr="00921ED0">
        <w:t>3.</w:t>
      </w:r>
      <w:r w:rsidRPr="00921ED0">
        <w:tab/>
        <w:t>A világító diódákból álló rendszerek pontszerű fényforrásainak legalább 35 mcd minimális intenzitással kell rendelkezniük. A fél fényintenzitású kúp szögének megfelelőnek kell lennie a megközelítés és a látó</w:t>
      </w:r>
      <w:r w:rsidR="00C323D2">
        <w:t>tér</w:t>
      </w:r>
      <w:r w:rsidRPr="00921ED0">
        <w:t xml:space="preserve"> valószínű pálya menti irányához. A lámpák közötti távolság nem lehet nagyobb mint 0,3 m; és</w:t>
      </w:r>
    </w:p>
    <w:p w:rsidR="005624E3" w:rsidRPr="00921ED0" w:rsidRDefault="005624E3" w:rsidP="005624E3">
      <w:pPr>
        <w:tabs>
          <w:tab w:val="left" w:pos="567"/>
          <w:tab w:val="left" w:pos="992"/>
        </w:tabs>
        <w:spacing w:before="60" w:line="240" w:lineRule="atLeast"/>
        <w:ind w:left="992"/>
        <w:rPr>
          <w:rFonts w:cs="Arial"/>
        </w:rPr>
      </w:pPr>
      <w:r w:rsidRPr="00921ED0">
        <w:t>4.</w:t>
      </w:r>
      <w:r w:rsidRPr="00921ED0">
        <w:tab/>
        <w:t>Elektrolumineszcens rendszerek esetén ezeknek a lámpáknak legalább 30 percig működniük kell attól számítva, hogy megszűnik az a fő áramellátás, amelyhez a 7.1. szakasz előírásai szerint a lámpákat csatlakoztatni kell.</w:t>
      </w:r>
    </w:p>
    <w:p w:rsidR="005624E3" w:rsidRPr="00921ED0" w:rsidRDefault="005624E3" w:rsidP="005624E3">
      <w:pPr>
        <w:tabs>
          <w:tab w:val="left" w:pos="425"/>
        </w:tabs>
        <w:spacing w:line="240" w:lineRule="atLeast"/>
        <w:rPr>
          <w:rFonts w:cs="Arial"/>
        </w:rPr>
      </w:pPr>
    </w:p>
    <w:p w:rsidR="005624E3" w:rsidRPr="00921ED0" w:rsidRDefault="005624E3" w:rsidP="005624E3">
      <w:pPr>
        <w:tabs>
          <w:tab w:val="left" w:pos="567"/>
        </w:tabs>
        <w:spacing w:line="240" w:lineRule="atLeast"/>
        <w:ind w:left="567" w:hanging="567"/>
        <w:rPr>
          <w:rFonts w:cs="Arial"/>
        </w:rPr>
      </w:pPr>
      <w:r w:rsidRPr="00921ED0">
        <w:t>7.4.</w:t>
      </w:r>
      <w:r w:rsidRPr="00921ED0">
        <w:tab/>
        <w:t>Valamennyi EP-rendszert úgy kell elrendezni, hogy a jelölés bármely különálló lámpa, világító sáv vagy akkumulátor meghibásodása esetén is működőképes maradjon.</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7.5.</w:t>
      </w:r>
      <w:r w:rsidRPr="00921ED0">
        <w:tab/>
        <w:t>Az elektromossággal működő rendszereknek meg kell felelniük a 10.20. cikkben előírt rezgésvizsgálatnak és melegítési tesztnek. A 10.20. cikk 2. bekezdésének c) pontjától eltérve, a melegítési teszt lefolytatható 40 °C referencia környezeti hőmérsékleten is.</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7.6.</w:t>
      </w:r>
      <w:r w:rsidRPr="00921ED0">
        <w:tab/>
        <w:t>Az elektromossággal működő rendszereknek meg kell felelniük a 10.21. cikkben lefektetett, elektromágneses kompatibilitásra vonatkozó követelményeknek.</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7.7.</w:t>
      </w:r>
      <w:r w:rsidRPr="00921ED0">
        <w:tab/>
        <w:t>Az elektromossággal működő rendszereket el kell látni az IP 55  típusú minimális védelemmel az EN 60529:2014 európai szabványnak megfelelően.</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br w:type="page"/>
      </w:r>
    </w:p>
    <w:p w:rsidR="005624E3" w:rsidRPr="00921ED0" w:rsidRDefault="005624E3" w:rsidP="005624E3">
      <w:pPr>
        <w:tabs>
          <w:tab w:val="left" w:pos="567"/>
        </w:tabs>
        <w:spacing w:line="240" w:lineRule="atLeast"/>
        <w:ind w:left="567" w:hanging="567"/>
        <w:rPr>
          <w:rFonts w:cs="Arial"/>
          <w:b/>
        </w:rPr>
      </w:pPr>
      <w:r w:rsidRPr="00921ED0">
        <w:rPr>
          <w:b/>
        </w:rPr>
        <w:t>8.</w:t>
      </w:r>
      <w:r w:rsidRPr="00921ED0">
        <w:tab/>
      </w:r>
      <w:r w:rsidRPr="00921ED0">
        <w:rPr>
          <w:b/>
        </w:rPr>
        <w:t>Átvételi vizsgálat</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8.1.</w:t>
      </w:r>
      <w:r w:rsidRPr="00921ED0">
        <w:tab/>
        <w:t>Az LLL fényerejét egy szakértő vizsgálja meg:</w:t>
      </w:r>
    </w:p>
    <w:p w:rsidR="005624E3" w:rsidRPr="00921ED0" w:rsidRDefault="005624E3" w:rsidP="005624E3">
      <w:pPr>
        <w:tabs>
          <w:tab w:val="left" w:pos="567"/>
        </w:tabs>
        <w:spacing w:before="60" w:line="240" w:lineRule="atLeast"/>
        <w:ind w:left="992"/>
        <w:rPr>
          <w:rFonts w:cs="Arial"/>
        </w:rPr>
      </w:pPr>
      <w:r w:rsidRPr="00921ED0">
        <w:t>a)</w:t>
      </w:r>
      <w:r w:rsidRPr="00921ED0">
        <w:tab/>
        <w:t>az első használatbavétel előtt;</w:t>
      </w:r>
    </w:p>
    <w:p w:rsidR="005624E3" w:rsidRPr="00921ED0" w:rsidRDefault="005624E3" w:rsidP="005624E3">
      <w:pPr>
        <w:tabs>
          <w:tab w:val="left" w:pos="567"/>
        </w:tabs>
        <w:spacing w:before="60" w:line="240" w:lineRule="atLeast"/>
        <w:ind w:left="992"/>
        <w:rPr>
          <w:rFonts w:cs="Arial"/>
        </w:rPr>
      </w:pPr>
      <w:r w:rsidRPr="00921ED0">
        <w:t>b)</w:t>
      </w:r>
      <w:r w:rsidRPr="00921ED0">
        <w:tab/>
        <w:t>jelentős módosítást vagy javítást követő újbóli üzembe helyezés előtt;</w:t>
      </w:r>
    </w:p>
    <w:p w:rsidR="005624E3" w:rsidRPr="00921ED0" w:rsidRDefault="005624E3" w:rsidP="005624E3">
      <w:pPr>
        <w:tabs>
          <w:tab w:val="left" w:pos="567"/>
        </w:tabs>
        <w:spacing w:before="60" w:line="240" w:lineRule="atLeast"/>
        <w:ind w:left="992"/>
        <w:rPr>
          <w:rFonts w:cs="Arial"/>
        </w:rPr>
      </w:pPr>
      <w:r w:rsidRPr="00921ED0">
        <w:t>c)</w:t>
      </w:r>
      <w:r w:rsidRPr="00921ED0">
        <w:tab/>
        <w:t>rendszeresen, de legalább ötévente.</w:t>
      </w:r>
    </w:p>
    <w:p w:rsidR="005624E3" w:rsidRPr="00921ED0" w:rsidRDefault="005624E3" w:rsidP="005624E3">
      <w:pPr>
        <w:tabs>
          <w:tab w:val="left" w:pos="567"/>
        </w:tabs>
        <w:spacing w:before="60" w:line="240" w:lineRule="atLeast"/>
        <w:ind w:left="567"/>
        <w:rPr>
          <w:rFonts w:cs="Arial"/>
        </w:rPr>
      </w:pPr>
      <w:r w:rsidRPr="00921ED0">
        <w:t>A fenti c) pontban említett ellenőrzéseket a biztonsági útvonal-kijelölő rendszerek területén szakképzett hozzáértő személy is elvégezheti.</w:t>
      </w:r>
    </w:p>
    <w:p w:rsidR="005624E3" w:rsidRPr="00921ED0" w:rsidRDefault="005624E3" w:rsidP="005624E3">
      <w:pPr>
        <w:tabs>
          <w:tab w:val="left" w:pos="567"/>
        </w:tabs>
        <w:spacing w:before="60"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8.2.</w:t>
      </w:r>
      <w:r w:rsidRPr="00921ED0">
        <w:tab/>
        <w:t>Ellenőrzési igazolást kell kiadni, amely tartalmazza a szakértő vagy a hozzáértő személy aláírását és az ellenőrzés dátumát.</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8.3.</w:t>
      </w:r>
      <w:r w:rsidRPr="00921ED0">
        <w:tab/>
        <w:t>Amennyiben egyetlen mérés azt állapítja meg, hogy a fényerő nem felel meg ezen utasítás előírásainak, akkor további méréseket kell végezni legalább tíz, egymástól azonos távolságban lévő ponton. Ha a mért értékek több mint 30 %-a nem felel meg ezen utasítás előírásainak, akkor a biztonsági útvonal-kijelölő rendszereket ki kell cserélni. Ha a mért értékek 20–30 %-a nem felel meg ezen utasítás előírásainak, akkor a biztonsági útvonal-kijelölő rendszereket egy éven belül ismét ellenőrizni kell.</w:t>
      </w: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textAlignment w:val="baseline"/>
        <w:rPr>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rPr>
          <w:szCs w:val="20"/>
        </w:rPr>
      </w:pPr>
      <w:bookmarkStart w:id="773" w:name="_Toc491854368"/>
      <w:bookmarkStart w:id="774" w:name="_Toc535854149"/>
      <w:r w:rsidRPr="00921ED0">
        <w:t>ESI-III-5</w:t>
      </w:r>
      <w:r w:rsidRPr="00921ED0">
        <w:br/>
        <w:t>Megfelelő gázriasztó berendezések</w:t>
      </w:r>
      <w:bookmarkEnd w:id="773"/>
      <w:bookmarkEnd w:id="774"/>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jc w:val="center"/>
        <w:rPr>
          <w:b/>
        </w:rPr>
      </w:pPr>
      <w:r w:rsidRPr="00921ED0">
        <w:rPr>
          <w:b/>
          <w:noProof/>
        </w:rPr>
        <w:t>(19.15. cikk 8. bekezdés)</w:t>
      </w:r>
    </w:p>
    <w:p w:rsidR="005624E3" w:rsidRPr="00921ED0" w:rsidRDefault="005624E3" w:rsidP="005624E3">
      <w:pPr>
        <w:overflowPunct w:val="0"/>
        <w:adjustRightInd w:val="0"/>
      </w:pPr>
    </w:p>
    <w:p w:rsidR="005624E3" w:rsidRPr="00921ED0" w:rsidRDefault="005624E3" w:rsidP="005624E3">
      <w:pPr>
        <w:tabs>
          <w:tab w:val="left" w:pos="709"/>
        </w:tabs>
        <w:overflowPunct w:val="0"/>
        <w:adjustRightInd w:val="0"/>
        <w:spacing w:line="240" w:lineRule="atLeast"/>
        <w:ind w:left="709" w:hanging="709"/>
      </w:pPr>
      <w:r w:rsidRPr="00921ED0">
        <w:t>1.</w:t>
      </w:r>
      <w:r w:rsidRPr="00921ED0">
        <w:tab/>
        <w:t>A 32.02. cikk 2. bekezdésével és a 32.05. cikk 5. bekezdésével összhangban (mindkettő átmeneti rendelkezés a 19.01. cikk 2. bekezdés e) pontjához) a személyhajók fedélzetén már meglévő, cseppfolyósított gázzal üzemelő háztartási berendezések csak a belvízi hajóbizonyítvány 2045. január 1-je utáni első megújításáig üzemelhetnek, feltéve, hogy rendelkezésre áll a 19.15. cikk 8. bekezdésének megfelelő gázriasztó berendezés. A 19.15. cikk 9. bekezdésével összhangban a cseppfolyósított gázzal üzemelő háztartási berendezések a jövőben is felszerelhetők azokon a személyhajókon, amelyeket első alkalommal helyeznek üzembe, és amelyeknek hossza nem haladja meg a 45 métert, amennyiben ezzel egy időben ilyen jellegű riasztó berendezést is felszerelnek.</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2.</w:t>
      </w:r>
      <w:r w:rsidRPr="00921ED0">
        <w:tab/>
        <w:t>A 32.02. cikk 2. bekezdésével és 32.05. 5. bekezdésével összhangban (mindkettő átmeneti rendelkezés a 19.15. cikk 8. bekezdéséhez) ezt a gázriasztó berendezést a bizonyítványnak a 17.15. cikkben említett első megújításakor kell felszerelni.</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w:t>
      </w:r>
      <w:r w:rsidRPr="00921ED0">
        <w:tab/>
        <w:t>A gázriasztó berendezés érzékelőket, különféle készülékeket és csöveket tartalmaz, és megfelelőnek kell tekinteni, ha teljesíti legalább a következő előírt követelményeket:</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3.1.</w:t>
      </w:r>
      <w:r w:rsidRPr="00921ED0">
        <w:tab/>
        <w:t>A rendszer (érzékelők, készülékek, csövek) által teljesítendő követelmények:</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noProof/>
          <w:snapToGrid w:val="0"/>
        </w:rPr>
      </w:pPr>
      <w:r w:rsidRPr="00921ED0">
        <w:t>3.1.1.</w:t>
      </w:r>
      <w:r w:rsidRPr="00921ED0">
        <w:tab/>
        <w:t>Gázriasztást kell adni legkésőbb a következő értékek elérésekor vagy meghaladásakor:</w:t>
      </w:r>
    </w:p>
    <w:p w:rsidR="005624E3" w:rsidRPr="00921ED0" w:rsidRDefault="005624E3" w:rsidP="005624E3">
      <w:pPr>
        <w:tabs>
          <w:tab w:val="left" w:pos="1134"/>
        </w:tabs>
        <w:overflowPunct w:val="0"/>
        <w:adjustRightInd w:val="0"/>
        <w:spacing w:before="60" w:line="240" w:lineRule="atLeast"/>
        <w:ind w:left="1134"/>
        <w:rPr>
          <w:noProof/>
          <w:snapToGrid w:val="0"/>
        </w:rPr>
      </w:pPr>
      <w:r w:rsidRPr="00921ED0">
        <w:t>a)</w:t>
      </w:r>
      <w:r w:rsidRPr="00921ED0">
        <w:tab/>
        <w:t>a propán-levegő-keverék alsó robbanási határértékének (LEL) 10 %-a; és</w:t>
      </w:r>
    </w:p>
    <w:p w:rsidR="005624E3" w:rsidRPr="00921ED0" w:rsidRDefault="005624E3" w:rsidP="005624E3">
      <w:pPr>
        <w:tabs>
          <w:tab w:val="left" w:pos="1134"/>
        </w:tabs>
        <w:overflowPunct w:val="0"/>
        <w:adjustRightInd w:val="0"/>
        <w:spacing w:before="60" w:line="240" w:lineRule="atLeast"/>
        <w:ind w:left="1134"/>
        <w:rPr>
          <w:noProof/>
          <w:snapToGrid w:val="0"/>
        </w:rPr>
      </w:pPr>
      <w:r w:rsidRPr="00921ED0">
        <w:t>b)</w:t>
      </w:r>
      <w:r w:rsidRPr="00921ED0">
        <w:tab/>
        <w:t>30 ppm CO (szén-monoxid).</w:t>
      </w:r>
    </w:p>
    <w:p w:rsidR="005624E3" w:rsidRPr="00921ED0" w:rsidRDefault="005624E3" w:rsidP="005624E3">
      <w:pPr>
        <w:tabs>
          <w:tab w:val="left" w:pos="709"/>
        </w:tabs>
        <w:overflowPunct w:val="0"/>
        <w:adjustRightInd w:val="0"/>
        <w:spacing w:line="240" w:lineRule="atLeast"/>
        <w:ind w:left="709" w:hanging="709"/>
        <w:rPr>
          <w:noProof/>
          <w:snapToGrid w:val="0"/>
        </w:rPr>
      </w:pPr>
    </w:p>
    <w:p w:rsidR="005624E3" w:rsidRPr="00921ED0" w:rsidRDefault="005624E3" w:rsidP="005624E3">
      <w:pPr>
        <w:overflowPunct w:val="0"/>
        <w:adjustRightInd w:val="0"/>
        <w:ind w:left="709" w:hanging="709"/>
        <w:rPr>
          <w:rFonts w:cs="Arial"/>
          <w:szCs w:val="20"/>
        </w:rPr>
      </w:pPr>
      <w:r w:rsidRPr="00921ED0">
        <w:t>3.1.2.</w:t>
      </w:r>
      <w:r w:rsidRPr="00921ED0">
        <w:tab/>
        <w:t>A teljes rendszer riasztásának aktiválásáig eltelt idő nem haladhatja meg a 20 s-t.</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3.1.3.</w:t>
      </w:r>
      <w:r w:rsidRPr="00921ED0">
        <w:tab/>
        <w:t>A 3.1.1. és a 3.1.2. pontban említett határértékek nem módosíthatók.</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3.1.4.</w:t>
      </w:r>
      <w:r w:rsidRPr="00921ED0">
        <w:tab/>
        <w:t>A tesztgáz előállítását úgy kell megtervezni, hogy minden megszakítás vagy dugulás észlelhető legyen. A mérési eredmények bármely meghamisítását, amelyet a levegő bejutása vagy szivárgás miatt bekövetkező tesztgázveszteség idézhet elő, el kell kerülni, vagy pedig észlelni és jelenteni kell.</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3.1.5.</w:t>
      </w:r>
      <w:r w:rsidRPr="00921ED0">
        <w:tab/>
        <w:t>A berendezést –10 és 40° C közötti hőmérsékleti tartományra, illetve 20 és 100 % közötti levegő-páratartalomra kell megtervezni.</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3.1.6.</w:t>
      </w:r>
      <w:r w:rsidRPr="00921ED0">
        <w:tab/>
        <w:t>A gázriasztó berendezésnek önellenőrzőnek kell lennie. Biztosítani kell, hogy a berendezést ne lehessen jogosulatlanul kikapcsolni.</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3.1.7.</w:t>
      </w:r>
      <w:r w:rsidRPr="00921ED0">
        <w:tab/>
        <w:t>A fedélzeti elektromos hálózatról táplált gázriasztó berendezést puffereléssel kell ellátni áramkimaradás esetére. Az akkumulátorról táplált készülékekre figyelmeztető eszközt kell felszerelni az akkumulátor-feszültség csökkenésének jelzésére.</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br w:type="page"/>
      </w:r>
    </w:p>
    <w:p w:rsidR="005624E3" w:rsidRPr="00921ED0" w:rsidRDefault="005624E3" w:rsidP="005624E3">
      <w:pPr>
        <w:tabs>
          <w:tab w:val="left" w:pos="709"/>
        </w:tabs>
        <w:overflowPunct w:val="0"/>
        <w:adjustRightInd w:val="0"/>
        <w:spacing w:line="240" w:lineRule="atLeast"/>
        <w:ind w:left="709" w:hanging="709"/>
        <w:rPr>
          <w:snapToGrid w:val="0"/>
        </w:rPr>
      </w:pPr>
      <w:r w:rsidRPr="00921ED0">
        <w:t>3.2.</w:t>
      </w:r>
      <w:r w:rsidRPr="00921ED0">
        <w:tab/>
        <w:t>A berendezés által teljesítendő követelmények:</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3.2.1.</w:t>
      </w:r>
      <w:r w:rsidRPr="00921ED0">
        <w:tab/>
        <w:t>A berendezésnek kiértékelő és kijelző egységet kell tartalmaznia.</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3.2.2.</w:t>
      </w:r>
      <w:r w:rsidRPr="00921ED0">
        <w:tab/>
        <w:t>A 3.1.1. a) és b) pontban feltüntetett határértékek elérésére vagy túllépésére figyelmeztető riasztásnak láthatónak és hallhatónak kell lennie a megfigyelt helyiségben és a kormányállásban vagy bármely más olyan helyen, ahol állandóan tartózkodik személyzet. Egyértelműen láthatónak és hallhatónak kell lennie még a legmagasabb zajszintű működési feltételek mellett is. Egyértelműen megkülönböztethetőnek kell lennie minden más akusztikai és optikai jelzéstől a védendő helyiségben. Az akusztikai jelzésnek zárt ajtók mellett is egyértelműen hallhatónak kell lennie a bejáratoknál és a szomszédos helyiségekben.</w:t>
      </w:r>
    </w:p>
    <w:p w:rsidR="005624E3" w:rsidRPr="00921ED0" w:rsidRDefault="005624E3" w:rsidP="005624E3">
      <w:pPr>
        <w:tabs>
          <w:tab w:val="left" w:pos="709"/>
        </w:tabs>
        <w:overflowPunct w:val="0"/>
        <w:adjustRightInd w:val="0"/>
        <w:spacing w:line="240" w:lineRule="atLeast"/>
        <w:ind w:left="709" w:hanging="709"/>
        <w:rPr>
          <w:snapToGrid w:val="0"/>
        </w:rPr>
      </w:pPr>
      <w:r w:rsidRPr="00921ED0">
        <w:tab/>
        <w:t xml:space="preserve">Az akusztikai jelzés aktiválás után elhallgattatható, az optikai jelzést viszont csak akkor lehet kiiktatni, ha a határértékek a 3.1.1. pontban említett értékek alá esnek. </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noProof/>
          <w:snapToGrid w:val="0"/>
        </w:rPr>
      </w:pPr>
      <w:r w:rsidRPr="00921ED0">
        <w:t>3.2.3.</w:t>
      </w:r>
      <w:r w:rsidRPr="00921ED0">
        <w:tab/>
        <w:t>Lehetővé kell tenni a 3.1.1. a) és b) pontban szereplő határértékek elérésének vagy túllépésének külön történő észlelését és az ezt feltüntető jelentések egyértelmű hozzárendelését.</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3.2.4.</w:t>
      </w:r>
      <w:r w:rsidRPr="00921ED0">
        <w:tab/>
        <w:t>Ha a berendezésnek van különleges állapota (beindítás, meghibásodás, kalibrálás, paraméterek beállítása, karbantartás stb.), ezt fel kell tüntetni. A teljes rendszer vagy valamely alkatrész hibáját a 3.2.2. pont előírásainak megfelelő riasztással kell jelezni. Az akusztikai jelzés aktiválás után elhallgattatható, az optikai jelzést viszont csak a hiba megszüntetése után lehet kiiktatni.</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3.2.5.</w:t>
      </w:r>
      <w:r w:rsidRPr="00921ED0">
        <w:tab/>
        <w:t>Ha kiadhatók különféle jelentések (határértékek, különleges állapot), akkor ezeknek külön-külön megkülönböztethetőknek és egyértelműen hozzárendelhetőknek kell lenniük. Szükség esetén arra utaló egységes jelzést kell adni, hogy nem adható ki az összes jelentés. Ebben az esetben a jelentéseket fontossági sorrendben kell kiadni, és a legmagasabb biztonsági relevanciával rendelkező jelentéssel kell kezdeni. A ki nem adható jelentéseknek gombnyomással megjeleníthetőknek kell lenniük. A fontossági sorrendnek egyértelműnek kell lennie a készülék dokumentációja alapján.</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noProof/>
          <w:snapToGrid w:val="0"/>
        </w:rPr>
      </w:pPr>
      <w:r w:rsidRPr="00921ED0">
        <w:t>3.2.6.</w:t>
      </w:r>
      <w:r w:rsidRPr="00921ED0">
        <w:tab/>
        <w:t>A berendezést úgy kell kialakítani, hogy az kizárja a jogosulatlan beavatkozást.</w:t>
      </w:r>
    </w:p>
    <w:p w:rsidR="005624E3" w:rsidRPr="00921ED0" w:rsidRDefault="005624E3" w:rsidP="005624E3">
      <w:pPr>
        <w:tabs>
          <w:tab w:val="left" w:pos="709"/>
        </w:tabs>
        <w:overflowPunct w:val="0"/>
        <w:adjustRightInd w:val="0"/>
        <w:spacing w:line="240" w:lineRule="atLeast"/>
        <w:ind w:left="709" w:hanging="709"/>
        <w:rPr>
          <w:noProof/>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3.2.7.</w:t>
      </w:r>
      <w:r w:rsidRPr="00921ED0">
        <w:tab/>
        <w:t>Minden olyan esetben, amikor érzékelőt és riasztót használnak, a riasztó vezérlőegységének és jelzőberendezésének a gáztároló és -fogyasztó készülékeknek helyet adó helyiségen kívülről működtethetőnek kell lennie.</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3.3.</w:t>
      </w:r>
      <w:r w:rsidRPr="00921ED0">
        <w:tab/>
        <w:t>Az érzékelők/mintavételi készülékek által teljesítendő követelmények:</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3.3.1.</w:t>
      </w:r>
      <w:r w:rsidRPr="00921ED0">
        <w:tab/>
        <w:t>Minden olyan helyiségben, ahol fogyasztó készülékek találhatók, e készülékek közelében gázérzékelő berendezést kell felszerelni. Az érzékelőket/mintavételi készülékeket oly módon kell felszerelni, hogy azok érzékeljék a gáz felhalmozódását a 3.1.1. pontban említett határértékek elérése előtt. Az érzékelők elrendezését és felszerelését dokumentálni kell. A helyek kiválasztását a gyártónak vagy a berendezés felszerelésére szakosodott cégnek meg kell indokolnia. A mintavételi készülékek csöveinek a lehető legrövidebbeknek kell lenniük.</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3.3.2.</w:t>
      </w:r>
      <w:r w:rsidRPr="00921ED0">
        <w:tab/>
        <w:t>Az érzékelőknek könnyen elérhetőeknek kell lenniük a rendszeres kalibrálás, karbantartás és biztonsági ellenőrzések lehetővé tétele érdekében.</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3.4.</w:t>
      </w:r>
      <w:r w:rsidRPr="00921ED0">
        <w:tab/>
        <w:t>A berendezés által teljesítendő követelmények:</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3.4.1.</w:t>
      </w:r>
      <w:r w:rsidRPr="00921ED0">
        <w:tab/>
        <w:t>A teljes gázriasztó berendezést erre szakosodott cégnek kell felszerelnie.</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br w:type="page"/>
      </w:r>
    </w:p>
    <w:p w:rsidR="005624E3" w:rsidRPr="00921ED0" w:rsidRDefault="005624E3" w:rsidP="005624E3">
      <w:pPr>
        <w:tabs>
          <w:tab w:val="left" w:pos="709"/>
        </w:tabs>
        <w:overflowPunct w:val="0"/>
        <w:adjustRightInd w:val="0"/>
        <w:spacing w:line="240" w:lineRule="atLeast"/>
        <w:ind w:left="709" w:hanging="709"/>
        <w:rPr>
          <w:noProof/>
          <w:snapToGrid w:val="0"/>
        </w:rPr>
      </w:pPr>
      <w:r w:rsidRPr="00921ED0">
        <w:t>3.4.2.</w:t>
      </w:r>
      <w:r w:rsidRPr="00921ED0">
        <w:tab/>
        <w:t>A felszerelés során figyelembe kell venni a következő szempontokat:</w:t>
      </w:r>
    </w:p>
    <w:p w:rsidR="005624E3" w:rsidRPr="00921ED0" w:rsidRDefault="005624E3" w:rsidP="005624E3">
      <w:pPr>
        <w:tabs>
          <w:tab w:val="left" w:pos="1134"/>
        </w:tabs>
        <w:overflowPunct w:val="0"/>
        <w:adjustRightInd w:val="0"/>
        <w:spacing w:before="60" w:line="240" w:lineRule="atLeast"/>
        <w:ind w:left="1134"/>
        <w:rPr>
          <w:noProof/>
          <w:snapToGrid w:val="0"/>
        </w:rPr>
      </w:pPr>
      <w:r w:rsidRPr="00921ED0">
        <w:t>a)</w:t>
      </w:r>
      <w:r w:rsidRPr="00921ED0">
        <w:tab/>
        <w:t>helyi szellőzési rendszerek;</w:t>
      </w:r>
    </w:p>
    <w:p w:rsidR="005624E3" w:rsidRPr="00921ED0" w:rsidRDefault="005624E3" w:rsidP="005624E3">
      <w:pPr>
        <w:tabs>
          <w:tab w:val="left" w:pos="1134"/>
        </w:tabs>
        <w:overflowPunct w:val="0"/>
        <w:adjustRightInd w:val="0"/>
        <w:spacing w:before="60" w:line="240" w:lineRule="atLeast"/>
        <w:ind w:left="1134"/>
        <w:rPr>
          <w:noProof/>
          <w:snapToGrid w:val="0"/>
        </w:rPr>
      </w:pPr>
      <w:r w:rsidRPr="00921ED0">
        <w:t>b)</w:t>
      </w:r>
      <w:r w:rsidRPr="00921ED0">
        <w:tab/>
        <w:t>szerkezeti megoldások (a falak, válaszfalak stb. konstrukciója), amelyek megkönnyítik vagy megnehezítik a gázok felhalmozódását; és</w:t>
      </w:r>
    </w:p>
    <w:p w:rsidR="005624E3" w:rsidRPr="00921ED0" w:rsidRDefault="005624E3" w:rsidP="005624E3">
      <w:pPr>
        <w:tabs>
          <w:tab w:val="left" w:pos="1134"/>
        </w:tabs>
        <w:overflowPunct w:val="0"/>
        <w:adjustRightInd w:val="0"/>
        <w:spacing w:before="60" w:line="240" w:lineRule="atLeast"/>
        <w:ind w:left="1134"/>
        <w:rPr>
          <w:noProof/>
          <w:snapToGrid w:val="0"/>
        </w:rPr>
      </w:pPr>
      <w:r w:rsidRPr="00921ED0">
        <w:t>c)</w:t>
      </w:r>
      <w:r w:rsidRPr="00921ED0">
        <w:tab/>
        <w:t>a mechanikus sérülések, víz vagy hő által okozott rongálódások káros hatásainak megelőzése.</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3.4.3.</w:t>
      </w:r>
      <w:r w:rsidRPr="00921ED0">
        <w:tab/>
        <w:t>A mintavételi készülékek csövezését oly módon kell elrendezni, hogy az megakadályozza a páralecsapódást.</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3.4.4.</w:t>
      </w:r>
      <w:r w:rsidRPr="00921ED0">
        <w:tab/>
        <w:t>A berendezés felszerelési módjának ki kell zárnia jogosultsággal nem rendelkező személyek hozzáférését.</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4.</w:t>
      </w:r>
      <w:r w:rsidRPr="00921ED0">
        <w:tab/>
        <w:t>Gázszivárgás-érzékelők kalibrálása és ellenőrzése, a korlátozott üzemidejű alkatrészek cseréje</w:t>
      </w:r>
    </w:p>
    <w:p w:rsidR="005624E3" w:rsidRPr="00921ED0" w:rsidRDefault="005624E3" w:rsidP="005624E3">
      <w:pPr>
        <w:overflowPunct w:val="0"/>
        <w:adjustRightInd w:val="0"/>
        <w:spacing w:line="240" w:lineRule="atLeast"/>
        <w:rPr>
          <w:b/>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4.1.</w:t>
      </w:r>
      <w:r w:rsidRPr="00921ED0">
        <w:tab/>
        <w:t>A gázszivárgás-érzékelőket a gyártó útmutatásainak megfelelően szakértő vagy hozzáértő személy kalibrálja és ellenőrzi:</w:t>
      </w:r>
    </w:p>
    <w:p w:rsidR="005624E3" w:rsidRPr="00921ED0" w:rsidRDefault="005624E3" w:rsidP="005624E3">
      <w:pPr>
        <w:tabs>
          <w:tab w:val="left" w:pos="1134"/>
        </w:tabs>
        <w:overflowPunct w:val="0"/>
        <w:adjustRightInd w:val="0"/>
        <w:spacing w:before="60" w:line="240" w:lineRule="atLeast"/>
        <w:ind w:left="1134"/>
        <w:rPr>
          <w:noProof/>
          <w:snapToGrid w:val="0"/>
        </w:rPr>
      </w:pPr>
      <w:r w:rsidRPr="00921ED0">
        <w:t>a)</w:t>
      </w:r>
      <w:r w:rsidRPr="00921ED0">
        <w:tab/>
        <w:t>az első használatbavétel előtt;</w:t>
      </w:r>
    </w:p>
    <w:p w:rsidR="005624E3" w:rsidRPr="00921ED0" w:rsidRDefault="005624E3" w:rsidP="005624E3">
      <w:pPr>
        <w:tabs>
          <w:tab w:val="left" w:pos="1134"/>
        </w:tabs>
        <w:overflowPunct w:val="0"/>
        <w:adjustRightInd w:val="0"/>
        <w:spacing w:before="60" w:line="240" w:lineRule="atLeast"/>
        <w:ind w:left="1134"/>
        <w:rPr>
          <w:noProof/>
          <w:snapToGrid w:val="0"/>
        </w:rPr>
      </w:pPr>
      <w:r w:rsidRPr="00921ED0">
        <w:t>b)</w:t>
      </w:r>
      <w:r w:rsidRPr="00921ED0">
        <w:tab/>
        <w:t>jelentős módosítást vagy javítást követő újbóli üzembe helyezés előtt;</w:t>
      </w:r>
    </w:p>
    <w:p w:rsidR="005624E3" w:rsidRPr="00921ED0" w:rsidRDefault="005624E3" w:rsidP="005624E3">
      <w:pPr>
        <w:tabs>
          <w:tab w:val="left" w:pos="1134"/>
        </w:tabs>
        <w:overflowPunct w:val="0"/>
        <w:adjustRightInd w:val="0"/>
        <w:spacing w:before="60" w:line="240" w:lineRule="atLeast"/>
        <w:ind w:left="1134"/>
        <w:rPr>
          <w:noProof/>
          <w:snapToGrid w:val="0"/>
        </w:rPr>
      </w:pPr>
      <w:r w:rsidRPr="00921ED0">
        <w:t>c)</w:t>
      </w:r>
      <w:r w:rsidRPr="00921ED0">
        <w:tab/>
        <w:t>rendszeresen.</w:t>
      </w:r>
    </w:p>
    <w:p w:rsidR="005624E3" w:rsidRPr="00921ED0" w:rsidRDefault="005624E3" w:rsidP="005624E3">
      <w:pPr>
        <w:tabs>
          <w:tab w:val="left" w:pos="1134"/>
        </w:tabs>
        <w:overflowPunct w:val="0"/>
        <w:adjustRightInd w:val="0"/>
        <w:spacing w:before="60" w:line="240" w:lineRule="atLeast"/>
        <w:ind w:left="709"/>
        <w:rPr>
          <w:noProof/>
          <w:snapToGrid w:val="0"/>
        </w:rPr>
      </w:pPr>
      <w:r w:rsidRPr="00921ED0">
        <w:t>Kalibrálási és ellenőrzési igazolást kell kiadni, amely tartalmazza a szakértő vagy a hozzáértő személy aláírását és az ellenőrzés dátumát.</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4.2.</w:t>
      </w:r>
      <w:r w:rsidRPr="00921ED0">
        <w:tab/>
        <w:t>A gázriasztó berendezések korlátozott üzemidejű alkatrészeit megadott üzemi élettartamuk lejárta előtt ki kell cserélni.</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snapToGrid w:val="0"/>
        </w:rPr>
      </w:pPr>
      <w:r w:rsidRPr="00921ED0">
        <w:t>5.</w:t>
      </w:r>
      <w:r w:rsidRPr="00921ED0">
        <w:tab/>
        <w:t>Jelölések</w:t>
      </w:r>
    </w:p>
    <w:p w:rsidR="005624E3" w:rsidRPr="00921ED0" w:rsidRDefault="005624E3" w:rsidP="005624E3">
      <w:pPr>
        <w:tabs>
          <w:tab w:val="left" w:pos="709"/>
        </w:tabs>
        <w:overflowPunct w:val="0"/>
        <w:adjustRightInd w:val="0"/>
        <w:spacing w:line="240" w:lineRule="atLeast"/>
        <w:ind w:left="709" w:hanging="709"/>
        <w:rPr>
          <w:snapToGrid w:val="0"/>
        </w:rPr>
      </w:pPr>
    </w:p>
    <w:p w:rsidR="005624E3" w:rsidRPr="00921ED0" w:rsidRDefault="005624E3" w:rsidP="005624E3">
      <w:pPr>
        <w:tabs>
          <w:tab w:val="left" w:pos="709"/>
        </w:tabs>
        <w:overflowPunct w:val="0"/>
        <w:adjustRightInd w:val="0"/>
        <w:spacing w:line="240" w:lineRule="atLeast"/>
        <w:ind w:left="709" w:hanging="709"/>
        <w:rPr>
          <w:noProof/>
          <w:snapToGrid w:val="0"/>
        </w:rPr>
      </w:pPr>
      <w:r w:rsidRPr="00921ED0">
        <w:t>5.1.</w:t>
      </w:r>
      <w:r w:rsidRPr="00921ED0">
        <w:tab/>
        <w:t>Az összes készüléken világosan olvashatóan és kitörölhetetlenül fel kell tüntetni legalább a következő információkat:</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921ED0">
        <w:t xml:space="preserve"> </w:t>
      </w:r>
      <w:r w:rsidRPr="00166EA9">
        <w:rPr>
          <w:lang w:val="pt-PT"/>
        </w:rPr>
        <w:t>a)</w:t>
      </w:r>
      <w:r w:rsidRPr="00166EA9">
        <w:rPr>
          <w:lang w:val="pt-PT"/>
        </w:rPr>
        <w:tab/>
        <w:t>a gyártó neve és címe,</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b)</w:t>
      </w:r>
      <w:r w:rsidRPr="00166EA9">
        <w:rPr>
          <w:lang w:val="pt-PT"/>
        </w:rPr>
        <w:tab/>
        <w:t>jogi jelölések,</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c)</w:t>
      </w:r>
      <w:r w:rsidRPr="00166EA9">
        <w:rPr>
          <w:lang w:val="pt-PT"/>
        </w:rPr>
        <w:tab/>
        <w:t>sorozat és típus megjelölése,</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d)</w:t>
      </w:r>
      <w:r w:rsidRPr="00166EA9">
        <w:rPr>
          <w:lang w:val="pt-PT"/>
        </w:rPr>
        <w:tab/>
        <w:t>sorszám, ha van,</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e)</w:t>
      </w:r>
      <w:r w:rsidRPr="00166EA9">
        <w:rPr>
          <w:lang w:val="pt-PT"/>
        </w:rPr>
        <w:tab/>
        <w:t>szükség esetén a biztonságos használathoz elengedhetetlen tanácsok; és</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f)</w:t>
      </w:r>
      <w:r w:rsidRPr="00166EA9">
        <w:rPr>
          <w:lang w:val="pt-PT"/>
        </w:rPr>
        <w:tab/>
        <w:t>a kalibráláshoz használt gáz minden egyes érzékelő esetében.</w:t>
      </w:r>
    </w:p>
    <w:p w:rsidR="005624E3" w:rsidRPr="00166EA9" w:rsidRDefault="005624E3" w:rsidP="005624E3">
      <w:pPr>
        <w:tabs>
          <w:tab w:val="left" w:pos="709"/>
        </w:tabs>
        <w:overflowPunct w:val="0"/>
        <w:adjustRightInd w:val="0"/>
        <w:spacing w:line="240" w:lineRule="atLeast"/>
        <w:ind w:left="709" w:hanging="709"/>
        <w:rPr>
          <w:snapToGrid w:val="0"/>
          <w:lang w:val="pt-PT"/>
        </w:rPr>
      </w:pPr>
    </w:p>
    <w:p w:rsidR="005624E3" w:rsidRPr="00166EA9" w:rsidRDefault="005624E3" w:rsidP="005624E3">
      <w:pPr>
        <w:tabs>
          <w:tab w:val="left" w:pos="709"/>
        </w:tabs>
        <w:overflowPunct w:val="0"/>
        <w:adjustRightInd w:val="0"/>
        <w:spacing w:line="240" w:lineRule="atLeast"/>
        <w:ind w:left="709" w:hanging="709"/>
        <w:rPr>
          <w:snapToGrid w:val="0"/>
          <w:lang w:val="pt-PT"/>
        </w:rPr>
      </w:pPr>
      <w:r w:rsidRPr="00166EA9">
        <w:rPr>
          <w:lang w:val="pt-PT"/>
        </w:rPr>
        <w:t>5.2.</w:t>
      </w:r>
      <w:r w:rsidRPr="00166EA9">
        <w:rPr>
          <w:lang w:val="pt-PT"/>
        </w:rPr>
        <w:tab/>
        <w:t>A gázriasztó berendezés korlátozott élettartamú alkatrészeit egyértelműen jelölni kell.</w:t>
      </w:r>
    </w:p>
    <w:p w:rsidR="005624E3" w:rsidRPr="00166EA9" w:rsidRDefault="005624E3" w:rsidP="005624E3">
      <w:pPr>
        <w:tabs>
          <w:tab w:val="left" w:pos="709"/>
        </w:tabs>
        <w:overflowPunct w:val="0"/>
        <w:adjustRightInd w:val="0"/>
        <w:spacing w:line="240" w:lineRule="atLeast"/>
        <w:ind w:left="709" w:hanging="709"/>
        <w:rPr>
          <w:snapToGrid w:val="0"/>
          <w:lang w:val="pt-PT"/>
        </w:rPr>
      </w:pPr>
    </w:p>
    <w:p w:rsidR="005624E3" w:rsidRPr="00166EA9" w:rsidRDefault="005624E3" w:rsidP="005624E3">
      <w:pPr>
        <w:tabs>
          <w:tab w:val="left" w:pos="709"/>
        </w:tabs>
        <w:overflowPunct w:val="0"/>
        <w:adjustRightInd w:val="0"/>
        <w:spacing w:line="240" w:lineRule="atLeast"/>
        <w:ind w:left="709" w:hanging="709"/>
        <w:rPr>
          <w:snapToGrid w:val="0"/>
          <w:lang w:val="pt-PT"/>
        </w:rPr>
      </w:pPr>
      <w:r w:rsidRPr="00166EA9">
        <w:rPr>
          <w:lang w:val="pt-PT"/>
        </w:rPr>
        <w:br w:type="page"/>
      </w:r>
    </w:p>
    <w:p w:rsidR="005624E3" w:rsidRPr="00166EA9" w:rsidRDefault="005624E3" w:rsidP="005624E3">
      <w:pPr>
        <w:tabs>
          <w:tab w:val="left" w:pos="709"/>
        </w:tabs>
        <w:overflowPunct w:val="0"/>
        <w:adjustRightInd w:val="0"/>
        <w:spacing w:line="240" w:lineRule="atLeast"/>
        <w:ind w:left="709" w:hanging="709"/>
        <w:rPr>
          <w:snapToGrid w:val="0"/>
          <w:lang w:val="pt-PT"/>
        </w:rPr>
      </w:pPr>
      <w:r w:rsidRPr="00166EA9">
        <w:rPr>
          <w:lang w:val="pt-PT"/>
        </w:rPr>
        <w:t>6.</w:t>
      </w:r>
      <w:r w:rsidRPr="00166EA9">
        <w:rPr>
          <w:lang w:val="pt-PT"/>
        </w:rPr>
        <w:tab/>
        <w:t>A gázriasztó berendezés gyártója által megadott adatok:</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a)</w:t>
      </w:r>
      <w:r w:rsidRPr="00166EA9">
        <w:rPr>
          <w:lang w:val="pt-PT"/>
        </w:rPr>
        <w:tab/>
        <w:t>a gázriasztó berendezés biztonságos és megfelelő működtetéséhez, valamint a felszereléshez, beindításhoz és karbantartáshoz szükséges hiánytalan utasítások, műszaki rajzok és ábrák;</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b)</w:t>
      </w:r>
      <w:r w:rsidRPr="00166EA9">
        <w:rPr>
          <w:lang w:val="pt-PT"/>
        </w:rPr>
        <w:tab/>
        <w:t>használati utasítás, amelynek legalább a következőket kell tartalmaznia:</w:t>
      </w:r>
    </w:p>
    <w:p w:rsidR="005624E3" w:rsidRPr="00166EA9" w:rsidRDefault="005624E3" w:rsidP="005624E3">
      <w:pPr>
        <w:tabs>
          <w:tab w:val="left" w:pos="1134"/>
        </w:tabs>
        <w:overflowPunct w:val="0"/>
        <w:adjustRightInd w:val="0"/>
        <w:spacing w:before="60" w:line="240" w:lineRule="atLeast"/>
        <w:ind w:left="1559"/>
        <w:rPr>
          <w:noProof/>
          <w:snapToGrid w:val="0"/>
          <w:lang w:val="pt-PT"/>
        </w:rPr>
      </w:pPr>
      <w:r w:rsidRPr="00166EA9">
        <w:rPr>
          <w:lang w:val="pt-PT"/>
        </w:rPr>
        <w:t>aa)</w:t>
      </w:r>
      <w:r w:rsidRPr="00166EA9">
        <w:rPr>
          <w:lang w:val="pt-PT"/>
        </w:rPr>
        <w:tab/>
        <w:t>riasztás vagy hibajelzés esetén követendő lépések;</w:t>
      </w:r>
    </w:p>
    <w:p w:rsidR="005624E3" w:rsidRPr="00166EA9" w:rsidRDefault="005624E3" w:rsidP="005624E3">
      <w:pPr>
        <w:tabs>
          <w:tab w:val="left" w:pos="1134"/>
        </w:tabs>
        <w:overflowPunct w:val="0"/>
        <w:adjustRightInd w:val="0"/>
        <w:spacing w:before="60" w:line="240" w:lineRule="atLeast"/>
        <w:ind w:left="1559"/>
        <w:rPr>
          <w:noProof/>
          <w:snapToGrid w:val="0"/>
          <w:lang w:val="pt-PT"/>
        </w:rPr>
      </w:pPr>
      <w:r w:rsidRPr="00166EA9">
        <w:rPr>
          <w:lang w:val="pt-PT"/>
        </w:rPr>
        <w:t>bb)</w:t>
      </w:r>
      <w:r w:rsidRPr="00166EA9">
        <w:rPr>
          <w:lang w:val="pt-PT"/>
        </w:rPr>
        <w:tab/>
        <w:t>a berendezés működésképtelenségének eseteire vonatkozó biztonsági intézkedések (például kalibrálás, ellenőrzés, üzemzavar); és</w:t>
      </w:r>
    </w:p>
    <w:p w:rsidR="005624E3" w:rsidRPr="00166EA9" w:rsidRDefault="005624E3" w:rsidP="005624E3">
      <w:pPr>
        <w:tabs>
          <w:tab w:val="left" w:pos="1134"/>
        </w:tabs>
        <w:overflowPunct w:val="0"/>
        <w:adjustRightInd w:val="0"/>
        <w:spacing w:before="60" w:line="240" w:lineRule="atLeast"/>
        <w:ind w:left="1559"/>
        <w:rPr>
          <w:noProof/>
          <w:snapToGrid w:val="0"/>
          <w:lang w:val="pt-PT"/>
        </w:rPr>
      </w:pPr>
      <w:r w:rsidRPr="00166EA9">
        <w:rPr>
          <w:lang w:val="pt-PT"/>
        </w:rPr>
        <w:t>cc)</w:t>
      </w:r>
      <w:r w:rsidRPr="00166EA9">
        <w:rPr>
          <w:lang w:val="pt-PT"/>
        </w:rPr>
        <w:tab/>
        <w:t>a felszerelésért és a karbantartásért felelős személyek,</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c)</w:t>
      </w:r>
      <w:r w:rsidRPr="00166EA9">
        <w:rPr>
          <w:lang w:val="pt-PT"/>
        </w:rPr>
        <w:tab/>
        <w:t>a beindítás előtt végrehajtandó, valamint a rutinjellegű kalibrálásokra vonatkozó utasítások, a betartandó időintervallumokkal együtt;</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d)</w:t>
      </w:r>
      <w:r w:rsidRPr="00166EA9">
        <w:rPr>
          <w:lang w:val="pt-PT"/>
        </w:rPr>
        <w:tab/>
        <w:t>tápfeszültség;</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e)</w:t>
      </w:r>
      <w:r w:rsidRPr="00166EA9">
        <w:rPr>
          <w:lang w:val="pt-PT"/>
        </w:rPr>
        <w:tab/>
        <w:t>a riasztások típusa és kijelzései (például különleges állapot);</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f)</w:t>
      </w:r>
      <w:r w:rsidRPr="00166EA9">
        <w:rPr>
          <w:lang w:val="pt-PT"/>
        </w:rPr>
        <w:tab/>
        <w:t>a működtetési nehézségek észlelésével és a hibaelhárítással kapcsolatos információk;</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g)</w:t>
      </w:r>
      <w:r w:rsidRPr="00166EA9">
        <w:rPr>
          <w:lang w:val="pt-PT"/>
        </w:rPr>
        <w:tab/>
        <w:t>a korlátozott élettartamú alkatrészek cseréjének típusa és hatóköre; és</w:t>
      </w:r>
    </w:p>
    <w:p w:rsidR="005624E3" w:rsidRPr="00166EA9" w:rsidRDefault="005624E3" w:rsidP="005624E3">
      <w:pPr>
        <w:tabs>
          <w:tab w:val="left" w:pos="1134"/>
        </w:tabs>
        <w:overflowPunct w:val="0"/>
        <w:adjustRightInd w:val="0"/>
        <w:spacing w:before="60" w:line="240" w:lineRule="atLeast"/>
        <w:ind w:left="1134"/>
        <w:rPr>
          <w:noProof/>
          <w:snapToGrid w:val="0"/>
          <w:lang w:val="pt-PT"/>
        </w:rPr>
      </w:pPr>
      <w:r w:rsidRPr="00166EA9">
        <w:rPr>
          <w:lang w:val="pt-PT"/>
        </w:rPr>
        <w:t>h)</w:t>
      </w:r>
      <w:r w:rsidRPr="00166EA9">
        <w:rPr>
          <w:lang w:val="pt-PT"/>
        </w:rPr>
        <w:tab/>
        <w:t>az ellenőrzések típusa, hatóköre és gyakorisága.</w:t>
      </w: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sectPr w:rsidR="005624E3" w:rsidRPr="00166EA9" w:rsidSect="00D45887">
          <w:footnotePr>
            <w:numRestart w:val="eachPage"/>
          </w:footnotePr>
          <w:pgSz w:w="11907" w:h="16840" w:code="9"/>
          <w:pgMar w:top="1418" w:right="1418" w:bottom="1418" w:left="1418" w:header="680" w:footer="680" w:gutter="0"/>
          <w:cols w:space="720"/>
          <w:docGrid w:linePitch="326"/>
        </w:sectPr>
      </w:pPr>
    </w:p>
    <w:p w:rsidR="005624E3" w:rsidRPr="00166EA9" w:rsidRDefault="005624E3" w:rsidP="005624E3">
      <w:pPr>
        <w:pStyle w:val="ES-Titre2ESI"/>
        <w:rPr>
          <w:szCs w:val="20"/>
          <w:lang w:val="pt-PT"/>
        </w:rPr>
      </w:pPr>
      <w:bookmarkStart w:id="775" w:name="_Toc491854369"/>
      <w:bookmarkStart w:id="776" w:name="_Toc535854150"/>
      <w:r w:rsidRPr="00166EA9">
        <w:rPr>
          <w:lang w:val="pt-PT"/>
        </w:rPr>
        <w:t>ESI-III-6</w:t>
      </w:r>
      <w:r w:rsidRPr="00166EA9">
        <w:rPr>
          <w:lang w:val="pt-PT"/>
        </w:rPr>
        <w:br/>
        <w:t>A merev összeállítás továbbítására alkalmas és a merev összeállításban továbbítható vízi járművek csatolórendszerei és csatolóeszközei</w:t>
      </w:r>
      <w:bookmarkEnd w:id="775"/>
      <w:bookmarkEnd w:id="776"/>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jc w:val="center"/>
        <w:textAlignment w:val="baseline"/>
        <w:rPr>
          <w:b/>
          <w:szCs w:val="20"/>
          <w:lang w:val="pt-PT"/>
        </w:rPr>
      </w:pPr>
      <w:r w:rsidRPr="00166EA9">
        <w:rPr>
          <w:b/>
          <w:lang w:val="pt-PT"/>
        </w:rPr>
        <w:t>(21.01., 21.02., 21.06. és 21.07. cikk)</w:t>
      </w:r>
    </w:p>
    <w:p w:rsidR="005624E3" w:rsidRPr="00166EA9" w:rsidRDefault="005624E3" w:rsidP="005624E3">
      <w:pPr>
        <w:overflowPunct w:val="0"/>
        <w:adjustRightInd w:val="0"/>
        <w:jc w:val="center"/>
        <w:textAlignment w:val="baseline"/>
        <w:rPr>
          <w:szCs w:val="20"/>
          <w:lang w:val="pt-PT"/>
        </w:rPr>
      </w:pPr>
    </w:p>
    <w:p w:rsidR="005624E3" w:rsidRPr="00166EA9" w:rsidRDefault="005624E3" w:rsidP="005624E3">
      <w:pPr>
        <w:overflowPunct w:val="0"/>
        <w:adjustRightInd w:val="0"/>
        <w:textAlignment w:val="baseline"/>
        <w:rPr>
          <w:szCs w:val="20"/>
          <w:lang w:val="pt-PT"/>
        </w:rPr>
      </w:pPr>
      <w:r w:rsidRPr="00166EA9">
        <w:rPr>
          <w:lang w:val="pt-PT"/>
        </w:rPr>
        <w:t>A 21. fejezetben megadott követelményeken kívül figyelembe kell venni a tagállamok hivatalos hajózási szabályzataiban szereplő vonatkozó rendelkezéseket is.</w:t>
      </w:r>
    </w:p>
    <w:p w:rsidR="005624E3" w:rsidRPr="00166EA9" w:rsidRDefault="005624E3" w:rsidP="005624E3">
      <w:pPr>
        <w:overflowPunct w:val="0"/>
        <w:adjustRightInd w:val="0"/>
        <w:textAlignment w:val="baseline"/>
        <w:rPr>
          <w:szCs w:val="20"/>
          <w:lang w:val="pt-PT"/>
        </w:rPr>
      </w:pPr>
    </w:p>
    <w:p w:rsidR="005624E3" w:rsidRPr="00166EA9" w:rsidRDefault="005624E3" w:rsidP="005624E3">
      <w:pPr>
        <w:tabs>
          <w:tab w:val="left" w:pos="709"/>
        </w:tabs>
        <w:overflowPunct w:val="0"/>
        <w:adjustRightInd w:val="0"/>
        <w:ind w:left="709" w:hanging="709"/>
        <w:textAlignment w:val="baseline"/>
        <w:rPr>
          <w:b/>
          <w:szCs w:val="20"/>
          <w:lang w:val="pt-PT"/>
        </w:rPr>
      </w:pPr>
      <w:r w:rsidRPr="00166EA9">
        <w:rPr>
          <w:b/>
          <w:lang w:val="pt-PT"/>
        </w:rPr>
        <w:t>1.</w:t>
      </w:r>
      <w:r w:rsidRPr="00166EA9">
        <w:rPr>
          <w:lang w:val="pt-PT"/>
        </w:rPr>
        <w:tab/>
      </w:r>
      <w:r w:rsidRPr="00166EA9">
        <w:rPr>
          <w:b/>
          <w:lang w:val="pt-PT"/>
        </w:rPr>
        <w:t>Általános követelmények</w:t>
      </w:r>
    </w:p>
    <w:p w:rsidR="005624E3" w:rsidRPr="00166EA9" w:rsidRDefault="005624E3" w:rsidP="005624E3">
      <w:pPr>
        <w:tabs>
          <w:tab w:val="left" w:pos="709"/>
        </w:tabs>
        <w:overflowPunct w:val="0"/>
        <w:adjustRightInd w:val="0"/>
        <w:ind w:left="709" w:hanging="709"/>
        <w:textAlignment w:val="baseline"/>
        <w:rPr>
          <w:szCs w:val="20"/>
          <w:lang w:val="pt-PT"/>
        </w:rPr>
      </w:pPr>
    </w:p>
    <w:p w:rsidR="005624E3" w:rsidRPr="00166EA9" w:rsidRDefault="005624E3" w:rsidP="005624E3">
      <w:pPr>
        <w:tabs>
          <w:tab w:val="left" w:pos="709"/>
        </w:tabs>
        <w:overflowPunct w:val="0"/>
        <w:adjustRightInd w:val="0"/>
        <w:ind w:left="709" w:hanging="709"/>
        <w:textAlignment w:val="baseline"/>
        <w:rPr>
          <w:szCs w:val="20"/>
          <w:lang w:val="pt-PT"/>
        </w:rPr>
      </w:pPr>
      <w:r w:rsidRPr="00166EA9">
        <w:rPr>
          <w:lang w:val="pt-PT"/>
        </w:rPr>
        <w:t>1.1.</w:t>
      </w:r>
      <w:r w:rsidRPr="00166EA9">
        <w:rPr>
          <w:lang w:val="pt-PT"/>
        </w:rPr>
        <w:tab/>
        <w:t>Minden csatolórendszernek biztosítania kell a kötelékhez tartozó összes vízi jármű merev csatolását, vagyis az előre látható működési feltételek mellett a csatolóeszköznek meg kell akadályoznia a hajók közötti hosszirányú és keresztirányú elmozdulást, hogy a vízijármű-összeállítás ily módon „navigációs egységnek” legyen tekinthető.</w:t>
      </w:r>
    </w:p>
    <w:p w:rsidR="005624E3" w:rsidRPr="00166EA9" w:rsidRDefault="005624E3" w:rsidP="005624E3">
      <w:pPr>
        <w:tabs>
          <w:tab w:val="left" w:pos="709"/>
        </w:tabs>
        <w:overflowPunct w:val="0"/>
        <w:adjustRightInd w:val="0"/>
        <w:ind w:left="709" w:hanging="709"/>
        <w:textAlignment w:val="baseline"/>
        <w:rPr>
          <w:szCs w:val="20"/>
          <w:lang w:val="pt-PT"/>
        </w:rPr>
      </w:pPr>
    </w:p>
    <w:p w:rsidR="005624E3" w:rsidRPr="00166EA9" w:rsidRDefault="005624E3" w:rsidP="005624E3">
      <w:pPr>
        <w:tabs>
          <w:tab w:val="left" w:pos="709"/>
        </w:tabs>
        <w:overflowPunct w:val="0"/>
        <w:adjustRightInd w:val="0"/>
        <w:ind w:left="709" w:hanging="709"/>
        <w:textAlignment w:val="baseline"/>
        <w:rPr>
          <w:szCs w:val="20"/>
          <w:lang w:val="pt-PT"/>
        </w:rPr>
      </w:pPr>
      <w:r w:rsidRPr="00166EA9">
        <w:rPr>
          <w:lang w:val="pt-PT"/>
        </w:rPr>
        <w:t>1.2.</w:t>
      </w:r>
      <w:r w:rsidRPr="00166EA9">
        <w:rPr>
          <w:lang w:val="pt-PT"/>
        </w:rPr>
        <w:tab/>
        <w:t>A csatolórendszernek és alkatrészeinek biztonságosan és egyszerűen kezelhetőnek kell lenniük, és lehetővé kell tenniük a vízi járművek gyors összecsatolását, a személyzet veszélyeztetése nélkül.</w:t>
      </w:r>
    </w:p>
    <w:p w:rsidR="005624E3" w:rsidRPr="00166EA9" w:rsidRDefault="005624E3" w:rsidP="005624E3">
      <w:pPr>
        <w:tabs>
          <w:tab w:val="left" w:pos="709"/>
        </w:tabs>
        <w:overflowPunct w:val="0"/>
        <w:adjustRightInd w:val="0"/>
        <w:ind w:left="709" w:hanging="709"/>
        <w:textAlignment w:val="baseline"/>
        <w:rPr>
          <w:szCs w:val="20"/>
          <w:lang w:val="pt-PT"/>
        </w:rPr>
      </w:pPr>
    </w:p>
    <w:p w:rsidR="005624E3" w:rsidRPr="00166EA9" w:rsidRDefault="005624E3" w:rsidP="005624E3">
      <w:pPr>
        <w:tabs>
          <w:tab w:val="left" w:pos="709"/>
        </w:tabs>
        <w:overflowPunct w:val="0"/>
        <w:adjustRightInd w:val="0"/>
        <w:ind w:left="709" w:hanging="709"/>
        <w:textAlignment w:val="baseline"/>
        <w:rPr>
          <w:szCs w:val="20"/>
          <w:lang w:val="pt-PT"/>
        </w:rPr>
      </w:pPr>
      <w:r w:rsidRPr="00166EA9">
        <w:rPr>
          <w:lang w:val="pt-PT"/>
        </w:rPr>
        <w:t>1.3.</w:t>
      </w:r>
      <w:r w:rsidRPr="00166EA9">
        <w:rPr>
          <w:lang w:val="pt-PT"/>
        </w:rPr>
        <w:tab/>
        <w:t>Az előrelátható működési feltételek során fellépő erőket a csatolórendszernek és alkatrészeinek megfelelő módon el kell nyelnie és biztonságosan kell átadnia a hajó szerkezetének.</w:t>
      </w:r>
    </w:p>
    <w:p w:rsidR="005624E3" w:rsidRPr="00166EA9" w:rsidRDefault="005624E3" w:rsidP="005624E3">
      <w:pPr>
        <w:tabs>
          <w:tab w:val="left" w:pos="709"/>
        </w:tabs>
        <w:overflowPunct w:val="0"/>
        <w:adjustRightInd w:val="0"/>
        <w:ind w:left="709" w:hanging="709"/>
        <w:textAlignment w:val="baseline"/>
        <w:rPr>
          <w:szCs w:val="20"/>
          <w:lang w:val="pt-PT"/>
        </w:rPr>
      </w:pPr>
    </w:p>
    <w:p w:rsidR="005624E3" w:rsidRPr="00166EA9" w:rsidRDefault="005624E3" w:rsidP="005624E3">
      <w:pPr>
        <w:tabs>
          <w:tab w:val="left" w:pos="709"/>
        </w:tabs>
        <w:overflowPunct w:val="0"/>
        <w:adjustRightInd w:val="0"/>
        <w:ind w:left="709" w:hanging="709"/>
        <w:textAlignment w:val="baseline"/>
        <w:rPr>
          <w:szCs w:val="20"/>
          <w:lang w:val="pt-PT"/>
        </w:rPr>
      </w:pPr>
      <w:r w:rsidRPr="00166EA9">
        <w:rPr>
          <w:lang w:val="pt-PT"/>
        </w:rPr>
        <w:t>1.4.</w:t>
      </w:r>
      <w:r w:rsidRPr="00166EA9">
        <w:rPr>
          <w:lang w:val="pt-PT"/>
        </w:rPr>
        <w:tab/>
        <w:t>Elegendő számú csatolási pontnak kell rendelkezésre állnia.</w:t>
      </w:r>
    </w:p>
    <w:p w:rsidR="005624E3" w:rsidRPr="00166EA9" w:rsidRDefault="005624E3" w:rsidP="005624E3">
      <w:pPr>
        <w:tabs>
          <w:tab w:val="left" w:pos="709"/>
        </w:tabs>
        <w:overflowPunct w:val="0"/>
        <w:adjustRightInd w:val="0"/>
        <w:ind w:left="709" w:hanging="709"/>
        <w:textAlignment w:val="baseline"/>
        <w:rPr>
          <w:szCs w:val="20"/>
          <w:lang w:val="pt-PT"/>
        </w:rPr>
      </w:pPr>
    </w:p>
    <w:p w:rsidR="005624E3" w:rsidRPr="00166EA9" w:rsidRDefault="005624E3" w:rsidP="005624E3">
      <w:pPr>
        <w:tabs>
          <w:tab w:val="left" w:pos="709"/>
        </w:tabs>
        <w:overflowPunct w:val="0"/>
        <w:adjustRightInd w:val="0"/>
        <w:ind w:left="709" w:hanging="709"/>
        <w:textAlignment w:val="baseline"/>
        <w:rPr>
          <w:b/>
          <w:szCs w:val="20"/>
          <w:lang w:val="pt-PT"/>
        </w:rPr>
      </w:pPr>
      <w:r w:rsidRPr="00166EA9">
        <w:rPr>
          <w:b/>
          <w:lang w:val="pt-PT"/>
        </w:rPr>
        <w:t>2.</w:t>
      </w:r>
      <w:r w:rsidRPr="00166EA9">
        <w:rPr>
          <w:lang w:val="pt-PT"/>
        </w:rPr>
        <w:tab/>
      </w:r>
      <w:r w:rsidRPr="00166EA9">
        <w:rPr>
          <w:b/>
          <w:lang w:val="pt-PT"/>
        </w:rPr>
        <w:t>A csatolóeszközök csatolási ereje és méretezése</w:t>
      </w:r>
    </w:p>
    <w:p w:rsidR="005624E3" w:rsidRPr="00166EA9" w:rsidRDefault="005624E3" w:rsidP="005624E3">
      <w:pPr>
        <w:tabs>
          <w:tab w:val="left" w:pos="709"/>
        </w:tabs>
        <w:overflowPunct w:val="0"/>
        <w:adjustRightInd w:val="0"/>
        <w:ind w:left="709" w:hanging="709"/>
        <w:textAlignment w:val="baseline"/>
        <w:rPr>
          <w:szCs w:val="20"/>
          <w:lang w:val="pt-PT"/>
        </w:rPr>
      </w:pPr>
    </w:p>
    <w:p w:rsidR="005624E3" w:rsidRPr="00166EA9" w:rsidRDefault="005624E3" w:rsidP="005624E3">
      <w:pPr>
        <w:tabs>
          <w:tab w:val="left" w:pos="709"/>
        </w:tabs>
        <w:overflowPunct w:val="0"/>
        <w:adjustRightInd w:val="0"/>
        <w:ind w:left="709" w:hanging="709"/>
        <w:textAlignment w:val="baseline"/>
        <w:rPr>
          <w:szCs w:val="20"/>
          <w:lang w:val="pt-PT"/>
        </w:rPr>
      </w:pPr>
      <w:r w:rsidRPr="00166EA9">
        <w:rPr>
          <w:lang w:val="pt-PT"/>
        </w:rPr>
        <w:tab/>
        <w:t>A hajókötelékek és -alakzatok engedélyeztetni kívánt csatolóeszközeit úgy kell méretezni, hogy megfelelő szintű biztonságot garantáljanak. Ez a feltétel teljesítettnek minősül, ha a hosszirányú csatolóelemek méretezésének alapjául a 2.1., 2.2. és 2.3. pont szerinti csatolási erőknek megfelelő szakítószilárdságot veszik.</w:t>
      </w:r>
    </w:p>
    <w:p w:rsidR="005624E3" w:rsidRPr="00166EA9" w:rsidRDefault="005624E3" w:rsidP="005624E3">
      <w:pPr>
        <w:tabs>
          <w:tab w:val="left" w:pos="709"/>
        </w:tabs>
        <w:overflowPunct w:val="0"/>
        <w:adjustRightInd w:val="0"/>
        <w:ind w:left="709" w:hanging="709"/>
        <w:textAlignment w:val="baseline"/>
        <w:rPr>
          <w:szCs w:val="20"/>
          <w:lang w:val="pt-PT"/>
        </w:rPr>
      </w:pPr>
    </w:p>
    <w:p w:rsidR="005624E3" w:rsidRPr="00166EA9" w:rsidRDefault="005624E3" w:rsidP="005624E3">
      <w:pPr>
        <w:tabs>
          <w:tab w:val="left" w:pos="709"/>
        </w:tabs>
        <w:overflowPunct w:val="0"/>
        <w:adjustRightInd w:val="0"/>
        <w:ind w:left="709" w:hanging="709"/>
        <w:textAlignment w:val="baseline"/>
        <w:rPr>
          <w:szCs w:val="20"/>
          <w:lang w:val="pt-PT"/>
        </w:rPr>
      </w:pPr>
      <w:r w:rsidRPr="00166EA9">
        <w:rPr>
          <w:lang w:val="pt-PT"/>
        </w:rPr>
        <w:t>2.1.</w:t>
      </w:r>
      <w:r w:rsidRPr="00166EA9">
        <w:rPr>
          <w:lang w:val="pt-PT"/>
        </w:rPr>
        <w:tab/>
        <w:t>Csatolási pontok a tolóhajó és a tolt bárka vagy más vízi jármű között:</w:t>
      </w:r>
    </w:p>
    <w:p w:rsidR="005624E3" w:rsidRPr="00166EA9" w:rsidRDefault="005624E3" w:rsidP="005624E3">
      <w:pPr>
        <w:tabs>
          <w:tab w:val="left" w:pos="709"/>
        </w:tabs>
        <w:overflowPunct w:val="0"/>
        <w:adjustRightInd w:val="0"/>
        <w:ind w:left="709" w:hanging="709"/>
        <w:textAlignment w:val="baseline"/>
        <w:rPr>
          <w:szCs w:val="20"/>
          <w:lang w:val="pt-PT"/>
        </w:rPr>
      </w:pPr>
    </w:p>
    <w:p w:rsidR="005624E3" w:rsidRPr="00921ED0" w:rsidRDefault="003142CA" w:rsidP="005624E3">
      <w:pPr>
        <w:tabs>
          <w:tab w:val="left" w:pos="709"/>
        </w:tabs>
        <w:overflowPunct w:val="0"/>
        <w:adjustRightInd w:val="0"/>
        <w:ind w:left="709" w:hanging="709"/>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SB</m:t>
              </m:r>
            </m:sub>
          </m:sSub>
          <m:r>
            <w:rPr>
              <w:rFonts w:ascii="Cambria Math" w:hAnsi="Cambria Math"/>
              <w:szCs w:val="20"/>
            </w:rPr>
            <m:t xml:space="preserve">=270∙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B</m:t>
                  </m:r>
                </m:e>
                <m:sub>
                  <m:r>
                    <w:rPr>
                      <w:rFonts w:ascii="Cambria Math" w:hAnsi="Cambria Math"/>
                      <w:szCs w:val="20"/>
                    </w:rPr>
                    <m:t>S</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5624E3" w:rsidRPr="00921ED0" w:rsidRDefault="005624E3" w:rsidP="005624E3">
      <w:pPr>
        <w:tabs>
          <w:tab w:val="left" w:pos="284"/>
          <w:tab w:val="left" w:pos="454"/>
          <w:tab w:val="left" w:pos="567"/>
        </w:tabs>
        <w:overflowPunct w:val="0"/>
        <w:adjustRightInd w:val="0"/>
        <w:ind w:left="284" w:hanging="284"/>
        <w:textAlignment w:val="baseline"/>
        <w:rPr>
          <w:szCs w:val="20"/>
        </w:rPr>
      </w:pPr>
    </w:p>
    <w:p w:rsidR="005624E3" w:rsidRPr="00921ED0" w:rsidRDefault="005624E3" w:rsidP="005624E3">
      <w:pPr>
        <w:tabs>
          <w:tab w:val="left" w:pos="709"/>
        </w:tabs>
        <w:overflowPunct w:val="0"/>
        <w:adjustRightInd w:val="0"/>
        <w:ind w:left="709" w:hanging="709"/>
        <w:textAlignment w:val="baseline"/>
        <w:rPr>
          <w:szCs w:val="20"/>
        </w:rPr>
      </w:pPr>
      <w:r w:rsidRPr="00921ED0">
        <w:t>2.2.</w:t>
      </w:r>
      <w:r w:rsidRPr="00921ED0">
        <w:tab/>
        <w:t>Csatolási pontok az önjáró tolóhajó és a tolt vízi jármű között:</w:t>
      </w:r>
    </w:p>
    <w:p w:rsidR="005624E3" w:rsidRPr="00921ED0" w:rsidRDefault="005624E3" w:rsidP="005624E3">
      <w:pPr>
        <w:tabs>
          <w:tab w:val="left" w:pos="284"/>
          <w:tab w:val="left" w:pos="454"/>
          <w:tab w:val="left" w:pos="567"/>
        </w:tabs>
        <w:overflowPunct w:val="0"/>
        <w:adjustRightInd w:val="0"/>
        <w:ind w:left="284" w:hanging="284"/>
        <w:textAlignment w:val="baseline"/>
        <w:rPr>
          <w:szCs w:val="20"/>
        </w:rPr>
      </w:pPr>
    </w:p>
    <w:p w:rsidR="005624E3" w:rsidRPr="00921ED0" w:rsidRDefault="003142CA" w:rsidP="005624E3">
      <w:pPr>
        <w:tabs>
          <w:tab w:val="left" w:pos="709"/>
        </w:tabs>
        <w:overflowPunct w:val="0"/>
        <w:adjustRightInd w:val="0"/>
        <w:ind w:left="709" w:hanging="709"/>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SF</m:t>
              </m:r>
            </m:sub>
          </m:sSub>
          <m:r>
            <w:rPr>
              <w:rFonts w:ascii="Cambria Math" w:hAnsi="Cambria Math"/>
              <w:szCs w:val="20"/>
            </w:rPr>
            <m:t xml:space="preserve">=80∙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5624E3" w:rsidRPr="00921ED0" w:rsidRDefault="005624E3" w:rsidP="005624E3">
      <w:pPr>
        <w:tabs>
          <w:tab w:val="left" w:pos="284"/>
          <w:tab w:val="left" w:pos="454"/>
          <w:tab w:val="left" w:pos="567"/>
        </w:tabs>
        <w:overflowPunct w:val="0"/>
        <w:adjustRightInd w:val="0"/>
        <w:ind w:left="284" w:hanging="284"/>
        <w:textAlignment w:val="baseline"/>
        <w:rPr>
          <w:szCs w:val="20"/>
        </w:rPr>
      </w:pPr>
    </w:p>
    <w:p w:rsidR="005624E3" w:rsidRPr="00921ED0" w:rsidRDefault="005624E3" w:rsidP="005624E3">
      <w:pPr>
        <w:tabs>
          <w:tab w:val="left" w:pos="709"/>
        </w:tabs>
        <w:overflowPunct w:val="0"/>
        <w:adjustRightInd w:val="0"/>
        <w:ind w:left="709" w:hanging="709"/>
        <w:textAlignment w:val="baseline"/>
        <w:rPr>
          <w:szCs w:val="20"/>
        </w:rPr>
      </w:pPr>
      <w:r w:rsidRPr="00921ED0">
        <w:t>2.3.</w:t>
      </w:r>
      <w:r w:rsidRPr="00921ED0">
        <w:tab/>
        <w:t>Csatolási pontok a tolt vízi járművek között:</w:t>
      </w:r>
    </w:p>
    <w:p w:rsidR="005624E3" w:rsidRPr="00921ED0" w:rsidRDefault="005624E3" w:rsidP="005624E3">
      <w:pPr>
        <w:tabs>
          <w:tab w:val="left" w:pos="284"/>
          <w:tab w:val="left" w:pos="454"/>
          <w:tab w:val="left" w:pos="567"/>
        </w:tabs>
        <w:overflowPunct w:val="0"/>
        <w:adjustRightInd w:val="0"/>
        <w:ind w:left="284" w:hanging="284"/>
        <w:textAlignment w:val="baseline"/>
        <w:rPr>
          <w:szCs w:val="20"/>
        </w:rPr>
      </w:pPr>
    </w:p>
    <w:p w:rsidR="005624E3" w:rsidRPr="00921ED0" w:rsidRDefault="003142CA" w:rsidP="005624E3">
      <w:pPr>
        <w:tabs>
          <w:tab w:val="left" w:pos="709"/>
        </w:tabs>
        <w:overflowPunct w:val="0"/>
        <w:adjustRightInd w:val="0"/>
        <w:ind w:left="709" w:hanging="709"/>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SL</m:t>
              </m:r>
            </m:sub>
          </m:sSub>
          <m:r>
            <w:rPr>
              <w:rFonts w:ascii="Cambria Math" w:hAnsi="Cambria Math"/>
              <w:szCs w:val="20"/>
            </w:rPr>
            <m:t xml:space="preserve">=80∙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5624E3" w:rsidRPr="00921ED0" w:rsidRDefault="005624E3" w:rsidP="005624E3">
      <w:pPr>
        <w:tabs>
          <w:tab w:val="left" w:pos="284"/>
          <w:tab w:val="left" w:pos="454"/>
          <w:tab w:val="left" w:pos="567"/>
        </w:tabs>
        <w:overflowPunct w:val="0"/>
        <w:adjustRightInd w:val="0"/>
        <w:ind w:left="284" w:hanging="284"/>
        <w:textAlignment w:val="baseline"/>
        <w:rPr>
          <w:szCs w:val="20"/>
        </w:rPr>
      </w:pPr>
    </w:p>
    <w:p w:rsidR="005624E3" w:rsidRPr="00921ED0" w:rsidRDefault="005624E3" w:rsidP="005624E3">
      <w:pPr>
        <w:tabs>
          <w:tab w:val="left" w:pos="284"/>
          <w:tab w:val="left" w:pos="454"/>
          <w:tab w:val="left" w:pos="567"/>
        </w:tabs>
        <w:overflowPunct w:val="0"/>
        <w:adjustRightInd w:val="0"/>
        <w:ind w:left="709"/>
        <w:textAlignment w:val="baseline"/>
        <w:rPr>
          <w:szCs w:val="20"/>
        </w:rPr>
      </w:pPr>
      <w:r w:rsidRPr="00921ED0">
        <w:br w:type="page"/>
      </w:r>
    </w:p>
    <w:p w:rsidR="005624E3" w:rsidRPr="00921ED0" w:rsidRDefault="005624E3" w:rsidP="005624E3">
      <w:pPr>
        <w:tabs>
          <w:tab w:val="left" w:pos="284"/>
          <w:tab w:val="left" w:pos="454"/>
          <w:tab w:val="left" w:pos="567"/>
        </w:tabs>
        <w:overflowPunct w:val="0"/>
        <w:adjustRightInd w:val="0"/>
        <w:ind w:left="709"/>
        <w:textAlignment w:val="baseline"/>
        <w:rPr>
          <w:szCs w:val="20"/>
        </w:rPr>
      </w:pPr>
      <w:r w:rsidRPr="00921ED0">
        <w:t>A maximális csatolási erő 1200 kN értéke elégségesnek tekinthető a tolóhajónál az első tolt vízi jármű és az elé csatolt vízi jármű közötti csatolási ponton, még akkor is, ha a 2.3. pontban szereplő képlet ennél magasabb értéket ad meg.</w:t>
      </w:r>
    </w:p>
    <w:p w:rsidR="005624E3" w:rsidRPr="00921ED0" w:rsidRDefault="005624E3" w:rsidP="005624E3">
      <w:pPr>
        <w:tabs>
          <w:tab w:val="left" w:pos="284"/>
          <w:tab w:val="left" w:pos="454"/>
          <w:tab w:val="left" w:pos="567"/>
        </w:tabs>
        <w:overflowPunct w:val="0"/>
        <w:adjustRightInd w:val="0"/>
        <w:ind w:left="709"/>
        <w:textAlignment w:val="baseline"/>
        <w:rPr>
          <w:szCs w:val="20"/>
        </w:rPr>
      </w:pPr>
    </w:p>
    <w:p w:rsidR="005624E3" w:rsidRPr="00921ED0" w:rsidRDefault="005624E3" w:rsidP="005624E3">
      <w:pPr>
        <w:tabs>
          <w:tab w:val="left" w:pos="284"/>
          <w:tab w:val="left" w:pos="454"/>
          <w:tab w:val="left" w:pos="567"/>
        </w:tabs>
        <w:overflowPunct w:val="0"/>
        <w:adjustRightInd w:val="0"/>
        <w:ind w:left="709"/>
        <w:textAlignment w:val="baseline"/>
        <w:rPr>
          <w:szCs w:val="20"/>
        </w:rPr>
      </w:pPr>
      <w:r w:rsidRPr="00921ED0">
        <w:t>A tolt vízi járművek közötti összes többi hosszirányú csatolási pont esetében a csatolóeszközök méretezését a 2.3. pontban szereplő képlet alapján kiszámított csatolási erő alapján kell meghatározni.</w:t>
      </w:r>
    </w:p>
    <w:p w:rsidR="005624E3" w:rsidRPr="00921ED0" w:rsidRDefault="005624E3" w:rsidP="005624E3">
      <w:pPr>
        <w:tabs>
          <w:tab w:val="left" w:pos="284"/>
          <w:tab w:val="left" w:pos="454"/>
          <w:tab w:val="left" w:pos="567"/>
        </w:tabs>
        <w:overflowPunct w:val="0"/>
        <w:adjustRightInd w:val="0"/>
        <w:ind w:left="284" w:hanging="284"/>
        <w:textAlignment w:val="baseline"/>
        <w:rPr>
          <w:szCs w:val="20"/>
        </w:rPr>
      </w:pPr>
    </w:p>
    <w:p w:rsidR="005624E3" w:rsidRPr="00921ED0" w:rsidRDefault="005624E3" w:rsidP="005624E3">
      <w:pPr>
        <w:tabs>
          <w:tab w:val="left" w:pos="284"/>
          <w:tab w:val="left" w:pos="454"/>
          <w:tab w:val="left" w:pos="567"/>
        </w:tabs>
        <w:overflowPunct w:val="0"/>
        <w:adjustRightInd w:val="0"/>
        <w:ind w:left="284" w:hanging="284"/>
        <w:textAlignment w:val="baseline"/>
        <w:rPr>
          <w:szCs w:val="20"/>
        </w:rPr>
      </w:pPr>
      <w:r w:rsidRPr="00921ED0">
        <w:rPr>
          <w:noProof/>
          <w:szCs w:val="20"/>
        </w:rPr>
        <mc:AlternateContent>
          <mc:Choice Requires="wps">
            <w:drawing>
              <wp:anchor distT="0" distB="0" distL="114300" distR="114300" simplePos="0" relativeHeight="251691008" behindDoc="0" locked="0" layoutInCell="1" allowOverlap="1" wp14:anchorId="76ACFF99" wp14:editId="65D67F40">
                <wp:simplePos x="0" y="0"/>
                <wp:positionH relativeFrom="column">
                  <wp:posOffset>3760470</wp:posOffset>
                </wp:positionH>
                <wp:positionV relativeFrom="paragraph">
                  <wp:posOffset>5767070</wp:posOffset>
                </wp:positionV>
                <wp:extent cx="981710" cy="208280"/>
                <wp:effectExtent l="0" t="0" r="0" b="0"/>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2A7EC3" w:rsidRDefault="00842442" w:rsidP="005624E3">
                            <w:pPr>
                              <w:rPr>
                                <w:sz w:val="16"/>
                              </w:rPr>
                            </w:pPr>
                            <w:r>
                              <w:rPr>
                                <w:sz w:val="16"/>
                              </w:rPr>
                              <w:t>tolt vízi jármű</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044" type="#_x0000_t202" style="position:absolute;left:0;text-align:left;margin-left:296.1pt;margin-top:454.1pt;width:77.3pt;height:16.4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Zig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" stroked="f">
                <v:textbox style="mso-fit-shape-to-text:t">
                  <w:txbxContent>
                    <w:p w:rsidR="00842442" w:rsidRPr="002A7EC3" w:rsidRDefault="00842442" w:rsidP="005624E3">
                      <w:pPr>
                        <w:rPr>
                          <w:sz w:val="16"/>
                        </w:rPr>
                      </w:pPr>
                      <w:r>
                        <w:rPr>
                          <w:sz w:val="16"/>
                        </w:rPr>
                        <w:t>tolt vízi jármű</w:t>
                      </w:r>
                    </w:p>
                  </w:txbxContent>
                </v:textbox>
              </v:shape>
            </w:pict>
          </mc:Fallback>
        </mc:AlternateContent>
      </w:r>
      <w:r w:rsidRPr="00921ED0">
        <w:rPr>
          <w:noProof/>
          <w:szCs w:val="20"/>
        </w:rPr>
        <mc:AlternateContent>
          <mc:Choice Requires="wps">
            <w:drawing>
              <wp:anchor distT="0" distB="0" distL="114300" distR="114300" simplePos="0" relativeHeight="251689984" behindDoc="0" locked="0" layoutInCell="1" allowOverlap="1" wp14:anchorId="70DC9F07" wp14:editId="5ACDB525">
                <wp:simplePos x="0" y="0"/>
                <wp:positionH relativeFrom="column">
                  <wp:posOffset>1445895</wp:posOffset>
                </wp:positionH>
                <wp:positionV relativeFrom="paragraph">
                  <wp:posOffset>5786120</wp:posOffset>
                </wp:positionV>
                <wp:extent cx="981710" cy="208280"/>
                <wp:effectExtent l="0" t="0" r="0" b="0"/>
                <wp:wrapNone/>
                <wp:docPr id="2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2A7EC3" w:rsidRDefault="00842442" w:rsidP="005624E3">
                            <w:pPr>
                              <w:rPr>
                                <w:sz w:val="16"/>
                              </w:rPr>
                            </w:pPr>
                            <w:r>
                              <w:rPr>
                                <w:sz w:val="16"/>
                              </w:rPr>
                              <w:t>toló vízi jármű</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113.85pt;margin-top:455.6pt;width:77.3pt;height:16.4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IIiw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" stroked="f">
                <v:textbox style="mso-fit-shape-to-text:t">
                  <w:txbxContent>
                    <w:p w:rsidR="00842442" w:rsidRPr="002A7EC3" w:rsidRDefault="00842442" w:rsidP="005624E3">
                      <w:pPr>
                        <w:rPr>
                          <w:sz w:val="16"/>
                        </w:rPr>
                      </w:pPr>
                      <w:r>
                        <w:rPr>
                          <w:sz w:val="16"/>
                        </w:rPr>
                        <w:t>toló vízi jármű</w:t>
                      </w:r>
                    </w:p>
                  </w:txbxContent>
                </v:textbox>
              </v:shape>
            </w:pict>
          </mc:Fallback>
        </mc:AlternateContent>
      </w:r>
      <w:r w:rsidRPr="00921ED0">
        <w:rPr>
          <w:noProof/>
          <w:szCs w:val="20"/>
        </w:rPr>
        <mc:AlternateContent>
          <mc:Choice Requires="wps">
            <w:drawing>
              <wp:anchor distT="0" distB="0" distL="114300" distR="114300" simplePos="0" relativeHeight="251688960" behindDoc="0" locked="0" layoutInCell="1" allowOverlap="1" wp14:anchorId="20AB31F9" wp14:editId="62A8D5A7">
                <wp:simplePos x="0" y="0"/>
                <wp:positionH relativeFrom="column">
                  <wp:posOffset>3760470</wp:posOffset>
                </wp:positionH>
                <wp:positionV relativeFrom="paragraph">
                  <wp:posOffset>4319270</wp:posOffset>
                </wp:positionV>
                <wp:extent cx="981710" cy="208280"/>
                <wp:effectExtent l="0" t="0" r="0" b="0"/>
                <wp:wrapNone/>
                <wp:docPr id="2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2A7EC3" w:rsidRDefault="00842442" w:rsidP="005624E3">
                            <w:pPr>
                              <w:rPr>
                                <w:sz w:val="16"/>
                              </w:rPr>
                            </w:pPr>
                            <w:r>
                              <w:rPr>
                                <w:sz w:val="16"/>
                              </w:rPr>
                              <w:t>tolt vízi jármű</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96.1pt;margin-top:340.1pt;width:77.3pt;height:16.4pt;z-index:251688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" stroked="f">
                <v:textbox style="mso-fit-shape-to-text:t">
                  <w:txbxContent>
                    <w:p w:rsidR="00842442" w:rsidRPr="002A7EC3" w:rsidRDefault="00842442" w:rsidP="005624E3">
                      <w:pPr>
                        <w:rPr>
                          <w:sz w:val="16"/>
                        </w:rPr>
                      </w:pPr>
                      <w:r>
                        <w:rPr>
                          <w:sz w:val="16"/>
                        </w:rPr>
                        <w:t>tolt vízi jármű</w:t>
                      </w:r>
                    </w:p>
                  </w:txbxContent>
                </v:textbox>
              </v:shape>
            </w:pict>
          </mc:Fallback>
        </mc:AlternateContent>
      </w:r>
      <w:r w:rsidRPr="00921ED0">
        <w:rPr>
          <w:noProof/>
        </w:rPr>
        <mc:AlternateContent>
          <mc:Choice Requires="wps">
            <w:drawing>
              <wp:anchor distT="0" distB="0" distL="114300" distR="114300" simplePos="0" relativeHeight="251687936" behindDoc="0" locked="0" layoutInCell="1" allowOverlap="1" wp14:anchorId="02194A5A" wp14:editId="1F461AA4">
                <wp:simplePos x="0" y="0"/>
                <wp:positionH relativeFrom="column">
                  <wp:posOffset>1455420</wp:posOffset>
                </wp:positionH>
                <wp:positionV relativeFrom="paragraph">
                  <wp:posOffset>4319270</wp:posOffset>
                </wp:positionV>
                <wp:extent cx="981710" cy="208280"/>
                <wp:effectExtent l="0" t="0" r="0" b="0"/>
                <wp:wrapNone/>
                <wp:docPr id="2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2442" w:rsidRPr="002A7EC3" w:rsidRDefault="00842442" w:rsidP="005624E3">
                            <w:pPr>
                              <w:rPr>
                                <w:sz w:val="16"/>
                              </w:rPr>
                            </w:pPr>
                            <w:r>
                              <w:rPr>
                                <w:sz w:val="16"/>
                              </w:rPr>
                              <w:t>toló vízi jármű</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114.6pt;margin-top:340.1pt;width:77.3pt;height:16.4pt;z-index:251687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" stroked="f">
                <v:textbox style="mso-fit-shape-to-text:t">
                  <w:txbxContent>
                    <w:p w:rsidR="00842442" w:rsidRPr="002A7EC3" w:rsidRDefault="00842442" w:rsidP="005624E3">
                      <w:pPr>
                        <w:rPr>
                          <w:sz w:val="16"/>
                        </w:rPr>
                      </w:pPr>
                      <w:r>
                        <w:rPr>
                          <w:sz w:val="16"/>
                        </w:rPr>
                        <w:t>toló vízi jármű</w:t>
                      </w:r>
                    </w:p>
                  </w:txbxContent>
                </v:textbox>
              </v:shape>
            </w:pict>
          </mc:Fallback>
        </mc:AlternateContent>
      </w:r>
      <w:r w:rsidRPr="00921ED0">
        <w:rPr>
          <w:noProof/>
          <w:szCs w:val="20"/>
        </w:rPr>
        <w:drawing>
          <wp:inline distT="0" distB="0" distL="0" distR="0" wp14:anchorId="5F78C50B" wp14:editId="372C2212">
            <wp:extent cx="5219700" cy="7000875"/>
            <wp:effectExtent l="0" t="0" r="0" b="9525"/>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219700" cy="7000875"/>
                    </a:xfrm>
                    <a:prstGeom prst="rect">
                      <a:avLst/>
                    </a:prstGeom>
                    <a:solidFill>
                      <a:srgbClr val="FFFFFF"/>
                    </a:solidFill>
                    <a:ln>
                      <a:noFill/>
                    </a:ln>
                  </pic:spPr>
                </pic:pic>
              </a:graphicData>
            </a:graphic>
          </wp:inline>
        </w:drawing>
      </w:r>
    </w:p>
    <w:p w:rsidR="005624E3" w:rsidRPr="00921ED0" w:rsidRDefault="005624E3" w:rsidP="005624E3">
      <w:pPr>
        <w:tabs>
          <w:tab w:val="left" w:pos="284"/>
          <w:tab w:val="left" w:pos="454"/>
          <w:tab w:val="left" w:pos="567"/>
        </w:tabs>
        <w:overflowPunct w:val="0"/>
        <w:adjustRightInd w:val="0"/>
        <w:ind w:left="284" w:hanging="284"/>
        <w:textAlignment w:val="baseline"/>
        <w:rPr>
          <w:szCs w:val="20"/>
        </w:rPr>
      </w:pPr>
    </w:p>
    <w:p w:rsidR="005624E3" w:rsidRPr="00921ED0" w:rsidRDefault="005624E3" w:rsidP="005624E3">
      <w:pPr>
        <w:tabs>
          <w:tab w:val="left" w:pos="284"/>
          <w:tab w:val="left" w:pos="454"/>
          <w:tab w:val="left" w:pos="567"/>
        </w:tabs>
        <w:overflowPunct w:val="0"/>
        <w:adjustRightInd w:val="0"/>
        <w:ind w:left="284" w:hanging="284"/>
        <w:textAlignment w:val="baseline"/>
        <w:rPr>
          <w:szCs w:val="20"/>
        </w:rPr>
      </w:pPr>
      <w:r w:rsidRPr="00921ED0">
        <w:br w:type="page"/>
      </w:r>
    </w:p>
    <w:p w:rsidR="005624E3" w:rsidRPr="00921ED0" w:rsidRDefault="005624E3" w:rsidP="005624E3">
      <w:pPr>
        <w:overflowPunct w:val="0"/>
        <w:adjustRightInd w:val="0"/>
        <w:ind w:left="709"/>
        <w:textAlignment w:val="baseline"/>
        <w:rPr>
          <w:szCs w:val="20"/>
        </w:rPr>
      </w:pPr>
      <w:r w:rsidRPr="00921ED0">
        <w:t>Ahol:</w:t>
      </w:r>
    </w:p>
    <w:p w:rsidR="005624E3" w:rsidRPr="00921ED0" w:rsidRDefault="005624E3" w:rsidP="005624E3">
      <w:pPr>
        <w:tabs>
          <w:tab w:val="left" w:pos="284"/>
          <w:tab w:val="left" w:pos="454"/>
          <w:tab w:val="left" w:pos="567"/>
        </w:tabs>
        <w:overflowPunct w:val="0"/>
        <w:adjustRightInd w:val="0"/>
        <w:ind w:left="284" w:hanging="284"/>
        <w:textAlignment w:val="baseline"/>
        <w:rPr>
          <w:szCs w:val="20"/>
        </w:rPr>
      </w:pPr>
    </w:p>
    <w:p w:rsidR="005624E3" w:rsidRPr="00921ED0" w:rsidRDefault="003142CA" w:rsidP="005624E3">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SB</m:t>
            </m:r>
          </m:sub>
        </m:sSub>
      </m:oMath>
      <w:r w:rsidR="005624E3" w:rsidRPr="00921ED0">
        <w:t xml:space="preserve">,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SF</m:t>
            </m:r>
          </m:sub>
        </m:sSub>
      </m:oMath>
      <w:r w:rsidR="005624E3" w:rsidRPr="00921ED0">
        <w:t xml:space="preserve">,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SL</m:t>
            </m:r>
          </m:sub>
        </m:sSub>
      </m:oMath>
      <w:r w:rsidR="005624E3" w:rsidRPr="00921ED0">
        <w:tab/>
        <w:t>[kN]</w:t>
      </w:r>
      <w:r w:rsidR="005624E3" w:rsidRPr="00921ED0">
        <w:tab/>
        <w:t>a hosszirányú csatlakozás csatolási ereje;</w:t>
      </w:r>
    </w:p>
    <w:p w:rsidR="005624E3" w:rsidRPr="00921ED0" w:rsidRDefault="005624E3" w:rsidP="005624E3">
      <w:pPr>
        <w:tabs>
          <w:tab w:val="left" w:pos="284"/>
          <w:tab w:val="left" w:pos="2127"/>
          <w:tab w:val="left" w:pos="2977"/>
        </w:tabs>
        <w:overflowPunct w:val="0"/>
        <w:adjustRightInd w:val="0"/>
        <w:ind w:left="2977" w:hanging="2268"/>
        <w:textAlignment w:val="baseline"/>
        <w:rPr>
          <w:szCs w:val="20"/>
        </w:rPr>
      </w:pPr>
    </w:p>
    <w:p w:rsidR="005624E3" w:rsidRPr="00921ED0" w:rsidRDefault="003142CA" w:rsidP="005624E3">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rsidR="005624E3" w:rsidRPr="00921ED0">
        <w:tab/>
        <w:t>[kW]</w:t>
      </w:r>
      <w:r w:rsidR="005624E3" w:rsidRPr="00921ED0">
        <w:tab/>
        <w:t>a beépített propulziós motor teljesítménye;</w:t>
      </w:r>
    </w:p>
    <w:p w:rsidR="005624E3" w:rsidRPr="00921ED0" w:rsidRDefault="005624E3" w:rsidP="005624E3">
      <w:pPr>
        <w:tabs>
          <w:tab w:val="left" w:pos="284"/>
          <w:tab w:val="left" w:pos="2127"/>
          <w:tab w:val="left" w:pos="2977"/>
        </w:tabs>
        <w:overflowPunct w:val="0"/>
        <w:adjustRightInd w:val="0"/>
        <w:ind w:left="2977" w:hanging="2268"/>
        <w:textAlignment w:val="baseline"/>
        <w:rPr>
          <w:szCs w:val="20"/>
        </w:rPr>
      </w:pPr>
    </w:p>
    <w:p w:rsidR="005624E3" w:rsidRPr="00921ED0" w:rsidRDefault="003142CA" w:rsidP="005624E3">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oMath>
      <w:r w:rsidR="005624E3" w:rsidRPr="00921ED0">
        <w:tab/>
        <w:t>[m]</w:t>
      </w:r>
      <w:r w:rsidR="005624E3" w:rsidRPr="00921ED0">
        <w:tab/>
        <w:t>a tolóhajó vagy toló vízi jármű tatja és a csatolási pont közötti távolság;</w:t>
      </w:r>
    </w:p>
    <w:p w:rsidR="005624E3" w:rsidRPr="00921ED0" w:rsidRDefault="005624E3" w:rsidP="005624E3">
      <w:pPr>
        <w:tabs>
          <w:tab w:val="left" w:pos="284"/>
          <w:tab w:val="left" w:pos="2127"/>
          <w:tab w:val="left" w:pos="2977"/>
        </w:tabs>
        <w:overflowPunct w:val="0"/>
        <w:adjustRightInd w:val="0"/>
        <w:ind w:left="2977" w:hanging="2268"/>
        <w:textAlignment w:val="baseline"/>
        <w:rPr>
          <w:szCs w:val="20"/>
        </w:rPr>
      </w:pPr>
    </w:p>
    <w:p w:rsidR="005624E3" w:rsidRPr="00921ED0" w:rsidRDefault="003142CA" w:rsidP="005624E3">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oMath>
      <w:r w:rsidR="005624E3" w:rsidRPr="00921ED0">
        <w:tab/>
        <w:t>[m]</w:t>
      </w:r>
      <w:r w:rsidR="005624E3" w:rsidRPr="00921ED0">
        <w:tab/>
        <w:t>távolság a toló vízi jármű tatjától az első tolt vízi jármű és az elé csatolt vízi jármű közötti csatolási pontig;</w:t>
      </w:r>
    </w:p>
    <w:p w:rsidR="005624E3" w:rsidRPr="00921ED0" w:rsidRDefault="005624E3" w:rsidP="005624E3">
      <w:pPr>
        <w:tabs>
          <w:tab w:val="left" w:pos="284"/>
          <w:tab w:val="left" w:pos="2127"/>
          <w:tab w:val="left" w:pos="2977"/>
        </w:tabs>
        <w:overflowPunct w:val="0"/>
        <w:adjustRightInd w:val="0"/>
        <w:ind w:left="2977" w:hanging="2268"/>
        <w:textAlignment w:val="baseline"/>
        <w:rPr>
          <w:szCs w:val="20"/>
        </w:rPr>
      </w:pPr>
    </w:p>
    <w:p w:rsidR="005624E3" w:rsidRPr="00921ED0" w:rsidRDefault="003142CA" w:rsidP="005624E3">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oMath>
      <w:r w:rsidR="005624E3" w:rsidRPr="00921ED0">
        <w:t xml:space="preserve">, </w:t>
      </w:r>
      <m:oMath>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oMath>
      <w:r w:rsidR="005624E3" w:rsidRPr="00921ED0">
        <w:tab/>
        <w:t>[m]</w:t>
      </w:r>
      <w:r w:rsidR="005624E3" w:rsidRPr="00921ED0">
        <w:tab/>
        <w:t>a hosszirányú csatlakozás csatolási emelőkarja;</w:t>
      </w:r>
    </w:p>
    <w:p w:rsidR="005624E3" w:rsidRPr="00921ED0" w:rsidRDefault="005624E3" w:rsidP="005624E3">
      <w:pPr>
        <w:tabs>
          <w:tab w:val="left" w:pos="284"/>
          <w:tab w:val="left" w:pos="2127"/>
          <w:tab w:val="left" w:pos="2977"/>
        </w:tabs>
        <w:overflowPunct w:val="0"/>
        <w:adjustRightInd w:val="0"/>
        <w:ind w:left="2977" w:hanging="2268"/>
        <w:textAlignment w:val="baseline"/>
        <w:rPr>
          <w:szCs w:val="20"/>
        </w:rPr>
      </w:pPr>
    </w:p>
    <w:p w:rsidR="005624E3" w:rsidRPr="00921ED0" w:rsidRDefault="003142CA" w:rsidP="005624E3">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B</m:t>
            </m:r>
          </m:e>
          <m:sub>
            <m:r>
              <w:rPr>
                <w:rFonts w:ascii="Cambria Math" w:hAnsi="Cambria Math"/>
                <w:szCs w:val="20"/>
              </w:rPr>
              <m:t>S</m:t>
            </m:r>
          </m:sub>
        </m:sSub>
      </m:oMath>
      <w:r w:rsidR="005624E3" w:rsidRPr="00921ED0">
        <w:tab/>
        <w:t>[m]</w:t>
      </w:r>
      <w:r w:rsidR="005624E3" w:rsidRPr="00921ED0">
        <w:tab/>
        <w:t>a toló vízi jármű szélessége;</w:t>
      </w:r>
    </w:p>
    <w:p w:rsidR="005624E3" w:rsidRPr="00921ED0" w:rsidRDefault="005624E3" w:rsidP="005624E3">
      <w:pPr>
        <w:tabs>
          <w:tab w:val="left" w:pos="284"/>
          <w:tab w:val="left" w:pos="2127"/>
          <w:tab w:val="left" w:pos="2977"/>
        </w:tabs>
        <w:overflowPunct w:val="0"/>
        <w:adjustRightInd w:val="0"/>
        <w:ind w:left="2977" w:hanging="2268"/>
        <w:textAlignment w:val="baseline"/>
        <w:rPr>
          <w:szCs w:val="20"/>
        </w:rPr>
      </w:pPr>
    </w:p>
    <w:p w:rsidR="005624E3" w:rsidRPr="00921ED0" w:rsidRDefault="005624E3" w:rsidP="005624E3">
      <w:pPr>
        <w:tabs>
          <w:tab w:val="left" w:pos="284"/>
          <w:tab w:val="left" w:pos="2127"/>
          <w:tab w:val="left" w:pos="2977"/>
        </w:tabs>
        <w:overflowPunct w:val="0"/>
        <w:adjustRightInd w:val="0"/>
        <w:ind w:left="2977" w:hanging="2268"/>
        <w:textAlignment w:val="baseline"/>
        <w:rPr>
          <w:szCs w:val="20"/>
        </w:rPr>
      </w:pPr>
    </w:p>
    <w:p w:rsidR="005624E3" w:rsidRPr="00921ED0" w:rsidRDefault="005624E3" w:rsidP="005624E3">
      <w:pPr>
        <w:tabs>
          <w:tab w:val="left" w:pos="0"/>
          <w:tab w:val="left" w:pos="284"/>
          <w:tab w:val="left" w:pos="2127"/>
          <w:tab w:val="left" w:pos="2977"/>
        </w:tabs>
        <w:overflowPunct w:val="0"/>
        <w:adjustRightInd w:val="0"/>
        <w:ind w:left="2977" w:hanging="2268"/>
        <w:textAlignment w:val="baseline"/>
        <w:rPr>
          <w:szCs w:val="20"/>
        </w:rPr>
      </w:pPr>
      <w:r w:rsidRPr="00921ED0">
        <w:t>270 és 80</w:t>
      </w:r>
      <w:r w:rsidRPr="00921ED0">
        <w:tab/>
      </w:r>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kN</m:t>
                </m:r>
              </m:num>
              <m:den>
                <m:r>
                  <w:rPr>
                    <w:rFonts w:ascii="Cambria Math" w:hAnsi="Cambria Math"/>
                    <w:szCs w:val="20"/>
                  </w:rPr>
                  <m:t>kW</m:t>
                </m:r>
              </m:den>
            </m:f>
          </m:e>
        </m:d>
      </m:oMath>
      <w:r w:rsidRPr="00921ED0">
        <w:tab/>
        <w:t>tapasztalati úton megállapított értékek a beépített motor teljesítményének tolóerőre történő átszámítására, a megfelelő szintű biztonság garantálása céljából</w:t>
      </w:r>
    </w:p>
    <w:p w:rsidR="005624E3" w:rsidRPr="00921ED0" w:rsidRDefault="005624E3" w:rsidP="005624E3">
      <w:pPr>
        <w:tabs>
          <w:tab w:val="left" w:pos="1985"/>
          <w:tab w:val="left" w:pos="2835"/>
        </w:tabs>
        <w:overflowPunct w:val="0"/>
        <w:adjustRightInd w:val="0"/>
        <w:textAlignment w:val="baseline"/>
        <w:rPr>
          <w:szCs w:val="20"/>
        </w:rPr>
      </w:pPr>
    </w:p>
    <w:p w:rsidR="005624E3" w:rsidRPr="00921ED0" w:rsidRDefault="005624E3" w:rsidP="005624E3">
      <w:pPr>
        <w:tabs>
          <w:tab w:val="left" w:pos="680"/>
        </w:tabs>
        <w:overflowPunct w:val="0"/>
        <w:adjustRightInd w:val="0"/>
        <w:ind w:left="680" w:hanging="680"/>
        <w:textAlignment w:val="baseline"/>
        <w:rPr>
          <w:szCs w:val="20"/>
        </w:rPr>
      </w:pPr>
      <w:r w:rsidRPr="00921ED0">
        <w:t>2.4.1.</w:t>
      </w:r>
      <w:r w:rsidRPr="00921ED0">
        <w:tab/>
        <w:t>Az egyes vízi járművek hosszirányú csatolására legalább két csatolási pontot kell igénybe venni. A csatolási pontokat a 2.1., 2.2. vagy 2.3. pont szerint megállapított csatolási erőhöz kell méretezni. Merev csatololó elemek használata esetén egyetlen csatolási pont is engedélyezhető, ha az biztosítja a vízi járművek megbízhatóan szilárd kapcsolatát.</w:t>
      </w: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tabs>
          <w:tab w:val="left" w:pos="680"/>
        </w:tabs>
        <w:overflowPunct w:val="0"/>
        <w:adjustRightInd w:val="0"/>
        <w:ind w:left="680" w:hanging="680"/>
        <w:textAlignment w:val="baseline"/>
        <w:rPr>
          <w:szCs w:val="20"/>
        </w:rPr>
      </w:pPr>
      <w:r w:rsidRPr="00921ED0">
        <w:tab/>
        <w:t>A csatolókötél szakítószilárdságát a tekercsek előrelátható száma szerint kell meghatározni. A csatolási pontnál legfeljebb három tekercs lehet. A csatolóköteleket a tervezett felhasználásnak megfelelően kell megválasztani.</w:t>
      </w: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tabs>
          <w:tab w:val="left" w:pos="680"/>
        </w:tabs>
        <w:overflowPunct w:val="0"/>
        <w:adjustRightInd w:val="0"/>
        <w:ind w:left="680" w:hanging="680"/>
        <w:textAlignment w:val="baseline"/>
        <w:rPr>
          <w:szCs w:val="20"/>
        </w:rPr>
      </w:pPr>
      <w:r w:rsidRPr="00921ED0">
        <w:t>2.4.2.</w:t>
      </w:r>
      <w:r w:rsidRPr="00921ED0">
        <w:tab/>
        <w:t>Ha a tolóhajóhoz egy tolt bárkát csatolnak, a 2.2. pontban szereplő képlet használható a csatolási erő meghatározásához, amennyiben a tolóhajó több ilyen bárka továbbítására is jóváhagyással rendelkezik.</w:t>
      </w: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tabs>
          <w:tab w:val="left" w:pos="680"/>
        </w:tabs>
        <w:overflowPunct w:val="0"/>
        <w:adjustRightInd w:val="0"/>
        <w:ind w:left="680" w:hanging="680"/>
        <w:textAlignment w:val="baseline"/>
        <w:rPr>
          <w:szCs w:val="20"/>
        </w:rPr>
      </w:pPr>
      <w:r w:rsidRPr="00921ED0">
        <w:t>2.4.3.</w:t>
      </w:r>
      <w:r w:rsidRPr="00921ED0">
        <w:tab/>
        <w:t>Elegendő számú olyan kikötőbaknak vagy ezzel egyenértékű szerkezetnek kell rendelkezésre állnia, amelyek alkalmasak a csatolásnál fellépő erők elnyelésére.</w:t>
      </w: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tabs>
          <w:tab w:val="left" w:pos="680"/>
        </w:tabs>
        <w:overflowPunct w:val="0"/>
        <w:adjustRightInd w:val="0"/>
        <w:ind w:left="680" w:hanging="680"/>
        <w:textAlignment w:val="baseline"/>
        <w:rPr>
          <w:b/>
          <w:szCs w:val="20"/>
        </w:rPr>
      </w:pPr>
      <w:r w:rsidRPr="00921ED0">
        <w:rPr>
          <w:b/>
        </w:rPr>
        <w:t>3.</w:t>
      </w:r>
      <w:r w:rsidRPr="00921ED0">
        <w:tab/>
      </w:r>
      <w:r w:rsidRPr="00921ED0">
        <w:rPr>
          <w:b/>
        </w:rPr>
        <w:t xml:space="preserve">A csuklós rendszerű </w:t>
      </w:r>
      <w:r w:rsidR="003C32D4">
        <w:rPr>
          <w:b/>
        </w:rPr>
        <w:t>csatolóeszközök</w:t>
      </w:r>
      <w:r w:rsidRPr="00921ED0">
        <w:rPr>
          <w:b/>
        </w:rPr>
        <w:t>re vonatkozó különleges követelmények</w:t>
      </w: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tabs>
          <w:tab w:val="left" w:pos="680"/>
        </w:tabs>
        <w:overflowPunct w:val="0"/>
        <w:adjustRightInd w:val="0"/>
        <w:ind w:left="680" w:hanging="680"/>
        <w:textAlignment w:val="baseline"/>
        <w:rPr>
          <w:szCs w:val="20"/>
        </w:rPr>
      </w:pPr>
      <w:r w:rsidRPr="00921ED0">
        <w:tab/>
        <w:t xml:space="preserve">A csuklós rendszerű </w:t>
      </w:r>
      <w:r w:rsidR="003C32D4">
        <w:t>csatolóeszközök</w:t>
      </w:r>
      <w:r w:rsidRPr="00921ED0">
        <w:t>et úgy kell megtervezni, hogy ezek is biztosítsák a vízi járművek közötti merev csatolást. Az 5. fejezet szerinti követelmények teljesítését a 21.06. cikknek megfelelő, merev kötelékkel végrehajtott próbautak során kell ellenőrizni.</w:t>
      </w: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tabs>
          <w:tab w:val="left" w:pos="680"/>
        </w:tabs>
        <w:overflowPunct w:val="0"/>
        <w:adjustRightInd w:val="0"/>
        <w:ind w:left="680" w:hanging="680"/>
        <w:textAlignment w:val="baseline"/>
        <w:rPr>
          <w:szCs w:val="20"/>
        </w:rPr>
      </w:pPr>
      <w:r w:rsidRPr="00921ED0">
        <w:tab/>
        <w:t xml:space="preserve">A csuklós rendszerű </w:t>
      </w:r>
      <w:r w:rsidR="003C32D4">
        <w:t>csatolóeszközök</w:t>
      </w:r>
      <w:r w:rsidRPr="00921ED0">
        <w:t xml:space="preserve"> meghajtó egységének biztosítania kell a behajlított helyzetből történő kielégítő visszatérést. A 6.02–6.04. cikk követelményeit értelemszerűen kell alkalmazni, ezért ha gépi meghajtóegységet használnak, egy második hajtóegységnek és energiaforrásnak is rendelkezésre kell állnia meghibásodás esetére.</w:t>
      </w: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tabs>
          <w:tab w:val="left" w:pos="680"/>
        </w:tabs>
        <w:overflowPunct w:val="0"/>
        <w:adjustRightInd w:val="0"/>
        <w:ind w:left="680" w:hanging="680"/>
        <w:textAlignment w:val="baseline"/>
        <w:rPr>
          <w:szCs w:val="20"/>
        </w:rPr>
      </w:pPr>
      <w:r w:rsidRPr="00921ED0">
        <w:tab/>
        <w:t xml:space="preserve">Lehetővé kell tenni a csuklós rendszerű </w:t>
      </w:r>
      <w:r w:rsidR="003C32D4">
        <w:t>csatolóeszköz</w:t>
      </w:r>
      <w:r w:rsidRPr="00921ED0">
        <w:t>nek (de legalább csukló</w:t>
      </w:r>
      <w:r w:rsidR="003C32D4">
        <w:t>s</w:t>
      </w:r>
      <w:r w:rsidRPr="00921ED0">
        <w:t xml:space="preserve"> mozgásának) a működtetését és ellenőrzését a kormányállásból, a 7.03. és 7.05. cikk követelményeit pedig  értelemszerűen kell alkalmazni.</w:t>
      </w:r>
    </w:p>
    <w:p w:rsidR="005624E3" w:rsidRPr="00921ED0" w:rsidRDefault="005624E3" w:rsidP="005624E3">
      <w:pPr>
        <w:tabs>
          <w:tab w:val="left" w:pos="680"/>
        </w:tabs>
        <w:overflowPunct w:val="0"/>
        <w:adjustRightInd w:val="0"/>
        <w:ind w:left="680" w:hanging="680"/>
        <w:textAlignment w:val="baseline"/>
        <w:rPr>
          <w:szCs w:val="20"/>
        </w:rPr>
      </w:pPr>
      <w:r w:rsidRPr="00921ED0">
        <w:br w:type="page"/>
      </w: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tabs>
          <w:tab w:val="left" w:pos="680"/>
        </w:tabs>
        <w:overflowPunct w:val="0"/>
        <w:adjustRightInd w:val="0"/>
        <w:ind w:left="680" w:hanging="680"/>
        <w:textAlignment w:val="baseline"/>
        <w:rPr>
          <w:szCs w:val="20"/>
        </w:rPr>
      </w:pPr>
    </w:p>
    <w:p w:rsidR="005624E3" w:rsidRPr="00921ED0" w:rsidRDefault="005624E3" w:rsidP="005624E3">
      <w:pPr>
        <w:overflowPunct w:val="0"/>
        <w:adjustRightInd w:val="0"/>
        <w:textAlignment w:val="baseline"/>
        <w:rPr>
          <w:szCs w:val="20"/>
        </w:rPr>
      </w:pPr>
    </w:p>
    <w:p w:rsidR="005624E3" w:rsidRPr="00921ED0" w:rsidRDefault="005624E3" w:rsidP="005624E3">
      <w:pPr>
        <w:overflowPunct w:val="0"/>
        <w:adjustRightInd w:val="0"/>
        <w:spacing w:line="240" w:lineRule="atLeast"/>
        <w:jc w:val="center"/>
        <w:textAlignment w:val="baseline"/>
        <w:rPr>
          <w:rFonts w:eastAsia="Calibri" w:cs="Arial"/>
          <w:b/>
          <w:i/>
          <w:caps/>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rPr>
          <w:szCs w:val="20"/>
        </w:rPr>
      </w:pPr>
      <w:bookmarkStart w:id="777" w:name="_Toc491854370"/>
      <w:bookmarkStart w:id="778" w:name="_Toc535854151"/>
      <w:r w:rsidRPr="00921ED0">
        <w:t>ESI-III-7</w:t>
      </w:r>
      <w:r w:rsidRPr="00921ED0">
        <w:br/>
        <w:t>Tüzelőanyag-tartályok az úszó munkagépeken</w:t>
      </w:r>
      <w:bookmarkEnd w:id="777"/>
      <w:bookmarkEnd w:id="778"/>
    </w:p>
    <w:p w:rsidR="005624E3" w:rsidRPr="00921ED0" w:rsidRDefault="005624E3" w:rsidP="005624E3">
      <w:pPr>
        <w:overflowPunct w:val="0"/>
        <w:adjustRightInd w:val="0"/>
        <w:textAlignment w:val="baseline"/>
        <w:rPr>
          <w:szCs w:val="20"/>
        </w:rPr>
      </w:pPr>
    </w:p>
    <w:p w:rsidR="005624E3" w:rsidRPr="00921ED0" w:rsidRDefault="005624E3" w:rsidP="005624E3">
      <w:pPr>
        <w:tabs>
          <w:tab w:val="left" w:pos="284"/>
          <w:tab w:val="left" w:pos="567"/>
        </w:tabs>
        <w:overflowPunct w:val="0"/>
        <w:adjustRightInd w:val="0"/>
        <w:ind w:left="284" w:hanging="284"/>
        <w:jc w:val="center"/>
        <w:textAlignment w:val="baseline"/>
        <w:rPr>
          <w:b/>
          <w:szCs w:val="20"/>
        </w:rPr>
      </w:pPr>
      <w:r w:rsidRPr="00921ED0">
        <w:rPr>
          <w:b/>
        </w:rPr>
        <w:t>(8.05. cikk 1. bekezdés és 22.02. cikk 1. bekezdés d) pont)</w:t>
      </w:r>
    </w:p>
    <w:p w:rsidR="005624E3" w:rsidRPr="00921ED0" w:rsidRDefault="005624E3" w:rsidP="005624E3">
      <w:pPr>
        <w:tabs>
          <w:tab w:val="left" w:pos="284"/>
          <w:tab w:val="left" w:pos="567"/>
        </w:tabs>
        <w:overflowPunct w:val="0"/>
        <w:adjustRightInd w:val="0"/>
        <w:ind w:left="284" w:hanging="284"/>
        <w:textAlignment w:val="baseline"/>
        <w:rPr>
          <w:szCs w:val="20"/>
        </w:rPr>
      </w:pPr>
    </w:p>
    <w:p w:rsidR="005624E3" w:rsidRPr="00921ED0" w:rsidRDefault="005624E3" w:rsidP="005624E3">
      <w:pPr>
        <w:spacing w:line="240" w:lineRule="atLeast"/>
        <w:rPr>
          <w:noProof/>
        </w:rPr>
      </w:pPr>
      <w:r w:rsidRPr="00921ED0">
        <w:t>A 8.05. cikk 1. bekezdése szerint a tüzelőanyag-tartályokat a hajótest szerves részeként kell kialakítani, vagy szilárdan rögzíteni kell a hajótesthez.</w:t>
      </w:r>
    </w:p>
    <w:p w:rsidR="005624E3" w:rsidRPr="00921ED0" w:rsidRDefault="005624E3" w:rsidP="005624E3">
      <w:pPr>
        <w:spacing w:line="240" w:lineRule="atLeast"/>
        <w:rPr>
          <w:noProof/>
        </w:rPr>
      </w:pPr>
    </w:p>
    <w:p w:rsidR="005624E3" w:rsidRPr="00921ED0" w:rsidRDefault="005624E3" w:rsidP="005624E3">
      <w:pPr>
        <w:spacing w:line="240" w:lineRule="atLeast"/>
        <w:rPr>
          <w:noProof/>
        </w:rPr>
      </w:pPr>
      <w:r w:rsidRPr="00921ED0">
        <w:t>Az úszó munkagépeket hajtó motorok tüzelőanyag-tartályait nem szükséges a hajótest szerves részeként kialakítani vagy szilárdan a hajótesthez rögzíteni. Mobil tüzelőanyag-tartályok is felhasználhatók, amennyiben azok megfelelnek a következő feltételeknek:</w:t>
      </w:r>
    </w:p>
    <w:p w:rsidR="005624E3" w:rsidRPr="00921ED0" w:rsidRDefault="005624E3" w:rsidP="005624E3">
      <w:pPr>
        <w:tabs>
          <w:tab w:val="left" w:pos="0"/>
          <w:tab w:val="left" w:pos="454"/>
          <w:tab w:val="left" w:pos="567"/>
          <w:tab w:val="left" w:pos="851"/>
        </w:tabs>
        <w:overflowPunct w:val="0"/>
        <w:adjustRightInd w:val="0"/>
        <w:ind w:left="454" w:hanging="454"/>
        <w:textAlignment w:val="baseline"/>
        <w:rPr>
          <w:szCs w:val="20"/>
        </w:rPr>
      </w:pPr>
    </w:p>
    <w:p w:rsidR="005624E3" w:rsidRPr="00921ED0" w:rsidRDefault="005624E3" w:rsidP="005624E3">
      <w:pPr>
        <w:spacing w:line="240" w:lineRule="atLeast"/>
        <w:ind w:left="567" w:hanging="567"/>
      </w:pPr>
      <w:r w:rsidRPr="00921ED0">
        <w:t>1.</w:t>
      </w:r>
      <w:r w:rsidRPr="00921ED0">
        <w:tab/>
        <w:t>Térfogatuk nem haladhatja meg az 1000 litert.</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2.</w:t>
      </w:r>
      <w:r w:rsidRPr="00921ED0">
        <w:tab/>
        <w:t>Biztosítani kell elégséges szilárdsággal történő rögzítésüket, valamint földelésüket.</w:t>
      </w:r>
    </w:p>
    <w:p w:rsidR="005624E3" w:rsidRPr="00921ED0" w:rsidRDefault="005624E3" w:rsidP="005624E3">
      <w:pPr>
        <w:spacing w:line="240" w:lineRule="atLeast"/>
        <w:ind w:left="567" w:hanging="567"/>
      </w:pPr>
    </w:p>
    <w:p w:rsidR="005624E3" w:rsidRPr="00921ED0" w:rsidRDefault="005624E3" w:rsidP="005624E3">
      <w:pPr>
        <w:spacing w:line="240" w:lineRule="atLeast"/>
        <w:ind w:left="567" w:hanging="567"/>
      </w:pPr>
      <w:r w:rsidRPr="00921ED0">
        <w:t>3.</w:t>
      </w:r>
      <w:r w:rsidRPr="00921ED0">
        <w:tab/>
        <w:t>Megfelelő falvastagságú acélból kell készülniük, és csepegtetőtálcával kell rendelkezniük. A csepegtetőtálcát úgy kell megtervezni, hogy a szivárgó tüzelőanyag ne szennyezhesse a vízi utat. A csepegtetőtálca elhagyható, ha kettős falú tartályokat alkalmaznak, amelyek el vannak látva szivárgásvédelemmel vagy szivárgásra figyelmeztető rendszerrel, valamint ha a tartályok kizárólag automatikus nyomószeleppel tölthetők fel. A 3. pont rendelkezései teljesítettnek tekintendők, ha a tüzelőanyag-tartály kialakítását egy tagállam szabályzata szerint minősítették és engedélyezték.</w:t>
      </w:r>
    </w:p>
    <w:p w:rsidR="005624E3" w:rsidRPr="00921ED0" w:rsidRDefault="005624E3" w:rsidP="005624E3">
      <w:pPr>
        <w:tabs>
          <w:tab w:val="left" w:pos="567"/>
          <w:tab w:val="left" w:pos="851"/>
          <w:tab w:val="left" w:pos="1701"/>
          <w:tab w:val="left" w:pos="7088"/>
        </w:tabs>
        <w:overflowPunct w:val="0"/>
        <w:adjustRightInd w:val="0"/>
        <w:spacing w:line="240" w:lineRule="atLeast"/>
        <w:textAlignment w:val="baseline"/>
        <w:rPr>
          <w:szCs w:val="20"/>
        </w:rPr>
      </w:pPr>
    </w:p>
    <w:p w:rsidR="005624E3" w:rsidRPr="00921ED0" w:rsidRDefault="005624E3" w:rsidP="005624E3">
      <w:pPr>
        <w:spacing w:line="240" w:lineRule="atLeast"/>
        <w:rPr>
          <w:noProof/>
        </w:rPr>
      </w:pPr>
      <w:r w:rsidRPr="00921ED0">
        <w:t>A belvízi hajóbizonyítványba be kell vezetni a megfelelő bejegyzést.</w:t>
      </w:r>
    </w:p>
    <w:p w:rsidR="005624E3" w:rsidRPr="00921ED0"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rPr>
      </w:pPr>
    </w:p>
    <w:p w:rsidR="005624E3" w:rsidRPr="00921ED0"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rPr>
      </w:pPr>
      <w:r w:rsidRPr="00921ED0">
        <w:br w:type="page"/>
      </w:r>
    </w:p>
    <w:p w:rsidR="005624E3" w:rsidRPr="00921ED0"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rPr>
      </w:pPr>
    </w:p>
    <w:p w:rsidR="005624E3" w:rsidRPr="00921ED0"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rPr>
      </w:pPr>
    </w:p>
    <w:p w:rsidR="005624E3" w:rsidRPr="00921ED0"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rPr>
      </w:pPr>
    </w:p>
    <w:p w:rsidR="005624E3" w:rsidRPr="00921ED0"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rPr>
      </w:pPr>
    </w:p>
    <w:p w:rsidR="005624E3" w:rsidRPr="00921ED0"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rPr>
      </w:pPr>
    </w:p>
    <w:p w:rsidR="005624E3" w:rsidRPr="00921ED0"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rPr>
        <w:sectPr w:rsidR="005624E3" w:rsidRPr="00921ED0"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rPr>
          <w:noProof/>
        </w:rPr>
      </w:pPr>
      <w:bookmarkStart w:id="779" w:name="_Toc491854371"/>
      <w:bookmarkStart w:id="780" w:name="_Toc535854152"/>
      <w:r w:rsidRPr="00921ED0">
        <w:t>ESI-III-8</w:t>
      </w:r>
      <w:r w:rsidRPr="00921ED0">
        <w:br/>
        <w:t>Kedvtelési célú vízi jármű</w:t>
      </w:r>
      <w:bookmarkEnd w:id="779"/>
      <w:bookmarkEnd w:id="780"/>
    </w:p>
    <w:p w:rsidR="005624E3" w:rsidRPr="00921ED0" w:rsidRDefault="005624E3" w:rsidP="005624E3">
      <w:pPr>
        <w:spacing w:line="240" w:lineRule="atLeast"/>
        <w:ind w:left="567" w:hanging="567"/>
        <w:rPr>
          <w:noProof/>
        </w:rPr>
      </w:pPr>
    </w:p>
    <w:p w:rsidR="005624E3" w:rsidRPr="00921ED0" w:rsidRDefault="005624E3" w:rsidP="005624E3">
      <w:pPr>
        <w:spacing w:line="240" w:lineRule="atLeast"/>
        <w:jc w:val="center"/>
        <w:rPr>
          <w:b/>
          <w:noProof/>
        </w:rPr>
      </w:pPr>
      <w:r w:rsidRPr="00921ED0">
        <w:rPr>
          <w:b/>
          <w:noProof/>
        </w:rPr>
        <w:t>(26.01. cikk 2. bekezdés, összefüggésben a következőkkel: 7.02. cikk, 8.05. cikk 5. bekezdés, 8.08. cikk 2. bekezdés és 8.10. cikk)</w:t>
      </w:r>
    </w:p>
    <w:p w:rsidR="005624E3" w:rsidRPr="00921ED0" w:rsidRDefault="005624E3" w:rsidP="005624E3">
      <w:pPr>
        <w:spacing w:line="240" w:lineRule="atLeast"/>
        <w:ind w:left="567" w:hanging="567"/>
        <w:rPr>
          <w:rFonts w:cs="Arial"/>
          <w:b/>
          <w:noProof/>
          <w:color w:val="000000"/>
          <w:szCs w:val="20"/>
        </w:rPr>
      </w:pPr>
    </w:p>
    <w:p w:rsidR="005624E3" w:rsidRPr="00921ED0" w:rsidRDefault="005624E3" w:rsidP="005624E3">
      <w:pPr>
        <w:spacing w:line="240" w:lineRule="atLeast"/>
        <w:ind w:left="567" w:hanging="567"/>
        <w:rPr>
          <w:rFonts w:cs="Arial"/>
          <w:b/>
          <w:noProof/>
          <w:color w:val="000000"/>
          <w:szCs w:val="20"/>
        </w:rPr>
      </w:pPr>
      <w:r w:rsidRPr="00921ED0">
        <w:rPr>
          <w:b/>
          <w:noProof/>
          <w:color w:val="000000"/>
        </w:rPr>
        <w:t>1.</w:t>
      </w:r>
      <w:r w:rsidRPr="00921ED0">
        <w:tab/>
      </w:r>
      <w:r w:rsidRPr="00921ED0">
        <w:rPr>
          <w:b/>
          <w:noProof/>
          <w:color w:val="000000"/>
        </w:rPr>
        <w:t>Általános rendelkezések</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rPr>
          <w:noProof/>
        </w:rPr>
      </w:pPr>
      <w:r w:rsidRPr="00921ED0">
        <w:t>A legfeljebb 24 méter hosszúságú, kedvtelési célú vízi járműveknek meg kell felelniük a 2013/53/EU irányelv követelményeinek. A szóban forgó irányelv 3. cikkének megfelelően, összefüggésben a 2. cikkével, a legalább 20 méter hosszúságú kedvtelési célú vízi járműveknek belvízi hajóbizonyítvánnyal kell rendelkezniük, amely igazolja, hogy megfelelnek e szabvány műszaki követelményeinek. Tekintettel arra, hogy kerülni kell az újonnan épített kedvtelési célú vízi járművek bizonyos felszereléseinek, készülékeinek és berendezéseinek a szabvány 26.01. cikkének egyes rendelkezéseiből fakadó kettős ellenőrzését vagy tanúsítását, ezen utasítás tájékoztatást nyújt azokról a 26.01. cikkben felsorolt követelményekről, amelyek a 2013/53/EU irányelvben már szerepelnek.</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hanging="567"/>
        <w:rPr>
          <w:rFonts w:cs="Arial"/>
          <w:b/>
          <w:noProof/>
          <w:color w:val="000000"/>
          <w:szCs w:val="20"/>
        </w:rPr>
      </w:pPr>
      <w:r w:rsidRPr="00921ED0">
        <w:rPr>
          <w:b/>
          <w:noProof/>
          <w:color w:val="000000"/>
        </w:rPr>
        <w:t>2.</w:t>
      </w:r>
      <w:r w:rsidRPr="00921ED0">
        <w:tab/>
      </w:r>
      <w:r w:rsidRPr="00921ED0">
        <w:rPr>
          <w:b/>
          <w:noProof/>
          <w:color w:val="000000"/>
        </w:rPr>
        <w:t>A 26.01. cikkben foglalt, a 2013/53/EU irányelvben már szereplő követelmények</w:t>
      </w:r>
    </w:p>
    <w:p w:rsidR="005624E3" w:rsidRPr="00921ED0" w:rsidRDefault="005624E3" w:rsidP="005624E3">
      <w:pPr>
        <w:spacing w:line="240" w:lineRule="atLeast"/>
        <w:ind w:left="567"/>
        <w:rPr>
          <w:noProof/>
        </w:rPr>
      </w:pPr>
    </w:p>
    <w:p w:rsidR="005624E3" w:rsidRPr="00921ED0" w:rsidRDefault="005624E3" w:rsidP="005624E3">
      <w:pPr>
        <w:spacing w:line="240" w:lineRule="atLeast"/>
        <w:ind w:left="567"/>
        <w:rPr>
          <w:noProof/>
        </w:rPr>
      </w:pPr>
      <w:r w:rsidRPr="00921ED0">
        <w:t xml:space="preserve">A 2013/53/EU irányelv hatálya alá tartozó, kedvtelési célú vízi járművek esetében az </w:t>
      </w:r>
      <w:r w:rsidR="00EA3F15">
        <w:t>ellenőrző szerv</w:t>
      </w:r>
      <w:r w:rsidRPr="00921ED0">
        <w:t xml:space="preserve"> a belvízi hajóbizonyítvány kiadása (kezdeti vizsgálat) tekintetében nem követeli meg a 26.01. cikk 2. bekezdése szerinti alábbi követelmények további ellenőrzését vagy tanúsítását, feltéve, hogy a vizsgálatra rendelt vízi járművet az ellenőrző szervnek való bemutatása előtt legfeljebb 3 évvel hozták forgalomba, módosítást nem hajtottak végre rajta, a megfelelőségi nyilatkozat pedig a következő harmonizált szabványokra vagy azokkal egyenértékű előírásokra vonatkozik:</w:t>
      </w:r>
    </w:p>
    <w:p w:rsidR="005624E3" w:rsidRPr="00921ED0" w:rsidRDefault="005624E3" w:rsidP="005624E3">
      <w:pPr>
        <w:tabs>
          <w:tab w:val="left" w:pos="4253"/>
        </w:tabs>
        <w:spacing w:before="60" w:line="240" w:lineRule="atLeast"/>
        <w:ind w:left="2127" w:hanging="1560"/>
        <w:rPr>
          <w:noProof/>
        </w:rPr>
      </w:pPr>
      <w:r w:rsidRPr="00921ED0">
        <w:t>7.02. cikk:</w:t>
      </w:r>
      <w:r w:rsidRPr="00921ED0">
        <w:tab/>
        <w:t>EN ISO 11591:2000</w:t>
      </w:r>
      <w:r w:rsidRPr="00921ED0">
        <w:tab/>
        <w:t>(</w:t>
      </w:r>
      <w:r w:rsidR="00C323D2">
        <w:t>Szabad</w:t>
      </w:r>
      <w:r w:rsidRPr="00921ED0">
        <w:t xml:space="preserve"> kilátás)</w:t>
      </w:r>
    </w:p>
    <w:p w:rsidR="005624E3" w:rsidRPr="00921ED0" w:rsidRDefault="005624E3" w:rsidP="005624E3">
      <w:pPr>
        <w:tabs>
          <w:tab w:val="left" w:pos="4253"/>
        </w:tabs>
        <w:spacing w:before="60" w:line="240" w:lineRule="atLeast"/>
        <w:ind w:left="2127" w:hanging="1560"/>
        <w:rPr>
          <w:noProof/>
        </w:rPr>
      </w:pPr>
      <w:r w:rsidRPr="00921ED0">
        <w:t>8.05. cikk 5. bekezdés:</w:t>
      </w:r>
      <w:r w:rsidRPr="00921ED0">
        <w:tab/>
        <w:t>EN ISO 10088:2013</w:t>
      </w:r>
      <w:r w:rsidRPr="00921ED0">
        <w:tab/>
        <w:t>(Tüzelőanyag-tartály és -csövek)</w:t>
      </w:r>
    </w:p>
    <w:p w:rsidR="005624E3" w:rsidRPr="00921ED0" w:rsidRDefault="005624E3" w:rsidP="005624E3">
      <w:pPr>
        <w:tabs>
          <w:tab w:val="left" w:pos="4253"/>
        </w:tabs>
        <w:spacing w:before="60" w:line="240" w:lineRule="atLeast"/>
        <w:ind w:left="2127" w:hanging="1560"/>
        <w:rPr>
          <w:noProof/>
        </w:rPr>
      </w:pPr>
      <w:r w:rsidRPr="00921ED0">
        <w:t>8.08. cikk 2. bekezdés:</w:t>
      </w:r>
      <w:r w:rsidRPr="00921ED0">
        <w:tab/>
        <w:t>EN ISO 15083:2003</w:t>
      </w:r>
      <w:r w:rsidRPr="00921ED0">
        <w:tab/>
        <w:t>(Fenékvízszivattyúk)</w:t>
      </w:r>
    </w:p>
    <w:p w:rsidR="005624E3" w:rsidRPr="00166EA9" w:rsidRDefault="005624E3" w:rsidP="005624E3">
      <w:pPr>
        <w:tabs>
          <w:tab w:val="left" w:pos="4253"/>
        </w:tabs>
        <w:spacing w:before="60" w:line="240" w:lineRule="atLeast"/>
        <w:ind w:left="2127" w:hanging="1560"/>
        <w:rPr>
          <w:noProof/>
          <w:lang w:val="es-ES"/>
        </w:rPr>
      </w:pPr>
      <w:r w:rsidRPr="00166EA9">
        <w:rPr>
          <w:lang w:val="es-ES"/>
        </w:rPr>
        <w:t>8.10. cikk:</w:t>
      </w:r>
      <w:r w:rsidRPr="00166EA9">
        <w:rPr>
          <w:lang w:val="es-ES"/>
        </w:rPr>
        <w:tab/>
        <w:t>EN ISO 14509-1:2008 és EN ISO 14509-3:2009 (Zajkibocsátás)</w:t>
      </w:r>
    </w:p>
    <w:p w:rsidR="005624E3" w:rsidRPr="00166EA9" w:rsidRDefault="005624E3" w:rsidP="005624E3">
      <w:pPr>
        <w:spacing w:line="240" w:lineRule="atLeast"/>
        <w:ind w:left="567" w:hanging="567"/>
        <w:rPr>
          <w:lang w:val="es-ES"/>
        </w:rPr>
      </w:pPr>
      <w:r w:rsidRPr="00166EA9">
        <w:rPr>
          <w:lang w:val="es-ES"/>
        </w:rPr>
        <w:t xml:space="preserve"> </w:t>
      </w:r>
    </w:p>
    <w:p w:rsidR="005624E3" w:rsidRPr="00166EA9" w:rsidRDefault="005624E3" w:rsidP="005624E3">
      <w:pPr>
        <w:spacing w:line="240" w:lineRule="atLeast"/>
        <w:ind w:left="567" w:hanging="567"/>
        <w:rPr>
          <w:lang w:val="es-ES"/>
        </w:rPr>
      </w:pPr>
      <w:r w:rsidRPr="00166EA9">
        <w:rPr>
          <w:lang w:val="es-ES"/>
        </w:rPr>
        <w:br w:type="page"/>
      </w:r>
    </w:p>
    <w:p w:rsidR="005624E3" w:rsidRPr="00166EA9" w:rsidRDefault="005624E3" w:rsidP="005624E3">
      <w:pPr>
        <w:spacing w:line="240" w:lineRule="atLeast"/>
        <w:ind w:left="567" w:hanging="567"/>
        <w:rPr>
          <w:lang w:val="es-ES"/>
        </w:rPr>
      </w:pPr>
    </w:p>
    <w:p w:rsidR="005624E3" w:rsidRPr="00166EA9" w:rsidRDefault="005624E3" w:rsidP="005624E3">
      <w:pPr>
        <w:spacing w:line="240" w:lineRule="atLeast"/>
        <w:ind w:left="567" w:hanging="567"/>
        <w:rPr>
          <w:lang w:val="es-ES"/>
        </w:rPr>
      </w:pPr>
    </w:p>
    <w:p w:rsidR="005624E3" w:rsidRPr="00166EA9"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lang w:val="es-ES"/>
        </w:rPr>
      </w:pPr>
    </w:p>
    <w:p w:rsidR="005624E3" w:rsidRPr="00166EA9"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lang w:val="es-ES"/>
        </w:rPr>
        <w:sectPr w:rsidR="005624E3" w:rsidRPr="00166EA9" w:rsidSect="00D45887">
          <w:footnotePr>
            <w:numRestart w:val="eachPage"/>
          </w:footnotePr>
          <w:pgSz w:w="11907" w:h="16840" w:code="9"/>
          <w:pgMar w:top="1418" w:right="1418" w:bottom="1418" w:left="1418" w:header="680" w:footer="680" w:gutter="0"/>
          <w:cols w:space="720"/>
          <w:docGrid w:linePitch="326"/>
        </w:sectPr>
      </w:pPr>
    </w:p>
    <w:p w:rsidR="005624E3" w:rsidRPr="00166EA9" w:rsidRDefault="005624E3" w:rsidP="005624E3">
      <w:pPr>
        <w:pStyle w:val="ES-Titre2ESI"/>
        <w:rPr>
          <w:szCs w:val="20"/>
          <w:lang w:val="es-ES"/>
        </w:rPr>
      </w:pPr>
      <w:bookmarkStart w:id="781" w:name="_Toc491854372"/>
      <w:bookmarkStart w:id="782" w:name="_Toc535854153"/>
      <w:r w:rsidRPr="00166EA9">
        <w:rPr>
          <w:lang w:val="es-ES"/>
        </w:rPr>
        <w:t>ESI-III-9</w:t>
      </w:r>
      <w:r w:rsidRPr="00166EA9">
        <w:rPr>
          <w:lang w:val="es-ES"/>
        </w:rPr>
        <w:br/>
        <w:t>A hajórészek leválasztás utáni úszóképességének, hosszanti úszáshelyzetének (trimmjének) és stabilitásának igazolása</w:t>
      </w:r>
      <w:bookmarkEnd w:id="781"/>
      <w:bookmarkEnd w:id="782"/>
    </w:p>
    <w:p w:rsidR="005624E3" w:rsidRPr="00166EA9"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lang w:val="es-ES"/>
        </w:rPr>
      </w:pPr>
    </w:p>
    <w:p w:rsidR="005624E3" w:rsidRPr="00166EA9" w:rsidRDefault="005624E3" w:rsidP="005624E3">
      <w:pPr>
        <w:jc w:val="center"/>
        <w:rPr>
          <w:rFonts w:cs="Arial"/>
          <w:b/>
          <w:bCs/>
          <w:lang w:val="es-ES"/>
        </w:rPr>
      </w:pPr>
      <w:r w:rsidRPr="00166EA9">
        <w:rPr>
          <w:b/>
          <w:noProof/>
          <w:lang w:val="es-ES"/>
        </w:rPr>
        <w:t>(28.04. cikk, összefüggésben a következőkkel: 27.02. cikk és 27.03. cikk)</w:t>
      </w:r>
    </w:p>
    <w:p w:rsidR="005624E3" w:rsidRPr="00166EA9" w:rsidRDefault="005624E3" w:rsidP="005624E3">
      <w:pPr>
        <w:rPr>
          <w:rFonts w:cs="Arial"/>
          <w:lang w:val="es-ES"/>
        </w:rPr>
      </w:pPr>
    </w:p>
    <w:p w:rsidR="005624E3" w:rsidRPr="00166EA9" w:rsidRDefault="005624E3" w:rsidP="005624E3">
      <w:pPr>
        <w:spacing w:line="240" w:lineRule="atLeast"/>
        <w:ind w:left="567" w:hanging="567"/>
        <w:rPr>
          <w:strike/>
          <w:lang w:val="es-ES"/>
        </w:rPr>
      </w:pPr>
      <w:r w:rsidRPr="00166EA9">
        <w:rPr>
          <w:lang w:val="es-ES"/>
        </w:rPr>
        <w:t>1.</w:t>
      </w:r>
      <w:r w:rsidRPr="00166EA9">
        <w:rPr>
          <w:lang w:val="es-ES"/>
        </w:rPr>
        <w:tab/>
        <w:t>A 28.04. cikk 2. bekezdésének a) pontja szerint leválasztott hajórészek úszóképességének, trimmjének és stabilitásának igazolásakor azt kell feltételezni, hogy előzőleg mindkét rész részben vagy teljesen terheletlen volt, vagy hogy a nyíláskereten túlnyúló konténereket megcsúszás ellen megfelelően rögzítették.</w:t>
      </w:r>
    </w:p>
    <w:p w:rsidR="005624E3" w:rsidRPr="00166EA9" w:rsidRDefault="005624E3" w:rsidP="005624E3">
      <w:pPr>
        <w:spacing w:line="240" w:lineRule="atLeast"/>
        <w:ind w:left="567" w:hanging="567"/>
        <w:rPr>
          <w:strike/>
          <w:szCs w:val="20"/>
          <w:lang w:val="es-ES"/>
        </w:rPr>
      </w:pPr>
    </w:p>
    <w:p w:rsidR="005624E3" w:rsidRPr="00166EA9" w:rsidRDefault="005624E3" w:rsidP="005624E3">
      <w:pPr>
        <w:spacing w:line="240" w:lineRule="atLeast"/>
        <w:ind w:left="567" w:hanging="567"/>
        <w:rPr>
          <w:lang w:val="es-ES"/>
        </w:rPr>
      </w:pPr>
      <w:r w:rsidRPr="00166EA9">
        <w:rPr>
          <w:lang w:val="es-ES"/>
        </w:rPr>
        <w:t>2.</w:t>
      </w:r>
      <w:r w:rsidRPr="00166EA9">
        <w:rPr>
          <w:lang w:val="es-ES"/>
        </w:rPr>
        <w:tab/>
        <w:t>Ezért a stabilitásnak a 27.03. cikk (Határérték-feltételek és módszer a konténerek rögzített szállítása közbeni stabilitás igazolására) szerinti kiszámításakor mindkét rész esetében teljesülniük kell a következő követelményeknek:</w:t>
      </w:r>
    </w:p>
    <w:p w:rsidR="005624E3" w:rsidRPr="00166EA9" w:rsidRDefault="005624E3" w:rsidP="005624E3">
      <w:pPr>
        <w:tabs>
          <w:tab w:val="left" w:pos="567"/>
        </w:tabs>
        <w:spacing w:before="60" w:line="240" w:lineRule="atLeast"/>
        <w:ind w:left="992"/>
        <w:rPr>
          <w:rFonts w:cs="Arial"/>
          <w:lang w:val="pt-PT"/>
        </w:rPr>
      </w:pPr>
      <w:r w:rsidRPr="00921ED0">
        <w:rPr>
          <w:rFonts w:cs="Arial"/>
          <w:noProof/>
        </w:rPr>
        <w:sym w:font="Symbol" w:char="F0B7"/>
      </w:r>
      <w:r w:rsidRPr="00166EA9">
        <w:rPr>
          <w:lang w:val="pt-PT"/>
        </w:rPr>
        <w:t xml:space="preserve"> a </w:t>
      </w:r>
      <m:oMath>
        <m:acc>
          <m:accPr>
            <m:chr m:val="̅"/>
            <m:ctrlPr>
              <w:rPr>
                <w:rFonts w:ascii="Cambria Math" w:hAnsi="Cambria Math"/>
                <w:i/>
              </w:rPr>
            </m:ctrlPr>
          </m:accPr>
          <m:e>
            <m:r>
              <w:rPr>
                <w:rFonts w:ascii="Cambria Math" w:hAnsi="Cambria Math"/>
              </w:rPr>
              <m:t>MG</m:t>
            </m:r>
          </m:e>
        </m:acc>
      </m:oMath>
      <w:r w:rsidRPr="00166EA9">
        <w:rPr>
          <w:lang w:val="pt-PT"/>
        </w:rPr>
        <w:t xml:space="preserve"> metacentrikus magasság legalább 0,50 m,</w:t>
      </w:r>
    </w:p>
    <w:p w:rsidR="005624E3" w:rsidRPr="00166EA9" w:rsidRDefault="005624E3" w:rsidP="005624E3">
      <w:pPr>
        <w:tabs>
          <w:tab w:val="left" w:pos="567"/>
        </w:tabs>
        <w:spacing w:before="60" w:line="240" w:lineRule="atLeast"/>
        <w:ind w:left="992"/>
        <w:rPr>
          <w:rFonts w:cs="Arial"/>
          <w:lang w:val="pt-PT"/>
        </w:rPr>
      </w:pPr>
      <w:r w:rsidRPr="00921ED0">
        <w:rPr>
          <w:rFonts w:cs="Arial"/>
          <w:noProof/>
        </w:rPr>
        <w:sym w:font="Symbol" w:char="F0B7"/>
      </w:r>
      <w:r w:rsidRPr="00166EA9">
        <w:rPr>
          <w:lang w:val="pt-PT"/>
        </w:rPr>
        <w:t xml:space="preserve"> a fennmaradó biztonsági távolság 100 mm,</w:t>
      </w:r>
    </w:p>
    <w:p w:rsidR="005624E3" w:rsidRPr="00166EA9" w:rsidRDefault="005624E3" w:rsidP="005624E3">
      <w:pPr>
        <w:tabs>
          <w:tab w:val="left" w:pos="567"/>
        </w:tabs>
        <w:spacing w:before="60" w:line="240" w:lineRule="atLeast"/>
        <w:ind w:left="992"/>
        <w:rPr>
          <w:rFonts w:cs="Arial"/>
          <w:lang w:val="pt-PT"/>
        </w:rPr>
      </w:pPr>
      <w:r w:rsidRPr="00921ED0">
        <w:rPr>
          <w:rFonts w:cs="Arial"/>
          <w:noProof/>
        </w:rPr>
        <w:sym w:font="Symbol" w:char="F0B7"/>
      </w:r>
      <w:r w:rsidRPr="00166EA9">
        <w:rPr>
          <w:lang w:val="pt-PT"/>
        </w:rPr>
        <w:t xml:space="preserve"> 7 km/h sebességet kell figyelembe venni,</w:t>
      </w:r>
    </w:p>
    <w:p w:rsidR="005624E3" w:rsidRPr="00166EA9" w:rsidRDefault="005624E3" w:rsidP="005624E3">
      <w:pPr>
        <w:tabs>
          <w:tab w:val="left" w:pos="567"/>
        </w:tabs>
        <w:spacing w:before="60" w:line="240" w:lineRule="atLeast"/>
        <w:ind w:left="992"/>
        <w:rPr>
          <w:rFonts w:cs="Arial"/>
          <w:strike/>
          <w:szCs w:val="20"/>
          <w:lang w:val="pt-PT"/>
        </w:rPr>
      </w:pPr>
      <w:r w:rsidRPr="00921ED0">
        <w:rPr>
          <w:rFonts w:cs="Arial"/>
          <w:noProof/>
          <w:szCs w:val="20"/>
        </w:rPr>
        <w:sym w:font="Symbol" w:char="F0B7"/>
      </w:r>
      <w:r w:rsidRPr="00166EA9">
        <w:rPr>
          <w:lang w:val="pt-PT"/>
        </w:rPr>
        <w:t xml:space="preserve"> 0,01 t/m</w:t>
      </w:r>
      <w:r w:rsidRPr="00166EA9">
        <w:rPr>
          <w:noProof/>
          <w:vertAlign w:val="superscript"/>
          <w:lang w:val="pt-PT"/>
        </w:rPr>
        <w:t>2</w:t>
      </w:r>
      <w:r w:rsidRPr="00166EA9">
        <w:rPr>
          <w:lang w:val="pt-PT"/>
        </w:rPr>
        <w:t xml:space="preserve"> szélnyomással kell számolni.</w:t>
      </w:r>
    </w:p>
    <w:p w:rsidR="005624E3" w:rsidRPr="00166EA9" w:rsidRDefault="005624E3" w:rsidP="005624E3">
      <w:pPr>
        <w:tabs>
          <w:tab w:val="left" w:pos="567"/>
        </w:tabs>
        <w:spacing w:line="240" w:lineRule="atLeast"/>
        <w:ind w:left="567" w:hanging="567"/>
        <w:rPr>
          <w:rFonts w:cs="Arial"/>
          <w:szCs w:val="20"/>
          <w:lang w:val="pt-PT"/>
        </w:rPr>
      </w:pPr>
    </w:p>
    <w:p w:rsidR="005624E3" w:rsidRPr="00166EA9" w:rsidRDefault="005624E3" w:rsidP="005624E3">
      <w:pPr>
        <w:spacing w:line="240" w:lineRule="atLeast"/>
        <w:ind w:left="567" w:hanging="567"/>
        <w:rPr>
          <w:lang w:val="pt-PT"/>
        </w:rPr>
      </w:pPr>
      <w:r w:rsidRPr="00166EA9">
        <w:rPr>
          <w:lang w:val="pt-PT"/>
        </w:rPr>
        <w:t>3.</w:t>
      </w:r>
      <w:r w:rsidRPr="00166EA9">
        <w:rPr>
          <w:lang w:val="pt-PT"/>
        </w:rPr>
        <w:tab/>
        <w:t>A dőlésszögre vonatkozó feltételnek (≤ 5°) nem kell teljesülnie a hajó azon részeinél, amelyeket a 28.04. cikk 2. bekezdése szerint leválasztottak, mivel ezt a szöget – amely a súrlódási együtthatóból került levezetésre – nem rögzített konténerekre határozták meg.</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rPr>
          <w:lang w:val="pt-PT"/>
        </w:rPr>
      </w:pPr>
      <w:r w:rsidRPr="00166EA9">
        <w:rPr>
          <w:lang w:val="pt-PT"/>
        </w:rPr>
        <w:t>A szabad folyadékfelületekből adódó dőléskart a 27.02. cikk 1. bekezdésének e) alpontjában szereplő képlet szerint kell kiszámítani.</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4.</w:t>
      </w:r>
      <w:r w:rsidRPr="00166EA9">
        <w:rPr>
          <w:lang w:val="pt-PT"/>
        </w:rPr>
        <w:tab/>
        <w:t>A 2. és 3. pontban megadott követelményeket akkor is teljesítettnek kell tekinteni, ha a két rész mindegyikénél teljesültek az ADN 9.1.0.95.2. szakaszában szereplő stabilitási követelmények.</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5.</w:t>
      </w:r>
      <w:r w:rsidRPr="00166EA9">
        <w:rPr>
          <w:lang w:val="pt-PT"/>
        </w:rPr>
        <w:tab/>
        <w:t>A hajó leválasztott részei stabilitásának igazolása alapulhat azon a feltételezésen, hogy a terhelés a részek között egyenletesen oszlik el, mivel a terhelés egyenletes elosztása – amennyiben még nem lenne biztosítva – elvégezhető a leválasztás előtt, vagy a hajó jelentős részben tehermentesíthető.</w:t>
      </w:r>
    </w:p>
    <w:p w:rsidR="005624E3" w:rsidRPr="00166EA9" w:rsidRDefault="005624E3" w:rsidP="005624E3">
      <w:pPr>
        <w:tabs>
          <w:tab w:val="left" w:pos="0"/>
          <w:tab w:val="left" w:pos="567"/>
          <w:tab w:val="left" w:pos="851"/>
          <w:tab w:val="left" w:pos="1701"/>
          <w:tab w:val="left" w:pos="7088"/>
        </w:tabs>
        <w:overflowPunct w:val="0"/>
        <w:adjustRightInd w:val="0"/>
        <w:ind w:left="567" w:hanging="567"/>
        <w:textAlignment w:val="baseline"/>
        <w:rPr>
          <w:szCs w:val="20"/>
          <w:lang w:val="pt-PT"/>
        </w:rPr>
      </w:pPr>
    </w:p>
    <w:p w:rsidR="005624E3" w:rsidRPr="00166EA9" w:rsidRDefault="005624E3" w:rsidP="005624E3">
      <w:pPr>
        <w:overflowPunct w:val="0"/>
        <w:adjustRightInd w:val="0"/>
        <w:textAlignment w:val="baseline"/>
        <w:rPr>
          <w:szCs w:val="20"/>
          <w:lang w:val="pt-PT"/>
        </w:rPr>
      </w:pPr>
      <w:r w:rsidRPr="00166EA9">
        <w:rPr>
          <w:lang w:val="pt-PT"/>
        </w:rPr>
        <w:br w:type="page"/>
      </w: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sectPr w:rsidR="005624E3" w:rsidRPr="00166EA9" w:rsidSect="00D45887">
          <w:footnotePr>
            <w:numRestart w:val="eachPage"/>
          </w:footnotePr>
          <w:pgSz w:w="11907" w:h="16840" w:code="9"/>
          <w:pgMar w:top="1418" w:right="1418" w:bottom="1418" w:left="1418" w:header="680" w:footer="680" w:gutter="0"/>
          <w:cols w:space="720"/>
          <w:docGrid w:linePitch="326"/>
        </w:sectPr>
      </w:pPr>
    </w:p>
    <w:p w:rsidR="005624E3" w:rsidRPr="00921ED0" w:rsidRDefault="005624E3" w:rsidP="005624E3">
      <w:pPr>
        <w:pStyle w:val="ES-Titre2ESI"/>
        <w:rPr>
          <w:szCs w:val="20"/>
        </w:rPr>
      </w:pPr>
      <w:bookmarkStart w:id="783" w:name="_Toc491854373"/>
      <w:bookmarkStart w:id="784" w:name="_Toc535854154"/>
      <w:r w:rsidRPr="00921ED0">
        <w:t>ESI-III-10</w:t>
      </w:r>
      <w:r w:rsidRPr="00921ED0">
        <w:br/>
        <w:t>Az S1 vagy S2 standard szerint üzemelő hajók felszerelése</w:t>
      </w:r>
      <w:bookmarkEnd w:id="783"/>
      <w:bookmarkEnd w:id="784"/>
    </w:p>
    <w:p w:rsidR="005624E3" w:rsidRPr="00921ED0" w:rsidRDefault="005624E3" w:rsidP="005624E3">
      <w:pPr>
        <w:overflowPunct w:val="0"/>
        <w:adjustRightInd w:val="0"/>
        <w:textAlignment w:val="baseline"/>
        <w:rPr>
          <w:szCs w:val="20"/>
        </w:rPr>
      </w:pPr>
    </w:p>
    <w:p w:rsidR="005624E3" w:rsidRPr="00921ED0" w:rsidRDefault="005624E3" w:rsidP="005624E3">
      <w:pPr>
        <w:jc w:val="center"/>
        <w:rPr>
          <w:rFonts w:cs="Arial"/>
          <w:b/>
          <w:bCs/>
          <w:snapToGrid w:val="0"/>
          <w:szCs w:val="20"/>
        </w:rPr>
      </w:pPr>
      <w:r w:rsidRPr="00921ED0">
        <w:rPr>
          <w:b/>
          <w:noProof/>
          <w:snapToGrid w:val="0"/>
        </w:rPr>
        <w:t>(31.01., 31.02. és 31.03. cikk)</w:t>
      </w:r>
    </w:p>
    <w:p w:rsidR="005624E3" w:rsidRPr="00921ED0" w:rsidRDefault="005624E3" w:rsidP="005624E3">
      <w:pPr>
        <w:tabs>
          <w:tab w:val="left" w:pos="567"/>
        </w:tabs>
        <w:ind w:left="567" w:hanging="567"/>
        <w:rPr>
          <w:rFonts w:cs="Arial"/>
          <w:snapToGrid w:val="0"/>
          <w:szCs w:val="20"/>
        </w:rPr>
      </w:pPr>
    </w:p>
    <w:p w:rsidR="005624E3" w:rsidRPr="00921ED0" w:rsidRDefault="005624E3" w:rsidP="005624E3">
      <w:pPr>
        <w:spacing w:line="240" w:lineRule="atLeast"/>
        <w:ind w:left="567" w:hanging="567"/>
        <w:rPr>
          <w:rFonts w:cs="Arial"/>
          <w:b/>
          <w:color w:val="000000"/>
          <w:szCs w:val="20"/>
        </w:rPr>
      </w:pPr>
      <w:r w:rsidRPr="00921ED0">
        <w:rPr>
          <w:b/>
          <w:color w:val="000000"/>
        </w:rPr>
        <w:t>1.</w:t>
      </w:r>
      <w:r w:rsidRPr="00921ED0">
        <w:tab/>
      </w:r>
      <w:r w:rsidRPr="00921ED0">
        <w:rPr>
          <w:b/>
          <w:color w:val="000000"/>
        </w:rPr>
        <w:t>Általános bevezetés</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spacing w:line="240" w:lineRule="atLeast"/>
        <w:ind w:left="567"/>
      </w:pPr>
      <w:r w:rsidRPr="00921ED0">
        <w:t xml:space="preserve">A 31.01. cikk szerint azoknak a hajóknak, amelyeket az S1 és az S2 standard szerint terveznek üzemeltetni, meg kell felelniük a 31. fejezet rendelkezéseinek. Az </w:t>
      </w:r>
      <w:r w:rsidR="00EA3F15">
        <w:t>ellenőrző szerv</w:t>
      </w:r>
      <w:r w:rsidRPr="00921ED0">
        <w:t>nek igazolnia kell a belvízi hajóbizonyítványban, hogy a hajó megfelel ezeknek a rendelkezéseknek.</w:t>
      </w:r>
    </w:p>
    <w:p w:rsidR="005624E3" w:rsidRPr="00921ED0" w:rsidRDefault="005624E3" w:rsidP="005624E3">
      <w:pPr>
        <w:spacing w:line="240" w:lineRule="atLeast"/>
        <w:ind w:left="567"/>
        <w:rPr>
          <w:snapToGrid w:val="0"/>
        </w:rPr>
      </w:pPr>
    </w:p>
    <w:p w:rsidR="005624E3" w:rsidRPr="00921ED0" w:rsidRDefault="005624E3" w:rsidP="005624E3">
      <w:pPr>
        <w:spacing w:line="240" w:lineRule="atLeast"/>
        <w:ind w:left="567"/>
        <w:rPr>
          <w:snapToGrid w:val="0"/>
        </w:rPr>
      </w:pPr>
      <w:r w:rsidRPr="00921ED0">
        <w:t xml:space="preserve">Ezek a rendelkezések kiegészítő felszereléseket írnak elő, amelyek azon követelmények kiegészítéseként értelmezendők, amelyeket a hajónak teljesítenie kell a belvízi hajóbizonyítvány kibocsátásához. A 31. fejezet többféleképpen értelmezhető rendelkezéseit ezen utasítás egyértelműsíti. </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spacing w:line="240" w:lineRule="atLeast"/>
        <w:ind w:left="567" w:hanging="567"/>
        <w:rPr>
          <w:b/>
        </w:rPr>
      </w:pPr>
      <w:r w:rsidRPr="00921ED0">
        <w:rPr>
          <w:b/>
        </w:rPr>
        <w:t>2.</w:t>
      </w:r>
      <w:r w:rsidRPr="00921ED0">
        <w:tab/>
      </w:r>
      <w:r w:rsidRPr="00921ED0">
        <w:rPr>
          <w:b/>
        </w:rPr>
        <w:t>31.02. cikk – S1 standard</w:t>
      </w:r>
    </w:p>
    <w:p w:rsidR="005624E3" w:rsidRPr="00921ED0" w:rsidRDefault="005624E3" w:rsidP="005624E3">
      <w:pPr>
        <w:spacing w:line="240" w:lineRule="atLeast"/>
        <w:ind w:left="567" w:hanging="567"/>
        <w:rPr>
          <w:b/>
        </w:rPr>
      </w:pPr>
    </w:p>
    <w:p w:rsidR="005624E3" w:rsidRPr="00921ED0" w:rsidRDefault="005624E3" w:rsidP="005624E3">
      <w:pPr>
        <w:spacing w:line="240" w:lineRule="atLeast"/>
        <w:ind w:left="567" w:hanging="567"/>
        <w:rPr>
          <w:b/>
        </w:rPr>
      </w:pPr>
      <w:r w:rsidRPr="00921ED0">
        <w:rPr>
          <w:b/>
        </w:rPr>
        <w:t>2.1.</w:t>
      </w:r>
      <w:r w:rsidRPr="00921ED0">
        <w:tab/>
      </w:r>
      <w:r w:rsidRPr="00921ED0">
        <w:rPr>
          <w:b/>
        </w:rPr>
        <w:t>1. bekezdés – A propulziós rendszer kialakítása</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ab/>
        <w:t>Ha a hajó közvetlenül reverzálható főmotorral van felszerelve, akkor a reverzáláshoz szükséges sűrített levegős rendszert:</w:t>
      </w:r>
    </w:p>
    <w:p w:rsidR="005624E3" w:rsidRPr="00921ED0" w:rsidRDefault="005624E3" w:rsidP="005624E3">
      <w:pPr>
        <w:tabs>
          <w:tab w:val="left" w:pos="992"/>
        </w:tabs>
        <w:spacing w:before="60" w:line="240" w:lineRule="atLeast"/>
        <w:ind w:left="992"/>
        <w:rPr>
          <w:rFonts w:cs="Arial"/>
        </w:rPr>
      </w:pPr>
      <w:r w:rsidRPr="00921ED0">
        <w:t>a)</w:t>
      </w:r>
      <w:r w:rsidRPr="00921ED0">
        <w:tab/>
        <w:t>önműködően szabályozott kompresszorral folyamatosan nyomás alatt kell tartani; vagy</w:t>
      </w:r>
    </w:p>
    <w:p w:rsidR="005624E3" w:rsidRPr="00921ED0" w:rsidRDefault="005624E3" w:rsidP="005624E3">
      <w:pPr>
        <w:tabs>
          <w:tab w:val="left" w:pos="992"/>
        </w:tabs>
        <w:spacing w:before="60" w:line="240" w:lineRule="atLeast"/>
        <w:ind w:left="992"/>
        <w:rPr>
          <w:rFonts w:cs="Arial"/>
        </w:rPr>
      </w:pPr>
      <w:r w:rsidRPr="00921ED0">
        <w:t>b)</w:t>
      </w:r>
      <w:r w:rsidRPr="00921ED0">
        <w:tab/>
        <w:t>ha riasztás lép működésbe a kormányállásban, akkor nyomás alá kell helyezni egy, a kormányvezérlő-állásból elindítható segédmotorral. Ha a segédmotornak saját üzemanyag-tartálya van, a további biztonságos működtetés érdekében – a 8.05. cikk 13. bekezdése szerint – lennie kell a kormányállásban egy figyelmeztető eszköznek annak jelzésére, hogy a tüzelőanyagszint nem elégséges.</w:t>
      </w:r>
    </w:p>
    <w:p w:rsidR="005624E3" w:rsidRPr="00921ED0" w:rsidRDefault="005624E3" w:rsidP="005624E3">
      <w:pPr>
        <w:spacing w:line="240" w:lineRule="atLeast"/>
        <w:ind w:left="567" w:hanging="567"/>
        <w:rPr>
          <w:b/>
        </w:rPr>
      </w:pPr>
    </w:p>
    <w:p w:rsidR="005624E3" w:rsidRPr="00921ED0" w:rsidRDefault="005624E3" w:rsidP="005624E3">
      <w:pPr>
        <w:spacing w:line="240" w:lineRule="atLeast"/>
        <w:ind w:left="567" w:hanging="567"/>
        <w:rPr>
          <w:b/>
        </w:rPr>
      </w:pPr>
      <w:r w:rsidRPr="00921ED0">
        <w:rPr>
          <w:b/>
        </w:rPr>
        <w:t>2.2.</w:t>
      </w:r>
      <w:r w:rsidRPr="00921ED0">
        <w:tab/>
      </w:r>
      <w:r w:rsidRPr="00921ED0">
        <w:rPr>
          <w:b/>
        </w:rPr>
        <w:t>2. bekezdés – Fenékvízszint a fő géptérben</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ab/>
        <w:t>Ha az 5. fejezet szerinti műveletképességi követelmények teljesítéséhez orrkormányrendszerre van szükség, az orrkormányrendszert magában foglaló helyiséget is fő géptérnek kell tekinteni.</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spacing w:line="240" w:lineRule="atLeast"/>
        <w:ind w:left="567" w:hanging="567"/>
        <w:rPr>
          <w:b/>
        </w:rPr>
      </w:pPr>
      <w:r w:rsidRPr="00921ED0">
        <w:rPr>
          <w:b/>
        </w:rPr>
        <w:t>2.3.</w:t>
      </w:r>
      <w:r w:rsidRPr="00921ED0">
        <w:tab/>
      </w:r>
      <w:r w:rsidRPr="00921ED0">
        <w:rPr>
          <w:b/>
        </w:rPr>
        <w:t>3. bekezdés – Automatikus tüzelőanyag-ellátás</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2.3.1.</w:t>
      </w:r>
      <w:r w:rsidRPr="00921ED0">
        <w:tab/>
        <w:t>Ha a propulziós rendszer napi fogyasztást biztosító tartállyal rendelkezik,</w:t>
      </w:r>
    </w:p>
    <w:p w:rsidR="005624E3" w:rsidRPr="00921ED0" w:rsidRDefault="005624E3" w:rsidP="005624E3">
      <w:pPr>
        <w:tabs>
          <w:tab w:val="left" w:pos="993"/>
        </w:tabs>
        <w:spacing w:before="60" w:line="240" w:lineRule="atLeast"/>
        <w:ind w:left="992"/>
        <w:rPr>
          <w:rFonts w:cs="Arial"/>
        </w:rPr>
      </w:pPr>
      <w:r w:rsidRPr="00921ED0">
        <w:t>a)</w:t>
      </w:r>
      <w:r w:rsidRPr="00921ED0">
        <w:tab/>
        <w:t>a tartály tartalmának elegendőnek kell lennie a propulziós rendszer működésének biztosítására 24 órán keresztül, óránként és kilowattonként 0,25 liter fogyasztást feltételezve;</w:t>
      </w:r>
    </w:p>
    <w:p w:rsidR="005624E3" w:rsidRPr="00921ED0" w:rsidRDefault="005624E3" w:rsidP="005624E3">
      <w:pPr>
        <w:tabs>
          <w:tab w:val="left" w:pos="993"/>
        </w:tabs>
        <w:spacing w:before="60" w:line="240" w:lineRule="atLeast"/>
        <w:ind w:left="992"/>
        <w:rPr>
          <w:rFonts w:cs="Arial"/>
        </w:rPr>
      </w:pPr>
      <w:r w:rsidRPr="00921ED0">
        <w:t>b)</w:t>
      </w:r>
      <w:r w:rsidRPr="00921ED0">
        <w:tab/>
        <w:t>a napi fogyasztást biztosító tartály újratöltésére szolgáló tüzelőanyag-tápszivattyúnak folyamatosan működnie kell, vagy vagy</w:t>
      </w:r>
    </w:p>
    <w:p w:rsidR="005624E3" w:rsidRPr="00921ED0" w:rsidRDefault="005624E3" w:rsidP="005624E3">
      <w:pPr>
        <w:tabs>
          <w:tab w:val="left" w:pos="993"/>
        </w:tabs>
        <w:spacing w:before="60" w:line="240" w:lineRule="atLeast"/>
        <w:ind w:left="992"/>
        <w:rPr>
          <w:rFonts w:cs="Arial"/>
        </w:rPr>
      </w:pPr>
      <w:r w:rsidRPr="00921ED0">
        <w:t>c)</w:t>
      </w:r>
      <w:r w:rsidRPr="00921ED0">
        <w:tab/>
        <w:t>a tüzelőanyag-tápszivattyút fel kell szerelni:</w:t>
      </w:r>
    </w:p>
    <w:p w:rsidR="005624E3" w:rsidRPr="00921ED0" w:rsidRDefault="005624E3" w:rsidP="005624E3">
      <w:pPr>
        <w:tabs>
          <w:tab w:val="left" w:pos="1418"/>
        </w:tabs>
        <w:spacing w:before="60" w:line="240" w:lineRule="atLeast"/>
        <w:ind w:left="1418"/>
        <w:rPr>
          <w:rFonts w:cs="Arial"/>
        </w:rPr>
      </w:pPr>
      <w:r w:rsidRPr="00921ED0">
        <w:rPr>
          <w:rFonts w:cs="Arial"/>
        </w:rPr>
        <w:sym w:font="Symbol" w:char="F0B7"/>
      </w:r>
      <w:r w:rsidRPr="00921ED0">
        <w:t xml:space="preserve"> egy olyan kapcsolóval, amely automatikusan bekapcsolja a tüzelőanyag-tápszivattyút, ha a tüzelőanyag szintje a napi fogyasztást biztosító tartály esetében meghatározott alacsony szintet ér el, és</w:t>
      </w:r>
    </w:p>
    <w:p w:rsidR="005624E3" w:rsidRPr="00921ED0" w:rsidRDefault="005624E3" w:rsidP="005624E3">
      <w:pPr>
        <w:widowControl w:val="0"/>
        <w:tabs>
          <w:tab w:val="left" w:pos="426"/>
          <w:tab w:val="left" w:pos="1418"/>
        </w:tabs>
        <w:overflowPunct w:val="0"/>
        <w:adjustRightInd w:val="0"/>
        <w:spacing w:before="60" w:line="240" w:lineRule="atLeast"/>
        <w:ind w:left="1418"/>
        <w:textAlignment w:val="baseline"/>
        <w:rPr>
          <w:rFonts w:cs="Arial"/>
          <w:snapToGrid w:val="0"/>
        </w:rPr>
      </w:pPr>
      <w:r w:rsidRPr="00921ED0">
        <w:rPr>
          <w:rFonts w:cs="Arial"/>
          <w:snapToGrid w:val="0"/>
        </w:rPr>
        <w:sym w:font="Symbol" w:char="F0B7"/>
      </w:r>
      <w:r w:rsidRPr="00921ED0">
        <w:t xml:space="preserve"> egy olyan kapcsolóval, amely automatikusan kikapcsolja a tüzelőanyag-tápszivattyút, ha a napi fogyasztást biztosító tartály megtelik.</w:t>
      </w:r>
    </w:p>
    <w:p w:rsidR="005624E3" w:rsidRPr="00921ED0" w:rsidRDefault="005624E3" w:rsidP="005624E3">
      <w:pPr>
        <w:tabs>
          <w:tab w:val="left" w:pos="567"/>
        </w:tabs>
        <w:spacing w:line="240" w:lineRule="atLeast"/>
        <w:ind w:left="567" w:hanging="567"/>
        <w:rPr>
          <w:rFonts w:cs="Arial"/>
        </w:rPr>
      </w:pPr>
      <w:r w:rsidRPr="00921ED0">
        <w:br w:type="page"/>
      </w:r>
    </w:p>
    <w:p w:rsidR="005624E3" w:rsidRPr="00921ED0" w:rsidRDefault="005624E3" w:rsidP="005624E3">
      <w:pPr>
        <w:tabs>
          <w:tab w:val="left" w:pos="567"/>
        </w:tabs>
        <w:spacing w:line="240" w:lineRule="atLeast"/>
        <w:ind w:left="567" w:hanging="567"/>
        <w:rPr>
          <w:rFonts w:cs="Arial"/>
        </w:rPr>
      </w:pPr>
      <w:r w:rsidRPr="00921ED0">
        <w:t>2.3.2.</w:t>
      </w:r>
      <w:r w:rsidRPr="00921ED0">
        <w:tab/>
        <w:t>A napi fogyasztást biztosító tartályt fel kell szerelni egy szintriasztó készülékkel, amely megfelel a 8.05. cikk 13. bekezdése szerinti követelményeknek.</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rPr>
          <w:b/>
        </w:rPr>
        <w:t>2.4.</w:t>
      </w:r>
      <w:r w:rsidRPr="00921ED0">
        <w:tab/>
      </w:r>
      <w:r w:rsidRPr="00921ED0">
        <w:rPr>
          <w:b/>
        </w:rPr>
        <w:t>4. bekezdés – A kormányberendezés működtetéséhez nem lehet szükség különösebb erőkifejtésre</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rPr>
          <w:rFonts w:cs="Arial"/>
        </w:rPr>
      </w:pPr>
      <w:r w:rsidRPr="00921ED0">
        <w:t>A hidraulikus kormányberendezések teljesítik ezt a követelményt. Kézi működtetésű kormányberendezés működtetéséhez legfeljebb 160 N erőkifejtés a megengedhető mérték.</w:t>
      </w:r>
    </w:p>
    <w:p w:rsidR="005624E3" w:rsidRPr="00921ED0" w:rsidRDefault="005624E3" w:rsidP="005624E3">
      <w:pPr>
        <w:tabs>
          <w:tab w:val="left" w:pos="567"/>
        </w:tabs>
        <w:spacing w:line="240" w:lineRule="atLeast"/>
        <w:ind w:left="567"/>
        <w:rPr>
          <w:rFonts w:cs="Arial"/>
        </w:rPr>
      </w:pPr>
    </w:p>
    <w:p w:rsidR="005624E3" w:rsidRPr="00921ED0" w:rsidRDefault="005624E3" w:rsidP="005624E3">
      <w:pPr>
        <w:tabs>
          <w:tab w:val="left" w:pos="567"/>
        </w:tabs>
        <w:spacing w:line="240" w:lineRule="atLeast"/>
        <w:ind w:left="567" w:hanging="567"/>
        <w:rPr>
          <w:rFonts w:cs="Arial"/>
          <w:b/>
          <w:bCs/>
        </w:rPr>
      </w:pPr>
      <w:r w:rsidRPr="00921ED0">
        <w:rPr>
          <w:b/>
        </w:rPr>
        <w:t>2.5.</w:t>
      </w:r>
      <w:r w:rsidRPr="00921ED0">
        <w:tab/>
      </w:r>
      <w:r w:rsidRPr="00921ED0">
        <w:rPr>
          <w:b/>
        </w:rPr>
        <w:t>5. bekezdés – A menetben lévő vízi jármű előírt optikai és akusztikai jelzései</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ab/>
        <w:t>A nemzeti vagy nemzetközi hajózási szabályzatokban meghatározott hengerek, gömbök, kúpok vagy dupla kúpok nem tartoznak a látható jelzések körébe.</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b/>
          <w:bCs/>
        </w:rPr>
      </w:pPr>
      <w:r w:rsidRPr="00921ED0">
        <w:rPr>
          <w:b/>
        </w:rPr>
        <w:t>2.6.</w:t>
      </w:r>
      <w:r w:rsidRPr="00921ED0">
        <w:tab/>
      </w:r>
      <w:r w:rsidRPr="00921ED0">
        <w:rPr>
          <w:b/>
        </w:rPr>
        <w:t>6. bekezdés – Közvetlen kommunikáció és kommunikáció a géptérrel</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2.6.1.</w:t>
      </w:r>
      <w:r w:rsidRPr="00921ED0">
        <w:tab/>
        <w:t>A közvetlen kommunikációt biztosítottnak kell tekinteni, ha</w:t>
      </w:r>
    </w:p>
    <w:p w:rsidR="005624E3" w:rsidRPr="00921ED0" w:rsidRDefault="005624E3" w:rsidP="005624E3">
      <w:pPr>
        <w:tabs>
          <w:tab w:val="left" w:pos="993"/>
        </w:tabs>
        <w:spacing w:before="60" w:line="240" w:lineRule="atLeast"/>
        <w:ind w:left="992"/>
        <w:rPr>
          <w:rFonts w:cs="Arial"/>
        </w:rPr>
      </w:pPr>
      <w:r w:rsidRPr="00921ED0">
        <w:t>a)</w:t>
      </w:r>
      <w:r w:rsidRPr="00921ED0">
        <w:tab/>
        <w:t>lehetséges a közvetlen vizuális kapcsolat a kormányállás, valamint a hajó előrészében vagy a tatjánál lévő csörlők és kikötőbakok kezelési pozíciója között, és ha a kormányállás és a kezelési pozíciók közötti távolság nem nagyobb mint 35 m; és</w:t>
      </w:r>
    </w:p>
    <w:p w:rsidR="005624E3" w:rsidRPr="00921ED0" w:rsidRDefault="005624E3" w:rsidP="005624E3">
      <w:pPr>
        <w:tabs>
          <w:tab w:val="left" w:pos="993"/>
        </w:tabs>
        <w:spacing w:before="60" w:line="240" w:lineRule="atLeast"/>
        <w:ind w:left="992"/>
        <w:rPr>
          <w:rFonts w:cs="Arial"/>
        </w:rPr>
      </w:pPr>
      <w:r w:rsidRPr="00921ED0">
        <w:t>b)</w:t>
      </w:r>
      <w:r w:rsidRPr="00921ED0">
        <w:tab/>
        <w:t>a lakótér közvetlenül elérhető a kormányállásból.</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2.6.2.</w:t>
      </w:r>
      <w:r w:rsidRPr="00921ED0">
        <w:tab/>
        <w:t>A motortérrel fenntartott kommunikáció biztosítottnak tekintendő, ha a 7.09. cikk 3. bekezdés második mondatában említett jelzés a 7.09. cikk 2. bekezdésében említett kapcsolótól függetlenül működtethető.</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b/>
          <w:bCs/>
        </w:rPr>
      </w:pPr>
      <w:r w:rsidRPr="00921ED0">
        <w:rPr>
          <w:b/>
        </w:rPr>
        <w:t>2.7.</w:t>
      </w:r>
      <w:r w:rsidRPr="00921ED0">
        <w:tab/>
      </w:r>
      <w:r w:rsidRPr="00921ED0">
        <w:rPr>
          <w:b/>
        </w:rPr>
        <w:t>7. bekezdés – Hajtókarok és hasonló forgatható kezelőrészek működtetése</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spacing w:line="240" w:lineRule="atLeast"/>
        <w:ind w:left="567"/>
      </w:pPr>
      <w:r w:rsidRPr="00921ED0">
        <w:t xml:space="preserve">Ide tartoznak az alábbiak: </w:t>
      </w:r>
    </w:p>
    <w:p w:rsidR="005624E3" w:rsidRPr="00921ED0" w:rsidRDefault="005624E3" w:rsidP="005624E3">
      <w:pPr>
        <w:tabs>
          <w:tab w:val="left" w:pos="992"/>
        </w:tabs>
        <w:spacing w:before="60" w:line="240" w:lineRule="atLeast"/>
        <w:ind w:left="992"/>
        <w:rPr>
          <w:rFonts w:cs="Arial"/>
        </w:rPr>
      </w:pPr>
      <w:r w:rsidRPr="00921ED0">
        <w:t>a)</w:t>
      </w:r>
      <w:r w:rsidRPr="00921ED0">
        <w:tab/>
        <w:t>kézi működtetésű horgonycsörlők (az abban a helyzetben szükséges erőkifejtést kell a legnagyobb megengedett erőkifejtésnek tekinteni, amikor a horgony szabadon függ);</w:t>
      </w:r>
    </w:p>
    <w:p w:rsidR="005624E3" w:rsidRPr="00921ED0" w:rsidRDefault="005624E3" w:rsidP="005624E3">
      <w:pPr>
        <w:tabs>
          <w:tab w:val="left" w:pos="992"/>
        </w:tabs>
        <w:spacing w:before="60" w:line="240" w:lineRule="atLeast"/>
        <w:ind w:left="992"/>
        <w:rPr>
          <w:rFonts w:cs="Arial"/>
        </w:rPr>
      </w:pPr>
      <w:r w:rsidRPr="00921ED0">
        <w:t>b)</w:t>
      </w:r>
      <w:r w:rsidRPr="00921ED0">
        <w:tab/>
        <w:t>nyílásfedelek felemelésére szolgáló hajtókarok;</w:t>
      </w:r>
    </w:p>
    <w:p w:rsidR="005624E3" w:rsidRPr="00921ED0" w:rsidRDefault="005624E3" w:rsidP="005624E3">
      <w:pPr>
        <w:tabs>
          <w:tab w:val="left" w:pos="992"/>
        </w:tabs>
        <w:spacing w:before="60" w:line="240" w:lineRule="atLeast"/>
        <w:ind w:left="992"/>
        <w:rPr>
          <w:rFonts w:cs="Arial"/>
        </w:rPr>
      </w:pPr>
      <w:r w:rsidRPr="00921ED0">
        <w:t>c)</w:t>
      </w:r>
      <w:r w:rsidRPr="00921ED0">
        <w:tab/>
        <w:t>árbócokra és kéményekre szerelt hajtókarok.</w:t>
      </w:r>
    </w:p>
    <w:p w:rsidR="005624E3" w:rsidRPr="00921ED0" w:rsidRDefault="005624E3" w:rsidP="005624E3">
      <w:pPr>
        <w:tabs>
          <w:tab w:val="left" w:pos="851"/>
        </w:tabs>
        <w:spacing w:line="240" w:lineRule="atLeast"/>
        <w:ind w:left="851" w:hanging="284"/>
        <w:rPr>
          <w:rFonts w:cs="Arial"/>
        </w:rPr>
      </w:pPr>
    </w:p>
    <w:p w:rsidR="005624E3" w:rsidRPr="00921ED0" w:rsidRDefault="005624E3" w:rsidP="005624E3">
      <w:pPr>
        <w:spacing w:line="240" w:lineRule="atLeast"/>
        <w:ind w:left="567"/>
        <w:rPr>
          <w:snapToGrid w:val="0"/>
        </w:rPr>
      </w:pPr>
      <w:r w:rsidRPr="00921ED0">
        <w:t>Nem tartoznak ide az alábbiak:</w:t>
      </w:r>
    </w:p>
    <w:p w:rsidR="005624E3" w:rsidRPr="00921ED0" w:rsidRDefault="005624E3" w:rsidP="005624E3">
      <w:pPr>
        <w:tabs>
          <w:tab w:val="left" w:pos="992"/>
        </w:tabs>
        <w:spacing w:before="60" w:line="240" w:lineRule="atLeast"/>
        <w:ind w:left="992"/>
        <w:rPr>
          <w:rFonts w:cs="Arial"/>
        </w:rPr>
      </w:pPr>
      <w:r w:rsidRPr="00921ED0">
        <w:t>a)</w:t>
      </w:r>
      <w:r w:rsidRPr="00921ED0">
        <w:tab/>
        <w:t>átállító és csatolócsörlők;</w:t>
      </w:r>
    </w:p>
    <w:p w:rsidR="005624E3" w:rsidRPr="00921ED0" w:rsidRDefault="005624E3" w:rsidP="005624E3">
      <w:pPr>
        <w:tabs>
          <w:tab w:val="left" w:pos="992"/>
        </w:tabs>
        <w:spacing w:before="60" w:line="240" w:lineRule="atLeast"/>
        <w:ind w:left="992"/>
        <w:rPr>
          <w:rFonts w:cs="Arial"/>
        </w:rPr>
      </w:pPr>
      <w:r w:rsidRPr="00921ED0">
        <w:t>b)</w:t>
      </w:r>
      <w:r w:rsidRPr="00921ED0">
        <w:tab/>
        <w:t>darukra szerelt csörlők, kivéve, ha a hajó szolgálati csónakjainak leengedésére szolgálnak.</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b/>
          <w:bCs/>
        </w:rPr>
      </w:pPr>
      <w:r w:rsidRPr="00921ED0">
        <w:rPr>
          <w:b/>
        </w:rPr>
        <w:t>2.8.</w:t>
      </w:r>
      <w:r w:rsidRPr="00921ED0">
        <w:tab/>
      </w:r>
      <w:r w:rsidRPr="00921ED0">
        <w:rPr>
          <w:b/>
        </w:rPr>
        <w:t>10. bekezdés – Ergonomikus elrendezés</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spacing w:line="240" w:lineRule="atLeast"/>
        <w:ind w:left="567"/>
        <w:rPr>
          <w:snapToGrid w:val="0"/>
        </w:rPr>
      </w:pPr>
      <w:r w:rsidRPr="00921ED0">
        <w:t>A rendelkezéseket teljesítettnek kell tekinteni, ha</w:t>
      </w:r>
    </w:p>
    <w:p w:rsidR="005624E3" w:rsidRPr="00921ED0" w:rsidRDefault="005624E3" w:rsidP="005624E3">
      <w:pPr>
        <w:tabs>
          <w:tab w:val="left" w:pos="993"/>
        </w:tabs>
        <w:spacing w:before="60" w:line="240" w:lineRule="atLeast"/>
        <w:ind w:left="993" w:hanging="426"/>
        <w:rPr>
          <w:rFonts w:cs="Arial"/>
        </w:rPr>
      </w:pPr>
      <w:r w:rsidRPr="00921ED0">
        <w:t>a)</w:t>
      </w:r>
      <w:r w:rsidRPr="00921ED0">
        <w:tab/>
        <w:t>a kormányállás elrendezése megfelel az EN 1864:2008 európai szabványnak; vagy</w:t>
      </w:r>
    </w:p>
    <w:p w:rsidR="005624E3" w:rsidRPr="00921ED0" w:rsidRDefault="005624E3" w:rsidP="005624E3">
      <w:pPr>
        <w:tabs>
          <w:tab w:val="left" w:pos="993"/>
        </w:tabs>
        <w:spacing w:before="60" w:line="240" w:lineRule="atLeast"/>
        <w:ind w:left="993" w:hanging="426"/>
        <w:rPr>
          <w:rFonts w:cs="Arial"/>
        </w:rPr>
      </w:pPr>
      <w:r w:rsidRPr="00921ED0">
        <w:t>b)</w:t>
      </w:r>
      <w:r w:rsidRPr="00921ED0">
        <w:tab/>
        <w:t>egyszemélyes radarhajózásra kialakított kormányállás esetén; vagy</w:t>
      </w:r>
    </w:p>
    <w:p w:rsidR="005624E3" w:rsidRPr="00921ED0" w:rsidRDefault="005624E3" w:rsidP="005624E3">
      <w:pPr>
        <w:tabs>
          <w:tab w:val="left" w:pos="993"/>
        </w:tabs>
        <w:spacing w:before="60" w:line="240" w:lineRule="atLeast"/>
        <w:ind w:left="993" w:hanging="426"/>
        <w:rPr>
          <w:rFonts w:cs="Arial"/>
        </w:rPr>
      </w:pPr>
      <w:r w:rsidRPr="00921ED0">
        <w:t>c)</w:t>
      </w:r>
      <w:r w:rsidRPr="00921ED0">
        <w:tab/>
        <w:t>a kormányállás megfelel a következő követelményeknek:</w:t>
      </w:r>
    </w:p>
    <w:p w:rsidR="005624E3" w:rsidRPr="00921ED0" w:rsidRDefault="005624E3" w:rsidP="005624E3">
      <w:pPr>
        <w:widowControl w:val="0"/>
        <w:tabs>
          <w:tab w:val="left" w:pos="1418"/>
        </w:tabs>
        <w:overflowPunct w:val="0"/>
        <w:adjustRightInd w:val="0"/>
        <w:spacing w:before="60" w:line="240" w:lineRule="atLeast"/>
        <w:ind w:left="1418"/>
        <w:textAlignment w:val="baseline"/>
        <w:rPr>
          <w:rFonts w:cs="Arial"/>
          <w:snapToGrid w:val="0"/>
        </w:rPr>
      </w:pPr>
      <w:r w:rsidRPr="00921ED0">
        <w:t>aa)</w:t>
      </w:r>
      <w:r w:rsidRPr="00921ED0">
        <w:tab/>
        <w:t>a vezérlőegységek és a megfigyelő műszerek az előremeneti látó</w:t>
      </w:r>
      <w:r w:rsidR="00C323D2">
        <w:t>tér</w:t>
      </w:r>
      <w:r w:rsidRPr="00921ED0">
        <w:t>ben vannak, legfeljebb 180°-os íven (90° jobbra és 90° balra), ideszámítva a padlót és a mennyezetet is. Egyértelműen leolvashatóknak és tisztán láthatóknak kell lenniük a kormányos szokásos helyéről.</w:t>
      </w:r>
    </w:p>
    <w:p w:rsidR="005624E3" w:rsidRPr="00921ED0" w:rsidRDefault="005624E3" w:rsidP="005624E3">
      <w:pPr>
        <w:widowControl w:val="0"/>
        <w:tabs>
          <w:tab w:val="left" w:pos="1418"/>
        </w:tabs>
        <w:overflowPunct w:val="0"/>
        <w:adjustRightInd w:val="0"/>
        <w:spacing w:line="240" w:lineRule="atLeast"/>
        <w:ind w:left="1418"/>
        <w:textAlignment w:val="baseline"/>
        <w:rPr>
          <w:rFonts w:cs="Arial"/>
          <w:snapToGrid w:val="0"/>
        </w:rPr>
      </w:pPr>
      <w:r w:rsidRPr="00921ED0">
        <w:br w:type="page"/>
      </w:r>
    </w:p>
    <w:p w:rsidR="005624E3" w:rsidRPr="00921ED0" w:rsidRDefault="005624E3" w:rsidP="005624E3">
      <w:pPr>
        <w:widowControl w:val="0"/>
        <w:tabs>
          <w:tab w:val="left" w:pos="1418"/>
        </w:tabs>
        <w:overflowPunct w:val="0"/>
        <w:adjustRightInd w:val="0"/>
        <w:spacing w:line="240" w:lineRule="atLeast"/>
        <w:ind w:left="1417"/>
        <w:textAlignment w:val="baseline"/>
        <w:rPr>
          <w:rFonts w:cs="Arial"/>
          <w:snapToGrid w:val="0"/>
        </w:rPr>
      </w:pPr>
      <w:r w:rsidRPr="00921ED0">
        <w:t>bb)</w:t>
      </w:r>
      <w:r w:rsidRPr="00921ED0">
        <w:tab/>
        <w:t>A fő vezérlőegységeket, például a kormánykereket vagy a kormányrudat, a motor kezelőszerveit, a rádió kezelőszerveit, a hangjelzések kezelőszerveit, valamint a nemzeti és nemzetközi hajózási hatóságok rendeletei által előírt figyelmeztető és manőverezési jelzéseket oly módon kell elrendezni, hogy a jobb oldalon és a bal oldalon elhelyezett kezelőszervek közötti távolság ne legyen több mint 3 m. A kormányosnak képesnek kell lennie a motorok működtetésére a kormányberendezés kezelőszerveinek elengedése nélkül, és közben képesnek kell lennie működtetni az olyan kezelőszerveket, mint a rádiórendszer kezelőszervei, az akusztikai jelzések kezelőszervei, valamint – esettől függően – a nemzeti vagy nemzetközi hajózási hatóságok rendeletei által előírt figyelmeztető és műveleti jelzések kezelőszervei.</w:t>
      </w:r>
    </w:p>
    <w:p w:rsidR="005624E3" w:rsidRPr="00921ED0" w:rsidRDefault="005624E3" w:rsidP="005624E3">
      <w:pPr>
        <w:widowControl w:val="0"/>
        <w:tabs>
          <w:tab w:val="left" w:pos="1418"/>
        </w:tabs>
        <w:overflowPunct w:val="0"/>
        <w:adjustRightInd w:val="0"/>
        <w:spacing w:before="60" w:line="240" w:lineRule="atLeast"/>
        <w:ind w:left="1417"/>
        <w:textAlignment w:val="baseline"/>
        <w:rPr>
          <w:rFonts w:cs="Arial"/>
          <w:snapToGrid w:val="0"/>
        </w:rPr>
      </w:pPr>
      <w:r w:rsidRPr="00921ED0">
        <w:t>cc)</w:t>
      </w:r>
      <w:r w:rsidRPr="00921ED0">
        <w:tab/>
        <w:t>A nemzeti vagy nemzetközi hajózási szabályzatokban előírt figyelmeztető és műveleti jelzések működtetése történhet elektronikus, pneumatikus, hidraulikus vagy mechanikus úton. Ettől eltérve, feszítőhuzallal is működtethetők, amennyiben ily módon a kormányvezérlő-állásból biztosítható a biztonságos működtetés.</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b/>
          <w:bCs/>
        </w:rPr>
      </w:pPr>
      <w:r w:rsidRPr="00921ED0">
        <w:rPr>
          <w:b/>
        </w:rPr>
        <w:t>3.</w:t>
      </w:r>
      <w:r w:rsidRPr="00921ED0">
        <w:tab/>
      </w:r>
      <w:r w:rsidRPr="00921ED0">
        <w:rPr>
          <w:b/>
        </w:rPr>
        <w:t>31.03. cikk – S2 standard</w:t>
      </w:r>
    </w:p>
    <w:p w:rsidR="005624E3" w:rsidRPr="00921ED0" w:rsidRDefault="005624E3" w:rsidP="005624E3">
      <w:pPr>
        <w:tabs>
          <w:tab w:val="left" w:pos="567"/>
        </w:tabs>
        <w:spacing w:line="240" w:lineRule="atLeast"/>
        <w:ind w:left="567" w:hanging="567"/>
        <w:rPr>
          <w:rFonts w:cs="Arial"/>
          <w:b/>
          <w:bCs/>
        </w:rPr>
      </w:pPr>
    </w:p>
    <w:p w:rsidR="005624E3" w:rsidRPr="00921ED0" w:rsidRDefault="005624E3" w:rsidP="005624E3">
      <w:pPr>
        <w:tabs>
          <w:tab w:val="left" w:pos="567"/>
          <w:tab w:val="right" w:pos="9071"/>
        </w:tabs>
        <w:spacing w:line="240" w:lineRule="atLeast"/>
        <w:ind w:left="567" w:hanging="567"/>
        <w:rPr>
          <w:rFonts w:cs="Arial"/>
          <w:b/>
          <w:bCs/>
        </w:rPr>
      </w:pPr>
      <w:r w:rsidRPr="00921ED0">
        <w:rPr>
          <w:b/>
        </w:rPr>
        <w:t>3.1.</w:t>
      </w:r>
      <w:r w:rsidRPr="00921ED0">
        <w:tab/>
      </w:r>
      <w:r w:rsidRPr="00921ED0">
        <w:rPr>
          <w:b/>
        </w:rPr>
        <w:t>1. bekezdés – Önállóan üzemelő önjáró hajó</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spacing w:line="240" w:lineRule="atLeast"/>
        <w:ind w:left="567"/>
        <w:rPr>
          <w:snapToGrid w:val="0"/>
        </w:rPr>
      </w:pPr>
      <w:r w:rsidRPr="00921ED0">
        <w:t>Azon önjáró hajók esetében, amelyek a belvízi hajóbizonyítvány szerint tolásra is alkalmasak, de amelyek</w:t>
      </w:r>
    </w:p>
    <w:p w:rsidR="005624E3" w:rsidRPr="00921ED0" w:rsidRDefault="005624E3" w:rsidP="005624E3">
      <w:pPr>
        <w:tabs>
          <w:tab w:val="left" w:pos="993"/>
        </w:tabs>
        <w:spacing w:before="60" w:line="240" w:lineRule="atLeast"/>
        <w:ind w:left="993" w:hanging="426"/>
        <w:rPr>
          <w:rFonts w:cs="Arial"/>
        </w:rPr>
      </w:pPr>
      <w:r w:rsidRPr="00921ED0">
        <w:t>a)</w:t>
      </w:r>
      <w:r w:rsidRPr="00921ED0">
        <w:tab/>
        <w:t>nem rendelkeznek hidraulikusan vagy elektromosan működő csatolócsörlőkkel; vagy</w:t>
      </w:r>
    </w:p>
    <w:p w:rsidR="005624E3" w:rsidRPr="00921ED0" w:rsidRDefault="005624E3" w:rsidP="005624E3">
      <w:pPr>
        <w:tabs>
          <w:tab w:val="left" w:pos="993"/>
        </w:tabs>
        <w:spacing w:before="60" w:line="240" w:lineRule="atLeast"/>
        <w:ind w:left="992"/>
        <w:rPr>
          <w:rFonts w:cs="Arial"/>
        </w:rPr>
      </w:pPr>
      <w:r w:rsidRPr="00921ED0">
        <w:t>b)</w:t>
      </w:r>
      <w:r w:rsidRPr="00921ED0">
        <w:tab/>
        <w:t>hidraulikusan vagy elektromosan működő csatolócsörlői nem felelnek meg ezen utasítás 3.3. pontja szerinti követelményeknek,</w:t>
      </w:r>
    </w:p>
    <w:p w:rsidR="005624E3" w:rsidRPr="00921ED0" w:rsidRDefault="005624E3" w:rsidP="005624E3">
      <w:pPr>
        <w:tabs>
          <w:tab w:val="left" w:pos="567"/>
        </w:tabs>
        <w:spacing w:before="60" w:line="240" w:lineRule="atLeast"/>
        <w:ind w:left="567" w:hanging="567"/>
        <w:rPr>
          <w:rFonts w:cs="Arial"/>
          <w:snapToGrid w:val="0"/>
          <w:szCs w:val="20"/>
        </w:rPr>
      </w:pPr>
      <w:r w:rsidRPr="00921ED0">
        <w:tab/>
        <w:t>az S2 standard önállóan üzemelő önjáró hajókra vonatkozó rendelkezései alkalmazandók. A belvízi hajóbizonyítvány 47. rovatába be kell jegyezni a következőt: „Az S2 standard nem vonatkozik az önjáró hajóra, amikor toló üzemben hajózik.”</w:t>
      </w:r>
    </w:p>
    <w:p w:rsidR="005624E3" w:rsidRPr="00921ED0" w:rsidRDefault="005624E3" w:rsidP="005624E3">
      <w:pPr>
        <w:tabs>
          <w:tab w:val="left" w:pos="567"/>
        </w:tabs>
        <w:spacing w:line="240" w:lineRule="atLeast"/>
        <w:ind w:left="567" w:hanging="567"/>
        <w:rPr>
          <w:rFonts w:cs="Arial"/>
          <w:b/>
          <w:bCs/>
        </w:rPr>
      </w:pPr>
    </w:p>
    <w:p w:rsidR="005624E3" w:rsidRPr="00921ED0" w:rsidRDefault="005624E3" w:rsidP="005624E3">
      <w:pPr>
        <w:tabs>
          <w:tab w:val="left" w:pos="567"/>
        </w:tabs>
        <w:spacing w:line="240" w:lineRule="atLeast"/>
        <w:ind w:left="567" w:hanging="567"/>
        <w:rPr>
          <w:rFonts w:cs="Arial"/>
          <w:b/>
          <w:bCs/>
        </w:rPr>
      </w:pPr>
      <w:r w:rsidRPr="00921ED0">
        <w:rPr>
          <w:b/>
        </w:rPr>
        <w:t>3.2.</w:t>
      </w:r>
      <w:r w:rsidRPr="00921ED0">
        <w:tab/>
      </w:r>
      <w:r w:rsidRPr="00921ED0">
        <w:rPr>
          <w:b/>
        </w:rPr>
        <w:t>3. bekezdés – Tolt kötelékek</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after="120" w:line="240" w:lineRule="atLeast"/>
        <w:ind w:left="567" w:hanging="567"/>
        <w:rPr>
          <w:rFonts w:cs="Arial"/>
          <w:snapToGrid w:val="0"/>
          <w:szCs w:val="20"/>
        </w:rPr>
      </w:pPr>
      <w:r w:rsidRPr="00921ED0">
        <w:tab/>
        <w:t>Azon önjáró hajók esetében, amelyek belvízi hajóbizonyítványuk szerint alkalmasak a tolásra, és amelyekre fel vannak szerelve ezen utasítás 3.3. pontja szerinti követelményeknek megfelelő hidraulikusan vagy elektromosan működő csatolócsörlőkkel, de nem rendelkeznek orrsugárkormánnyal, az S2 standard köteléket toló önjáró hajókra vonatkozó rendelkezései alkalmazandók. A belvízi hajóbizonyítvány 47. rovatába be kell jegyezni a következőt: „Az S2 standard nem vonatkozik az önjáró hajóra, amikor önállóan üzemel.”</w:t>
      </w:r>
    </w:p>
    <w:p w:rsidR="005624E3" w:rsidRPr="00921ED0" w:rsidRDefault="005624E3" w:rsidP="005624E3">
      <w:pPr>
        <w:tabs>
          <w:tab w:val="left" w:pos="567"/>
        </w:tabs>
        <w:spacing w:line="240" w:lineRule="atLeast"/>
        <w:ind w:left="567" w:hanging="567"/>
        <w:rPr>
          <w:rFonts w:cs="Arial"/>
          <w:b/>
          <w:bCs/>
        </w:rPr>
      </w:pPr>
    </w:p>
    <w:p w:rsidR="005624E3" w:rsidRPr="00921ED0" w:rsidRDefault="005624E3" w:rsidP="005624E3">
      <w:pPr>
        <w:tabs>
          <w:tab w:val="left" w:pos="567"/>
        </w:tabs>
        <w:spacing w:line="240" w:lineRule="atLeast"/>
        <w:ind w:left="567" w:hanging="567"/>
        <w:rPr>
          <w:rFonts w:cs="Arial"/>
          <w:b/>
          <w:bCs/>
        </w:rPr>
      </w:pPr>
      <w:r w:rsidRPr="00921ED0">
        <w:rPr>
          <w:b/>
        </w:rPr>
        <w:t>3.3.</w:t>
      </w:r>
      <w:r w:rsidRPr="00921ED0">
        <w:tab/>
      </w:r>
      <w:r w:rsidRPr="00921ED0">
        <w:rPr>
          <w:b/>
        </w:rPr>
        <w:t>3. bekezdés első mondat és 4. bekezdés első mondat – Speciális csörlők vagy azokkal egyenértékű berendezések a kötelek megfeszítéséhez (csatolóeszközök)</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ab/>
        <w:t>A csatolóeszközök azok a 21.01. cikk 2. bekezdése szerint meghatározott minimális felszerelések, amelyek az ESI-III-6 utasítás 2.1. és 2.2. pontja szerint (hosszirányú csatolási pontok) arra szolgálnak, hogy felvegyék a csatolási erőket, és amelyek megfelelnek az alábbi követelményeknek:</w:t>
      </w:r>
    </w:p>
    <w:p w:rsidR="005624E3" w:rsidRPr="00921ED0" w:rsidRDefault="005624E3" w:rsidP="005624E3">
      <w:pPr>
        <w:tabs>
          <w:tab w:val="left" w:pos="993"/>
        </w:tabs>
        <w:spacing w:before="60" w:line="240" w:lineRule="atLeast"/>
        <w:ind w:left="993" w:hanging="426"/>
        <w:rPr>
          <w:rFonts w:cs="Arial"/>
        </w:rPr>
      </w:pPr>
      <w:r w:rsidRPr="00921ED0">
        <w:t>a)</w:t>
      </w:r>
      <w:r w:rsidRPr="00921ED0">
        <w:tab/>
        <w:t>A készüléknek kizárólag mechanikus eszközökkel biztosítania kell a csatoláshoz szükséges feszítőerőt;</w:t>
      </w:r>
    </w:p>
    <w:p w:rsidR="005624E3" w:rsidRPr="00921ED0" w:rsidRDefault="005624E3" w:rsidP="005624E3">
      <w:pPr>
        <w:tabs>
          <w:tab w:val="left" w:pos="993"/>
        </w:tabs>
        <w:spacing w:before="60" w:line="240" w:lineRule="atLeast"/>
        <w:ind w:left="992"/>
        <w:rPr>
          <w:rFonts w:cs="Arial"/>
        </w:rPr>
      </w:pPr>
      <w:r w:rsidRPr="00921ED0">
        <w:t>b)</w:t>
      </w:r>
      <w:r w:rsidRPr="00921ED0">
        <w:tab/>
        <w:t>A készülék kezelőszerveit magán a készüléken kell elhelyezni. Ettől eltérve, táv</w:t>
      </w:r>
      <w:r w:rsidR="000855F0">
        <w:t>vezérlés</w:t>
      </w:r>
      <w:r w:rsidRPr="00921ED0">
        <w:t xml:space="preserve"> is megengedett, amennyiben:</w:t>
      </w:r>
    </w:p>
    <w:p w:rsidR="005624E3" w:rsidRPr="00921ED0" w:rsidRDefault="005624E3" w:rsidP="005624E3">
      <w:pPr>
        <w:tabs>
          <w:tab w:val="left" w:pos="1418"/>
        </w:tabs>
        <w:spacing w:before="60" w:line="240" w:lineRule="atLeast"/>
        <w:ind w:left="1418"/>
        <w:rPr>
          <w:rFonts w:cs="Arial"/>
        </w:rPr>
      </w:pPr>
      <w:r w:rsidRPr="00921ED0">
        <w:rPr>
          <w:rFonts w:cs="Arial"/>
        </w:rPr>
        <w:sym w:font="Symbol" w:char="F0B7"/>
      </w:r>
      <w:r w:rsidRPr="00921ED0">
        <w:tab/>
        <w:t xml:space="preserve">a készüléket működtető személy </w:t>
      </w:r>
      <w:r w:rsidR="00980FF0">
        <w:t>szabadon és</w:t>
      </w:r>
      <w:r w:rsidRPr="00921ED0">
        <w:t xml:space="preserve"> közvetlenül láthatja a készüléket a kezelőállásból,</w:t>
      </w:r>
    </w:p>
    <w:p w:rsidR="005624E3" w:rsidRPr="00921ED0" w:rsidRDefault="005624E3" w:rsidP="005624E3">
      <w:pPr>
        <w:tabs>
          <w:tab w:val="left" w:pos="1418"/>
        </w:tabs>
        <w:spacing w:before="60" w:line="240" w:lineRule="atLeast"/>
        <w:ind w:left="1418"/>
        <w:rPr>
          <w:rFonts w:cs="Arial"/>
        </w:rPr>
      </w:pPr>
      <w:r w:rsidRPr="00921ED0">
        <w:br w:type="page"/>
      </w:r>
      <w:r w:rsidRPr="00921ED0">
        <w:rPr>
          <w:rFonts w:cs="Arial"/>
        </w:rPr>
        <w:sym w:font="Symbol" w:char="F0B7"/>
      </w:r>
      <w:r w:rsidRPr="00921ED0">
        <w:tab/>
        <w:t>a kezelőállásban rendelkezésre áll egy eszköz a nem szándékos működés megakadályozására,</w:t>
      </w:r>
    </w:p>
    <w:p w:rsidR="005624E3" w:rsidRPr="00921ED0" w:rsidRDefault="005624E3" w:rsidP="005624E3">
      <w:pPr>
        <w:tabs>
          <w:tab w:val="left" w:pos="1418"/>
        </w:tabs>
        <w:spacing w:before="60" w:line="240" w:lineRule="atLeast"/>
        <w:ind w:left="1418"/>
        <w:rPr>
          <w:rFonts w:cs="Arial"/>
        </w:rPr>
      </w:pPr>
      <w:r w:rsidRPr="00921ED0">
        <w:rPr>
          <w:rFonts w:cs="Arial"/>
        </w:rPr>
        <w:sym w:font="Symbol" w:char="F0B7"/>
      </w:r>
      <w:r w:rsidRPr="00921ED0">
        <w:tab/>
        <w:t>a készülékhez tartozik vészleállító kapcsoló;</w:t>
      </w:r>
    </w:p>
    <w:p w:rsidR="005624E3" w:rsidRPr="00921ED0" w:rsidRDefault="005624E3" w:rsidP="005624E3">
      <w:pPr>
        <w:tabs>
          <w:tab w:val="left" w:pos="993"/>
        </w:tabs>
        <w:spacing w:before="60" w:line="240" w:lineRule="atLeast"/>
        <w:ind w:left="992"/>
        <w:rPr>
          <w:rFonts w:cs="Arial"/>
        </w:rPr>
      </w:pPr>
      <w:r w:rsidRPr="00921ED0">
        <w:t>c)</w:t>
      </w:r>
      <w:r w:rsidRPr="00921ED0">
        <w:tab/>
        <w:t>A készüléket el kell látni fékberendezéssel, amely azonnal működésbe lép, ha a kezelőszervet elengedik, vagy ha a hajtóerő megszűnik;</w:t>
      </w:r>
    </w:p>
    <w:p w:rsidR="005624E3" w:rsidRPr="00921ED0" w:rsidRDefault="005624E3" w:rsidP="005624E3">
      <w:pPr>
        <w:tabs>
          <w:tab w:val="left" w:pos="993"/>
        </w:tabs>
        <w:spacing w:before="60" w:line="240" w:lineRule="atLeast"/>
        <w:ind w:left="992"/>
        <w:rPr>
          <w:rFonts w:cs="Arial"/>
        </w:rPr>
      </w:pPr>
      <w:r w:rsidRPr="00921ED0">
        <w:t>d)</w:t>
      </w:r>
      <w:r w:rsidRPr="00921ED0">
        <w:tab/>
        <w:t>Lehetővé kell tenni a csatolókábel kézi erővel történő kiengedését, ha a hajtóerő megszűnik.</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b/>
          <w:bCs/>
        </w:rPr>
      </w:pPr>
      <w:r w:rsidRPr="00921ED0">
        <w:rPr>
          <w:b/>
        </w:rPr>
        <w:t>3.4.</w:t>
      </w:r>
      <w:r w:rsidRPr="00921ED0">
        <w:tab/>
      </w:r>
      <w:r w:rsidRPr="00921ED0">
        <w:rPr>
          <w:b/>
        </w:rPr>
        <w:t>3. bekezdés második mondat és 4. bekezdés második mondat – Az orrsugárkormány működtetése</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tabs>
          <w:tab w:val="left" w:pos="567"/>
        </w:tabs>
        <w:spacing w:line="240" w:lineRule="atLeast"/>
        <w:ind w:left="567" w:hanging="567"/>
        <w:rPr>
          <w:rFonts w:cs="Arial"/>
        </w:rPr>
      </w:pPr>
      <w:r w:rsidRPr="00921ED0">
        <w:tab/>
        <w:t>Az orrsugárkormányt működtető kezelőszervet tartósan a kormányállásban kell elhelyezni. A 7.04. cikk 8. bekezdése szerinti követelményeknek teljesülniük kell. Az orrsugárkormány működtetésére szolgáló elektromos kábeleket tartósan az önjáró toló hajó vagy tolóhajó előrészében kell felszerelni.</w:t>
      </w:r>
    </w:p>
    <w:p w:rsidR="005624E3" w:rsidRPr="00921ED0" w:rsidRDefault="005624E3" w:rsidP="005624E3">
      <w:pPr>
        <w:tabs>
          <w:tab w:val="left" w:pos="567"/>
        </w:tabs>
        <w:spacing w:line="240" w:lineRule="atLeast"/>
        <w:ind w:left="567" w:hanging="567"/>
        <w:rPr>
          <w:rFonts w:cs="Arial"/>
          <w:snapToGrid w:val="0"/>
          <w:szCs w:val="20"/>
        </w:rPr>
      </w:pPr>
    </w:p>
    <w:p w:rsidR="005624E3" w:rsidRPr="00921ED0" w:rsidRDefault="005624E3" w:rsidP="005624E3">
      <w:pPr>
        <w:tabs>
          <w:tab w:val="left" w:pos="567"/>
        </w:tabs>
        <w:spacing w:line="240" w:lineRule="atLeast"/>
        <w:ind w:left="567" w:hanging="567"/>
        <w:rPr>
          <w:rFonts w:cs="Arial"/>
          <w:b/>
          <w:bCs/>
        </w:rPr>
      </w:pPr>
      <w:r w:rsidRPr="00921ED0">
        <w:rPr>
          <w:b/>
        </w:rPr>
        <w:t>3.5.</w:t>
      </w:r>
      <w:r w:rsidRPr="00921ED0">
        <w:tab/>
      </w:r>
      <w:r w:rsidRPr="00921ED0">
        <w:rPr>
          <w:b/>
        </w:rPr>
        <w:t>(4) – Egyenértékű műveletképesség</w:t>
      </w:r>
    </w:p>
    <w:p w:rsidR="005624E3" w:rsidRPr="00921ED0" w:rsidRDefault="005624E3" w:rsidP="005624E3">
      <w:pPr>
        <w:tabs>
          <w:tab w:val="left" w:pos="567"/>
        </w:tabs>
        <w:spacing w:line="240" w:lineRule="atLeast"/>
        <w:ind w:left="567" w:hanging="567"/>
        <w:rPr>
          <w:rFonts w:cs="Arial"/>
        </w:rPr>
      </w:pPr>
    </w:p>
    <w:p w:rsidR="005624E3" w:rsidRPr="00921ED0" w:rsidRDefault="005624E3" w:rsidP="005624E3">
      <w:pPr>
        <w:spacing w:line="240" w:lineRule="atLeast"/>
        <w:ind w:left="567"/>
        <w:rPr>
          <w:rFonts w:cs="Arial"/>
        </w:rPr>
      </w:pPr>
      <w:r w:rsidRPr="00921ED0">
        <w:t>Az egyenértékű műveletképességet olyan propulziós rendszerrel kell biztosítani, amely tartalmazza a következőket:</w:t>
      </w:r>
    </w:p>
    <w:p w:rsidR="005624E3" w:rsidRPr="00921ED0" w:rsidRDefault="005624E3" w:rsidP="005624E3">
      <w:pPr>
        <w:tabs>
          <w:tab w:val="left" w:pos="993"/>
        </w:tabs>
        <w:spacing w:before="60" w:line="240" w:lineRule="atLeast"/>
        <w:ind w:left="992"/>
        <w:rPr>
          <w:rFonts w:cs="Arial"/>
        </w:rPr>
      </w:pPr>
      <w:r w:rsidRPr="00921ED0">
        <w:t>a)</w:t>
      </w:r>
      <w:r w:rsidRPr="00921ED0">
        <w:tab/>
        <w:t>többpropelleres meghajtás és legalább két, egymástól független, hasonló leadott teljesítménnyel rendelkező propulziós rendszer;</w:t>
      </w:r>
    </w:p>
    <w:p w:rsidR="005624E3" w:rsidRPr="00921ED0" w:rsidRDefault="005624E3" w:rsidP="005624E3">
      <w:pPr>
        <w:tabs>
          <w:tab w:val="left" w:pos="993"/>
        </w:tabs>
        <w:spacing w:before="60" w:line="240" w:lineRule="atLeast"/>
        <w:ind w:left="992"/>
        <w:rPr>
          <w:rFonts w:cs="Arial"/>
        </w:rPr>
      </w:pPr>
      <w:r w:rsidRPr="00921ED0">
        <w:t>b)</w:t>
      </w:r>
      <w:r w:rsidRPr="00921ED0">
        <w:tab/>
        <w:t>legalább egy cikloidálpropeller;</w:t>
      </w:r>
    </w:p>
    <w:p w:rsidR="005624E3" w:rsidRPr="00921ED0" w:rsidRDefault="005624E3" w:rsidP="005624E3">
      <w:pPr>
        <w:tabs>
          <w:tab w:val="left" w:pos="993"/>
        </w:tabs>
        <w:spacing w:before="60" w:line="240" w:lineRule="atLeast"/>
        <w:ind w:left="992"/>
        <w:rPr>
          <w:rFonts w:cs="Arial"/>
        </w:rPr>
      </w:pPr>
      <w:r w:rsidRPr="00921ED0">
        <w:t>c)</w:t>
      </w:r>
      <w:r w:rsidRPr="00921ED0">
        <w:tab/>
        <w:t>legalább egy kormánypropeller; vagy</w:t>
      </w:r>
    </w:p>
    <w:p w:rsidR="005624E3" w:rsidRPr="00166EA9" w:rsidRDefault="005624E3" w:rsidP="005624E3">
      <w:pPr>
        <w:tabs>
          <w:tab w:val="left" w:pos="993"/>
        </w:tabs>
        <w:spacing w:before="60" w:line="240" w:lineRule="atLeast"/>
        <w:ind w:left="992"/>
        <w:rPr>
          <w:rFonts w:cs="Arial"/>
          <w:lang w:val="pt-PT"/>
        </w:rPr>
      </w:pPr>
      <w:r w:rsidRPr="00166EA9">
        <w:rPr>
          <w:lang w:val="pt-PT"/>
        </w:rPr>
        <w:t>d)</w:t>
      </w:r>
      <w:r w:rsidRPr="00166EA9">
        <w:rPr>
          <w:lang w:val="pt-PT"/>
        </w:rPr>
        <w:tab/>
        <w:t>legalább egy 360°-os vízsugárhajtás-rendszer.</w:t>
      </w: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textAlignment w:val="baseline"/>
        <w:rPr>
          <w:szCs w:val="20"/>
          <w:lang w:val="pt-PT"/>
        </w:rPr>
        <w:sectPr w:rsidR="005624E3" w:rsidRPr="00166EA9" w:rsidSect="00D45887">
          <w:footnotePr>
            <w:numRestart w:val="eachPage"/>
          </w:footnotePr>
          <w:pgSz w:w="11907" w:h="16840" w:code="9"/>
          <w:pgMar w:top="1418" w:right="1418" w:bottom="1418" w:left="1418" w:header="680" w:footer="680" w:gutter="0"/>
          <w:cols w:space="720"/>
          <w:docGrid w:linePitch="326"/>
        </w:sectPr>
      </w:pPr>
    </w:p>
    <w:p w:rsidR="005624E3" w:rsidRPr="00166EA9" w:rsidRDefault="005624E3" w:rsidP="005624E3">
      <w:pPr>
        <w:pStyle w:val="ES-Titre1"/>
        <w:rPr>
          <w:lang w:val="pt-PT"/>
        </w:rPr>
      </w:pPr>
      <w:bookmarkStart w:id="785" w:name="_Toc491854374"/>
      <w:bookmarkStart w:id="786" w:name="_Toc535854155"/>
      <w:r w:rsidRPr="00166EA9">
        <w:rPr>
          <w:lang w:val="pt-PT"/>
        </w:rPr>
        <w:t>IV. RÉSZ</w:t>
      </w:r>
      <w:r w:rsidRPr="00166EA9">
        <w:rPr>
          <w:lang w:val="pt-PT"/>
        </w:rPr>
        <w:br/>
        <w:t>ÁTMENETI RENDELKEZÉSEK</w:t>
      </w:r>
      <w:bookmarkEnd w:id="785"/>
      <w:bookmarkEnd w:id="786"/>
    </w:p>
    <w:p w:rsidR="005624E3" w:rsidRPr="00166EA9" w:rsidRDefault="005624E3" w:rsidP="005624E3">
      <w:pPr>
        <w:tabs>
          <w:tab w:val="left" w:pos="425"/>
        </w:tabs>
        <w:rPr>
          <w:lang w:val="pt-PT"/>
        </w:rPr>
      </w:pPr>
    </w:p>
    <w:p w:rsidR="005624E3" w:rsidRPr="00166EA9" w:rsidRDefault="005624E3" w:rsidP="005624E3">
      <w:pPr>
        <w:pStyle w:val="ES-Titre2ESI"/>
        <w:rPr>
          <w:lang w:val="pt-PT"/>
        </w:rPr>
      </w:pPr>
      <w:bookmarkStart w:id="787" w:name="_Toc491854375"/>
      <w:bookmarkStart w:id="788" w:name="_Toc535854156"/>
      <w:r w:rsidRPr="00166EA9">
        <w:rPr>
          <w:lang w:val="pt-PT"/>
        </w:rPr>
        <w:t>ESI-IV-1</w:t>
      </w:r>
      <w:r w:rsidRPr="00166EA9">
        <w:rPr>
          <w:lang w:val="pt-PT"/>
        </w:rPr>
        <w:br/>
        <w:t>Átmeneti rendelkezések alkalmazása</w:t>
      </w:r>
      <w:bookmarkEnd w:id="787"/>
      <w:bookmarkEnd w:id="788"/>
    </w:p>
    <w:p w:rsidR="005624E3" w:rsidRPr="00166EA9" w:rsidRDefault="005624E3" w:rsidP="005624E3">
      <w:pPr>
        <w:overflowPunct w:val="0"/>
        <w:adjustRightInd w:val="0"/>
        <w:textAlignment w:val="baseline"/>
        <w:rPr>
          <w:szCs w:val="20"/>
          <w:lang w:val="pt-PT"/>
        </w:rPr>
      </w:pPr>
    </w:p>
    <w:p w:rsidR="005624E3" w:rsidRPr="00166EA9" w:rsidRDefault="005624E3" w:rsidP="005624E3">
      <w:pPr>
        <w:overflowPunct w:val="0"/>
        <w:adjustRightInd w:val="0"/>
        <w:spacing w:line="240" w:lineRule="atLeast"/>
        <w:jc w:val="center"/>
        <w:rPr>
          <w:rFonts w:cs="Arial"/>
          <w:b/>
          <w:szCs w:val="20"/>
          <w:lang w:val="pt-PT"/>
        </w:rPr>
      </w:pPr>
      <w:r w:rsidRPr="00166EA9">
        <w:rPr>
          <w:b/>
          <w:lang w:val="pt-PT"/>
        </w:rPr>
        <w:t>(19–30., 32. és 33. fejezet)</w:t>
      </w:r>
    </w:p>
    <w:p w:rsidR="005624E3" w:rsidRPr="00166EA9" w:rsidRDefault="005624E3" w:rsidP="005624E3">
      <w:pPr>
        <w:tabs>
          <w:tab w:val="left" w:pos="709"/>
        </w:tabs>
        <w:spacing w:line="240" w:lineRule="atLeast"/>
        <w:ind w:left="709" w:hanging="709"/>
        <w:rPr>
          <w:rFonts w:cs="Arial"/>
          <w:b/>
          <w:bCs/>
          <w:szCs w:val="20"/>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1.</w:t>
      </w:r>
      <w:r w:rsidRPr="00166EA9">
        <w:rPr>
          <w:lang w:val="pt-PT"/>
        </w:rPr>
        <w:tab/>
      </w:r>
      <w:r w:rsidRPr="00166EA9">
        <w:rPr>
          <w:b/>
          <w:color w:val="000000"/>
          <w:lang w:val="pt-PT"/>
        </w:rPr>
        <w:t>Átmeneti rendelkezések alkalmazása a vízi járművek részeinek összeépítésekor</w:t>
      </w:r>
    </w:p>
    <w:p w:rsidR="005624E3" w:rsidRPr="00166EA9" w:rsidRDefault="005624E3" w:rsidP="005624E3">
      <w:pPr>
        <w:spacing w:line="240" w:lineRule="atLeast"/>
        <w:ind w:left="567" w:hanging="567"/>
        <w:rPr>
          <w:rFonts w:cs="Arial"/>
          <w:b/>
          <w:color w:val="000000"/>
          <w:szCs w:val="20"/>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1.1.</w:t>
      </w:r>
      <w:r w:rsidRPr="00166EA9">
        <w:rPr>
          <w:lang w:val="pt-PT"/>
        </w:rPr>
        <w:tab/>
      </w:r>
      <w:r w:rsidRPr="00166EA9">
        <w:rPr>
          <w:b/>
          <w:color w:val="000000"/>
          <w:lang w:val="pt-PT"/>
        </w:rPr>
        <w:t>Alapelvek</w:t>
      </w:r>
    </w:p>
    <w:p w:rsidR="005624E3" w:rsidRPr="00166EA9" w:rsidRDefault="005624E3" w:rsidP="005624E3">
      <w:pPr>
        <w:spacing w:line="240" w:lineRule="atLeast"/>
        <w:ind w:left="567" w:hanging="567"/>
        <w:rPr>
          <w:rFonts w:cs="Arial"/>
          <w:b/>
          <w:color w:val="000000"/>
          <w:szCs w:val="20"/>
          <w:lang w:val="pt-PT"/>
        </w:rPr>
      </w:pPr>
    </w:p>
    <w:p w:rsidR="005624E3" w:rsidRPr="00166EA9" w:rsidRDefault="005624E3" w:rsidP="005624E3">
      <w:pPr>
        <w:spacing w:line="240" w:lineRule="atLeast"/>
        <w:ind w:left="567"/>
        <w:rPr>
          <w:lang w:val="pt-PT"/>
        </w:rPr>
      </w:pPr>
      <w:r w:rsidRPr="00166EA9">
        <w:rPr>
          <w:lang w:val="pt-PT"/>
        </w:rPr>
        <w:t>Különböző hajók részeinek összeépítésekor csak azok a részek kaphatnak a fennálló állapotra vonatkozó felmentést, amelyek a belvízi hajóbizonyítványát megőrző hajóhoz tartoznak. Az átmeneti rendelkezéseket ezért csak e részekre lehet érvényesíteni. A többi részt újonnan épített hajónak kell tekinteni.</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1.2.</w:t>
      </w:r>
      <w:r w:rsidRPr="00166EA9">
        <w:rPr>
          <w:lang w:val="pt-PT"/>
        </w:rPr>
        <w:tab/>
      </w:r>
      <w:r w:rsidRPr="00166EA9">
        <w:rPr>
          <w:b/>
          <w:color w:val="000000"/>
          <w:lang w:val="pt-PT"/>
        </w:rPr>
        <w:t>Az átmeneti rendelkezések alkalmazásának részletei</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1.2.1.</w:t>
      </w:r>
      <w:r w:rsidRPr="00166EA9">
        <w:rPr>
          <w:lang w:val="pt-PT"/>
        </w:rPr>
        <w:tab/>
        <w:t>Különböző hajók részeinek összeépítésekor csak azokra a részekre lehet érvényesíteni az átmeneti rendelkezéseket, amelyek a belvízi hajóbizonyítványát megőrző hajóhoz tartoznak.</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1.2.2.</w:t>
      </w:r>
      <w:r w:rsidRPr="00166EA9">
        <w:rPr>
          <w:lang w:val="pt-PT"/>
        </w:rPr>
        <w:tab/>
        <w:t>A hajóbizonyítványát meg nem őrző hajóhoz tartozó részeket újonnan épített vízi járműnek kell tekinteni.</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1.2.3.</w:t>
      </w:r>
      <w:r w:rsidRPr="00166EA9">
        <w:rPr>
          <w:lang w:val="pt-PT"/>
        </w:rPr>
        <w:tab/>
        <w:t>Miután egy hajóba beépítették egy másik hajó részét, az előbbi megkapja annak a vízi járműnek az egyedi európai hajóazonosító számát, amely átalakított vízi járműként megőrzi a belvízi hajóbizonyítványát.</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1.2.4.</w:t>
      </w:r>
      <w:r w:rsidRPr="00166EA9">
        <w:rPr>
          <w:lang w:val="pt-PT"/>
        </w:rPr>
        <w:tab/>
        <w:t>Amennyiben a vízi jármű az átalakítás után megőrzi meglévő belvízi hajóbizonyítványát vagy új belvízi hajóbizonyítványt kap, a belvízi hajóbizonyítvány kiegészül a vízi jármű legrégebbi részének gyártási évével.</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1.2.5.</w:t>
      </w:r>
      <w:r w:rsidRPr="00166EA9">
        <w:rPr>
          <w:lang w:val="pt-PT"/>
        </w:rPr>
        <w:tab/>
        <w:t>Amennyiben a vízi járműhöz új orr-részt illesztenek, az orr-részbe beépített orrsugárkormány motorjának meg kell felelnie a jelenlegi követelményeknek.</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1.2.6.</w:t>
      </w:r>
      <w:r w:rsidRPr="00166EA9">
        <w:rPr>
          <w:lang w:val="pt-PT"/>
        </w:rPr>
        <w:tab/>
        <w:t>Amennyiben a hajóhoz új farrészt illesztenek, a farrészbe szerelt motoroknak meg kell felelniük a jelenlegi követelményeknek.</w:t>
      </w:r>
    </w:p>
    <w:p w:rsidR="005624E3" w:rsidRPr="00166EA9" w:rsidRDefault="005624E3" w:rsidP="005624E3">
      <w:pPr>
        <w:spacing w:line="240" w:lineRule="atLeast"/>
        <w:ind w:left="567" w:hanging="567"/>
        <w:rPr>
          <w:b/>
          <w:bCs/>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1.3.</w:t>
      </w:r>
      <w:r w:rsidRPr="00166EA9">
        <w:rPr>
          <w:lang w:val="pt-PT"/>
        </w:rPr>
        <w:tab/>
      </w:r>
      <w:r w:rsidRPr="00166EA9">
        <w:rPr>
          <w:b/>
          <w:color w:val="000000"/>
          <w:lang w:val="pt-PT"/>
        </w:rPr>
        <w:t xml:space="preserve">Példák </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1.3.1.</w:t>
      </w:r>
      <w:r w:rsidRPr="00166EA9">
        <w:rPr>
          <w:lang w:val="pt-PT"/>
        </w:rPr>
        <w:tab/>
        <w:t>A hajót két régebbi hajóból állítják össze (az egyik hajó építési éve 1968, a másiké 1972). Az egyik hajót az előrésztől eltekintve teljesen felhasználják, míg a másik hajóból csak az előrészt használják fel. Az összeállított hajó megkapja az első hajó belvízi hajóbizonyítványát. Az összeállított hajó előrészét ekkor el lehet látni többek között horgonyfészekkel.</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br w:type="page"/>
      </w:r>
    </w:p>
    <w:p w:rsidR="005624E3" w:rsidRPr="00166EA9" w:rsidRDefault="005624E3" w:rsidP="005624E3">
      <w:pPr>
        <w:spacing w:line="240" w:lineRule="atLeast"/>
        <w:ind w:left="567" w:hanging="567"/>
        <w:rPr>
          <w:lang w:val="pt-PT"/>
        </w:rPr>
      </w:pPr>
      <w:r w:rsidRPr="00166EA9">
        <w:rPr>
          <w:lang w:val="pt-PT"/>
        </w:rPr>
        <w:t>1.3.2.</w:t>
      </w:r>
      <w:r w:rsidRPr="00166EA9">
        <w:rPr>
          <w:lang w:val="pt-PT"/>
        </w:rPr>
        <w:tab/>
        <w:t>A hajót két régebbi hajóból állítják össze (az egyik hajó építési éve 1975, a másiké 1958, a legrégebbi alkatrész pedig 1952-ben készült). Az egyik hajót az előrésztől eltekintve teljesen felhasználják, míg a másik hajóból csak az előrészt használják fel. Az összeállított hajó megkapja az első hajó belvízi hajóbizonyítványát. Az összeállított hajó előrészét ekkor el lehet látni többek között horgonyfészekkel. Az eredetileg a második hajóból származó, 1952-ben gyártott, legrégebbi alkatrészt be kell jegyezni a belvízi hajóbizonyítványba.</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b/>
          <w:bCs/>
          <w:lang w:val="pt-PT"/>
        </w:rPr>
      </w:pPr>
      <w:r w:rsidRPr="00166EA9">
        <w:rPr>
          <w:lang w:val="pt-PT"/>
        </w:rPr>
        <w:t>1.3.3.</w:t>
      </w:r>
      <w:r w:rsidRPr="00166EA9">
        <w:rPr>
          <w:lang w:val="pt-PT"/>
        </w:rPr>
        <w:tab/>
        <w:t>Egy 2001-ben gyártott hajó farrészét egy 1988-ban gyártott hajóhoz illesztik. Az 1988-ban gyártott hajó motorja a hajóban marad. Ebben az esetben a motort típusjóváhagyással kell ellátni. A motort abban az esetben is típusjóváhagyással kellene ellátni, ha a 2001-ben gyártott farrészből származna.</w:t>
      </w:r>
    </w:p>
    <w:p w:rsidR="005624E3" w:rsidRPr="00166EA9" w:rsidRDefault="005624E3" w:rsidP="005624E3">
      <w:pPr>
        <w:spacing w:line="240" w:lineRule="atLeast"/>
        <w:ind w:left="567" w:hanging="567"/>
        <w:rPr>
          <w:b/>
          <w:bCs/>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2.</w:t>
      </w:r>
      <w:r w:rsidRPr="00166EA9">
        <w:rPr>
          <w:lang w:val="pt-PT"/>
        </w:rPr>
        <w:tab/>
      </w:r>
      <w:r w:rsidRPr="00166EA9">
        <w:rPr>
          <w:b/>
          <w:color w:val="000000"/>
          <w:lang w:val="pt-PT"/>
        </w:rPr>
        <w:t>Az átmeneti rendelkezések alkalmazása a vízi jármű típusának (rendeltetésszerű használatának) megváltozása esetén</w:t>
      </w:r>
    </w:p>
    <w:p w:rsidR="005624E3" w:rsidRPr="00166EA9" w:rsidRDefault="005624E3" w:rsidP="005624E3">
      <w:pPr>
        <w:spacing w:line="240" w:lineRule="atLeast"/>
        <w:ind w:left="567" w:hanging="567"/>
        <w:rPr>
          <w:rFonts w:cs="Arial"/>
          <w:b/>
          <w:color w:val="000000"/>
          <w:szCs w:val="20"/>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2.1.</w:t>
      </w:r>
      <w:r w:rsidRPr="00166EA9">
        <w:rPr>
          <w:lang w:val="pt-PT"/>
        </w:rPr>
        <w:tab/>
      </w:r>
      <w:r w:rsidRPr="00166EA9">
        <w:rPr>
          <w:b/>
          <w:color w:val="000000"/>
          <w:lang w:val="pt-PT"/>
        </w:rPr>
        <w:t>Alapelvek</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2.1.1.</w:t>
      </w:r>
      <w:r w:rsidRPr="00166EA9">
        <w:rPr>
          <w:lang w:val="pt-PT"/>
        </w:rPr>
        <w:tab/>
      </w:r>
      <w:r w:rsidRPr="00166EA9">
        <w:rPr>
          <w:color w:val="000000"/>
          <w:lang w:val="pt-PT"/>
        </w:rPr>
        <w:t>A vízi jármű típusának (a hajótípusnak; a hajó rendeltetésszerű használatának) megváltozása esetén az átmeneti rendelkezések alkalmazásával kapcsolatos határozatok meghozatalakor a biztonsági megfontolások kulcsszerepet játszanak e szabvány tekintetében.</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2.1.2.</w:t>
      </w:r>
      <w:r w:rsidRPr="00166EA9">
        <w:rPr>
          <w:lang w:val="pt-PT"/>
        </w:rPr>
        <w:tab/>
        <w:t>A vízijármű-típus megváltozásának minősül, ha az új vízijármű-típusra vonatkozó biztonsági követelmények eltérnek a régi típusétól; ez abban az esetben fordul elő, ha a 19–30. fejezet külön rendelkezései az új típusra vonatkoznak, a régire azonban nem.</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2.1.3.</w:t>
      </w:r>
      <w:r w:rsidRPr="00166EA9">
        <w:rPr>
          <w:lang w:val="pt-PT"/>
        </w:rPr>
        <w:tab/>
        <w:t>A vízi jármű típusának megváltozása esetén az adott vízijármű-típusra vonatkozó összes külön rendelkezést és minden követelményt teljes mértékben teljesíteni kell; e követelmények tekintetében az átmeneti rendelkezéseket nem lehet érvényesíteni. Ez az előírás a meglévő vízi járműből átvett és e különleges előírások hatálya alá tartozó részekre is vonatkozik.</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2.1.4.</w:t>
      </w:r>
      <w:r w:rsidRPr="00166EA9">
        <w:rPr>
          <w:lang w:val="pt-PT"/>
        </w:rPr>
        <w:tab/>
        <w:t>A tartályhajó szárazáru-szállító hajóvá történő átalakítása nem minősül a vízijármű-típus 2.1.2. pont szerinti megváltozásának.</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2.1.5.</w:t>
      </w:r>
      <w:r w:rsidRPr="00166EA9">
        <w:rPr>
          <w:lang w:val="pt-PT"/>
        </w:rPr>
        <w:tab/>
        <w:t>A kabinos hajó egynapos utazásra alkalmas hajóvá történő átalakítása esetén minden új résznek teljes mértékben meg kell felelnie a jelenlegi követelményeknek.</w:t>
      </w:r>
    </w:p>
    <w:p w:rsidR="005624E3" w:rsidRPr="00166EA9" w:rsidRDefault="005624E3" w:rsidP="005624E3">
      <w:pPr>
        <w:spacing w:line="240" w:lineRule="atLeast"/>
        <w:ind w:left="567" w:hanging="567"/>
        <w:rPr>
          <w:b/>
          <w:bCs/>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2.2.</w:t>
      </w:r>
      <w:r w:rsidRPr="00166EA9">
        <w:rPr>
          <w:lang w:val="pt-PT"/>
        </w:rPr>
        <w:tab/>
      </w:r>
      <w:r w:rsidRPr="00166EA9">
        <w:rPr>
          <w:b/>
          <w:color w:val="000000"/>
          <w:lang w:val="pt-PT"/>
        </w:rPr>
        <w:t>Az átmeneti rendelkezések alkalmazásának részletei</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2.2.1.</w:t>
      </w:r>
      <w:r w:rsidRPr="00166EA9">
        <w:rPr>
          <w:lang w:val="pt-PT"/>
        </w:rPr>
        <w:tab/>
        <w:t>A 32.02. cikk 2. bekezdése (N.R.C.), illetve a 33.02. cikk 2. bekezdése a vízi jármű felújított részeire vonatkozik; következésképpen a vízi jármű új részei nem tartozhatnak az átmeneti rendelkezések hatálya alá.</w:t>
      </w:r>
    </w:p>
    <w:p w:rsidR="005624E3" w:rsidRPr="00166EA9" w:rsidRDefault="005624E3" w:rsidP="005624E3">
      <w:pPr>
        <w:spacing w:line="240" w:lineRule="atLeast"/>
        <w:ind w:left="567" w:hanging="567"/>
        <w:rPr>
          <w:color w:val="000000"/>
          <w:lang w:val="pt-PT"/>
        </w:rPr>
      </w:pPr>
    </w:p>
    <w:p w:rsidR="005624E3" w:rsidRPr="00166EA9" w:rsidRDefault="005624E3" w:rsidP="005624E3">
      <w:pPr>
        <w:spacing w:line="240" w:lineRule="atLeast"/>
        <w:ind w:left="567" w:hanging="567"/>
        <w:rPr>
          <w:color w:val="000000"/>
          <w:lang w:val="pt-PT"/>
        </w:rPr>
      </w:pPr>
      <w:r w:rsidRPr="00166EA9">
        <w:rPr>
          <w:color w:val="000000"/>
          <w:lang w:val="pt-PT"/>
        </w:rPr>
        <w:t>2.2.2.</w:t>
      </w:r>
      <w:r w:rsidRPr="00166EA9">
        <w:rPr>
          <w:lang w:val="pt-PT"/>
        </w:rPr>
        <w:tab/>
      </w:r>
      <w:r w:rsidRPr="00166EA9">
        <w:rPr>
          <w:color w:val="000000"/>
          <w:lang w:val="pt-PT"/>
        </w:rPr>
        <w:t>A vízi jármű át nem alakított részei továbbra is az átmeneti rendelkezések hatálya alá tartoznak a 2.1.3. pont második mondatában említett részek kivételével.</w:t>
      </w:r>
    </w:p>
    <w:p w:rsidR="005624E3" w:rsidRPr="00166EA9" w:rsidRDefault="005624E3" w:rsidP="005624E3">
      <w:pPr>
        <w:spacing w:line="240" w:lineRule="atLeast"/>
        <w:ind w:left="567" w:hanging="567"/>
        <w:rPr>
          <w:color w:val="000000"/>
          <w:lang w:val="pt-PT"/>
        </w:rPr>
      </w:pPr>
    </w:p>
    <w:p w:rsidR="005624E3" w:rsidRPr="00166EA9" w:rsidRDefault="005624E3" w:rsidP="005624E3">
      <w:pPr>
        <w:spacing w:line="240" w:lineRule="atLeast"/>
        <w:ind w:left="567" w:hanging="567"/>
        <w:rPr>
          <w:color w:val="000000"/>
          <w:lang w:val="pt-PT"/>
        </w:rPr>
      </w:pPr>
      <w:r w:rsidRPr="00166EA9">
        <w:rPr>
          <w:color w:val="000000"/>
          <w:lang w:val="pt-PT"/>
        </w:rPr>
        <w:t>2.2.3.</w:t>
      </w:r>
      <w:r w:rsidRPr="00166EA9">
        <w:rPr>
          <w:lang w:val="pt-PT"/>
        </w:rPr>
        <w:tab/>
      </w:r>
      <w:r w:rsidRPr="00166EA9">
        <w:rPr>
          <w:color w:val="000000"/>
          <w:lang w:val="pt-PT"/>
        </w:rPr>
        <w:t>A vízi jármű méreteinek megváltozása esetén az átmeneti rendelkezések a továbbiakban nem vonatkoznak azokra a részekre, amelyekre e változtatás kiterjed (például az ütközési válaszfal távolságára, a szabadoldalra és a horgonyra).</w:t>
      </w:r>
    </w:p>
    <w:p w:rsidR="005624E3" w:rsidRPr="00166EA9" w:rsidRDefault="005624E3" w:rsidP="005624E3">
      <w:pPr>
        <w:spacing w:line="240" w:lineRule="atLeast"/>
        <w:ind w:left="567" w:hanging="567"/>
        <w:rPr>
          <w:color w:val="000000"/>
          <w:lang w:val="pt-PT"/>
        </w:rPr>
      </w:pPr>
    </w:p>
    <w:p w:rsidR="005624E3" w:rsidRPr="00166EA9" w:rsidRDefault="005624E3" w:rsidP="005624E3">
      <w:pPr>
        <w:spacing w:line="240" w:lineRule="atLeast"/>
        <w:ind w:left="567" w:hanging="567"/>
        <w:rPr>
          <w:lang w:val="pt-PT"/>
        </w:rPr>
      </w:pPr>
      <w:r w:rsidRPr="00166EA9">
        <w:rPr>
          <w:lang w:val="pt-PT"/>
        </w:rPr>
        <w:br w:type="page"/>
      </w:r>
    </w:p>
    <w:p w:rsidR="005624E3" w:rsidRPr="00166EA9" w:rsidRDefault="005624E3" w:rsidP="005624E3">
      <w:pPr>
        <w:spacing w:line="240" w:lineRule="atLeast"/>
        <w:ind w:left="567" w:hanging="567"/>
        <w:rPr>
          <w:lang w:val="pt-PT"/>
        </w:rPr>
      </w:pPr>
      <w:r w:rsidRPr="00166EA9">
        <w:rPr>
          <w:lang w:val="pt-PT"/>
        </w:rPr>
        <w:t>2.2.4.</w:t>
      </w:r>
      <w:r w:rsidRPr="00166EA9">
        <w:rPr>
          <w:lang w:val="pt-PT"/>
        </w:rPr>
        <w:tab/>
        <w:t>A vízi jármű típusának megváltozása esetén azon külön követelményeket kell alkalmazni, amelyek kizárólag az új vízijármű-típusra vonatkoznak. A vízi jármű átalakításában érintett összes résznek és felszerelésnek meg kell felelnie e szabvány II. és III. része mindenkori követelményeinek.</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2.2.5.</w:t>
      </w:r>
      <w:r w:rsidRPr="00166EA9">
        <w:rPr>
          <w:lang w:val="pt-PT"/>
        </w:rPr>
        <w:tab/>
        <w:t>A vízi járművet ezt követően új vagy módosított belvízi hajóbizonyítvánnyal kell ellátni, a bizonyítvány 7. és 8. rovatába pedig az eredeti építésre és az átalakításra vonatkozóan bejegyzést kell tenni.</w:t>
      </w:r>
    </w:p>
    <w:p w:rsidR="005624E3" w:rsidRPr="00166EA9" w:rsidRDefault="005624E3" w:rsidP="005624E3">
      <w:pPr>
        <w:spacing w:line="240" w:lineRule="atLeast"/>
        <w:ind w:left="567" w:hanging="567"/>
        <w:rPr>
          <w:b/>
          <w:bCs/>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2.3.</w:t>
      </w:r>
      <w:r w:rsidRPr="00166EA9">
        <w:rPr>
          <w:lang w:val="pt-PT"/>
        </w:rPr>
        <w:tab/>
      </w:r>
      <w:r w:rsidRPr="00166EA9">
        <w:rPr>
          <w:b/>
          <w:color w:val="000000"/>
          <w:lang w:val="pt-PT"/>
        </w:rPr>
        <w:t xml:space="preserve">Példák </w:t>
      </w:r>
    </w:p>
    <w:p w:rsidR="005624E3" w:rsidRPr="00166EA9" w:rsidRDefault="005624E3" w:rsidP="005624E3">
      <w:pPr>
        <w:tabs>
          <w:tab w:val="left" w:pos="1134"/>
        </w:tabs>
        <w:spacing w:line="240" w:lineRule="atLeast"/>
        <w:ind w:left="1134" w:hanging="709"/>
        <w:rPr>
          <w:rFonts w:cs="Arial"/>
          <w:szCs w:val="20"/>
          <w:lang w:val="pt-PT"/>
        </w:rPr>
      </w:pPr>
    </w:p>
    <w:p w:rsidR="005624E3" w:rsidRPr="00166EA9" w:rsidRDefault="005624E3" w:rsidP="005624E3">
      <w:pPr>
        <w:spacing w:line="240" w:lineRule="atLeast"/>
        <w:ind w:left="567" w:hanging="567"/>
        <w:rPr>
          <w:lang w:val="pt-PT"/>
        </w:rPr>
      </w:pPr>
      <w:r w:rsidRPr="00166EA9">
        <w:rPr>
          <w:lang w:val="pt-PT"/>
        </w:rPr>
        <w:t>2.3.1.</w:t>
      </w:r>
      <w:r w:rsidRPr="00166EA9">
        <w:rPr>
          <w:lang w:val="pt-PT"/>
        </w:rPr>
        <w:tab/>
        <w:t>Egy (1996-ban épített) szárazáru-szállító hajót személyhajóvá alakítanak át. Ebben az esetben e szabvány 19. fejezete a teljes hajóra vonatkozik, átmeneti rendelkezések érvényesítése nélkül. Amennyiben az előrészt nem az átalakítási terveknek vagy a 19. fejezetnek megfelelően módosítják, a hajót nem szükséges a 3.03. cikknek megfelelő horgonyfészekkel ellátni.</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2.3.2.</w:t>
      </w:r>
      <w:r w:rsidRPr="00166EA9">
        <w:rPr>
          <w:lang w:val="pt-PT"/>
        </w:rPr>
        <w:tab/>
        <w:t>Egy (1970-ben épített) vontatóhajót tolóhajóvá alakítanak át. A fizikai átalakítás kizárólag a fedélzeti felszerelések lecseréléséből és a tolóberendezés beszereléséből áll. Az 1970-es építésű hajóra vonatkozó összes átmeneti rendelkezés továbbra is alkalmazandó lesz az 5. fejezet, (részben) a 7. fejezet, a 13.01. és a 21.01. cikk kivételével.</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2.3.3.</w:t>
      </w:r>
      <w:r w:rsidRPr="00166EA9">
        <w:rPr>
          <w:lang w:val="pt-PT"/>
        </w:rPr>
        <w:tab/>
        <w:t>Egy (1970-ban épített) önjáró tartályhajót tolóhajóvá alakítanak át. A fizikai átalakítás az előrész és a rakománytér elválasztásából, a fedélzeti felszerelések lecseréléséből, valamint a tolóberendezés beszereléséből áll. Az 1970-es építésű hajóra vonatkozó átmeneti rendelkezések továbbra is alkalmazandók lesznek, kivéve az 5. fejezet, (részben) a 7. fejezet, a 13.01. és a 21.01. cikk rendelkezéseit.</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2.3.4.</w:t>
      </w:r>
      <w:r w:rsidRPr="00166EA9">
        <w:rPr>
          <w:lang w:val="pt-PT"/>
        </w:rPr>
        <w:tab/>
        <w:t>Egy önjáró tartályhajót önjáró szárazáru-szállító hajóvá alakítanak. Az önjáró szárazáru-szállító hajónak meg kell felelnie a hatályos munkahelyi biztonsági követelményeknek, különös tekintettel az e szabvány 14. fejezetének 14.04. cikke szerinti követelményekre.</w:t>
      </w:r>
    </w:p>
    <w:p w:rsidR="005624E3" w:rsidRPr="00166EA9" w:rsidRDefault="005624E3" w:rsidP="005624E3">
      <w:pPr>
        <w:spacing w:line="240" w:lineRule="atLeast"/>
        <w:ind w:left="567" w:hanging="567"/>
        <w:rPr>
          <w:rFonts w:cs="Arial"/>
          <w:b/>
          <w:color w:val="000000"/>
          <w:szCs w:val="20"/>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3.</w:t>
      </w:r>
      <w:r w:rsidRPr="00166EA9">
        <w:rPr>
          <w:lang w:val="pt-PT"/>
        </w:rPr>
        <w:tab/>
      </w:r>
      <w:r w:rsidRPr="00166EA9">
        <w:rPr>
          <w:b/>
          <w:color w:val="000000"/>
          <w:lang w:val="pt-PT"/>
        </w:rPr>
        <w:t>Átmeneti rendelkezések alkalmazása személyhajók átalakítása esetén</w:t>
      </w:r>
    </w:p>
    <w:p w:rsidR="005624E3" w:rsidRPr="00166EA9" w:rsidRDefault="005624E3" w:rsidP="005624E3">
      <w:pPr>
        <w:spacing w:line="240" w:lineRule="atLeast"/>
        <w:ind w:left="567" w:hanging="567"/>
        <w:rPr>
          <w:rFonts w:cs="Arial"/>
          <w:b/>
          <w:color w:val="000000"/>
          <w:szCs w:val="20"/>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3.1.</w:t>
      </w:r>
      <w:r w:rsidRPr="00166EA9">
        <w:rPr>
          <w:lang w:val="pt-PT"/>
        </w:rPr>
        <w:tab/>
      </w:r>
      <w:r w:rsidRPr="00166EA9">
        <w:rPr>
          <w:b/>
          <w:color w:val="000000"/>
          <w:lang w:val="pt-PT"/>
        </w:rPr>
        <w:t>Az átmeneti rendelkezések alkalmazása</w:t>
      </w:r>
    </w:p>
    <w:p w:rsidR="005624E3" w:rsidRPr="00166EA9" w:rsidRDefault="005624E3" w:rsidP="005624E3">
      <w:pPr>
        <w:tabs>
          <w:tab w:val="left" w:pos="1134"/>
        </w:tabs>
        <w:spacing w:line="240" w:lineRule="atLeast"/>
        <w:ind w:left="1134" w:hanging="709"/>
        <w:rPr>
          <w:rFonts w:cs="Arial"/>
          <w:color w:val="000000"/>
          <w:szCs w:val="20"/>
          <w:lang w:val="pt-PT"/>
        </w:rPr>
      </w:pPr>
    </w:p>
    <w:p w:rsidR="005624E3" w:rsidRPr="00166EA9" w:rsidRDefault="005624E3" w:rsidP="005624E3">
      <w:pPr>
        <w:spacing w:line="240" w:lineRule="atLeast"/>
        <w:ind w:left="567" w:hanging="567"/>
        <w:rPr>
          <w:lang w:val="pt-PT"/>
        </w:rPr>
      </w:pPr>
      <w:r w:rsidRPr="00166EA9">
        <w:rPr>
          <w:lang w:val="pt-PT"/>
        </w:rPr>
        <w:t>3.1.1.</w:t>
      </w:r>
      <w:r w:rsidRPr="00166EA9">
        <w:rPr>
          <w:lang w:val="pt-PT"/>
        </w:rPr>
        <w:tab/>
        <w:t>A 19. fejezet követelményeinek teljesítése érdekében szükséges átalakítási intézkedések, függetlenül attól, hogy mikor hajtják őket végre, nem minősülhetnek átalakításnak (C.) e szabvány 32.02. cikkének 2. bekezdése, 32.03. cikkének 1. bekezdése vagy 32.05. cikkének 5. bekezdése, illetve 33.02. és 33.03. cikke értelmében.</w:t>
      </w:r>
    </w:p>
    <w:p w:rsidR="005624E3" w:rsidRPr="00166EA9" w:rsidRDefault="005624E3" w:rsidP="005624E3">
      <w:pPr>
        <w:spacing w:line="240" w:lineRule="atLeast"/>
        <w:ind w:left="567" w:hanging="567"/>
        <w:rPr>
          <w:lang w:val="pt-PT"/>
        </w:rPr>
      </w:pPr>
    </w:p>
    <w:p w:rsidR="005624E3" w:rsidRPr="00166EA9" w:rsidRDefault="005624E3" w:rsidP="005624E3">
      <w:pPr>
        <w:spacing w:line="240" w:lineRule="atLeast"/>
        <w:ind w:left="567" w:hanging="567"/>
        <w:rPr>
          <w:lang w:val="pt-PT"/>
        </w:rPr>
      </w:pPr>
      <w:r w:rsidRPr="00166EA9">
        <w:rPr>
          <w:lang w:val="pt-PT"/>
        </w:rPr>
        <w:t>3.1.2.</w:t>
      </w:r>
      <w:r w:rsidRPr="00166EA9">
        <w:rPr>
          <w:lang w:val="pt-PT"/>
        </w:rPr>
        <w:tab/>
        <w:t>A kabinos hajó egynapos utazásra alkalmas hajóvá történő átalakítása esetén minden új résznek teljes mértékben meg kell felelnie a jelenlegi követelményeknek.</w:t>
      </w:r>
    </w:p>
    <w:p w:rsidR="005624E3" w:rsidRPr="00166EA9" w:rsidRDefault="005624E3" w:rsidP="005624E3">
      <w:pPr>
        <w:spacing w:line="240" w:lineRule="atLeast"/>
        <w:ind w:left="567" w:hanging="567"/>
        <w:rPr>
          <w:rFonts w:cs="Arial"/>
          <w:b/>
          <w:color w:val="000000"/>
          <w:szCs w:val="20"/>
          <w:lang w:val="pt-PT"/>
        </w:rPr>
      </w:pPr>
    </w:p>
    <w:p w:rsidR="005624E3" w:rsidRPr="00166EA9" w:rsidRDefault="005624E3" w:rsidP="005624E3">
      <w:pPr>
        <w:spacing w:line="240" w:lineRule="atLeast"/>
        <w:ind w:left="567" w:hanging="567"/>
        <w:rPr>
          <w:rFonts w:cs="Arial"/>
          <w:b/>
          <w:color w:val="000000"/>
          <w:szCs w:val="20"/>
          <w:lang w:val="pt-PT"/>
        </w:rPr>
      </w:pPr>
      <w:r w:rsidRPr="00166EA9">
        <w:rPr>
          <w:b/>
          <w:color w:val="000000"/>
          <w:lang w:val="pt-PT"/>
        </w:rPr>
        <w:t>3.2.</w:t>
      </w:r>
      <w:r w:rsidRPr="00166EA9">
        <w:rPr>
          <w:lang w:val="pt-PT"/>
        </w:rPr>
        <w:tab/>
      </w:r>
      <w:r w:rsidRPr="00166EA9">
        <w:rPr>
          <w:b/>
          <w:color w:val="000000"/>
          <w:lang w:val="pt-PT"/>
        </w:rPr>
        <w:t xml:space="preserve">Példák </w:t>
      </w:r>
    </w:p>
    <w:p w:rsidR="005624E3" w:rsidRPr="00166EA9" w:rsidRDefault="005624E3" w:rsidP="005624E3">
      <w:pPr>
        <w:tabs>
          <w:tab w:val="left" w:pos="1134"/>
        </w:tabs>
        <w:spacing w:line="240" w:lineRule="atLeast"/>
        <w:ind w:left="1134" w:hanging="709"/>
        <w:rPr>
          <w:rFonts w:cs="Arial"/>
          <w:color w:val="000000"/>
          <w:szCs w:val="20"/>
          <w:lang w:val="pt-PT"/>
        </w:rPr>
      </w:pPr>
    </w:p>
    <w:p w:rsidR="005624E3" w:rsidRPr="00166EA9" w:rsidRDefault="005624E3" w:rsidP="005624E3">
      <w:pPr>
        <w:spacing w:line="240" w:lineRule="atLeast"/>
        <w:ind w:left="567" w:hanging="567"/>
        <w:rPr>
          <w:lang w:val="pt-PT"/>
        </w:rPr>
      </w:pPr>
      <w:r w:rsidRPr="00166EA9">
        <w:rPr>
          <w:lang w:val="pt-PT"/>
        </w:rPr>
        <w:t>3.2.1.</w:t>
      </w:r>
      <w:r w:rsidRPr="00166EA9">
        <w:rPr>
          <w:lang w:val="pt-PT"/>
        </w:rPr>
        <w:tab/>
        <w:t>Egy (1995-ben épített) személyhajót legkésőbb 2015. január 1-jéig második független propulziós rendszerrel kell ellátni. Amennyiben egyéb önkéntes átalakítást nem hajtanak végre ezen a személyhajón, akkor nem szükséges stabilitási számítást végezni az új követelményeknek megfelelően, ha azonban erre objektív igény mutatkozik, akkor a stabilitási számítást a rajnai hajók szemleszabályzata vagy egy tagállam eredeti stabilitási követelményeivel összhangban kell elvégezni.</w:t>
      </w:r>
    </w:p>
    <w:p w:rsidR="005624E3" w:rsidRPr="00166EA9" w:rsidRDefault="005624E3" w:rsidP="005624E3">
      <w:pPr>
        <w:tabs>
          <w:tab w:val="left" w:pos="1134"/>
        </w:tabs>
        <w:spacing w:line="240" w:lineRule="atLeast"/>
        <w:ind w:left="1134" w:hanging="709"/>
        <w:rPr>
          <w:rFonts w:cs="Arial"/>
          <w:color w:val="000000"/>
          <w:szCs w:val="20"/>
          <w:lang w:val="pt-PT"/>
        </w:rPr>
      </w:pPr>
      <w:r w:rsidRPr="00166EA9">
        <w:rPr>
          <w:lang w:val="pt-PT"/>
        </w:rPr>
        <w:br w:type="page"/>
      </w:r>
    </w:p>
    <w:p w:rsidR="005624E3" w:rsidRPr="00166EA9" w:rsidRDefault="005624E3" w:rsidP="005624E3">
      <w:pPr>
        <w:spacing w:line="240" w:lineRule="atLeast"/>
        <w:ind w:left="567" w:hanging="567"/>
        <w:rPr>
          <w:lang w:val="pt-PT"/>
        </w:rPr>
      </w:pPr>
      <w:r w:rsidRPr="00166EA9">
        <w:rPr>
          <w:lang w:val="pt-PT"/>
        </w:rPr>
        <w:t>3.2.2.</w:t>
      </w:r>
      <w:r w:rsidRPr="00166EA9">
        <w:rPr>
          <w:lang w:val="pt-PT"/>
        </w:rPr>
        <w:tab/>
        <w:t>Egy (1994-ben épített) személyhajót, mely utoljára 2012-ben megújított belvízi hajóbizonyítvánnyal rendelkezik, 2016-ban 10 méterrel meg kívánnak hosszabbítani. A vízi járművet második független propulziós rendszerrel is el kell látni. Szükséges továbbá új stabilitási számítást is végezni a 19. fejezet szerinti egyteres és kétteres elárasztás esetére.</w:t>
      </w:r>
    </w:p>
    <w:p w:rsidR="005624E3" w:rsidRPr="00166EA9" w:rsidRDefault="005624E3" w:rsidP="005624E3">
      <w:pPr>
        <w:spacing w:line="240" w:lineRule="atLeast"/>
        <w:ind w:left="567" w:hanging="567"/>
        <w:rPr>
          <w:lang w:val="pt-PT"/>
        </w:rPr>
      </w:pPr>
    </w:p>
    <w:p w:rsidR="005624E3" w:rsidRPr="00921ED0" w:rsidRDefault="005624E3" w:rsidP="005624E3">
      <w:pPr>
        <w:spacing w:line="240" w:lineRule="atLeast"/>
        <w:ind w:left="567" w:hanging="567"/>
      </w:pPr>
      <w:r w:rsidRPr="00166EA9">
        <w:rPr>
          <w:lang w:val="pt-PT"/>
        </w:rPr>
        <w:t>3.2.3.</w:t>
      </w:r>
      <w:r w:rsidRPr="00166EA9">
        <w:rPr>
          <w:lang w:val="pt-PT"/>
        </w:rPr>
        <w:tab/>
        <w:t xml:space="preserve">Egy (1988-ban épített) személyhajót nagyobb teljesítményű propulziós rendszerrel látnak el, beleértve a hajócsavart is. Ez olyan jelentős átalakítás, amely stabilitási számítás elvégzését teszi szükségessé. </w:t>
      </w:r>
      <w:r w:rsidRPr="00921ED0">
        <w:t>A számítást a mindenkori követelmények szerint kell elvégezni.</w:t>
      </w:r>
    </w:p>
    <w:p w:rsidR="002908AA" w:rsidRPr="005624E3" w:rsidRDefault="002908AA" w:rsidP="005624E3">
      <w:pPr>
        <w:overflowPunct w:val="0"/>
        <w:adjustRightInd w:val="0"/>
        <w:spacing w:line="240" w:lineRule="exact"/>
        <w:jc w:val="center"/>
        <w:textAlignment w:val="baseline"/>
        <w:rPr>
          <w:lang w:val="sv-SE"/>
        </w:rPr>
      </w:pPr>
    </w:p>
    <w:sectPr w:rsidR="002908AA" w:rsidRPr="005624E3" w:rsidSect="00AC5CC1">
      <w:headerReference w:type="first" r:id="rId152"/>
      <w:footnotePr>
        <w:numRestart w:val="eachPage"/>
      </w:footnotePr>
      <w:pgSz w:w="11906" w:h="16838" w:code="9"/>
      <w:pgMar w:top="1418" w:right="1418" w:bottom="1418" w:left="1418" w:header="709" w:footer="709" w:gutter="0"/>
      <w:cols w:space="709"/>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2442" w:rsidRDefault="00842442">
      <w:r>
        <w:separator/>
      </w:r>
    </w:p>
  </w:endnote>
  <w:endnote w:type="continuationSeparator" w:id="0">
    <w:p w:rsidR="00842442" w:rsidRDefault="008424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Gras">
    <w:panose1 w:val="00000000000000000000"/>
    <w:charset w:val="00"/>
    <w:family w:val="roman"/>
    <w:notTrueType/>
    <w:pitch w:val="default"/>
  </w:font>
  <w:font w:name="CG Times">
    <w:panose1 w:val="00000000000000000000"/>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1)">
    <w:altName w:val="Times New Roman"/>
    <w:charset w:val="00"/>
    <w:family w:val="roman"/>
    <w:pitch w:val="variable"/>
  </w:font>
  <w:font w:name="Times">
    <w:panose1 w:val="02020603050405020304"/>
    <w:charset w:val="00"/>
    <w:family w:val="roman"/>
    <w:pitch w:val="variable"/>
    <w:sig w:usb0="E0002AFF" w:usb1="C0007841" w:usb2="00000009" w:usb3="00000000" w:csb0="000001FF" w:csb1="00000000"/>
  </w:font>
  <w:font w:name="Liberation Sans">
    <w:altName w:val="Arial"/>
    <w:charset w:val="00"/>
    <w:family w:val="swiss"/>
    <w:pitch w:val="default"/>
  </w:font>
  <w:font w:name="Lucida Sans Unicode">
    <w:panose1 w:val="020B0602030504020204"/>
    <w:charset w:val="00"/>
    <w:family w:val="swiss"/>
    <w:pitch w:val="variable"/>
    <w:sig w:usb0="80000AFF" w:usb1="0000396B" w:usb2="00000000" w:usb3="00000000" w:csb0="000000BF" w:csb1="00000000"/>
  </w:font>
  <w:font w:name="EU 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
    <w:altName w:val="Arial Unicode MS"/>
    <w:panose1 w:val="00000000000000000000"/>
    <w:charset w:val="80"/>
    <w:family w:val="auto"/>
    <w:notTrueType/>
    <w:pitch w:val="default"/>
    <w:sig w:usb0="00000000" w:usb1="08070000" w:usb2="00000010" w:usb3="00000000" w:csb0="00020001"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E1027C">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iii</w:t>
    </w:r>
    <w:r w:rsidRPr="006B1D78">
      <w:rPr>
        <w:sz w:val="16"/>
        <w:szCs w:val="16"/>
      </w:rPr>
      <w:fldChar w:fldCharType="end"/>
    </w:r>
    <w:r>
      <w:rPr>
        <w:sz w:val="16"/>
      </w:rPr>
      <w:t>. oldal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2C44F2">
    <w:pPr>
      <w:widowControl w:val="0"/>
      <w:pBdr>
        <w:top w:val="single" w:sz="6" w:space="1" w:color="auto"/>
      </w:pBdr>
      <w:tabs>
        <w:tab w:val="right" w:pos="9000"/>
      </w:tabs>
      <w:spacing w:line="240" w:lineRule="atLeast"/>
      <w:rPr>
        <w:sz w:val="16"/>
        <w:szCs w:val="16"/>
      </w:rPr>
    </w:pPr>
    <w:r>
      <w:rPr>
        <w:sz w:val="16"/>
      </w:rPr>
      <w:t>2017/1 kiadás</w:t>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C4D5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358</w:t>
    </w:r>
    <w:r w:rsidRPr="006B1D78">
      <w:rPr>
        <w:sz w:val="16"/>
        <w:szCs w:val="16"/>
      </w:rPr>
      <w:fldChar w:fldCharType="end"/>
    </w:r>
    <w:r>
      <w:rPr>
        <w:sz w:val="16"/>
      </w:rPr>
      <w:t>. oldal</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EF4E2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214</w:t>
    </w:r>
    <w:r w:rsidRPr="006B1D78">
      <w:rPr>
        <w:sz w:val="16"/>
        <w:szCs w:val="16"/>
      </w:rPr>
      <w:fldChar w:fldCharType="end"/>
    </w:r>
    <w:r>
      <w:rPr>
        <w:sz w:val="16"/>
      </w:rPr>
      <w:t>. oldal</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A30C54" w:rsidRDefault="00842442" w:rsidP="001E2331">
    <w:pPr>
      <w:widowControl w:val="0"/>
      <w:pBdr>
        <w:top w:val="single" w:sz="6" w:space="1" w:color="auto"/>
      </w:pBdr>
      <w:tabs>
        <w:tab w:val="right" w:pos="13892"/>
      </w:tabs>
      <w:spacing w:line="240" w:lineRule="atLeast"/>
      <w:rPr>
        <w:sz w:val="16"/>
        <w:szCs w:val="16"/>
      </w:rPr>
    </w:pPr>
    <w:r>
      <w:rPr>
        <w:sz w:val="16"/>
      </w:rPr>
      <w:t>2017/1 kiadás</w:t>
    </w:r>
    <w:r>
      <w:tab/>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3142CA">
      <w:rPr>
        <w:noProof/>
        <w:sz w:val="16"/>
        <w:szCs w:val="16"/>
      </w:rPr>
      <w:t>443</w:t>
    </w:r>
    <w:r w:rsidRPr="00A30C54">
      <w:rPr>
        <w:sz w:val="16"/>
        <w:szCs w:val="16"/>
      </w:rPr>
      <w:fldChar w:fldCharType="end"/>
    </w:r>
    <w:r>
      <w:rPr>
        <w:sz w:val="16"/>
      </w:rPr>
      <w:t>. oldal</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A30C54" w:rsidRDefault="00842442" w:rsidP="001E2331">
    <w:pPr>
      <w:widowControl w:val="0"/>
      <w:pBdr>
        <w:top w:val="single" w:sz="6" w:space="1" w:color="auto"/>
      </w:pBdr>
      <w:tabs>
        <w:tab w:val="right" w:pos="13892"/>
      </w:tabs>
      <w:spacing w:line="240" w:lineRule="atLeast"/>
      <w:rPr>
        <w:sz w:val="16"/>
        <w:szCs w:val="16"/>
      </w:rPr>
    </w:pPr>
    <w:r>
      <w:rPr>
        <w:sz w:val="16"/>
      </w:rPr>
      <w:t>2017/1 kiadás</w:t>
    </w:r>
    <w:r>
      <w:tab/>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3142CA">
      <w:rPr>
        <w:noProof/>
        <w:sz w:val="16"/>
        <w:szCs w:val="16"/>
      </w:rPr>
      <w:t>418</w:t>
    </w:r>
    <w:r w:rsidRPr="00A30C54">
      <w:rPr>
        <w:sz w:val="16"/>
        <w:szCs w:val="16"/>
      </w:rPr>
      <w:fldChar w:fldCharType="end"/>
    </w:r>
    <w:r>
      <w:rPr>
        <w:sz w:val="16"/>
      </w:rPr>
      <w:t>. oldal</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B405CE">
    <w:pPr>
      <w:widowControl w:val="0"/>
      <w:pBdr>
        <w:top w:val="single" w:sz="6" w:space="1" w:color="auto"/>
      </w:pBdr>
      <w:tabs>
        <w:tab w:val="right" w:pos="13892"/>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421</w:t>
    </w:r>
    <w:r w:rsidRPr="006B1D78">
      <w:rPr>
        <w:sz w:val="16"/>
        <w:szCs w:val="16"/>
      </w:rPr>
      <w:fldChar w:fldCharType="end"/>
    </w:r>
    <w:r>
      <w:rPr>
        <w:sz w:val="16"/>
      </w:rPr>
      <w:t>. oldal</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C4D5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445</w:t>
    </w:r>
    <w:r w:rsidRPr="006B1D78">
      <w:rPr>
        <w:sz w:val="16"/>
        <w:szCs w:val="16"/>
      </w:rPr>
      <w:fldChar w:fldCharType="end"/>
    </w:r>
    <w:r>
      <w:rPr>
        <w:sz w:val="16"/>
      </w:rPr>
      <w:t>. oldal</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EF4E2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444</w:t>
    </w:r>
    <w:r w:rsidRPr="006B1D78">
      <w:rPr>
        <w:sz w:val="16"/>
        <w:szCs w:val="16"/>
      </w:rPr>
      <w:fldChar w:fldCharType="end"/>
    </w:r>
    <w:r>
      <w:rPr>
        <w:sz w:val="16"/>
      </w:rPr>
      <w:t>. oldal</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9C13A9">
    <w:pPr>
      <w:widowControl w:val="0"/>
      <w:pBdr>
        <w:top w:val="single" w:sz="6" w:space="1" w:color="auto"/>
      </w:pBdr>
      <w:tabs>
        <w:tab w:val="right" w:pos="9072"/>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452</w:t>
    </w:r>
    <w:r w:rsidRPr="006B1D78">
      <w:rPr>
        <w:sz w:val="16"/>
        <w:szCs w:val="16"/>
      </w:rPr>
      <w:fldChar w:fldCharType="end"/>
    </w:r>
    <w:r>
      <w:rPr>
        <w:sz w:val="16"/>
      </w:rPr>
      <w:t>. oldal</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C4D5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480</w:t>
    </w:r>
    <w:r w:rsidRPr="006B1D78">
      <w:rPr>
        <w:sz w:val="16"/>
        <w:szCs w:val="16"/>
      </w:rPr>
      <w:fldChar w:fldCharType="end"/>
    </w:r>
    <w:r>
      <w:rPr>
        <w:sz w:val="16"/>
      </w:rPr>
      <w:t>. oldal</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9C13A9">
    <w:pPr>
      <w:widowControl w:val="0"/>
      <w:pBdr>
        <w:top w:val="single" w:sz="6" w:space="1" w:color="auto"/>
      </w:pBdr>
      <w:tabs>
        <w:tab w:val="right" w:pos="9072"/>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499</w:t>
    </w:r>
    <w:r w:rsidRPr="006B1D78">
      <w:rPr>
        <w:sz w:val="16"/>
        <w:szCs w:val="16"/>
      </w:rPr>
      <w:fldChar w:fldCharType="end"/>
    </w:r>
    <w:r>
      <w:rPr>
        <w:sz w:val="16"/>
      </w:rPr>
      <w:t>. oldal</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1865DF">
    <w:pPr>
      <w:widowControl w:val="0"/>
      <w:pBdr>
        <w:top w:val="single" w:sz="6" w:space="1" w:color="auto"/>
      </w:pBdr>
      <w:tabs>
        <w:tab w:val="right" w:pos="14034"/>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504</w:t>
    </w:r>
    <w:r w:rsidRPr="006B1D78">
      <w:rPr>
        <w:sz w:val="16"/>
        <w:szCs w:val="16"/>
      </w:rPr>
      <w:fldChar w:fldCharType="end"/>
    </w:r>
    <w:r>
      <w:rPr>
        <w:sz w:val="16"/>
      </w:rPr>
      <w:t>. oldal</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9C13A9">
    <w:pPr>
      <w:widowControl w:val="0"/>
      <w:pBdr>
        <w:top w:val="single" w:sz="6" w:space="1" w:color="auto"/>
      </w:pBdr>
      <w:tabs>
        <w:tab w:val="right" w:pos="9072"/>
      </w:tabs>
      <w:spacing w:line="240" w:lineRule="atLeast"/>
      <w:rPr>
        <w:sz w:val="16"/>
        <w:szCs w:val="16"/>
      </w:rPr>
    </w:pPr>
    <w:r>
      <w:rPr>
        <w:sz w:val="16"/>
      </w:rPr>
      <w:t>1.0 kiadás – 2014. szeptember</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23</w:t>
    </w:r>
    <w:r w:rsidRPr="006B1D78">
      <w:rPr>
        <w:sz w:val="16"/>
        <w:szCs w:val="16"/>
      </w:rPr>
      <w:fldChar w:fldCharType="end"/>
    </w:r>
    <w:r>
      <w:rPr>
        <w:sz w:val="16"/>
      </w:rPr>
      <w:t>. oldal</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C4D5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512</w:t>
    </w:r>
    <w:r w:rsidRPr="006B1D78">
      <w:rPr>
        <w:sz w:val="16"/>
        <w:szCs w:val="16"/>
      </w:rPr>
      <w:fldChar w:fldCharType="end"/>
    </w:r>
    <w:r>
      <w:rPr>
        <w:sz w:val="16"/>
      </w:rPr>
      <w:t>. oldal</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C4D5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563</w:t>
    </w:r>
    <w:r w:rsidRPr="006B1D78">
      <w:rPr>
        <w:sz w:val="16"/>
        <w:szCs w:val="16"/>
      </w:rPr>
      <w:fldChar w:fldCharType="end"/>
    </w:r>
    <w:r>
      <w:rPr>
        <w:sz w:val="16"/>
      </w:rPr>
      <w:t>. oldal</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C4D5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569</w:t>
    </w:r>
    <w:r w:rsidRPr="006B1D78">
      <w:rPr>
        <w:sz w:val="16"/>
        <w:szCs w:val="16"/>
      </w:rPr>
      <w:fldChar w:fldCharType="end"/>
    </w:r>
    <w:r>
      <w:rPr>
        <w:sz w:val="16"/>
      </w:rPr>
      <w:t>. oldal</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C4D5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593</w:t>
    </w:r>
    <w:r w:rsidRPr="006B1D78">
      <w:rPr>
        <w:sz w:val="16"/>
        <w:szCs w:val="16"/>
      </w:rPr>
      <w:fldChar w:fldCharType="end"/>
    </w:r>
    <w:r>
      <w:rPr>
        <w:sz w:val="16"/>
      </w:rPr>
      <w:t>. oldal</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9C13A9">
    <w:pPr>
      <w:widowControl w:val="0"/>
      <w:pBdr>
        <w:top w:val="single" w:sz="6" w:space="1" w:color="auto"/>
      </w:pBdr>
      <w:tabs>
        <w:tab w:val="right" w:pos="13892"/>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596</w:t>
    </w:r>
    <w:r w:rsidRPr="006B1D78">
      <w:rPr>
        <w:sz w:val="16"/>
        <w:szCs w:val="16"/>
      </w:rPr>
      <w:fldChar w:fldCharType="end"/>
    </w:r>
    <w:r>
      <w:rPr>
        <w:sz w:val="16"/>
      </w:rPr>
      <w:t>. oldal</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9C13A9">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599</w:t>
    </w:r>
    <w:r w:rsidRPr="006B1D78">
      <w:rPr>
        <w:sz w:val="16"/>
        <w:szCs w:val="16"/>
      </w:rPr>
      <w:fldChar w:fldCharType="end"/>
    </w:r>
    <w:r>
      <w:rPr>
        <w:sz w:val="16"/>
      </w:rPr>
      <w:t>. oldal</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9C13A9">
    <w:pPr>
      <w:widowControl w:val="0"/>
      <w:pBdr>
        <w:top w:val="single" w:sz="6" w:space="1" w:color="auto"/>
      </w:pBdr>
      <w:tabs>
        <w:tab w:val="right" w:pos="13892"/>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602</w:t>
    </w:r>
    <w:r w:rsidRPr="006B1D78">
      <w:rPr>
        <w:sz w:val="16"/>
        <w:szCs w:val="16"/>
      </w:rPr>
      <w:fldChar w:fldCharType="end"/>
    </w:r>
    <w:r>
      <w:rPr>
        <w:sz w:val="16"/>
      </w:rPr>
      <w:t>. oldal</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9C13A9">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609</w:t>
    </w:r>
    <w:r w:rsidRPr="006B1D78">
      <w:rPr>
        <w:sz w:val="16"/>
        <w:szCs w:val="16"/>
      </w:rPr>
      <w:fldChar w:fldCharType="end"/>
    </w:r>
    <w:r>
      <w:rPr>
        <w:sz w:val="16"/>
      </w:rPr>
      <w:t>. oldal</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9C13A9">
    <w:pPr>
      <w:widowControl w:val="0"/>
      <w:pBdr>
        <w:top w:val="single" w:sz="6" w:space="1" w:color="auto"/>
      </w:pBdr>
      <w:tabs>
        <w:tab w:val="right" w:pos="9000"/>
      </w:tabs>
      <w:spacing w:line="240" w:lineRule="atLeast"/>
      <w:rPr>
        <w:sz w:val="16"/>
        <w:szCs w:val="16"/>
      </w:rPr>
    </w:pPr>
    <w:r>
      <w:rPr>
        <w:sz w:val="16"/>
      </w:rPr>
      <w:t>1.0 kiadás – 2014. szeptember</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95</w:t>
    </w:r>
    <w:r w:rsidRPr="006B1D78">
      <w:rPr>
        <w:sz w:val="16"/>
        <w:szCs w:val="16"/>
      </w:rPr>
      <w:fldChar w:fldCharType="end"/>
    </w:r>
    <w:r>
      <w:rPr>
        <w:sz w:val="16"/>
      </w:rPr>
      <w:t>. oldal</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C4D5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661</w:t>
    </w:r>
    <w:r w:rsidRPr="006B1D78">
      <w:rPr>
        <w:sz w:val="16"/>
        <w:szCs w:val="16"/>
      </w:rPr>
      <w:fldChar w:fldCharType="end"/>
    </w:r>
    <w:r>
      <w:rPr>
        <w:sz w:val="16"/>
      </w:rPr>
      <w:t>. oldal</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EF4E2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662</w:t>
    </w:r>
    <w:r w:rsidRPr="006B1D78">
      <w:rPr>
        <w:sz w:val="16"/>
        <w:szCs w:val="16"/>
      </w:rPr>
      <w:fldChar w:fldCharType="end"/>
    </w:r>
    <w:r>
      <w:rPr>
        <w:sz w:val="16"/>
      </w:rPr>
      <w:t>. oldal</w: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pPr>
      <w:pStyle w:val="Foote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45887">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465</w:t>
    </w:r>
    <w:r w:rsidRPr="006B1D78">
      <w:rPr>
        <w:sz w:val="16"/>
        <w:szCs w:val="16"/>
      </w:rPr>
      <w:fldChar w:fldCharType="end"/>
    </w:r>
    <w:r>
      <w:rPr>
        <w:sz w:val="16"/>
      </w:rPr>
      <w:t>. oldal</w: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45887">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397</w:t>
    </w:r>
    <w:r w:rsidRPr="006B1D78">
      <w:rPr>
        <w:sz w:val="16"/>
        <w:szCs w:val="16"/>
      </w:rPr>
      <w:fldChar w:fldCharType="end"/>
    </w:r>
    <w:r>
      <w:rPr>
        <w:sz w:val="16"/>
      </w:rPr>
      <w:t>. oldal</w: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45887">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399</w:t>
    </w:r>
    <w:r w:rsidRPr="006B1D78">
      <w:rPr>
        <w:sz w:val="16"/>
        <w:szCs w:val="16"/>
      </w:rPr>
      <w:fldChar w:fldCharType="end"/>
    </w:r>
    <w:r>
      <w:rPr>
        <w:sz w:val="16"/>
      </w:rPr>
      <w:t>. oldal</w: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45887">
    <w:pPr>
      <w:widowControl w:val="0"/>
      <w:pBdr>
        <w:top w:val="single" w:sz="6" w:space="0"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410</w:t>
    </w:r>
    <w:r w:rsidRPr="006B1D78">
      <w:rPr>
        <w:sz w:val="16"/>
        <w:szCs w:val="16"/>
      </w:rPr>
      <w:fldChar w:fldCharType="end"/>
    </w:r>
    <w:r>
      <w:rPr>
        <w:sz w:val="16"/>
      </w:rPr>
      <w:t>. oldal</w: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45887">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423</w:t>
    </w:r>
    <w:r w:rsidRPr="006B1D78">
      <w:rPr>
        <w:sz w:val="16"/>
        <w:szCs w:val="16"/>
      </w:rPr>
      <w:fldChar w:fldCharType="end"/>
    </w:r>
    <w:r>
      <w:rPr>
        <w:sz w:val="16"/>
      </w:rPr>
      <w:t>. oldal</w: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45887">
    <w:pPr>
      <w:widowControl w:val="0"/>
      <w:pBdr>
        <w:top w:val="single" w:sz="6" w:space="1" w:color="auto"/>
      </w:pBdr>
      <w:tabs>
        <w:tab w:val="right" w:pos="14034"/>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427</w:t>
    </w:r>
    <w:r w:rsidRPr="006B1D78">
      <w:rPr>
        <w:sz w:val="16"/>
        <w:szCs w:val="16"/>
      </w:rPr>
      <w:fldChar w:fldCharType="end"/>
    </w:r>
    <w:r>
      <w:rPr>
        <w:sz w:val="16"/>
      </w:rPr>
      <w:t>. oldal</w: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45887">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461</w:t>
    </w:r>
    <w:r w:rsidRPr="006B1D78">
      <w:rPr>
        <w:sz w:val="16"/>
        <w:szCs w:val="16"/>
      </w:rPr>
      <w:fldChar w:fldCharType="end"/>
    </w:r>
    <w:r>
      <w:rPr>
        <w:sz w:val="16"/>
      </w:rPr>
      <w:t>. oldal</w: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45887">
    <w:pPr>
      <w:widowControl w:val="0"/>
      <w:pBdr>
        <w:top w:val="single" w:sz="6" w:space="1" w:color="auto"/>
      </w:pBdr>
      <w:tabs>
        <w:tab w:val="right" w:pos="9000"/>
      </w:tabs>
      <w:spacing w:line="240" w:lineRule="atLeast"/>
      <w:rPr>
        <w:sz w:val="16"/>
        <w:szCs w:val="16"/>
      </w:rPr>
    </w:pPr>
    <w:r>
      <w:rPr>
        <w:sz w:val="16"/>
      </w:rPr>
      <w:t>1.1 kiadás – 2014. december</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43</w:t>
    </w:r>
    <w:r w:rsidRPr="006B1D78">
      <w:rPr>
        <w:sz w:val="16"/>
        <w:szCs w:val="16"/>
      </w:rPr>
      <w:fldChar w:fldCharType="end"/>
    </w:r>
    <w:r>
      <w:rPr>
        <w:sz w:val="16"/>
      </w:rPr>
      <w:t>. oldal</w: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D45887">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466</w:t>
    </w:r>
    <w:r w:rsidRPr="006B1D78">
      <w:rPr>
        <w:sz w:val="16"/>
        <w:szCs w:val="16"/>
      </w:rPr>
      <w:fldChar w:fldCharType="end"/>
    </w:r>
    <w:r>
      <w:rPr>
        <w:sz w:val="16"/>
      </w:rPr>
      <w:t>. oldal</w: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6B1D78" w:rsidRDefault="00842442" w:rsidP="00D45887">
    <w:pPr>
      <w:widowControl w:val="0"/>
      <w:pBdr>
        <w:top w:val="single" w:sz="6" w:space="1" w:color="auto"/>
      </w:pBdr>
      <w:tabs>
        <w:tab w:val="right" w:pos="9072"/>
      </w:tabs>
      <w:spacing w:line="240" w:lineRule="atLeast"/>
      <w:rPr>
        <w:sz w:val="16"/>
        <w:szCs w:val="16"/>
      </w:rPr>
    </w:pPr>
    <w:r>
      <w:rPr>
        <w:sz w:val="16"/>
      </w:rPr>
      <w:t>2017/1 kiadás</w:t>
    </w:r>
    <w:r>
      <w:tab/>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3142CA">
      <w:rPr>
        <w:noProof/>
        <w:sz w:val="16"/>
        <w:szCs w:val="16"/>
      </w:rPr>
      <w:t>497</w:t>
    </w:r>
    <w:r w:rsidRPr="006B1D78">
      <w:rPr>
        <w:sz w:val="16"/>
        <w:szCs w:val="16"/>
      </w:rPr>
      <w:fldChar w:fldCharType="end"/>
    </w:r>
    <w:r>
      <w:rPr>
        <w:sz w:val="16"/>
      </w:rPr>
      <w:t>. oldal</w: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B8070E" w:rsidRDefault="00842442" w:rsidP="00EF4E24">
    <w:pPr>
      <w:widowControl w:val="0"/>
      <w:pBdr>
        <w:top w:val="single" w:sz="6" w:space="1" w:color="auto"/>
      </w:pBdr>
      <w:tabs>
        <w:tab w:val="right" w:pos="9000"/>
      </w:tabs>
      <w:spacing w:line="240" w:lineRule="atLeast"/>
      <w:rPr>
        <w:sz w:val="16"/>
        <w:szCs w:val="16"/>
      </w:rPr>
    </w:pPr>
    <w:r>
      <w:rPr>
        <w:sz w:val="16"/>
      </w:rPr>
      <w:t>2017/1 kiadás</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142CA">
      <w:rPr>
        <w:noProof/>
        <w:sz w:val="16"/>
        <w:szCs w:val="16"/>
      </w:rPr>
      <w:t>564</w:t>
    </w:r>
    <w:r w:rsidRPr="006B1D78">
      <w:rPr>
        <w:sz w:val="16"/>
        <w:szCs w:val="16"/>
      </w:rPr>
      <w:fldChar w:fldCharType="end"/>
    </w:r>
    <w:r>
      <w:rPr>
        <w:sz w:val="16"/>
      </w:rPr>
      <w:t>. oldal</w: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6B1D78" w:rsidRDefault="00842442" w:rsidP="00D45887">
    <w:pPr>
      <w:widowControl w:val="0"/>
      <w:pBdr>
        <w:top w:val="single" w:sz="6" w:space="1" w:color="auto"/>
      </w:pBdr>
      <w:tabs>
        <w:tab w:val="right" w:pos="14034"/>
      </w:tabs>
      <w:spacing w:line="240" w:lineRule="atLeast"/>
      <w:rPr>
        <w:sz w:val="16"/>
        <w:szCs w:val="16"/>
      </w:rPr>
    </w:pPr>
    <w:r>
      <w:rPr>
        <w:sz w:val="16"/>
      </w:rPr>
      <w:t>2017/1 kiadás</w:t>
    </w:r>
    <w:r>
      <w:tab/>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3142CA">
      <w:rPr>
        <w:noProof/>
        <w:sz w:val="16"/>
        <w:szCs w:val="16"/>
      </w:rPr>
      <w:t>499</w:t>
    </w:r>
    <w:r w:rsidRPr="006B1D78">
      <w:rPr>
        <w:sz w:val="16"/>
        <w:szCs w:val="16"/>
      </w:rPr>
      <w:fldChar w:fldCharType="end"/>
    </w:r>
    <w:r>
      <w:rPr>
        <w:sz w:val="16"/>
      </w:rPr>
      <w:t>. oldal</w: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6B1D78" w:rsidRDefault="00842442" w:rsidP="00D45887">
    <w:pPr>
      <w:widowControl w:val="0"/>
      <w:pBdr>
        <w:top w:val="single" w:sz="6" w:space="1" w:color="auto"/>
      </w:pBdr>
      <w:tabs>
        <w:tab w:val="right" w:pos="9072"/>
      </w:tabs>
      <w:spacing w:line="240" w:lineRule="atLeast"/>
      <w:rPr>
        <w:sz w:val="16"/>
        <w:szCs w:val="16"/>
      </w:rPr>
    </w:pPr>
    <w:r>
      <w:rPr>
        <w:sz w:val="16"/>
      </w:rPr>
      <w:t>2017/1 kiadás</w:t>
    </w:r>
    <w:r>
      <w:tab/>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3142CA">
      <w:rPr>
        <w:noProof/>
        <w:sz w:val="16"/>
        <w:szCs w:val="16"/>
      </w:rPr>
      <w:t>570</w:t>
    </w:r>
    <w:r w:rsidRPr="006B1D78">
      <w:rPr>
        <w:sz w:val="16"/>
        <w:szCs w:val="16"/>
      </w:rPr>
      <w:fldChar w:fldCharType="end"/>
    </w:r>
    <w:r>
      <w:rPr>
        <w:sz w:val="16"/>
      </w:rPr>
      <w:t>. oldal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2442" w:rsidRDefault="00842442">
      <w:r>
        <w:separator/>
      </w:r>
    </w:p>
  </w:footnote>
  <w:footnote w:type="continuationSeparator" w:id="0">
    <w:p w:rsidR="00842442" w:rsidRDefault="00842442">
      <w:r>
        <w:continuationSeparator/>
      </w:r>
    </w:p>
  </w:footnote>
  <w:footnote w:id="1">
    <w:p w:rsidR="00842442" w:rsidRPr="00EB1C21" w:rsidRDefault="00842442" w:rsidP="00881510">
      <w:pPr>
        <w:pStyle w:val="FootnoteText"/>
        <w:ind w:left="284" w:hanging="284"/>
        <w:rPr>
          <w:sz w:val="16"/>
          <w:szCs w:val="16"/>
          <w:lang w:val="en-US"/>
        </w:rPr>
      </w:pPr>
      <w:r>
        <w:rPr>
          <w:rStyle w:val="FootnoteReference"/>
          <w:sz w:val="16"/>
        </w:rPr>
        <w:footnoteRef/>
      </w:r>
      <w:r>
        <w:rPr>
          <w:sz w:val="16"/>
        </w:rPr>
        <w:t xml:space="preserve"> </w:t>
      </w:r>
      <w:r>
        <w:tab/>
      </w:r>
      <w:r>
        <w:rPr>
          <w:sz w:val="16"/>
        </w:rPr>
        <w:t>A 2010. december 3-án elfogadott MSC.307(88) határozat – A tűzállósági vizsgálati eljárások alkalmazására vonatkozó nemzetközi szabályzat.</w:t>
      </w:r>
    </w:p>
  </w:footnote>
  <w:footnote w:id="2">
    <w:p w:rsidR="00842442" w:rsidRPr="00FA4437" w:rsidRDefault="00842442" w:rsidP="00881510">
      <w:pPr>
        <w:pStyle w:val="FootnoteText"/>
        <w:spacing w:before="2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A hajó-helyzetmegállapító és -nyomonkövető rendszerekre vonatkozó belvízi hajózási szabvány (Vessel Tracking and Tracing Standard for Inland Navigation standard), 1.2 kiadás; a 2013. május 29-i 2013-I-23 CCNR-határozat.</w:t>
      </w:r>
    </w:p>
  </w:footnote>
  <w:footnote w:id="3">
    <w:p w:rsidR="00842442" w:rsidRPr="00FA4437" w:rsidRDefault="00842442" w:rsidP="00881510">
      <w:pPr>
        <w:pStyle w:val="FootnoteText"/>
        <w:spacing w:before="20" w:line="220" w:lineRule="atLeast"/>
        <w:ind w:left="284" w:hanging="284"/>
        <w:rPr>
          <w:sz w:val="16"/>
          <w:szCs w:val="16"/>
          <w:lang w:val="en-US"/>
        </w:rPr>
      </w:pPr>
      <w:r>
        <w:rPr>
          <w:rStyle w:val="FootnoteReference"/>
          <w:sz w:val="16"/>
        </w:rPr>
        <w:footnoteRef/>
      </w:r>
      <w:r>
        <w:rPr>
          <w:sz w:val="16"/>
          <w:vertAlign w:val="superscript"/>
        </w:rPr>
        <w:t xml:space="preserve"> </w:t>
      </w:r>
      <w:r>
        <w:tab/>
      </w:r>
      <w:r>
        <w:rPr>
          <w:sz w:val="16"/>
        </w:rPr>
        <w:t>A Bizottság 689/2012/EU végrehajtási rendelete (2012. július 27.) a közösségi belvízi közlekedésre vonatkozó harmonizált folyami információs szolgáltatásokról (RIS) szóló 2005/44/EK európai parlamenti és tanácsi irányelv 5. cikkében meghatározott hajó-helyzetmegállapító és -nyomonkövető rendszerekre vonatkozó műszaki előírásokról szóló 415/2007/EK bizottsági rendelet módosításáról (HL L 202., 2012.7.28.).</w:t>
      </w:r>
    </w:p>
  </w:footnote>
  <w:footnote w:id="4">
    <w:p w:rsidR="00842442" w:rsidRPr="00FA4437" w:rsidRDefault="00842442" w:rsidP="00881510">
      <w:pPr>
        <w:pStyle w:val="FootnoteText"/>
        <w:spacing w:before="2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Belvízi elektronikus térképmegjelenítő és információs rendszer (belvízi ECDIS), 2.3 kiadás; a 2012. november 29-i 2012-II-20 CCNR-határozat.</w:t>
      </w:r>
    </w:p>
  </w:footnote>
  <w:footnote w:id="5">
    <w:p w:rsidR="00842442" w:rsidRPr="00FA4437" w:rsidRDefault="00842442" w:rsidP="00881510">
      <w:pPr>
        <w:pStyle w:val="FootnoteText"/>
        <w:spacing w:before="4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A Bizottság 909/2013/EU végrehajtási rendelete (2013. szeptember 10.) a 2005/44/EK európai parlamenti és tanácsi irányelvben említett, a belvízi közlekedésben alkalmazott elektronikus térkép-megjelenítő és információs rendszerre (a belvízi közlekedésben alkalmazott ECDIS) vonatkozó műszaki előírásokról (HL L 258., 2013.9.28.).</w:t>
      </w:r>
    </w:p>
  </w:footnote>
  <w:footnote w:id="6">
    <w:p w:rsidR="00842442" w:rsidRPr="00EB1C21" w:rsidRDefault="00842442" w:rsidP="00FA4437">
      <w:pPr>
        <w:pStyle w:val="FootnoteText"/>
        <w:spacing w:before="40" w:line="220" w:lineRule="atLeast"/>
        <w:ind w:left="284" w:hanging="284"/>
        <w:rPr>
          <w:rFonts w:cs="Arial"/>
          <w:sz w:val="16"/>
          <w:szCs w:val="16"/>
          <w:highlight w:val="lightGray"/>
          <w:lang w:val="en-US"/>
        </w:rPr>
      </w:pPr>
      <w:r>
        <w:rPr>
          <w:rStyle w:val="FootnoteReference"/>
          <w:sz w:val="16"/>
        </w:rPr>
        <w:footnoteRef/>
      </w:r>
      <w:r>
        <w:rPr>
          <w:sz w:val="16"/>
          <w:vertAlign w:val="superscript"/>
        </w:rPr>
        <w:t xml:space="preserve"> </w:t>
      </w:r>
      <w:r>
        <w:tab/>
      </w:r>
      <w:r>
        <w:rPr>
          <w:sz w:val="16"/>
        </w:rPr>
        <w:t>A belvízi AIS-berendezésekre vonatkozó vizsgálati szabvány (Inland AIS Test Standard), 2.0 kiadás; a 2017. július 6-i 2017-II-2 CESNI-határozat.</w:t>
      </w:r>
    </w:p>
  </w:footnote>
  <w:footnote w:id="7">
    <w:p w:rsidR="00842442" w:rsidRPr="00664236" w:rsidRDefault="00842442" w:rsidP="00DD67C0">
      <w:pPr>
        <w:pStyle w:val="FootnoteText"/>
        <w:spacing w:before="40"/>
        <w:ind w:left="284" w:hanging="284"/>
        <w:rPr>
          <w:rFonts w:cs="Arial"/>
          <w:sz w:val="16"/>
          <w:szCs w:val="16"/>
          <w:lang w:val="en-US"/>
        </w:rPr>
      </w:pPr>
      <w:r>
        <w:rPr>
          <w:rStyle w:val="FootnoteReference"/>
          <w:sz w:val="16"/>
        </w:rPr>
        <w:footnoteRef/>
      </w:r>
      <w:r>
        <w:rPr>
          <w:sz w:val="16"/>
        </w:rPr>
        <w:t xml:space="preserve"> </w:t>
      </w:r>
      <w:r>
        <w:tab/>
      </w:r>
      <w:r>
        <w:rPr>
          <w:sz w:val="16"/>
        </w:rPr>
        <w:t>Az Európai Parlament és a Tanács 2014/90/EU irányelve (2014. július 23.) a tengerészeti felszerelésekről és a 96/98/EK tanácsi irányelv hatályon kívül helyezéséről (HL L 257., 2014.8.28.).</w:t>
      </w:r>
    </w:p>
  </w:footnote>
  <w:footnote w:id="8">
    <w:p w:rsidR="00842442" w:rsidRPr="002B6B2C" w:rsidRDefault="00842442" w:rsidP="002B6B2C">
      <w:pPr>
        <w:pStyle w:val="FootnoteText"/>
        <w:ind w:left="284" w:hanging="284"/>
        <w:rPr>
          <w:lang w:val="en-US"/>
        </w:rPr>
      </w:pPr>
      <w:r>
        <w:rPr>
          <w:rStyle w:val="FootnoteReference"/>
        </w:rPr>
        <w:footnoteRef/>
      </w:r>
      <w:r>
        <w:tab/>
      </w:r>
      <w:hyperlink r:id="rId1">
        <w:r>
          <w:rPr>
            <w:color w:val="000000"/>
            <w:sz w:val="16"/>
          </w:rPr>
          <w:t>Az Európai Parlament és a Tanács (EU) 2016/1628 rendelete (2016. szeptember 14.) a nem közúti mozgó gépek belső égésű motorjainak a gáz- és szilárd halmazállapotú szennyezőanyag-kibocsátási határértékeire és típusjóváhagyására vonatkozó követelményekről, az 1024/2012/EU és a 167/2013/EU rendelet módosításáról, valamint a 97/68/EK irányelv módosításáról és hatályon kívül helyezéséről</w:t>
        </w:r>
      </w:hyperlink>
      <w:r>
        <w:rPr>
          <w:color w:val="444444"/>
          <w:sz w:val="16"/>
        </w:rPr>
        <w:t xml:space="preserve"> </w:t>
      </w:r>
      <w:r>
        <w:rPr>
          <w:sz w:val="16"/>
        </w:rPr>
        <w:t>(HL L 252., 2016.9.16.).</w:t>
      </w:r>
    </w:p>
  </w:footnote>
  <w:footnote w:id="9">
    <w:p w:rsidR="00842442" w:rsidRPr="000E1F46" w:rsidRDefault="00842442" w:rsidP="000E1F46">
      <w:pPr>
        <w:pStyle w:val="FootnoteText"/>
        <w:ind w:left="284" w:hanging="284"/>
        <w:rPr>
          <w:lang w:val="en-US"/>
        </w:rPr>
      </w:pPr>
      <w:r>
        <w:rPr>
          <w:rStyle w:val="FootnoteReference"/>
        </w:rPr>
        <w:footnoteRef/>
      </w:r>
      <w:r>
        <w:t xml:space="preserve"> </w:t>
      </w:r>
      <w:r>
        <w:tab/>
      </w:r>
      <w:r>
        <w:rPr>
          <w:sz w:val="16"/>
        </w:rPr>
        <w:t>Az 1995. november 23-án elfogadott A.800 (19) sz. IMO-határozat – Felülvizsgált iránymutatás a SOLAS-egyezmény II-2. fejezetének 12. előírásában említettekkel egyenértékű, vízpermettel oltó berendezések jóváhagyásához.</w:t>
      </w:r>
    </w:p>
  </w:footnote>
  <w:footnote w:id="10">
    <w:p w:rsidR="00842442" w:rsidRPr="00712DDD" w:rsidRDefault="00842442" w:rsidP="00C44D3C">
      <w:pPr>
        <w:pStyle w:val="FootnoteText"/>
        <w:ind w:left="284" w:hanging="284"/>
        <w:rPr>
          <w:rFonts w:cs="Arial"/>
          <w:sz w:val="16"/>
          <w:szCs w:val="16"/>
          <w:lang w:val="en-US"/>
        </w:rPr>
      </w:pPr>
      <w:r>
        <w:rPr>
          <w:rStyle w:val="FootnoteReference"/>
          <w:sz w:val="16"/>
        </w:rPr>
        <w:footnoteRef/>
      </w:r>
      <w:r>
        <w:rPr>
          <w:sz w:val="16"/>
        </w:rPr>
        <w:t xml:space="preserve"> </w:t>
      </w:r>
      <w:r>
        <w:tab/>
      </w:r>
      <w:r>
        <w:rPr>
          <w:sz w:val="16"/>
        </w:rPr>
        <w:t>A 2005. június 10-én elfogadott és az MSC/Circ. 1269, MSC/Circ. 1386 és MSC/Circ. 1385 sz. körlevél által módosított MSC/Circ. 1165 sz. körlevél – Felülvizsgált iránymutatás a gépterek és rakományszivattyú-terek egyenértékű vízalapú tűzoltó rendszereinek jóváhagyásáról.</w:t>
      </w:r>
    </w:p>
  </w:footnote>
  <w:footnote w:id="11">
    <w:p w:rsidR="00842442" w:rsidRPr="000E1F46" w:rsidRDefault="00842442" w:rsidP="005624E3">
      <w:pPr>
        <w:pStyle w:val="FootnoteText"/>
        <w:ind w:left="284" w:hanging="284"/>
        <w:rPr>
          <w:lang w:val="en-US"/>
        </w:rPr>
      </w:pPr>
      <w:r>
        <w:rPr>
          <w:rStyle w:val="FootnoteReference"/>
        </w:rPr>
        <w:footnoteRef/>
      </w:r>
      <w:r>
        <w:t xml:space="preserve"> </w:t>
      </w:r>
      <w:r>
        <w:tab/>
      </w:r>
      <w:r>
        <w:rPr>
          <w:sz w:val="16"/>
        </w:rPr>
        <w:t>Az 1973. november 20-án elfogadott A.266 (VIII) sz. IMO-határozat – Ajánlás a személyhajók aszimmetrikus elárasztását csökkentő átfolyókkal kapcsolatos követelményeknek való megfelelés megállapítására szolgáló standard módszerről.</w:t>
      </w:r>
    </w:p>
  </w:footnote>
  <w:footnote w:id="12">
    <w:p w:rsidR="00842442" w:rsidRPr="00101CB2" w:rsidRDefault="00842442" w:rsidP="005624E3">
      <w:pPr>
        <w:pStyle w:val="FootnoteText"/>
        <w:ind w:left="284" w:hanging="284"/>
        <w:rPr>
          <w:sz w:val="16"/>
          <w:szCs w:val="16"/>
          <w:lang w:val="en-US"/>
        </w:rPr>
      </w:pPr>
      <w:r>
        <w:rPr>
          <w:rStyle w:val="FootnoteReference"/>
          <w:sz w:val="16"/>
        </w:rPr>
        <w:footnoteRef/>
      </w:r>
      <w:r>
        <w:tab/>
      </w:r>
      <w:r>
        <w:rPr>
          <w:sz w:val="16"/>
        </w:rPr>
        <w:t>A keresztrúd és a fedélzet közötti távolság.</w:t>
      </w:r>
    </w:p>
  </w:footnote>
  <w:footnote w:id="13">
    <w:p w:rsidR="00842442" w:rsidRPr="000323C7" w:rsidRDefault="00842442" w:rsidP="005624E3">
      <w:pPr>
        <w:pStyle w:val="FootnoteText"/>
        <w:ind w:left="284" w:hanging="284"/>
        <w:rPr>
          <w:lang w:val="en-US"/>
        </w:rPr>
      </w:pPr>
      <w:r>
        <w:rPr>
          <w:rStyle w:val="FootnoteReference"/>
          <w:sz w:val="16"/>
        </w:rPr>
        <w:footnoteRef/>
      </w:r>
      <w:r>
        <w:t xml:space="preserve"> </w:t>
      </w:r>
      <w:r>
        <w:tab/>
      </w:r>
      <w:r>
        <w:rPr>
          <w:sz w:val="16"/>
        </w:rPr>
        <w:t>Az árbócsudár teljes hossza az árbóccsúcs nélkül.</w:t>
      </w:r>
    </w:p>
  </w:footnote>
  <w:footnote w:id="14">
    <w:p w:rsidR="00842442" w:rsidRPr="00101CB2" w:rsidRDefault="00842442" w:rsidP="005624E3">
      <w:pPr>
        <w:pStyle w:val="FootnoteText"/>
        <w:ind w:left="284" w:hanging="284"/>
        <w:rPr>
          <w:sz w:val="16"/>
          <w:szCs w:val="16"/>
          <w:lang w:val="en-US"/>
        </w:rPr>
      </w:pPr>
      <w:r>
        <w:rPr>
          <w:rStyle w:val="FootnoteReference"/>
          <w:sz w:val="16"/>
        </w:rPr>
        <w:footnoteRef/>
      </w:r>
      <w:r>
        <w:tab/>
      </w:r>
      <w:r>
        <w:rPr>
          <w:sz w:val="16"/>
        </w:rPr>
        <w:t>Az árbócsudár átmérője az árbóccsúcsszereléknél.</w:t>
      </w:r>
    </w:p>
  </w:footnote>
  <w:footnote w:id="15">
    <w:p w:rsidR="00842442" w:rsidRPr="00101CB2" w:rsidRDefault="00842442" w:rsidP="005624E3">
      <w:pPr>
        <w:pStyle w:val="FootnoteText"/>
        <w:ind w:left="284" w:hanging="284"/>
        <w:rPr>
          <w:sz w:val="16"/>
          <w:szCs w:val="16"/>
          <w:lang w:val="en-US"/>
        </w:rPr>
      </w:pPr>
      <w:r>
        <w:rPr>
          <w:rStyle w:val="FootnoteReference"/>
          <w:sz w:val="16"/>
        </w:rPr>
        <w:footnoteRef/>
      </w:r>
      <w:r>
        <w:tab/>
      </w:r>
      <w:r>
        <w:rPr>
          <w:sz w:val="16"/>
        </w:rPr>
        <w:t>Az orrárbóc teljes hosszúsága.</w:t>
      </w:r>
    </w:p>
  </w:footnote>
  <w:footnote w:id="16">
    <w:p w:rsidR="00842442" w:rsidRPr="00101CB2" w:rsidRDefault="00842442" w:rsidP="005624E3">
      <w:pPr>
        <w:pStyle w:val="FootnoteText"/>
        <w:ind w:left="284" w:hanging="284"/>
        <w:rPr>
          <w:sz w:val="16"/>
          <w:szCs w:val="16"/>
          <w:lang w:val="en-US"/>
        </w:rPr>
      </w:pPr>
      <w:r>
        <w:rPr>
          <w:rStyle w:val="FootnoteReference"/>
          <w:sz w:val="16"/>
        </w:rPr>
        <w:footnoteRef/>
      </w:r>
      <w:r>
        <w:tab/>
      </w:r>
      <w:r>
        <w:rPr>
          <w:sz w:val="16"/>
        </w:rPr>
        <w:t>Az orrvitorlarúd teljes hosszúsága.</w:t>
      </w:r>
    </w:p>
  </w:footnote>
  <w:footnote w:id="17">
    <w:p w:rsidR="00842442" w:rsidRPr="00101CB2" w:rsidRDefault="00842442" w:rsidP="005624E3">
      <w:pPr>
        <w:pStyle w:val="FootnoteText"/>
        <w:ind w:left="284" w:hanging="284"/>
        <w:rPr>
          <w:sz w:val="16"/>
          <w:szCs w:val="16"/>
          <w:lang w:val="en-US"/>
        </w:rPr>
      </w:pPr>
      <w:r>
        <w:rPr>
          <w:rStyle w:val="FootnoteReference"/>
          <w:sz w:val="16"/>
        </w:rPr>
        <w:footnoteRef/>
      </w:r>
      <w:r>
        <w:tab/>
      </w:r>
      <w:r>
        <w:rPr>
          <w:sz w:val="16"/>
        </w:rPr>
        <w:t>A fővitorla-keresztrúd teljes hosszúsága.</w:t>
      </w:r>
    </w:p>
  </w:footnote>
  <w:footnote w:id="18">
    <w:p w:rsidR="00842442" w:rsidRPr="00101CB2" w:rsidRDefault="00842442" w:rsidP="005624E3">
      <w:pPr>
        <w:pStyle w:val="FootnoteText"/>
        <w:ind w:left="284" w:hanging="284"/>
        <w:rPr>
          <w:sz w:val="16"/>
          <w:szCs w:val="16"/>
          <w:lang w:val="en-US"/>
        </w:rPr>
      </w:pPr>
      <w:r>
        <w:rPr>
          <w:rStyle w:val="FootnoteReference"/>
          <w:sz w:val="16"/>
        </w:rPr>
        <w:footnoteRef/>
      </w:r>
      <w:r>
        <w:tab/>
      </w:r>
      <w:r>
        <w:rPr>
          <w:sz w:val="16"/>
        </w:rPr>
        <w:t>A gaff teljes hosszúsága.</w:t>
      </w:r>
    </w:p>
  </w:footnote>
  <w:footnote w:id="19">
    <w:p w:rsidR="00842442" w:rsidRPr="00101CB2" w:rsidRDefault="00842442" w:rsidP="005624E3">
      <w:pPr>
        <w:pStyle w:val="FootnoteText"/>
        <w:ind w:left="284" w:hanging="284"/>
        <w:rPr>
          <w:sz w:val="16"/>
          <w:szCs w:val="16"/>
          <w:lang w:val="en-US"/>
        </w:rPr>
      </w:pPr>
      <w:r>
        <w:rPr>
          <w:rStyle w:val="FootnoteReference"/>
          <w:sz w:val="16"/>
        </w:rPr>
        <w:footnoteRef/>
      </w:r>
      <w:r>
        <w:tab/>
      </w:r>
      <w:r>
        <w:rPr>
          <w:sz w:val="16"/>
        </w:rPr>
        <w:t>A csúcs vagy a keresztrúd és a fedélzet közötti távolság.</w:t>
      </w:r>
    </w:p>
  </w:footnote>
  <w:footnote w:id="20">
    <w:p w:rsidR="00842442" w:rsidRPr="00101CB2" w:rsidRDefault="00842442" w:rsidP="005624E3">
      <w:pPr>
        <w:pStyle w:val="FootnoteText"/>
        <w:ind w:left="284" w:hanging="284"/>
        <w:rPr>
          <w:sz w:val="16"/>
          <w:szCs w:val="16"/>
          <w:lang w:val="en-US"/>
        </w:rPr>
      </w:pPr>
      <w:r>
        <w:rPr>
          <w:rStyle w:val="FootnoteReference"/>
          <w:sz w:val="16"/>
        </w:rPr>
        <w:footnoteRef/>
      </w:r>
      <w:r>
        <w:tab/>
      </w:r>
      <w:r>
        <w:rPr>
          <w:sz w:val="16"/>
        </w:rPr>
        <w:t>A csúcs vagy a keresztrúd és a fedélzet közötti távolság.</w:t>
      </w:r>
    </w:p>
  </w:footnote>
  <w:footnote w:id="21">
    <w:p w:rsidR="00842442" w:rsidRPr="00254134" w:rsidRDefault="00842442" w:rsidP="005624E3">
      <w:pPr>
        <w:pStyle w:val="FootnoteText"/>
        <w:ind w:left="284" w:hanging="284"/>
        <w:rPr>
          <w:sz w:val="16"/>
          <w:szCs w:val="16"/>
          <w:lang w:val="en-US"/>
        </w:rPr>
      </w:pPr>
      <w:r>
        <w:rPr>
          <w:rStyle w:val="FootnoteReference"/>
          <w:sz w:val="16"/>
        </w:rPr>
        <w:footnoteRef/>
      </w:r>
      <w:r>
        <w:tab/>
      </w:r>
      <w:r>
        <w:rPr>
          <w:sz w:val="16"/>
        </w:rPr>
        <w:t>Az Európai Parlament és a Tanács 2006/42/EK irányelve (2006. május 17.) a gépekről és a 95/16/EK irányelv módosításáról (HL L 157., 2006.6.9.).</w:t>
      </w:r>
    </w:p>
  </w:footnote>
  <w:footnote w:id="22">
    <w:p w:rsidR="00842442" w:rsidRPr="00A867CE" w:rsidRDefault="00842442" w:rsidP="005624E3">
      <w:pPr>
        <w:pStyle w:val="FootnoteText"/>
        <w:ind w:left="284" w:hanging="284"/>
        <w:rPr>
          <w:sz w:val="16"/>
          <w:szCs w:val="16"/>
          <w:lang w:val="en-US"/>
        </w:rPr>
      </w:pPr>
      <w:r>
        <w:rPr>
          <w:rStyle w:val="FootnoteReference"/>
        </w:rPr>
        <w:footnoteRef/>
      </w:r>
      <w:r>
        <w:t xml:space="preserve"> </w:t>
      </w:r>
      <w:r>
        <w:tab/>
      </w:r>
      <w:r>
        <w:rPr>
          <w:sz w:val="16"/>
        </w:rPr>
        <w:t>Az Európai Parlament és a Tanács 2013/53/EU irányelve (2013. november 20.) a kedvtelési célú vízi járművekről és a motoros vízi sporteszközökről, valamint a 94/25/EK irányelv hatályon kívül helyezéséről (HL L 354., 2013.12.28.).</w:t>
      </w:r>
    </w:p>
  </w:footnote>
  <w:footnote w:id="23">
    <w:p w:rsidR="00842442" w:rsidRPr="0007393A" w:rsidRDefault="00842442" w:rsidP="005624E3">
      <w:pPr>
        <w:pStyle w:val="FootnoteText"/>
        <w:ind w:left="284" w:hanging="284"/>
        <w:rPr>
          <w:sz w:val="16"/>
          <w:szCs w:val="16"/>
          <w:lang w:val="en-US"/>
        </w:rPr>
      </w:pPr>
      <w:r>
        <w:rPr>
          <w:rStyle w:val="FootnoteReference"/>
        </w:rPr>
        <w:t>*</w:t>
      </w:r>
      <w:r>
        <w:t xml:space="preserve"> </w:t>
      </w:r>
      <w:r>
        <w:tab/>
      </w:r>
      <w:r>
        <w:rPr>
          <w:sz w:val="16"/>
        </w:rPr>
        <w:t>A víz hatásának kitett, szabad felületeket biztosító rakománytérrészek a független részeket alkotó hosszanti és/vagy keresztirányú vízmentes rekeszekből származnak.</w:t>
      </w:r>
    </w:p>
  </w:footnote>
  <w:footnote w:id="24">
    <w:p w:rsidR="00842442" w:rsidRPr="000E1F46" w:rsidRDefault="00842442" w:rsidP="005624E3">
      <w:pPr>
        <w:pStyle w:val="FootnoteText"/>
        <w:ind w:left="284" w:hanging="284"/>
        <w:rPr>
          <w:lang w:val="en-US"/>
        </w:rPr>
      </w:pPr>
      <w:r>
        <w:rPr>
          <w:rStyle w:val="FootnoteReference"/>
        </w:rPr>
        <w:footnoteRef/>
      </w:r>
      <w:r>
        <w:t xml:space="preserve"> </w:t>
      </w:r>
      <w:r>
        <w:tab/>
      </w:r>
      <w:r>
        <w:rPr>
          <w:sz w:val="16"/>
        </w:rPr>
        <w:t>A 2008. december 4-én elfogadott MSC.267(85) határozat – A sérülés nélküli stabilitásra vonatkozó nemzetközi szabályzat.</w:t>
      </w:r>
    </w:p>
  </w:footnote>
  <w:footnote w:id="25">
    <w:p w:rsidR="00842442" w:rsidRPr="00F40BDA" w:rsidRDefault="00842442" w:rsidP="005624E3">
      <w:pPr>
        <w:pStyle w:val="FootnoteText"/>
        <w:spacing w:before="20"/>
        <w:ind w:left="284" w:hanging="284"/>
        <w:rPr>
          <w:rFonts w:cs="Arial"/>
          <w:sz w:val="16"/>
          <w:szCs w:val="16"/>
          <w:lang w:val="en-US"/>
        </w:rPr>
      </w:pPr>
      <w:r>
        <w:rPr>
          <w:rStyle w:val="FootnoteReference"/>
        </w:rPr>
        <w:footnoteRef/>
      </w:r>
      <w:r>
        <w:t xml:space="preserve"> </w:t>
      </w:r>
      <w:r>
        <w:tab/>
      </w:r>
      <w:r>
        <w:rPr>
          <w:sz w:val="16"/>
        </w:rPr>
        <w:t>Az Európai Parlament és a Tanács 2006/87/EK irányelve (2006. december 12.) a belvízi hajókra vonatkozó műszaki követelmények megállapításáról és a 82/714/EGK tanácsi irányelv hatályon kívül helyezéséről (HL L 389., 2006.12.30.).</w:t>
      </w:r>
    </w:p>
  </w:footnote>
  <w:footnote w:id="26">
    <w:p w:rsidR="00842442" w:rsidRPr="005624E3" w:rsidRDefault="00842442" w:rsidP="005624E3">
      <w:pPr>
        <w:pStyle w:val="FootnoteText"/>
        <w:spacing w:before="40"/>
        <w:ind w:left="284" w:hanging="284"/>
        <w:rPr>
          <w:rFonts w:cs="Arial"/>
          <w:sz w:val="16"/>
          <w:szCs w:val="16"/>
        </w:rPr>
      </w:pPr>
      <w:r>
        <w:rPr>
          <w:rStyle w:val="FootnoteReference"/>
          <w:sz w:val="16"/>
        </w:rPr>
        <w:footnoteRef/>
      </w:r>
      <w:r>
        <w:rPr>
          <w:sz w:val="16"/>
        </w:rPr>
        <w:t xml:space="preserve"> </w:t>
      </w:r>
      <w:r>
        <w:tab/>
      </w:r>
      <w:r>
        <w:rPr>
          <w:sz w:val="16"/>
        </w:rPr>
        <w:t>A 8.10. cikk 3. bekezdésére vonatkozó átmeneti rendelkezés ideiglenes követelmény, mely 2019. december 31-ig alkalmazandó. 2014. december 1-jéig a következő átmeneti rendelkezés volt hatályban: „</w:t>
      </w:r>
      <w:r>
        <w:rPr>
          <w:i/>
          <w:sz w:val="16"/>
        </w:rPr>
        <w:t>8.10. cikk 3. bekezdés / 65 dB(A) zajkibocsátási határérték álló hajóknál / N.R.C., legkésőbb a belvízi hajóbizonyítvány megújításakor e dátumot követően: 2015.01.01.</w:t>
      </w:r>
      <w:r>
        <w:rPr>
          <w:sz w:val="16"/>
        </w:rPr>
        <w:t>”</w:t>
      </w:r>
    </w:p>
  </w:footnote>
  <w:footnote w:id="27">
    <w:p w:rsidR="00842442" w:rsidRPr="005624E3" w:rsidRDefault="00842442" w:rsidP="005624E3">
      <w:pPr>
        <w:pStyle w:val="FootnoteText"/>
        <w:spacing w:before="40"/>
        <w:ind w:left="284" w:hanging="284"/>
      </w:pPr>
      <w:r>
        <w:rPr>
          <w:rStyle w:val="FootnoteReference"/>
          <w:sz w:val="16"/>
        </w:rPr>
        <w:footnoteRef/>
      </w:r>
      <w:r>
        <w:rPr>
          <w:sz w:val="16"/>
        </w:rPr>
        <w:t xml:space="preserve"> </w:t>
      </w:r>
      <w:r>
        <w:tab/>
      </w:r>
      <w:r>
        <w:rPr>
          <w:sz w:val="16"/>
        </w:rPr>
        <w:t>A 13.07. cikkre vonatkozó átmeneti rendelkezés ideiglenes követelmény, mely 2019. december 31-ig alkalmazandó. 2014. december 1-jéig a következő átmeneti rendelkezés volt hatályban: „</w:t>
      </w:r>
      <w:r>
        <w:rPr>
          <w:i/>
          <w:sz w:val="16"/>
        </w:rPr>
        <w:t>13.07. cikk / Az európai szabvány alkalmazása a szolgálati csónakra / N.R.C., legkésőbb a belvízi hajóbizonyítvány megújításakor e dátumot követően: 2015.01.01.</w:t>
      </w:r>
      <w:r>
        <w:rPr>
          <w:sz w:val="16"/>
        </w:rPr>
        <w:t>”</w:t>
      </w:r>
    </w:p>
  </w:footnote>
  <w:footnote w:id="28">
    <w:p w:rsidR="00842442" w:rsidRPr="005624E3" w:rsidRDefault="00842442" w:rsidP="005624E3">
      <w:pPr>
        <w:pStyle w:val="FootnoteText"/>
        <w:ind w:left="284" w:hanging="284"/>
        <w:rPr>
          <w:sz w:val="16"/>
          <w:szCs w:val="16"/>
        </w:rPr>
      </w:pPr>
      <w:r>
        <w:rPr>
          <w:rStyle w:val="FootnoteReference"/>
        </w:rPr>
        <w:footnoteRef/>
      </w:r>
      <w:r>
        <w:t xml:space="preserve"> </w:t>
      </w:r>
      <w:r>
        <w:tab/>
      </w:r>
      <w:r>
        <w:rPr>
          <w:sz w:val="16"/>
        </w:rPr>
        <w:t>Azonban legkésőbb a belvízi hajóbizonyítvány 2015. január 1-jét követő megújításakor a vízi járműveknek meg kell felelniük a következő követelményeknek:</w:t>
      </w:r>
    </w:p>
    <w:p w:rsidR="00842442" w:rsidRPr="005624E3" w:rsidRDefault="00842442" w:rsidP="005624E3">
      <w:pPr>
        <w:pStyle w:val="FootnoteText"/>
        <w:spacing w:before="40"/>
        <w:ind w:left="568" w:hanging="284"/>
        <w:rPr>
          <w:rFonts w:cs="Arial"/>
          <w:sz w:val="16"/>
          <w:szCs w:val="16"/>
        </w:rPr>
      </w:pPr>
      <w:r>
        <w:rPr>
          <w:sz w:val="16"/>
        </w:rPr>
        <w:t>–</w:t>
      </w:r>
      <w:r>
        <w:tab/>
      </w:r>
      <w:r>
        <w:rPr>
          <w:sz w:val="16"/>
        </w:rPr>
        <w:t xml:space="preserve">A fedélzetek és oldalfedélzetek külső peremét és az olyan munkaállomásokat, ahol több mint 1 m-ről le lehet esni, legalább 0,70 m magas mellvéddel vagy nyíláskerettel, vagy az EN 711:1995 európai szabványnak megfelelő védőkorláttal kell felszerelni, amely magában foglal egy kapaszkodót, egy térdmagasságban lévő közbülső korlátot és egy lábvédő korlátot. </w:t>
      </w:r>
    </w:p>
    <w:p w:rsidR="00842442" w:rsidRPr="005624E3" w:rsidRDefault="00842442" w:rsidP="005624E3">
      <w:pPr>
        <w:pStyle w:val="FootnoteText"/>
        <w:spacing w:before="40"/>
        <w:ind w:left="568" w:hanging="284"/>
        <w:rPr>
          <w:rFonts w:cs="Arial"/>
          <w:sz w:val="16"/>
          <w:szCs w:val="16"/>
        </w:rPr>
      </w:pPr>
      <w:r>
        <w:rPr>
          <w:sz w:val="16"/>
        </w:rPr>
        <w:t>–</w:t>
      </w:r>
      <w:r>
        <w:tab/>
      </w:r>
      <w:r>
        <w:rPr>
          <w:sz w:val="16"/>
        </w:rPr>
        <w:t>Az oldalfedélzeteket lábvédő korláttal és a nyíláskerethez rögzített folyamatos kapaszkodóval kell ellátni. Nincs szükség a nyíláskeret kapaszkodójára, ha az oldalfedélzeteket nem behúzható oldalsó védőkorláttal szerelték fel.</w:t>
      </w:r>
    </w:p>
  </w:footnote>
  <w:footnote w:id="29">
    <w:p w:rsidR="00842442" w:rsidRPr="005624E3" w:rsidRDefault="00842442" w:rsidP="005624E3">
      <w:pPr>
        <w:pStyle w:val="FootnoteText"/>
        <w:ind w:left="284" w:hanging="284"/>
        <w:rPr>
          <w:rFonts w:cs="Arial"/>
          <w:sz w:val="16"/>
          <w:szCs w:val="16"/>
        </w:rPr>
      </w:pPr>
      <w:r>
        <w:rPr>
          <w:rStyle w:val="FootnoteReference"/>
        </w:rPr>
        <w:footnoteRef/>
      </w:r>
      <w:r>
        <w:tab/>
      </w:r>
      <w:r>
        <w:rPr>
          <w:sz w:val="16"/>
        </w:rPr>
        <w:t>Azon vízi járművekre, amelyek gerincfektetése 1994. december 31. után történt, és az üzemelő vízi járművekre ez a követelmény a következő feltételekkel alkalmazandó:</w:t>
      </w:r>
    </w:p>
    <w:p w:rsidR="00842442" w:rsidRPr="005624E3" w:rsidRDefault="00842442" w:rsidP="005624E3">
      <w:pPr>
        <w:pStyle w:val="FootnoteText"/>
        <w:spacing w:before="40"/>
        <w:ind w:left="284"/>
        <w:rPr>
          <w:rFonts w:cs="Arial"/>
          <w:sz w:val="16"/>
          <w:szCs w:val="16"/>
        </w:rPr>
      </w:pPr>
      <w:r>
        <w:rPr>
          <w:sz w:val="16"/>
        </w:rPr>
        <w:t>Amennyiben a teljes rakományteret lecserélik, teljesülniük kell a 14.04. cikk bekezdésében foglalt követelményeknek. Olyan átalakítások esetén, amelyek érintik az oldalfedélzet teljes hosszát és módosítják az oldalfedélzet szabad szélességét,</w:t>
      </w:r>
    </w:p>
    <w:p w:rsidR="00842442" w:rsidRPr="005624E3" w:rsidRDefault="00842442" w:rsidP="005624E3">
      <w:pPr>
        <w:pStyle w:val="FootnoteText"/>
        <w:tabs>
          <w:tab w:val="left" w:pos="567"/>
        </w:tabs>
        <w:spacing w:before="40"/>
        <w:ind w:left="567" w:hanging="283"/>
        <w:rPr>
          <w:rFonts w:cs="Arial"/>
          <w:sz w:val="16"/>
          <w:szCs w:val="16"/>
        </w:rPr>
      </w:pPr>
      <w:r>
        <w:rPr>
          <w:sz w:val="16"/>
        </w:rPr>
        <w:t>a)</w:t>
      </w:r>
      <w:r>
        <w:tab/>
      </w:r>
      <w:r>
        <w:rPr>
          <w:sz w:val="16"/>
        </w:rPr>
        <w:t>teljesülniük kell a 14.04. cikkben foglalt követelményeknek, ha az oldalfedélzet felett mért 0,90 m-es magasságig az oldalfedélzet (átalakítás előtt meglévő) szabad szélességét csökkenteni kell;</w:t>
      </w:r>
    </w:p>
    <w:p w:rsidR="00842442" w:rsidRPr="005624E3" w:rsidRDefault="00842442" w:rsidP="005624E3">
      <w:pPr>
        <w:ind w:left="567" w:hanging="283"/>
      </w:pPr>
      <w:r>
        <w:rPr>
          <w:sz w:val="16"/>
        </w:rPr>
        <w:t>b)</w:t>
      </w:r>
      <w:r>
        <w:tab/>
      </w:r>
      <w:r>
        <w:rPr>
          <w:sz w:val="16"/>
        </w:rPr>
        <w:t>az oldalfedélzet felett mért 0,90 m-es magasságig vagy e felett az oldalfedélzet (átalakítás előtt meglévő) szabad szélessége nem csökkenthető, ha az kisebb, mint a 14.04. cikkben meghatározott értékek.</w:t>
      </w:r>
    </w:p>
  </w:footnote>
  <w:footnote w:id="30">
    <w:p w:rsidR="00842442" w:rsidRPr="005624E3" w:rsidRDefault="00842442" w:rsidP="005624E3">
      <w:pPr>
        <w:pStyle w:val="FootnoteText"/>
        <w:ind w:left="284" w:hanging="284"/>
        <w:rPr>
          <w:rFonts w:cs="Arial"/>
          <w:sz w:val="16"/>
          <w:szCs w:val="16"/>
        </w:rPr>
      </w:pPr>
      <w:r>
        <w:rPr>
          <w:rStyle w:val="FootnoteReference"/>
          <w:sz w:val="16"/>
        </w:rPr>
        <w:footnoteRef/>
      </w:r>
      <w:r>
        <w:tab/>
      </w:r>
      <w:r>
        <w:rPr>
          <w:sz w:val="16"/>
        </w:rPr>
        <w:t>A 19.06. cikk 6. bekezdésének c) pontjára vonatkozó átmeneti rendelkezés ideiglenes követelmény, mely 2019. december 31-ig alkalmazandó. 2014. december 1-jéig a következő átmeneti rendelkezés volt hatályban: „</w:t>
      </w:r>
      <w:r>
        <w:rPr>
          <w:i/>
          <w:sz w:val="16"/>
        </w:rPr>
        <w:t>19.06. cikk 6. bekezdés c) pont / Menekülési útvonalak nem vezethetnek keresztül konyhákon / N.R.C., legkésőbb a belvízi hajóbizonyítvány megújításakor e dátumot követően: 2015.01.01.</w:t>
      </w:r>
      <w:r>
        <w:rPr>
          <w:sz w:val="16"/>
        </w:rPr>
        <w:t>”</w:t>
      </w:r>
    </w:p>
  </w:footnote>
  <w:footnote w:id="31">
    <w:p w:rsidR="00842442" w:rsidRPr="005624E3" w:rsidRDefault="00842442" w:rsidP="005624E3">
      <w:pPr>
        <w:pStyle w:val="FootnoteText"/>
        <w:spacing w:before="40"/>
        <w:ind w:left="284" w:hanging="284"/>
        <w:rPr>
          <w:rFonts w:cs="Arial"/>
          <w:sz w:val="16"/>
          <w:szCs w:val="16"/>
        </w:rPr>
      </w:pPr>
      <w:r>
        <w:rPr>
          <w:rStyle w:val="FootnoteReference"/>
          <w:sz w:val="16"/>
        </w:rPr>
        <w:footnoteRef/>
      </w:r>
      <w:r>
        <w:rPr>
          <w:sz w:val="16"/>
        </w:rPr>
        <w:t xml:space="preserve"> </w:t>
      </w:r>
      <w:r>
        <w:tab/>
      </w:r>
      <w:r>
        <w:rPr>
          <w:sz w:val="16"/>
        </w:rPr>
        <w:t>A 19.07. cikkre vonatkozó átmeneti rendelkezés ideiglenes követelmény, mely 2019. december 31-ig alkalmazandó. 2014. december 1-jéig a következő átmeneti rendelkezés volt hatályban: „</w:t>
      </w:r>
      <w:r>
        <w:rPr>
          <w:i/>
          <w:sz w:val="16"/>
        </w:rPr>
        <w:t>19.07. cikk / A propulziós rendszerre vonatkozó követelmények / N.R.C., legkésőbb a belvízi hajóbizonyítvány megújításakor e dátumot követően: 2015.01.01.</w:t>
      </w:r>
      <w:r>
        <w:rPr>
          <w:sz w:val="16"/>
        </w:rPr>
        <w:t>”</w:t>
      </w:r>
    </w:p>
  </w:footnote>
  <w:footnote w:id="32">
    <w:p w:rsidR="00842442" w:rsidRPr="005624E3" w:rsidRDefault="00842442" w:rsidP="005624E3">
      <w:pPr>
        <w:pStyle w:val="FootnoteText"/>
        <w:spacing w:before="40"/>
        <w:ind w:left="284" w:hanging="284"/>
      </w:pPr>
      <w:r>
        <w:rPr>
          <w:rStyle w:val="FootnoteReference"/>
          <w:sz w:val="16"/>
        </w:rPr>
        <w:footnoteRef/>
      </w:r>
      <w:r>
        <w:rPr>
          <w:sz w:val="16"/>
        </w:rPr>
        <w:t xml:space="preserve"> </w:t>
      </w:r>
      <w:r>
        <w:tab/>
      </w:r>
      <w:r>
        <w:rPr>
          <w:sz w:val="16"/>
        </w:rPr>
        <w:t xml:space="preserve">A 19.08. cikk 3. bekezdésére vonatkozó átmeneti rendelkezés ideiglenes követelmény, mely 2019. december 31-ig alkalmazandó. 2014. december 1-jéig a következő átmeneti rendelkezés volt hatályban: </w:t>
      </w:r>
      <w:r>
        <w:rPr>
          <w:i/>
          <w:color w:val="000000"/>
          <w:sz w:val="16"/>
        </w:rPr>
        <w:t>„19.08. cikk 3. bekezdés /</w:t>
      </w:r>
      <w:r>
        <w:rPr>
          <w:sz w:val="16"/>
        </w:rPr>
        <w:t xml:space="preserve"> </w:t>
      </w:r>
      <w:r>
        <w:rPr>
          <w:i/>
          <w:sz w:val="16"/>
        </w:rPr>
        <w:t>A riasztórendszerre vonatkozó követelmények / N.R.C., legkésőbb a belvízi hajóbizonyítvány megújításakor e dátumot követően: 2015.01.01.”</w:t>
      </w:r>
      <w:r>
        <w:rPr>
          <w:sz w:val="16"/>
        </w:rPr>
        <w:t xml:space="preserve"> és </w:t>
      </w:r>
      <w:r>
        <w:rPr>
          <w:i/>
          <w:sz w:val="16"/>
        </w:rPr>
        <w:t>„19.08. cikk 3. bekezdés c) pont / Riasztórendszer, amely révén a hajó parancsnoksága riasztja a legénységet és a kiszolgáló személyzetet, a rendelkezés alkalmazandó: N.R.C., legkésőbb a belvízi hajóbizonyítvány megújításakor e dátumot követően: 2007.01.01.”</w:t>
      </w:r>
      <w:r>
        <w:rPr>
          <w:sz w:val="16"/>
        </w:rPr>
        <w:t>.</w:t>
      </w:r>
    </w:p>
  </w:footnote>
  <w:footnote w:id="33">
    <w:p w:rsidR="00842442" w:rsidRPr="005624E3" w:rsidRDefault="00842442" w:rsidP="005624E3">
      <w:pPr>
        <w:pStyle w:val="FootnoteText"/>
        <w:spacing w:before="40"/>
        <w:ind w:left="284" w:hanging="284"/>
        <w:rPr>
          <w:sz w:val="16"/>
          <w:szCs w:val="16"/>
        </w:rPr>
      </w:pPr>
      <w:r>
        <w:rPr>
          <w:rStyle w:val="FootnoteReference"/>
          <w:sz w:val="16"/>
        </w:rPr>
        <w:footnoteRef/>
      </w:r>
      <w:r>
        <w:rPr>
          <w:sz w:val="16"/>
        </w:rPr>
        <w:t xml:space="preserve"> </w:t>
      </w:r>
      <w:r>
        <w:tab/>
      </w:r>
      <w:r>
        <w:rPr>
          <w:sz w:val="16"/>
        </w:rPr>
        <w:t>Az 1996. december 5-én elfogadott MSC.61(67) határozat – A tűzállósági vizsgálati módszerek alkalmazására vonatkozó nemzetközi szabályzat.</w:t>
      </w:r>
    </w:p>
  </w:footnote>
  <w:footnote w:id="34">
    <w:p w:rsidR="00842442" w:rsidRPr="005624E3" w:rsidRDefault="00842442" w:rsidP="005624E3">
      <w:pPr>
        <w:pStyle w:val="FootnoteText"/>
        <w:spacing w:before="40"/>
        <w:ind w:left="284" w:hanging="284"/>
        <w:rPr>
          <w:rFonts w:cs="Arial"/>
          <w:sz w:val="16"/>
          <w:szCs w:val="16"/>
        </w:rPr>
      </w:pPr>
      <w:r>
        <w:rPr>
          <w:rStyle w:val="FootnoteReference"/>
          <w:sz w:val="16"/>
        </w:rPr>
        <w:footnoteRef/>
      </w:r>
      <w:r>
        <w:tab/>
      </w:r>
      <w:r>
        <w:rPr>
          <w:sz w:val="16"/>
        </w:rPr>
        <w:t>A 3.04. cikk 7. bekezdésére vonatkozó átmeneti rendelkezés ideiglenes követelmény, mely 2019. december 31-ig alkalmazandó. 2014. december 1-jéig a következő átmeneti rendelkezés volt hatályban: „</w:t>
      </w:r>
      <w:r>
        <w:rPr>
          <w:i/>
          <w:sz w:val="16"/>
        </w:rPr>
        <w:t>3.04. cikk 7. bekezdés / Legnagyobb megengedett hangnyomásszint / R.C., legkésőbb a belvízi hajóbizonyítvány megújításakor e dátumot követően: 2015.01.01.</w:t>
      </w:r>
      <w:r>
        <w:rPr>
          <w:sz w:val="16"/>
        </w:rPr>
        <w:t>”</w:t>
      </w:r>
    </w:p>
  </w:footnote>
  <w:footnote w:id="35">
    <w:p w:rsidR="00842442" w:rsidRPr="005624E3" w:rsidRDefault="00842442" w:rsidP="005624E3">
      <w:pPr>
        <w:pStyle w:val="FootnoteText"/>
        <w:spacing w:before="40"/>
        <w:ind w:left="284" w:hanging="284"/>
        <w:rPr>
          <w:rFonts w:cs="Arial"/>
          <w:sz w:val="16"/>
          <w:szCs w:val="16"/>
        </w:rPr>
      </w:pPr>
      <w:r>
        <w:rPr>
          <w:rStyle w:val="FootnoteReference"/>
          <w:sz w:val="16"/>
        </w:rPr>
        <w:footnoteRef/>
      </w:r>
      <w:r>
        <w:tab/>
      </w:r>
      <w:r>
        <w:rPr>
          <w:sz w:val="16"/>
        </w:rPr>
        <w:t>A 7.01. cikk 2. bekezdésére vonatkozó átmeneti rendelkezés ideiglenes követelmény, mely 2019. december 31-ig alkalmazandó. 2014. december 1-jéig a következő átmeneti rendelkezés volt hatályban: „</w:t>
      </w:r>
      <w:r>
        <w:rPr>
          <w:i/>
          <w:sz w:val="16"/>
        </w:rPr>
        <w:t>7.01. cikk 2. bekezdés / A hajó által keltett hangnyomás / R.C., legkésőbb a belvízi hajóbizonyítvány megújításakor e dátumot követően: 2015.01.01.</w:t>
      </w:r>
      <w:r>
        <w:rPr>
          <w:sz w:val="16"/>
        </w:rPr>
        <w:t>”</w:t>
      </w:r>
    </w:p>
  </w:footnote>
  <w:footnote w:id="36">
    <w:p w:rsidR="00842442" w:rsidRPr="005624E3" w:rsidRDefault="00842442" w:rsidP="005624E3">
      <w:pPr>
        <w:pStyle w:val="FootnoteText"/>
        <w:spacing w:before="40"/>
        <w:ind w:left="284" w:hanging="284"/>
        <w:rPr>
          <w:rFonts w:cs="Arial"/>
          <w:sz w:val="16"/>
          <w:szCs w:val="16"/>
        </w:rPr>
      </w:pPr>
      <w:r>
        <w:rPr>
          <w:rStyle w:val="FootnoteReference"/>
          <w:sz w:val="16"/>
        </w:rPr>
        <w:footnoteRef/>
      </w:r>
      <w:r>
        <w:tab/>
      </w:r>
      <w:r>
        <w:rPr>
          <w:sz w:val="16"/>
        </w:rPr>
        <w:t>A 8.10. cikk 2. bekezdésére vonatkozó átmeneti rendelkezés ideiglenes követelmény, mely 2019. december 31-ig alkalmazandó. 2014. december 1-jéig a következő átmeneti rendelkezés volt hatályban: „</w:t>
      </w:r>
      <w:r>
        <w:rPr>
          <w:i/>
          <w:sz w:val="16"/>
        </w:rPr>
        <w:t>8.10. cikk 2. bekezdés / A menetben lévő hajó által keltett zaj / R.C., legkésőbb a belvízi hajóbizonyítvány megújításakor e dátumot követően: 2015.01.01.</w:t>
      </w:r>
      <w:r>
        <w:rPr>
          <w:sz w:val="16"/>
        </w:rPr>
        <w:t>”</w:t>
      </w:r>
    </w:p>
  </w:footnote>
  <w:footnote w:id="37">
    <w:p w:rsidR="00842442" w:rsidRPr="005624E3" w:rsidRDefault="00842442" w:rsidP="005624E3">
      <w:pPr>
        <w:pStyle w:val="FootnoteText"/>
        <w:spacing w:before="40"/>
        <w:ind w:left="284" w:hanging="284"/>
        <w:rPr>
          <w:rFonts w:cs="Arial"/>
          <w:sz w:val="16"/>
          <w:szCs w:val="16"/>
        </w:rPr>
      </w:pPr>
      <w:r>
        <w:rPr>
          <w:rStyle w:val="FootnoteReference"/>
          <w:sz w:val="16"/>
        </w:rPr>
        <w:footnoteRef/>
      </w:r>
      <w:r>
        <w:rPr>
          <w:sz w:val="16"/>
        </w:rPr>
        <w:t xml:space="preserve"> </w:t>
      </w:r>
      <w:r>
        <w:tab/>
      </w:r>
      <w:r>
        <w:rPr>
          <w:sz w:val="16"/>
        </w:rPr>
        <w:t>A 10.01. cikkre vonatkozó átmeneti rendelkezés ideiglenes követelmény, mely 2019. december 31-ig alkalmazandó. 2014. december 1-jéig a következő átmeneti rendelkezés volt hatályban: „</w:t>
      </w:r>
      <w:r>
        <w:rPr>
          <w:i/>
          <w:sz w:val="16"/>
        </w:rPr>
        <w:t>10.01. cikk / Az elektromos berendezésekre vonatkozó követelmények / R.C., legkésőbb a belvízi hajóbizonyítvány megújításakor e dátumot követően: 2015.01.01.</w:t>
      </w:r>
      <w:r>
        <w:rPr>
          <w:sz w:val="16"/>
        </w:rPr>
        <w:t>”</w:t>
      </w:r>
    </w:p>
  </w:footnote>
  <w:footnote w:id="38">
    <w:p w:rsidR="00842442" w:rsidRPr="005624E3" w:rsidRDefault="00842442" w:rsidP="005624E3">
      <w:pPr>
        <w:pStyle w:val="FootnoteText"/>
        <w:spacing w:before="40"/>
        <w:ind w:left="284" w:hanging="284"/>
      </w:pPr>
      <w:r>
        <w:rPr>
          <w:rStyle w:val="FootnoteReference"/>
          <w:sz w:val="16"/>
        </w:rPr>
        <w:footnoteRef/>
      </w:r>
      <w:r>
        <w:tab/>
      </w:r>
      <w:r>
        <w:rPr>
          <w:sz w:val="16"/>
        </w:rPr>
        <w:t xml:space="preserve">A 15.02. cikk 5. bekezdésére vonatkozó átmeneti rendelkezés ideiglenes követelmény, mely 2019. december 31-ig alkalmazandó. 2014. december 1-jéig a következő átmeneti rendelkezés volt hatályban: </w:t>
      </w:r>
      <w:r>
        <w:rPr>
          <w:i/>
          <w:sz w:val="16"/>
        </w:rPr>
        <w:t>„15.02. cikk 5. bekezdés / Zaj és rezgés a lakóterekben / A belvízi hajóbizonyítvány megújításakor e dátumot követően: 2015.01.01.”</w:t>
      </w:r>
    </w:p>
  </w:footnote>
  <w:footnote w:id="39">
    <w:p w:rsidR="00842442" w:rsidRPr="005624E3" w:rsidRDefault="00842442" w:rsidP="005624E3">
      <w:pPr>
        <w:pStyle w:val="FootnoteText"/>
        <w:ind w:left="284" w:hanging="284"/>
        <w:rPr>
          <w:rFonts w:cs="Arial"/>
          <w:sz w:val="16"/>
          <w:szCs w:val="16"/>
        </w:rPr>
      </w:pPr>
      <w:r>
        <w:rPr>
          <w:rStyle w:val="FootnoteReference"/>
        </w:rPr>
        <w:footnoteRef/>
      </w:r>
      <w:r>
        <w:t xml:space="preserve"> </w:t>
      </w:r>
      <w:r>
        <w:tab/>
      </w:r>
      <w:r>
        <w:rPr>
          <w:sz w:val="16"/>
        </w:rPr>
        <w:t>Az Európai Parlament és a Tanács 2006/87/EK irányelve (2006. december 12.) a belvízi hajókra vonatkozó műszaki követelmények megállapításáról és a 82/714/EGK tanácsi irányelv hatályon kívül helyezéséről (HL L 389., 2006.12.30.).</w:t>
      </w:r>
    </w:p>
  </w:footnote>
  <w:footnote w:id="40">
    <w:p w:rsidR="00842442" w:rsidRPr="005624E3" w:rsidRDefault="00842442" w:rsidP="005624E3">
      <w:pPr>
        <w:shd w:val="clear" w:color="auto" w:fill="FFFFFF"/>
        <w:tabs>
          <w:tab w:val="left" w:pos="284"/>
        </w:tabs>
        <w:ind w:left="567" w:hanging="567"/>
        <w:rPr>
          <w:rFonts w:cs="Arial"/>
          <w:sz w:val="16"/>
          <w:szCs w:val="16"/>
        </w:rPr>
      </w:pPr>
      <w:r>
        <w:rPr>
          <w:rStyle w:val="FootnoteReference"/>
          <w:sz w:val="16"/>
        </w:rPr>
        <w:footnoteRef/>
      </w:r>
      <w:r>
        <w:rPr>
          <w:sz w:val="16"/>
        </w:rPr>
        <w:t xml:space="preserve"> </w:t>
      </w:r>
      <w:r>
        <w:tab/>
      </w:r>
      <w:r>
        <w:rPr>
          <w:sz w:val="16"/>
        </w:rPr>
        <w:t>a)</w:t>
      </w:r>
      <w:r>
        <w:tab/>
      </w:r>
      <w:r>
        <w:rPr>
          <w:sz w:val="16"/>
        </w:rPr>
        <w:t>Az 1995. január 1-je és 2003. március 31. között felszerelt, tartósan rögzített, CO</w:t>
      </w:r>
      <w:r>
        <w:rPr>
          <w:sz w:val="16"/>
          <w:vertAlign w:val="subscript"/>
        </w:rPr>
        <w:t>2</w:t>
      </w:r>
      <w:r>
        <w:rPr>
          <w:sz w:val="16"/>
        </w:rPr>
        <w:t>-t használó tűzvédelmi rendszerek továbbra is elfogadhatók a belvízi hajóbizonyítvány 2035. január 1-je utáni megújításáig, feltéve, hogy megfelelnek a rajnai hajók 2002. március 31-én hatályban lévő szemleszabályzata 10.03. cikke 5. bekezdésének.</w:t>
      </w:r>
    </w:p>
    <w:p w:rsidR="00842442" w:rsidRPr="005624E3" w:rsidRDefault="00842442" w:rsidP="005624E3">
      <w:pPr>
        <w:shd w:val="clear" w:color="auto" w:fill="FFFFFF"/>
        <w:tabs>
          <w:tab w:val="left" w:pos="284"/>
        </w:tabs>
        <w:ind w:left="567" w:hanging="283"/>
        <w:rPr>
          <w:rFonts w:cs="Arial"/>
          <w:sz w:val="16"/>
          <w:szCs w:val="16"/>
        </w:rPr>
      </w:pPr>
      <w:r>
        <w:rPr>
          <w:sz w:val="16"/>
        </w:rPr>
        <w:t>b)</w:t>
      </w:r>
      <w:r>
        <w:tab/>
      </w:r>
      <w:r>
        <w:rPr>
          <w:sz w:val="16"/>
        </w:rPr>
        <w:t>A Rajnai Hajózási Központi Bizottságnak a rajnai hajók 2002. március 31-én hatályban lévő szemleszabályzata 10.03. cikkének 5. bekezdése tekintetében 1995. január 1-je és 2002. március 31. között kiadott ajánlásai érvényben maradnak a belvízi hajóbizonyítvány 2035. január 1-je utáni megújításáig.</w:t>
      </w:r>
    </w:p>
    <w:p w:rsidR="00842442" w:rsidRPr="005624E3" w:rsidRDefault="00842442" w:rsidP="005624E3">
      <w:pPr>
        <w:pStyle w:val="FootnoteText"/>
        <w:tabs>
          <w:tab w:val="left" w:pos="284"/>
        </w:tabs>
        <w:ind w:left="567" w:hanging="283"/>
        <w:rPr>
          <w:rFonts w:cs="Arial"/>
        </w:rPr>
      </w:pPr>
      <w:r>
        <w:rPr>
          <w:sz w:val="16"/>
        </w:rPr>
        <w:t>c)</w:t>
      </w:r>
      <w:r>
        <w:tab/>
      </w:r>
      <w:r>
        <w:rPr>
          <w:sz w:val="16"/>
        </w:rPr>
        <w:t>A 13.05. cikk 2. bekezdésének a) pontja csak olyan hajók berendezéseire vonatkozik, amelyek gerincfektetése 1992. október 1-je után történt, és a belvízi hajóbizonyítvány 2035. január 1-je utáni megújításáig alkalmazandó.</w:t>
      </w:r>
    </w:p>
  </w:footnote>
  <w:footnote w:id="41">
    <w:p w:rsidR="00842442" w:rsidRPr="005624E3" w:rsidRDefault="00842442" w:rsidP="005624E3">
      <w:pPr>
        <w:pStyle w:val="FootnoteText"/>
        <w:ind w:left="284" w:hanging="284"/>
      </w:pPr>
      <w:r>
        <w:rPr>
          <w:rStyle w:val="FootnoteReference"/>
          <w:sz w:val="16"/>
        </w:rPr>
        <w:footnoteRef/>
      </w:r>
      <w:r>
        <w:rPr>
          <w:sz w:val="16"/>
        </w:rPr>
        <w:t xml:space="preserve"> </w:t>
      </w:r>
      <w:r>
        <w:tab/>
      </w:r>
      <w:r>
        <w:rPr>
          <w:sz w:val="16"/>
        </w:rPr>
        <w:t>A 13.07. cikkre vonatkozó átmeneti rendelkezés ideiglenes követelmény, mely 2019. december 31-ig alkalmazandó. 2014. december 1-jéig a következő átmeneti rendelkezés volt hatályban: „</w:t>
      </w:r>
      <w:r>
        <w:rPr>
          <w:i/>
          <w:sz w:val="16"/>
        </w:rPr>
        <w:t>13.07. cikk / Az európai szabvány alkalmazása a szolgálati csónakra / N.R.C., legkésőbb a belvízi hajóbizonyítvány megújításakor e dátumot követően: 2015.01.01. / 2003.10.01.</w:t>
      </w:r>
      <w:r>
        <w:rPr>
          <w:sz w:val="16"/>
        </w:rPr>
        <w:t>”</w:t>
      </w:r>
    </w:p>
  </w:footnote>
  <w:footnote w:id="42">
    <w:p w:rsidR="00842442" w:rsidRPr="005624E3" w:rsidRDefault="00842442" w:rsidP="005624E3">
      <w:pPr>
        <w:pStyle w:val="FootnoteText"/>
        <w:ind w:left="284" w:hanging="284"/>
        <w:rPr>
          <w:rFonts w:cs="Arial"/>
          <w:sz w:val="16"/>
          <w:szCs w:val="16"/>
        </w:rPr>
      </w:pPr>
      <w:r>
        <w:rPr>
          <w:rStyle w:val="FootnoteReference"/>
          <w:sz w:val="16"/>
        </w:rPr>
        <w:footnoteRef/>
      </w:r>
      <w:r>
        <w:tab/>
      </w:r>
      <w:r>
        <w:rPr>
          <w:sz w:val="16"/>
        </w:rPr>
        <w:t>A 19.06. cikk 6. bekezdésének c) pontjára vonatkozó átmeneti rendelkezés ideiglenes követelmény, mely 2019. december 31-ig alkalmazandó. 2014. december 1-jéig a következő átmeneti rendelkezés volt hatályban: „</w:t>
      </w:r>
      <w:r>
        <w:rPr>
          <w:i/>
          <w:sz w:val="16"/>
        </w:rPr>
        <w:t>19.06. cikk 6. bekezdés c) pont / Menekülési útvonalak nem vezethetnek keresztül konyhákon / N.R.C., legkésőbb a belvízi hajóbizonyítvány első megújítása után, e dátumot követően: 2015.01.01. / 2006.01.01.</w:t>
      </w:r>
      <w:r>
        <w:rPr>
          <w:sz w:val="16"/>
        </w:rPr>
        <w:t>”</w:t>
      </w:r>
    </w:p>
  </w:footnote>
  <w:footnote w:id="43">
    <w:p w:rsidR="00842442" w:rsidRPr="005624E3" w:rsidRDefault="00842442" w:rsidP="005624E3">
      <w:pPr>
        <w:pStyle w:val="FootnoteText"/>
        <w:spacing w:before="40"/>
        <w:ind w:left="284" w:hanging="284"/>
        <w:rPr>
          <w:rFonts w:cs="Arial"/>
          <w:sz w:val="16"/>
          <w:szCs w:val="16"/>
        </w:rPr>
      </w:pPr>
      <w:r>
        <w:rPr>
          <w:rStyle w:val="FootnoteReference"/>
          <w:sz w:val="16"/>
        </w:rPr>
        <w:footnoteRef/>
      </w:r>
      <w:r>
        <w:rPr>
          <w:sz w:val="16"/>
        </w:rPr>
        <w:t xml:space="preserve"> </w:t>
      </w:r>
      <w:r>
        <w:tab/>
      </w:r>
      <w:r>
        <w:rPr>
          <w:sz w:val="16"/>
        </w:rPr>
        <w:t>A 19.07. cikkre vonatkozó átmeneti rendelkezés ideiglenes követelmény, mely 2019. december 31-ig alkalmazandó. 2014. december 1-jéig a következő átmeneti rendelkezés volt hatályban: „</w:t>
      </w:r>
      <w:r>
        <w:rPr>
          <w:i/>
          <w:sz w:val="16"/>
        </w:rPr>
        <w:t>19.07. cikk / A propulziós rendszerre vonatkozó követelmények / N.R.C., legkésőbb a belvízi hajóbizonyítvány megújításakor e dátumot követően: 2015.01.01./2006.01.01.</w:t>
      </w:r>
      <w:r>
        <w:rPr>
          <w:sz w:val="16"/>
        </w:rPr>
        <w:t>”</w:t>
      </w:r>
    </w:p>
  </w:footnote>
  <w:footnote w:id="44">
    <w:p w:rsidR="00842442" w:rsidRPr="005624E3" w:rsidRDefault="00842442" w:rsidP="005624E3">
      <w:pPr>
        <w:pStyle w:val="FootnoteText"/>
        <w:spacing w:before="40"/>
        <w:ind w:left="284" w:hanging="284"/>
      </w:pPr>
      <w:r>
        <w:rPr>
          <w:rStyle w:val="FootnoteReference"/>
          <w:sz w:val="16"/>
        </w:rPr>
        <w:footnoteRef/>
      </w:r>
      <w:r>
        <w:rPr>
          <w:sz w:val="16"/>
        </w:rPr>
        <w:t xml:space="preserve"> </w:t>
      </w:r>
      <w:r>
        <w:tab/>
      </w:r>
      <w:r>
        <w:rPr>
          <w:sz w:val="16"/>
        </w:rPr>
        <w:t xml:space="preserve">A 19.08. cikk 3. bekezdésére vonatkozó átmeneti rendelkezés ideiglenes követelmény, mely 2019. december 31-ig alkalmazandó. 2014. december 1-jéig a következő átmeneti rendelkezés volt hatályban: </w:t>
      </w:r>
      <w:r>
        <w:rPr>
          <w:i/>
          <w:color w:val="000000"/>
          <w:sz w:val="16"/>
        </w:rPr>
        <w:t>„19.08. cikk 3. bekezdés /</w:t>
      </w:r>
      <w:r>
        <w:rPr>
          <w:sz w:val="16"/>
        </w:rPr>
        <w:t xml:space="preserve"> </w:t>
      </w:r>
      <w:r>
        <w:rPr>
          <w:i/>
          <w:sz w:val="16"/>
        </w:rPr>
        <w:t>A riasztórendszerre vonatkozó követelmények / N.R.C., legkésőbb a belvízi hajóbizonyítvány megújításakor e dátumot követően: 2015.01.01./2006.01.01.”</w:t>
      </w:r>
      <w:r>
        <w:rPr>
          <w:sz w:val="16"/>
        </w:rPr>
        <w:t xml:space="preserve"> és </w:t>
      </w:r>
      <w:r>
        <w:rPr>
          <w:i/>
          <w:sz w:val="16"/>
        </w:rPr>
        <w:t>„19.08. cikk 3. bekezdés c) pont / Riasztórendszer, amely révén a hajó parancsnoksága riasztja a legénységet és a kiszolgáló személyzetet, a rendelkezés alkalmazandó: N.R.C., legkésőbb a belvízi hajóbizonyítvány megújításakor e dátumot követően: 2007.01.01./2006.01.01.”</w:t>
      </w:r>
      <w:r>
        <w:rPr>
          <w:sz w:val="16"/>
        </w:rPr>
        <w:t>.</w:t>
      </w:r>
    </w:p>
  </w:footnote>
  <w:footnote w:id="45">
    <w:p w:rsidR="00842442" w:rsidRPr="005624E3" w:rsidRDefault="00842442" w:rsidP="005624E3">
      <w:pPr>
        <w:pStyle w:val="FootnoteText"/>
        <w:spacing w:before="40"/>
        <w:ind w:left="284" w:hanging="284"/>
      </w:pPr>
      <w:r>
        <w:rPr>
          <w:rStyle w:val="FootnoteReference"/>
          <w:sz w:val="16"/>
        </w:rPr>
        <w:footnoteRef/>
      </w:r>
      <w:r>
        <w:rPr>
          <w:sz w:val="16"/>
        </w:rPr>
        <w:t xml:space="preserve"> </w:t>
      </w:r>
      <w:r>
        <w:tab/>
      </w:r>
      <w:r>
        <w:rPr>
          <w:sz w:val="16"/>
        </w:rPr>
        <w:t>Az 1996. december 5-én elfogadott MSC.61(67) határozat – A tűzállósági vizsgálati módszerek alkalmazására vonatkozó nemzetközi szabályzat.</w:t>
      </w:r>
    </w:p>
  </w:footnote>
  <w:footnote w:id="46">
    <w:p w:rsidR="00842442" w:rsidRPr="005624E3" w:rsidRDefault="00842442" w:rsidP="005624E3">
      <w:pPr>
        <w:pStyle w:val="FootnoteText"/>
        <w:ind w:left="284" w:hanging="284"/>
        <w:rPr>
          <w:sz w:val="16"/>
          <w:szCs w:val="16"/>
        </w:rPr>
      </w:pPr>
      <w:r>
        <w:rPr>
          <w:rStyle w:val="FootnoteReference"/>
        </w:rPr>
        <w:footnoteRef/>
      </w:r>
      <w:r>
        <w:t xml:space="preserve"> </w:t>
      </w:r>
      <w:r>
        <w:tab/>
      </w:r>
      <w:r>
        <w:rPr>
          <w:sz w:val="16"/>
        </w:rPr>
        <w:t>Azonban legkésőbb a belvízi hajóbizonyítvány 2015. január 1-jét követő megújításakor a vízi járműveknek meg kell felelniük a következő követelményeknek:</w:t>
      </w:r>
    </w:p>
    <w:p w:rsidR="00842442" w:rsidRPr="005624E3" w:rsidRDefault="00842442" w:rsidP="005624E3">
      <w:pPr>
        <w:pStyle w:val="FootnoteText"/>
        <w:spacing w:before="40"/>
        <w:ind w:left="568" w:hanging="284"/>
        <w:rPr>
          <w:rFonts w:cs="Arial"/>
          <w:sz w:val="16"/>
          <w:szCs w:val="16"/>
        </w:rPr>
      </w:pPr>
      <w:r>
        <w:rPr>
          <w:sz w:val="16"/>
        </w:rPr>
        <w:t>-</w:t>
      </w:r>
      <w:r>
        <w:tab/>
      </w:r>
      <w:r>
        <w:rPr>
          <w:sz w:val="16"/>
        </w:rPr>
        <w:t xml:space="preserve">A fedélzetek és oldalfedélzetek külső peremét és az olyan munkaállomásokat, ahol több mint 1 m-ről le lehet esni, legalább 0,70 m magas mellvéddel vagy nyíláskerettel, vagy az EN 711:1995 európai szabványnak megfelelő védőkorláttal kell felszerelni, amely magában foglal egy kapaszkodót, egy térdmagasságban lévő közbülső korlátot és egy lábvédő korlátot. </w:t>
      </w:r>
    </w:p>
    <w:p w:rsidR="00842442" w:rsidRPr="005624E3" w:rsidRDefault="00842442" w:rsidP="005624E3">
      <w:pPr>
        <w:pStyle w:val="FootnoteText"/>
        <w:spacing w:before="40"/>
        <w:ind w:left="568" w:hanging="284"/>
        <w:rPr>
          <w:rFonts w:cs="Arial"/>
          <w:sz w:val="16"/>
          <w:szCs w:val="16"/>
        </w:rPr>
      </w:pPr>
      <w:r>
        <w:rPr>
          <w:sz w:val="16"/>
        </w:rPr>
        <w:t>-</w:t>
      </w:r>
      <w:r>
        <w:tab/>
      </w:r>
      <w:r>
        <w:rPr>
          <w:sz w:val="16"/>
        </w:rPr>
        <w:t>Az oldalfedélzeteket lábvédő korláttal és a nyíláskerethez rögzített folyamatos kapaszkodóval kell ellátni. Nincs szükség a nyíláskeret kapaszkodójára, ha az oldalfedélzeteket nem behúzható oldalsó védőkorláttal szerelték fel.</w:t>
      </w:r>
    </w:p>
  </w:footnote>
  <w:footnote w:id="47">
    <w:p w:rsidR="00842442" w:rsidRPr="005624E3" w:rsidRDefault="00842442" w:rsidP="005624E3">
      <w:pPr>
        <w:pStyle w:val="FootnoteText"/>
        <w:ind w:left="284" w:hanging="284"/>
        <w:rPr>
          <w:rFonts w:cs="Arial"/>
          <w:sz w:val="16"/>
          <w:szCs w:val="16"/>
        </w:rPr>
      </w:pPr>
      <w:r>
        <w:rPr>
          <w:rStyle w:val="FootnoteReference"/>
        </w:rPr>
        <w:footnoteRef/>
      </w:r>
      <w:r>
        <w:tab/>
      </w:r>
      <w:r>
        <w:rPr>
          <w:sz w:val="16"/>
        </w:rPr>
        <w:t>Azon vízi járművekre, amelyek gerincfektetése 1994. december 31. után történt, és az üzemelő vízi járművekre ez a követelmény a következő feltételekkel alkalmazandó:</w:t>
      </w:r>
    </w:p>
    <w:p w:rsidR="00842442" w:rsidRPr="005624E3" w:rsidRDefault="00842442" w:rsidP="005624E3">
      <w:pPr>
        <w:pStyle w:val="FootnoteText"/>
        <w:spacing w:before="40"/>
        <w:ind w:left="284"/>
        <w:rPr>
          <w:rFonts w:cs="Arial"/>
          <w:sz w:val="16"/>
          <w:szCs w:val="16"/>
        </w:rPr>
      </w:pPr>
      <w:r>
        <w:rPr>
          <w:sz w:val="16"/>
        </w:rPr>
        <w:t>Amennyiben a teljes rakományteret lecserélik, teljesülniük kell a 14.04. cikk bekezdésében foglalt követelményeknek. Olyan átalakítások esetén, amelyek érintik az oldalfedélzet teljes hosszát és módosítják az oldalfedélzet szabad szélességét,</w:t>
      </w:r>
    </w:p>
    <w:p w:rsidR="00842442" w:rsidRPr="005624E3" w:rsidRDefault="00842442" w:rsidP="005624E3">
      <w:pPr>
        <w:pStyle w:val="FootnoteText"/>
        <w:tabs>
          <w:tab w:val="left" w:pos="567"/>
        </w:tabs>
        <w:spacing w:before="40"/>
        <w:ind w:left="567" w:hanging="283"/>
        <w:rPr>
          <w:rFonts w:cs="Arial"/>
          <w:sz w:val="16"/>
          <w:szCs w:val="16"/>
        </w:rPr>
      </w:pPr>
      <w:r>
        <w:rPr>
          <w:sz w:val="16"/>
        </w:rPr>
        <w:t>a)</w:t>
      </w:r>
      <w:r>
        <w:tab/>
      </w:r>
      <w:r>
        <w:rPr>
          <w:sz w:val="16"/>
        </w:rPr>
        <w:t>teljesülniük kell a 14.04. cikkben foglalt követelményeknek, ha az oldalfedélzet felett mért 0,90 m-es magasságig az oldalfedélzet (átalakítás előtt meglévő) szabad szélességét csökkenteni kell;</w:t>
      </w:r>
    </w:p>
    <w:p w:rsidR="00842442" w:rsidRPr="005624E3" w:rsidRDefault="00842442" w:rsidP="005624E3">
      <w:pPr>
        <w:ind w:left="567" w:hanging="283"/>
      </w:pPr>
      <w:r>
        <w:rPr>
          <w:sz w:val="16"/>
        </w:rPr>
        <w:t>b)</w:t>
      </w:r>
      <w:r>
        <w:tab/>
      </w:r>
      <w:r>
        <w:rPr>
          <w:sz w:val="16"/>
        </w:rPr>
        <w:t>az oldalfedélzet felett mért 0,90 m-es magasságig vagy e felett az oldalfedélzet (átalakítás előtt meglévő) szabad szélessége nem csökkenthető, ha az kisebb, mint a 14.04. cikkben meghatározott értékek.</w:t>
      </w:r>
    </w:p>
  </w:footnote>
  <w:footnote w:id="48">
    <w:p w:rsidR="00842442" w:rsidRPr="005624E3" w:rsidRDefault="00842442" w:rsidP="005624E3">
      <w:pPr>
        <w:pStyle w:val="FootnoteText"/>
        <w:ind w:left="284" w:hanging="284"/>
        <w:rPr>
          <w:sz w:val="16"/>
          <w:szCs w:val="16"/>
        </w:rPr>
      </w:pPr>
      <w:r>
        <w:rPr>
          <w:rStyle w:val="FootnoteReference"/>
        </w:rPr>
        <w:footnoteRef/>
      </w:r>
      <w:r>
        <w:rPr>
          <w:sz w:val="16"/>
        </w:rPr>
        <w:t xml:space="preserve"> </w:t>
      </w:r>
      <w:r>
        <w:tab/>
      </w:r>
      <w:r>
        <w:rPr>
          <w:sz w:val="16"/>
        </w:rPr>
        <w:t>Az 1996. december 5-én elfogadott MSC.61(67) határozat – A tűzállósági vizsgálati módszerek alkalmazására vonatkozó nemzetközi szabályzat.</w:t>
      </w:r>
    </w:p>
  </w:footnote>
  <w:footnote w:id="49">
    <w:p w:rsidR="00842442" w:rsidRPr="006B3499" w:rsidRDefault="00842442" w:rsidP="005624E3">
      <w:pPr>
        <w:pStyle w:val="FootnoteText"/>
        <w:spacing w:line="180" w:lineRule="exact"/>
        <w:ind w:left="284" w:hanging="284"/>
        <w:rPr>
          <w:rFonts w:cs="Arial"/>
          <w:sz w:val="16"/>
          <w:szCs w:val="16"/>
        </w:rPr>
      </w:pPr>
      <w:r>
        <w:rPr>
          <w:rStyle w:val="FootnoteReference"/>
          <w:sz w:val="16"/>
        </w:rPr>
        <w:footnoteRef/>
      </w:r>
      <w:r>
        <w:rPr>
          <w:sz w:val="16"/>
        </w:rPr>
        <w:t xml:space="preserve"> </w:t>
      </w:r>
      <w:r>
        <w:tab/>
      </w:r>
      <w:r>
        <w:rPr>
          <w:sz w:val="16"/>
        </w:rPr>
        <w:t>A rajnai hajóellenőrzési tanúsítvány a következőkre hivatkozik: matróz, matrózt helyettesítő matróz-gépkezelő; A1, A2 és B üzemmód.</w:t>
      </w:r>
    </w:p>
  </w:footnote>
  <w:footnote w:id="50">
    <w:p w:rsidR="00842442" w:rsidRPr="00576BBF" w:rsidRDefault="00842442" w:rsidP="005624E3">
      <w:pPr>
        <w:pStyle w:val="FootnoteText"/>
        <w:spacing w:line="180" w:lineRule="exact"/>
        <w:ind w:left="284" w:hanging="284"/>
        <w:rPr>
          <w:rFonts w:cs="Arial"/>
          <w:sz w:val="16"/>
          <w:szCs w:val="16"/>
        </w:rPr>
      </w:pPr>
      <w:r>
        <w:rPr>
          <w:rStyle w:val="FootnoteReference"/>
          <w:sz w:val="16"/>
        </w:rPr>
        <w:footnoteRef/>
      </w:r>
      <w:r>
        <w:rPr>
          <w:sz w:val="16"/>
        </w:rPr>
        <w:t xml:space="preserve"> </w:t>
      </w:r>
      <w:r>
        <w:tab/>
      </w:r>
      <w:r>
        <w:rPr>
          <w:sz w:val="16"/>
        </w:rPr>
        <w:t>A rajnai hajóellenőrzési tanúsítvány a következőkre hivatkozik: hajóvezető, kormányos, fedélzetmester, matróz, tanulómatróz, matróz-gépkezelő, gépész; A1, A2 és B üzemmód.</w:t>
      </w:r>
    </w:p>
  </w:footnote>
  <w:footnote w:id="51">
    <w:p w:rsidR="00842442" w:rsidRPr="00142885" w:rsidRDefault="00842442" w:rsidP="005624E3">
      <w:pPr>
        <w:ind w:left="284" w:hanging="284"/>
      </w:pPr>
      <w:r>
        <w:rPr>
          <w:rStyle w:val="FootnoteReference"/>
        </w:rPr>
        <w:footnoteRef/>
      </w:r>
      <w:r>
        <w:t xml:space="preserve"> </w:t>
      </w:r>
      <w:r>
        <w:tab/>
      </w:r>
      <w:r>
        <w:rPr>
          <w:spacing w:val="-2"/>
          <w:sz w:val="16"/>
        </w:rPr>
        <w:t>A rajnai hajóellenőrzési tanúsítvány a következőkre hivatkozik: matróz, matrózt helyettesítő matróz-gépkezelő; A1, A2 és B üzemmód.</w:t>
      </w:r>
    </w:p>
  </w:footnote>
  <w:footnote w:id="52">
    <w:p w:rsidR="00842442" w:rsidRPr="007D0137" w:rsidRDefault="00842442" w:rsidP="005624E3">
      <w:pPr>
        <w:pStyle w:val="FootnoteText"/>
        <w:ind w:left="284" w:hanging="284"/>
        <w:rPr>
          <w:sz w:val="16"/>
          <w:szCs w:val="16"/>
        </w:rPr>
      </w:pPr>
      <w:r>
        <w:rPr>
          <w:rStyle w:val="FootnoteReference"/>
        </w:rPr>
        <w:footnoteRef/>
      </w:r>
      <w:r>
        <w:t xml:space="preserve"> </w:t>
      </w:r>
      <w:r>
        <w:tab/>
      </w:r>
      <w:r>
        <w:rPr>
          <w:sz w:val="16"/>
        </w:rPr>
        <w:t>Az Európai Parlament és a Tanács 2014/53/EU irányelve (2014. április 16.) a rádióberendezések forgalmazására vonatkozó tagállami jogszabályok harmonizációjáról és az 1999/5/EK irányelv hatályon kívül helyezéséről (OJ L 153., 2014.5.22.).</w:t>
      </w:r>
    </w:p>
  </w:footnote>
  <w:footnote w:id="53">
    <w:p w:rsidR="00842442" w:rsidRPr="007A1D49" w:rsidRDefault="00842442" w:rsidP="005624E3">
      <w:pPr>
        <w:pStyle w:val="FootnoteText"/>
        <w:ind w:left="284" w:hanging="284"/>
        <w:rPr>
          <w:sz w:val="16"/>
          <w:szCs w:val="16"/>
        </w:rPr>
      </w:pPr>
      <w:r>
        <w:rPr>
          <w:rStyle w:val="FootnoteReference"/>
        </w:rPr>
        <w:footnoteRef/>
      </w:r>
      <w:r>
        <w:t xml:space="preserve"> </w:t>
      </w:r>
      <w:r>
        <w:tab/>
      </w:r>
      <w:r>
        <w:rPr>
          <w:sz w:val="16"/>
        </w:rPr>
        <w:t>Az Európai Parlament és a Tanács 2014/30/EU irányelve (2014. február 26.) az elektromágneses összeférhetőségre vonatkozó tagállami jogszabályok harmonizálásáról (HL L 96., 2014.3.29.).</w:t>
      </w:r>
    </w:p>
  </w:footnote>
  <w:footnote w:id="54">
    <w:p w:rsidR="00842442" w:rsidRPr="001077F3" w:rsidRDefault="00842442" w:rsidP="005624E3">
      <w:pPr>
        <w:pStyle w:val="FootnoteText"/>
        <w:spacing w:line="240" w:lineRule="atLeast"/>
        <w:ind w:left="284" w:hanging="284"/>
        <w:rPr>
          <w:rFonts w:cs="Arial"/>
        </w:rPr>
      </w:pPr>
      <w:r>
        <w:rPr>
          <w:rStyle w:val="FootnoteReference"/>
        </w:rPr>
        <w:footnoteRef/>
      </w:r>
      <w:r>
        <w:t xml:space="preserve"> </w:t>
      </w:r>
      <w:r>
        <w:tab/>
      </w:r>
      <w:r>
        <w:rPr>
          <w:sz w:val="16"/>
        </w:rPr>
        <w:t>A 2000. december 1-jén elfogadott MSC.112(73) szabvány – A hajókon használt globális helymeghatározó rendszer (GPS) vevőberendezéseinek teljesítményére vonatkozó felülvizsgált előírások.</w:t>
      </w:r>
    </w:p>
  </w:footnote>
  <w:footnote w:id="55">
    <w:p w:rsidR="00842442" w:rsidRPr="001077F3" w:rsidRDefault="00842442" w:rsidP="005624E3">
      <w:pPr>
        <w:pStyle w:val="FootnoteText"/>
        <w:spacing w:line="240" w:lineRule="atLeast"/>
        <w:ind w:left="284" w:hanging="284"/>
        <w:rPr>
          <w:rFonts w:cs="Arial"/>
        </w:rPr>
      </w:pPr>
      <w:r>
        <w:rPr>
          <w:rStyle w:val="FootnoteReference"/>
        </w:rPr>
        <w:footnoteRef/>
      </w:r>
      <w:r>
        <w:rPr>
          <w:vertAlign w:val="superscript"/>
        </w:rPr>
        <w:t xml:space="preserve"> </w:t>
      </w:r>
      <w:r>
        <w:tab/>
      </w:r>
      <w:r>
        <w:rPr>
          <w:sz w:val="16"/>
        </w:rPr>
        <w:t>A 2000. december 1-jén elfogadott MSC.114(73) szabvány – A hajókon használt DGPS és DGLONASS rendszer tengeri rádiókommunikációs irányadóvevő-berendezéseinek teljesítményére vonatkozó felülvizsgált előírások.</w:t>
      </w:r>
    </w:p>
  </w:footnote>
  <w:footnote w:id="56">
    <w:p w:rsidR="00842442" w:rsidRPr="001077F3" w:rsidRDefault="00842442" w:rsidP="005624E3">
      <w:pPr>
        <w:pStyle w:val="FootnoteText"/>
        <w:spacing w:line="240" w:lineRule="atLeast"/>
        <w:ind w:left="284" w:hanging="284"/>
        <w:rPr>
          <w:rFonts w:cs="Arial"/>
        </w:rPr>
      </w:pPr>
      <w:r>
        <w:rPr>
          <w:rStyle w:val="FootnoteReference"/>
        </w:rPr>
        <w:footnoteRef/>
      </w:r>
      <w:r>
        <w:t xml:space="preserve"> </w:t>
      </w:r>
      <w:r>
        <w:tab/>
      </w:r>
      <w:r>
        <w:rPr>
          <w:sz w:val="16"/>
        </w:rPr>
        <w:t>A 2006. december 5-én elfogadott MSC.233(82) szabvány – A hajókon használt Galileo vevőberendezések teljesítményére vonatkozó előírások.</w:t>
      </w:r>
    </w:p>
  </w:footnote>
  <w:footnote w:id="57">
    <w:p w:rsidR="00842442" w:rsidRPr="000E1F46" w:rsidRDefault="00842442" w:rsidP="005624E3">
      <w:pPr>
        <w:pStyle w:val="FootnoteText"/>
        <w:spacing w:line="240" w:lineRule="atLeast"/>
        <w:ind w:left="284" w:hanging="284"/>
      </w:pPr>
      <w:r>
        <w:rPr>
          <w:rStyle w:val="FootnoteReference"/>
        </w:rPr>
        <w:footnoteRef/>
      </w:r>
      <w:r>
        <w:rPr>
          <w:vertAlign w:val="superscript"/>
        </w:rPr>
        <w:t xml:space="preserve"> </w:t>
      </w:r>
      <w:r>
        <w:tab/>
      </w:r>
      <w:r>
        <w:rPr>
          <w:sz w:val="16"/>
        </w:rPr>
        <w:t>A 2000. december 1-jén elfogadott MSC.116(73) szabvány – A tengeri hajózásban használt, haladási irányra vonatkozó információt továbbító berendezések (THD-k) teljesítményére vonatkozó előírások.</w:t>
      </w:r>
    </w:p>
  </w:footnote>
  <w:footnote w:id="58">
    <w:p w:rsidR="00842442" w:rsidRPr="00B6380D" w:rsidRDefault="00842442" w:rsidP="005624E3">
      <w:pPr>
        <w:pStyle w:val="FootnoteText"/>
        <w:ind w:left="284" w:hanging="284"/>
        <w:rPr>
          <w:rFonts w:cs="Arial"/>
        </w:rPr>
      </w:pPr>
      <w:r>
        <w:rPr>
          <w:rStyle w:val="FootnoteReference"/>
        </w:rPr>
        <w:footnoteRef/>
      </w:r>
      <w:r>
        <w:t xml:space="preserve"> </w:t>
      </w:r>
      <w:r>
        <w:tab/>
      </w:r>
      <w:r>
        <w:rPr>
          <w:sz w:val="16"/>
        </w:rPr>
        <w:t>A 2000. december 1-jén elfogadott MSC.112(73) szabvány – A hajókon használt globális helymeghatározó rendszer (GPS) vevőberendezéseinek teljesítményére vonatkozó felülvizsgált előírások.</w:t>
      </w:r>
    </w:p>
  </w:footnote>
  <w:footnote w:id="59">
    <w:p w:rsidR="00842442" w:rsidRPr="00B6380D" w:rsidRDefault="00842442" w:rsidP="005624E3">
      <w:pPr>
        <w:pStyle w:val="FootnoteText"/>
        <w:ind w:left="284" w:hanging="284"/>
        <w:rPr>
          <w:rFonts w:cs="Arial"/>
        </w:rPr>
      </w:pPr>
      <w:r>
        <w:rPr>
          <w:rStyle w:val="FootnoteReference"/>
        </w:rPr>
        <w:footnoteRef/>
      </w:r>
      <w:r>
        <w:rPr>
          <w:vertAlign w:val="superscript"/>
        </w:rPr>
        <w:t xml:space="preserve"> </w:t>
      </w:r>
      <w:r>
        <w:tab/>
      </w:r>
      <w:r>
        <w:rPr>
          <w:sz w:val="16"/>
        </w:rPr>
        <w:t>A 2000. december 1-jén elfogadott MSC.114(73) szabvány – A hajókon használt DGPS és DGLONASS rendszer tengeri rádiókommunikációs irányadóvevő-berendezéseinek teljesítményére vonatkozó felülvizsgált előírások.</w:t>
      </w:r>
    </w:p>
  </w:footnote>
  <w:footnote w:id="60">
    <w:p w:rsidR="00842442" w:rsidRPr="00B6380D" w:rsidRDefault="00842442" w:rsidP="005624E3">
      <w:pPr>
        <w:pStyle w:val="FootnoteText"/>
        <w:ind w:left="284" w:hanging="284"/>
        <w:rPr>
          <w:rFonts w:cs="Arial"/>
        </w:rPr>
      </w:pPr>
      <w:r>
        <w:rPr>
          <w:rStyle w:val="FootnoteReference"/>
        </w:rPr>
        <w:footnoteRef/>
      </w:r>
      <w:r>
        <w:t xml:space="preserve"> </w:t>
      </w:r>
      <w:r>
        <w:tab/>
      </w:r>
      <w:r>
        <w:rPr>
          <w:sz w:val="16"/>
        </w:rPr>
        <w:t>A 2006. december 5-én elfogadott MSC.233(82) szabvány – A hajókon használt Galileo vevőberendezések teljesítményére vonatkozó előírások.</w:t>
      </w:r>
    </w:p>
  </w:footnote>
  <w:footnote w:id="61">
    <w:p w:rsidR="00842442" w:rsidRPr="000E1F46" w:rsidRDefault="00842442" w:rsidP="005624E3">
      <w:pPr>
        <w:pStyle w:val="FootnoteText"/>
        <w:ind w:left="284" w:hanging="284"/>
      </w:pPr>
      <w:r>
        <w:rPr>
          <w:rStyle w:val="FootnoteReference"/>
        </w:rPr>
        <w:footnoteRef/>
      </w:r>
      <w:r>
        <w:rPr>
          <w:vertAlign w:val="superscript"/>
        </w:rPr>
        <w:t xml:space="preserve"> </w:t>
      </w:r>
      <w:r>
        <w:tab/>
      </w:r>
      <w:r>
        <w:rPr>
          <w:sz w:val="16"/>
        </w:rPr>
        <w:t>A 2000. december 1-jén elfogadott MSC.116(73) szabvány – A tengeri hajózásban használt, haladási irányra vonatkozó információt továbbító berendezések (THD-k) teljesítményére vonatkozó előírások.</w:t>
      </w:r>
    </w:p>
  </w:footnote>
  <w:footnote w:id="62">
    <w:p w:rsidR="00842442" w:rsidRDefault="00842442" w:rsidP="005624E3">
      <w:pPr>
        <w:pStyle w:val="FootnoteText"/>
        <w:ind w:left="284" w:hanging="284"/>
        <w:rPr>
          <w:sz w:val="16"/>
          <w:szCs w:val="16"/>
        </w:rPr>
      </w:pPr>
      <w:r>
        <w:rPr>
          <w:rStyle w:val="FootnoteReference"/>
        </w:rPr>
        <w:footnoteRef/>
      </w:r>
      <w:r>
        <w:t xml:space="preserve"> </w:t>
      </w:r>
      <w:r>
        <w:tab/>
      </w:r>
      <w:r>
        <w:rPr>
          <w:sz w:val="16"/>
        </w:rPr>
        <w:t>A megfelelő négyzetet ikszelje be.</w:t>
      </w:r>
    </w:p>
    <w:p w:rsidR="00842442" w:rsidRPr="001705E4" w:rsidRDefault="00842442" w:rsidP="005624E3">
      <w:pPr>
        <w:pStyle w:val="FootnoteText"/>
        <w:ind w:left="284" w:hanging="284"/>
      </w:pPr>
    </w:p>
  </w:footnote>
  <w:footnote w:id="63">
    <w:p w:rsidR="00842442" w:rsidRPr="00142885" w:rsidRDefault="00842442" w:rsidP="005624E3">
      <w:pPr>
        <w:ind w:left="284" w:hanging="284"/>
        <w:rPr>
          <w:sz w:val="18"/>
        </w:rPr>
      </w:pPr>
      <w:r>
        <w:rPr>
          <w:rStyle w:val="FootnoteReference"/>
        </w:rPr>
        <w:footnoteRef/>
      </w:r>
      <w:r>
        <w:t xml:space="preserve"> </w:t>
      </w:r>
      <w:r>
        <w:tab/>
      </w:r>
      <w:r>
        <w:rPr>
          <w:sz w:val="16"/>
        </w:rPr>
        <w:t>Az illetékes hatóság által kiadott adatközlő lap hivatkozási száma.</w:t>
      </w:r>
    </w:p>
  </w:footnote>
  <w:footnote w:id="64">
    <w:p w:rsidR="00842442" w:rsidRPr="00EB56AC" w:rsidRDefault="00842442" w:rsidP="005624E3">
      <w:pPr>
        <w:pStyle w:val="FootnoteText"/>
        <w:ind w:left="284" w:hanging="284"/>
        <w:rPr>
          <w:sz w:val="16"/>
          <w:szCs w:val="16"/>
        </w:rPr>
      </w:pPr>
      <w:r>
        <w:rPr>
          <w:rStyle w:val="FootnoteReference"/>
          <w:sz w:val="16"/>
        </w:rPr>
        <w:footnoteRef/>
      </w:r>
      <w:r>
        <w:rPr>
          <w:sz w:val="16"/>
        </w:rPr>
        <w:t xml:space="preserve"> </w:t>
      </w:r>
      <w:r>
        <w:tab/>
      </w:r>
      <w:r>
        <w:rPr>
          <w:sz w:val="16"/>
        </w:rPr>
        <w:t>Üzemmódok</w:t>
      </w:r>
    </w:p>
    <w:p w:rsidR="00842442" w:rsidRPr="00EB56AC" w:rsidRDefault="00842442" w:rsidP="005624E3">
      <w:pPr>
        <w:pStyle w:val="FootnoteText"/>
        <w:ind w:left="284"/>
        <w:rPr>
          <w:sz w:val="16"/>
          <w:szCs w:val="16"/>
        </w:rPr>
      </w:pPr>
      <w:r>
        <w:rPr>
          <w:sz w:val="16"/>
        </w:rPr>
        <w:t>A vizsgálatok céljából a következő üzemmódokat kell meghatározni:</w:t>
      </w:r>
    </w:p>
    <w:p w:rsidR="00842442" w:rsidRPr="00EB56AC" w:rsidRDefault="00842442" w:rsidP="005624E3">
      <w:pPr>
        <w:pStyle w:val="FootnoteText"/>
        <w:ind w:left="709"/>
        <w:rPr>
          <w:sz w:val="16"/>
          <w:szCs w:val="16"/>
        </w:rPr>
      </w:pPr>
      <w:r>
        <w:rPr>
          <w:sz w:val="16"/>
        </w:rPr>
        <w:t>a)</w:t>
      </w:r>
      <w:r>
        <w:tab/>
      </w:r>
      <w:r>
        <w:rPr>
          <w:sz w:val="16"/>
        </w:rPr>
        <w:t xml:space="preserve">Készenléti üzem: a fedélzeti szennyvízkezelő mű üzemel, de több mint egy napja nem kapott szennyvizet. A fedélzeti szennyvízkezelő mű készenléti üzemben lehet például akkor, amikor a személyhajó hosszabb ideig nem lát el személyszállítási feladatokat, hanem a kikötőben horgonyoz. </w:t>
      </w:r>
    </w:p>
    <w:p w:rsidR="00842442" w:rsidRPr="00EB56AC" w:rsidRDefault="00842442" w:rsidP="005624E3">
      <w:pPr>
        <w:pStyle w:val="FootnoteText"/>
        <w:ind w:left="709"/>
        <w:rPr>
          <w:sz w:val="16"/>
          <w:szCs w:val="16"/>
        </w:rPr>
      </w:pPr>
      <w:r>
        <w:rPr>
          <w:sz w:val="16"/>
        </w:rPr>
        <w:t>b)</w:t>
      </w:r>
      <w:r>
        <w:tab/>
      </w:r>
      <w:r>
        <w:rPr>
          <w:sz w:val="16"/>
        </w:rPr>
        <w:t>Vészhelyzeti üzem: a fedélzeti szennyvízkezelő mű egyes részeinek korábbi rendellenes működése miatt nincs mód a szennyvíz terv szerinti kezelésére.</w:t>
      </w:r>
    </w:p>
    <w:p w:rsidR="00842442" w:rsidRPr="00EB56AC" w:rsidRDefault="00842442" w:rsidP="005624E3">
      <w:pPr>
        <w:pStyle w:val="FootnoteText"/>
        <w:ind w:left="709"/>
        <w:rPr>
          <w:sz w:val="16"/>
          <w:szCs w:val="16"/>
        </w:rPr>
      </w:pPr>
      <w:r>
        <w:rPr>
          <w:sz w:val="16"/>
        </w:rPr>
        <w:t>c)</w:t>
      </w:r>
      <w:r>
        <w:tab/>
      </w:r>
      <w:r>
        <w:rPr>
          <w:sz w:val="16"/>
        </w:rPr>
        <w:t>Leállítási, állási és újraindítási üzem: a fedélzeti szennyvízkezelő mű üzemét hosszabb időre (például a téli horgonyzás idejére) megszakítják, és az áramellátást kikapcsolják, illetve a fedélzeti szennyvízkezelő művet az idény kezdetén ismét beindítják.</w:t>
      </w:r>
    </w:p>
    <w:p w:rsidR="00842442" w:rsidRPr="004E6B89" w:rsidRDefault="00842442" w:rsidP="005624E3">
      <w:pPr>
        <w:pStyle w:val="FootnoteText"/>
        <w:rPr>
          <w:sz w:val="14"/>
        </w:rPr>
      </w:pPr>
    </w:p>
  </w:footnote>
  <w:footnote w:id="65">
    <w:p w:rsidR="00842442" w:rsidRPr="009C13A9" w:rsidRDefault="00842442" w:rsidP="005624E3">
      <w:pPr>
        <w:pStyle w:val="FootnoteText"/>
        <w:ind w:left="284" w:hanging="284"/>
      </w:pPr>
      <w:r>
        <w:rPr>
          <w:rStyle w:val="FootnoteReference"/>
        </w:rPr>
        <w:footnoteRef/>
      </w:r>
      <w:r>
        <w:t xml:space="preserve"> </w:t>
      </w:r>
      <w:r>
        <w:tab/>
      </w:r>
      <w:r>
        <w:rPr>
          <w:sz w:val="16"/>
        </w:rPr>
        <w:t>Jelölje meg a megfelelőt.</w:t>
      </w:r>
    </w:p>
  </w:footnote>
  <w:footnote w:id="66">
    <w:p w:rsidR="00842442" w:rsidRPr="00684B1D" w:rsidRDefault="00842442" w:rsidP="005624E3">
      <w:pPr>
        <w:pStyle w:val="FootnoteText"/>
        <w:ind w:left="284" w:hanging="284"/>
        <w:rPr>
          <w:sz w:val="16"/>
          <w:szCs w:val="16"/>
        </w:rPr>
      </w:pPr>
      <w:r>
        <w:rPr>
          <w:rStyle w:val="FootnoteReference"/>
        </w:rPr>
        <w:footnoteRef/>
      </w:r>
      <w:r>
        <w:tab/>
      </w:r>
      <w:r>
        <w:rPr>
          <w:sz w:val="16"/>
        </w:rPr>
        <w:t>Jelölje meg a megfelelőt.</w:t>
      </w:r>
    </w:p>
  </w:footnote>
  <w:footnote w:id="67">
    <w:p w:rsidR="00842442" w:rsidRPr="00684B1D" w:rsidRDefault="00842442" w:rsidP="005624E3">
      <w:pPr>
        <w:pStyle w:val="FootnoteText"/>
        <w:ind w:left="284" w:hanging="284"/>
        <w:rPr>
          <w:sz w:val="16"/>
        </w:rPr>
      </w:pPr>
      <w:r>
        <w:rPr>
          <w:rStyle w:val="FootnoteReference"/>
        </w:rPr>
        <w:footnoteRef/>
      </w:r>
      <w:r>
        <w:tab/>
      </w:r>
      <w:r>
        <w:rPr>
          <w:sz w:val="16"/>
        </w:rPr>
        <w:t>Ha a vizsgálatokat az illetékes hatóság végzi, adja meg a következőt: „Tárgytalan”.</w:t>
      </w:r>
    </w:p>
  </w:footnote>
  <w:footnote w:id="68">
    <w:p w:rsidR="00842442" w:rsidRPr="00704BED" w:rsidRDefault="00842442" w:rsidP="005624E3">
      <w:pPr>
        <w:pStyle w:val="FootnoteText"/>
        <w:ind w:left="284" w:hanging="284"/>
        <w:rPr>
          <w:sz w:val="16"/>
        </w:rPr>
      </w:pPr>
      <w:r>
        <w:rPr>
          <w:rStyle w:val="FootnoteReference"/>
        </w:rPr>
        <w:footnoteRef/>
      </w:r>
      <w:r>
        <w:tab/>
      </w:r>
      <w:r>
        <w:rPr>
          <w:sz w:val="16"/>
        </w:rPr>
        <w:t>Jelölje meg a megfelelőt.</w:t>
      </w:r>
    </w:p>
  </w:footnote>
  <w:footnote w:id="69">
    <w:p w:rsidR="00842442" w:rsidRPr="00704BED" w:rsidRDefault="00842442" w:rsidP="005624E3">
      <w:pPr>
        <w:pStyle w:val="FootnoteText"/>
        <w:ind w:left="284" w:hanging="284"/>
        <w:rPr>
          <w:sz w:val="16"/>
        </w:rPr>
      </w:pPr>
      <w:r>
        <w:rPr>
          <w:rStyle w:val="FootnoteReference"/>
        </w:rPr>
        <w:footnoteRef/>
      </w:r>
      <w:r>
        <w:tab/>
      </w:r>
      <w:r>
        <w:rPr>
          <w:sz w:val="16"/>
        </w:rPr>
        <w:t>Több vizsgálati ciklus esetében mindegyikre külön-külön.</w:t>
      </w:r>
    </w:p>
  </w:footnote>
  <w:footnote w:id="70">
    <w:p w:rsidR="00842442" w:rsidRPr="00BE2EE8" w:rsidRDefault="00842442" w:rsidP="005624E3">
      <w:pPr>
        <w:pStyle w:val="FootnoteText"/>
        <w:ind w:left="284" w:hanging="284"/>
      </w:pPr>
      <w:r>
        <w:rPr>
          <w:rStyle w:val="FootnoteReference"/>
        </w:rPr>
        <w:footnoteRef/>
      </w:r>
      <w:r>
        <w:t xml:space="preserve"> </w:t>
      </w:r>
      <w:r>
        <w:tab/>
      </w:r>
      <w:r>
        <w:rPr>
          <w:sz w:val="16"/>
        </w:rPr>
        <w:t>A típusbizonyítványban megadottak szerint.</w:t>
      </w:r>
    </w:p>
  </w:footnote>
  <w:footnote w:id="71">
    <w:p w:rsidR="00842442" w:rsidRPr="001C46BB" w:rsidRDefault="00842442" w:rsidP="005624E3">
      <w:pPr>
        <w:pStyle w:val="FootnoteText"/>
        <w:ind w:left="284" w:hanging="284"/>
      </w:pPr>
      <w:r>
        <w:rPr>
          <w:rStyle w:val="FootnoteReference"/>
        </w:rPr>
        <w:footnoteRef/>
      </w:r>
      <w:r>
        <w:t xml:space="preserve"> </w:t>
      </w:r>
      <w:r>
        <w:tab/>
      </w:r>
      <w:r>
        <w:rPr>
          <w:sz w:val="16"/>
        </w:rPr>
        <w:t>Jelölje meg a megfelelőt.</w:t>
      </w:r>
    </w:p>
  </w:footnote>
  <w:footnote w:id="72">
    <w:p w:rsidR="00842442" w:rsidRPr="00101CB2" w:rsidRDefault="00842442" w:rsidP="005624E3">
      <w:pPr>
        <w:pStyle w:val="FootnoteText"/>
        <w:ind w:left="284" w:hanging="284"/>
        <w:rPr>
          <w:sz w:val="16"/>
          <w:szCs w:val="16"/>
        </w:rPr>
      </w:pPr>
      <w:r>
        <w:rPr>
          <w:rStyle w:val="FootnoteReference"/>
        </w:rPr>
        <w:footnoteRef/>
      </w:r>
      <w:r>
        <w:tab/>
      </w:r>
      <w:r>
        <w:rPr>
          <w:sz w:val="16"/>
        </w:rPr>
        <w:t>A vizsgálatot végző személy tölti ki.</w:t>
      </w:r>
    </w:p>
  </w:footnote>
  <w:footnote w:id="73">
    <w:p w:rsidR="00842442" w:rsidRPr="00101CB2" w:rsidRDefault="00842442" w:rsidP="005624E3">
      <w:pPr>
        <w:pStyle w:val="FootnoteText"/>
        <w:ind w:left="284" w:hanging="284"/>
        <w:rPr>
          <w:sz w:val="16"/>
          <w:szCs w:val="16"/>
        </w:rPr>
      </w:pPr>
      <w:r>
        <w:rPr>
          <w:rStyle w:val="FootnoteReference"/>
        </w:rPr>
        <w:footnoteRef/>
      </w:r>
      <w:r>
        <w:tab/>
      </w:r>
      <w:r>
        <w:rPr>
          <w:sz w:val="16"/>
        </w:rPr>
        <w:t>Jelölje meg a megfelelőt.</w:t>
      </w:r>
    </w:p>
  </w:footnote>
  <w:footnote w:id="74">
    <w:p w:rsidR="00842442" w:rsidRPr="008A3881" w:rsidRDefault="00842442" w:rsidP="005624E3">
      <w:pPr>
        <w:pStyle w:val="FootnoteText"/>
        <w:ind w:left="284" w:hanging="284"/>
      </w:pPr>
      <w:r>
        <w:rPr>
          <w:rStyle w:val="FootnoteReference"/>
        </w:rPr>
        <w:footnoteRef/>
      </w:r>
      <w:r>
        <w:t xml:space="preserve"> </w:t>
      </w:r>
      <w:r>
        <w:tab/>
      </w:r>
      <w:r>
        <w:rPr>
          <w:sz w:val="16"/>
        </w:rPr>
        <w:t>Jelölje meg a megfelelőt.</w:t>
      </w:r>
    </w:p>
  </w:footnote>
  <w:footnote w:id="75">
    <w:p w:rsidR="00842442" w:rsidRPr="00101CB2" w:rsidRDefault="00842442" w:rsidP="005624E3">
      <w:pPr>
        <w:pStyle w:val="FootnoteText"/>
        <w:ind w:left="284" w:hanging="284"/>
        <w:rPr>
          <w:sz w:val="18"/>
          <w:szCs w:val="18"/>
        </w:rPr>
      </w:pPr>
      <w:r>
        <w:rPr>
          <w:sz w:val="18"/>
          <w:vertAlign w:val="superscript"/>
        </w:rPr>
        <w:t>(</w:t>
      </w:r>
      <w:r>
        <w:rPr>
          <w:rStyle w:val="Caractresdenotedebasdepage"/>
          <w:sz w:val="18"/>
        </w:rPr>
        <w:footnoteRef/>
      </w:r>
      <w:r>
        <w:rPr>
          <w:sz w:val="18"/>
          <w:vertAlign w:val="superscript"/>
        </w:rPr>
        <w:t>)</w:t>
      </w:r>
      <w:r>
        <w:tab/>
      </w:r>
      <w:r>
        <w:rPr>
          <w:sz w:val="16"/>
        </w:rPr>
        <w:t>A TOC ellenőrzése a 18.01. cikk 2. bekezdésének 2. táblázatában megadott maximális értékek (II. fázis) alapján történik.</w:t>
      </w:r>
    </w:p>
  </w:footnote>
  <w:footnote w:id="76">
    <w:p w:rsidR="00842442" w:rsidRPr="00101CB2" w:rsidRDefault="00842442" w:rsidP="005624E3">
      <w:pPr>
        <w:pStyle w:val="FootnoteText"/>
        <w:ind w:left="284" w:hanging="284"/>
        <w:rPr>
          <w:sz w:val="16"/>
          <w:szCs w:val="18"/>
        </w:rPr>
      </w:pPr>
      <w:r>
        <w:rPr>
          <w:sz w:val="18"/>
          <w:vertAlign w:val="superscript"/>
        </w:rPr>
        <w:t>(</w:t>
      </w:r>
      <w:r>
        <w:rPr>
          <w:rStyle w:val="Caractresdenotedebasdepage"/>
          <w:sz w:val="18"/>
        </w:rPr>
        <w:footnoteRef/>
      </w:r>
      <w:r>
        <w:rPr>
          <w:sz w:val="18"/>
          <w:vertAlign w:val="superscript"/>
        </w:rPr>
        <w:t>)</w:t>
      </w:r>
      <w:r>
        <w:tab/>
      </w:r>
      <w:r>
        <w:rPr>
          <w:sz w:val="16"/>
        </w:rPr>
        <w:t>A TOC ellenőrzése a 18.01. cikk 2. bekezdésének 2. táblázatában megadott maximális értékek (II. fázis) alapján történik.</w:t>
      </w:r>
    </w:p>
  </w:footnote>
  <w:footnote w:id="77">
    <w:p w:rsidR="00842442" w:rsidRPr="005C7B19" w:rsidRDefault="00842442" w:rsidP="005624E3">
      <w:pPr>
        <w:pStyle w:val="FootnoteText"/>
        <w:ind w:left="284" w:hanging="284"/>
        <w:rPr>
          <w:lang w:val="pt-PT"/>
        </w:rPr>
      </w:pPr>
      <w:r w:rsidRPr="005C7B19">
        <w:rPr>
          <w:rStyle w:val="FootnoteReference"/>
          <w:lang w:val="pt-PT"/>
        </w:rPr>
        <w:t>(*)</w:t>
      </w:r>
      <w:r w:rsidRPr="005C7B19">
        <w:rPr>
          <w:lang w:val="pt-PT"/>
        </w:rPr>
        <w:t xml:space="preserve"> </w:t>
      </w:r>
      <w:r w:rsidRPr="005C7B19">
        <w:rPr>
          <w:lang w:val="pt-PT"/>
        </w:rPr>
        <w:tab/>
      </w:r>
      <w:r w:rsidRPr="005C7B19">
        <w:rPr>
          <w:sz w:val="16"/>
          <w:lang w:val="pt-PT"/>
        </w:rPr>
        <w:t>A nem kívánt rész törlendő.</w:t>
      </w:r>
    </w:p>
  </w:footnote>
  <w:footnote w:id="78">
    <w:p w:rsidR="00842442" w:rsidRPr="005C7B19" w:rsidRDefault="00842442" w:rsidP="005624E3">
      <w:pPr>
        <w:pStyle w:val="FootnoteText"/>
        <w:ind w:left="284" w:hanging="284"/>
        <w:rPr>
          <w:sz w:val="16"/>
          <w:lang w:val="pt-PT"/>
        </w:rPr>
      </w:pPr>
      <w:r>
        <w:rPr>
          <w:rStyle w:val="FootnoteReference"/>
        </w:rPr>
        <w:footnoteRef/>
      </w:r>
      <w:r w:rsidRPr="005C7B19">
        <w:rPr>
          <w:lang w:val="pt-PT"/>
        </w:rPr>
        <w:tab/>
      </w:r>
      <w:r w:rsidRPr="005C7B19">
        <w:rPr>
          <w:sz w:val="16"/>
          <w:lang w:val="pt-PT"/>
        </w:rPr>
        <w:t>A nem kívánt rész törlendő.</w:t>
      </w:r>
    </w:p>
  </w:footnote>
  <w:footnote w:id="79">
    <w:p w:rsidR="00842442" w:rsidRPr="005C7B19" w:rsidRDefault="00842442" w:rsidP="005624E3">
      <w:pPr>
        <w:pStyle w:val="FootnoteText"/>
        <w:tabs>
          <w:tab w:val="left" w:pos="284"/>
        </w:tabs>
        <w:rPr>
          <w:lang w:val="pt-PT"/>
        </w:rPr>
      </w:pPr>
      <w:r w:rsidRPr="005C7B19">
        <w:rPr>
          <w:rStyle w:val="FootnoteReference"/>
          <w:lang w:val="pt-PT"/>
        </w:rPr>
        <w:t>*)</w:t>
      </w:r>
      <w:r w:rsidRPr="005C7B19">
        <w:rPr>
          <w:lang w:val="pt-PT"/>
        </w:rPr>
        <w:t xml:space="preserve"> </w:t>
      </w:r>
      <w:r w:rsidRPr="005C7B19">
        <w:rPr>
          <w:lang w:val="pt-PT"/>
        </w:rPr>
        <w:tab/>
      </w:r>
      <w:r w:rsidRPr="005C7B19">
        <w:rPr>
          <w:sz w:val="16"/>
          <w:lang w:val="pt-PT"/>
        </w:rPr>
        <w:t>A nem kívánt rész törlendő</w:t>
      </w:r>
    </w:p>
  </w:footnote>
  <w:footnote w:id="80">
    <w:p w:rsidR="00842442" w:rsidRPr="005C7B19" w:rsidRDefault="00842442" w:rsidP="005624E3">
      <w:pPr>
        <w:pStyle w:val="FootnoteText"/>
        <w:tabs>
          <w:tab w:val="left" w:pos="284"/>
        </w:tabs>
        <w:rPr>
          <w:lang w:val="pt-PT"/>
        </w:rPr>
      </w:pPr>
      <w:r w:rsidRPr="005C7B19">
        <w:rPr>
          <w:rStyle w:val="FootnoteReference"/>
          <w:lang w:val="pt-PT"/>
        </w:rPr>
        <w:t>*)</w:t>
      </w:r>
      <w:r w:rsidRPr="005C7B19">
        <w:rPr>
          <w:lang w:val="pt-PT"/>
        </w:rPr>
        <w:t xml:space="preserve"> </w:t>
      </w:r>
      <w:r w:rsidRPr="005C7B19">
        <w:rPr>
          <w:lang w:val="pt-PT"/>
        </w:rPr>
        <w:tab/>
      </w:r>
      <w:r w:rsidRPr="005C7B19">
        <w:rPr>
          <w:sz w:val="16"/>
          <w:lang w:val="pt-PT"/>
        </w:rPr>
        <w:t>A nem kívánt rész törlendő</w:t>
      </w:r>
    </w:p>
  </w:footnote>
  <w:footnote w:id="81">
    <w:p w:rsidR="00842442" w:rsidRPr="005C7B19" w:rsidRDefault="00842442" w:rsidP="005624E3">
      <w:pPr>
        <w:pStyle w:val="FootnoteText"/>
        <w:ind w:left="284" w:hanging="284"/>
        <w:rPr>
          <w:lang w:val="pt-PT"/>
        </w:rPr>
      </w:pPr>
      <w:r w:rsidRPr="005C7B19">
        <w:rPr>
          <w:rStyle w:val="FootnoteReference"/>
          <w:lang w:val="pt-PT"/>
        </w:rPr>
        <w:t>*)</w:t>
      </w:r>
      <w:r w:rsidRPr="005C7B19">
        <w:rPr>
          <w:lang w:val="pt-PT"/>
        </w:rPr>
        <w:t xml:space="preserve"> </w:t>
      </w:r>
      <w:r w:rsidRPr="005C7B19">
        <w:rPr>
          <w:lang w:val="pt-PT"/>
        </w:rPr>
        <w:tab/>
      </w:r>
      <w:r w:rsidRPr="005C7B19">
        <w:rPr>
          <w:sz w:val="16"/>
          <w:lang w:val="pt-PT"/>
        </w:rPr>
        <w:t>A nem kívánt rész törlendő</w:t>
      </w:r>
    </w:p>
  </w:footnote>
  <w:footnote w:id="82">
    <w:p w:rsidR="00842442" w:rsidRPr="005C7B19" w:rsidRDefault="00842442" w:rsidP="005624E3">
      <w:pPr>
        <w:pStyle w:val="FootnoteText"/>
        <w:tabs>
          <w:tab w:val="left" w:pos="284"/>
        </w:tabs>
        <w:rPr>
          <w:lang w:val="pt-PT"/>
        </w:rPr>
      </w:pPr>
      <w:r>
        <w:rPr>
          <w:rStyle w:val="FootnoteReference"/>
        </w:rPr>
        <w:footnoteRef/>
      </w:r>
      <w:r w:rsidRPr="005C7B19">
        <w:rPr>
          <w:lang w:val="pt-PT"/>
        </w:rPr>
        <w:t xml:space="preserve"> </w:t>
      </w:r>
      <w:r w:rsidRPr="005C7B19">
        <w:rPr>
          <w:lang w:val="pt-PT"/>
        </w:rPr>
        <w:tab/>
      </w:r>
      <w:r w:rsidRPr="005C7B19">
        <w:rPr>
          <w:sz w:val="16"/>
          <w:lang w:val="pt-PT"/>
        </w:rPr>
        <w:t>A nem kívánt rész törlendő</w:t>
      </w:r>
    </w:p>
  </w:footnote>
  <w:footnote w:id="83">
    <w:p w:rsidR="00842442" w:rsidRPr="005C7B19" w:rsidRDefault="00842442" w:rsidP="005624E3">
      <w:pPr>
        <w:pStyle w:val="FootnoteText"/>
        <w:ind w:left="284" w:hanging="284"/>
        <w:rPr>
          <w:rFonts w:cs="Arial"/>
          <w:sz w:val="16"/>
          <w:szCs w:val="16"/>
          <w:lang w:val="pt-PT"/>
        </w:rPr>
      </w:pPr>
      <w:r>
        <w:rPr>
          <w:rStyle w:val="FootnoteReference"/>
          <w:sz w:val="18"/>
        </w:rPr>
        <w:footnoteRef/>
      </w:r>
      <w:r w:rsidRPr="005C7B19">
        <w:rPr>
          <w:sz w:val="18"/>
          <w:lang w:val="pt-PT"/>
        </w:rPr>
        <w:t xml:space="preserve"> </w:t>
      </w:r>
      <w:r w:rsidRPr="005C7B19">
        <w:rPr>
          <w:lang w:val="pt-PT"/>
        </w:rPr>
        <w:tab/>
      </w:r>
      <w:r w:rsidRPr="005C7B19">
        <w:rPr>
          <w:sz w:val="16"/>
          <w:lang w:val="pt-PT"/>
        </w:rPr>
        <w:t>Az Európai Parlament és a Tanács 2009/45/EK irányelve (2009. május 6.) a személyhajókra vonatkozó biztonsági szabályokról és követelményekről (HL L 163., 2009.6.25.).</w:t>
      </w:r>
    </w:p>
  </w:footnote>
  <w:footnote w:id="84">
    <w:p w:rsidR="00842442" w:rsidRPr="005C7B19" w:rsidRDefault="00842442" w:rsidP="005624E3">
      <w:pPr>
        <w:pStyle w:val="FootnoteText"/>
        <w:ind w:left="284" w:hanging="284"/>
        <w:rPr>
          <w:rFonts w:cs="Arial"/>
          <w:sz w:val="16"/>
          <w:szCs w:val="16"/>
          <w:lang w:val="pt-PT"/>
        </w:rPr>
      </w:pPr>
      <w:r>
        <w:rPr>
          <w:rStyle w:val="FootnoteReference"/>
          <w:sz w:val="18"/>
        </w:rPr>
        <w:footnoteRef/>
      </w:r>
      <w:r w:rsidRPr="005C7B19">
        <w:rPr>
          <w:sz w:val="18"/>
          <w:lang w:val="pt-PT"/>
        </w:rPr>
        <w:t xml:space="preserve"> </w:t>
      </w:r>
      <w:r w:rsidRPr="005C7B19">
        <w:rPr>
          <w:lang w:val="pt-PT"/>
        </w:rPr>
        <w:tab/>
      </w:r>
      <w:r w:rsidRPr="005C7B19">
        <w:rPr>
          <w:sz w:val="16"/>
          <w:lang w:val="pt-PT"/>
        </w:rPr>
        <w:t>Iránymutatások csökkent mozgásképességű személyek szállítására is alkalmas személyhajókhoz</w:t>
      </w:r>
      <w:r>
        <w:rPr>
          <w:sz w:val="16"/>
          <w:lang w:val="pt-PT"/>
        </w:rPr>
        <w:t>.</w:t>
      </w:r>
      <w:r w:rsidRPr="005C7B19">
        <w:rPr>
          <w:sz w:val="16"/>
          <w:lang w:val="pt-PT"/>
        </w:rPr>
        <w:t xml:space="preserve"> </w:t>
      </w:r>
      <w:r w:rsidR="00367730" w:rsidRPr="00367730">
        <w:rPr>
          <w:sz w:val="16"/>
          <w:lang w:val="pt-PT"/>
        </w:rPr>
        <w:t>Készítette: az ENSZ Európai Gazdasági Bizottsága, Belső Szállítási Bizottság, belvízi szállítási munkacsoport</w:t>
      </w:r>
      <w:r w:rsidR="00367730">
        <w:rPr>
          <w:sz w:val="16"/>
          <w:lang w:val="pt-PT"/>
        </w:rPr>
        <w:t>, elfogadva 2010. október 15-én</w:t>
      </w:r>
      <w:r w:rsidRPr="005C7B19">
        <w:rPr>
          <w:sz w:val="16"/>
          <w:lang w:val="pt-PT"/>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26A59" w:rsidRDefault="00842442" w:rsidP="00226A59">
    <w:pPr>
      <w:widowControl w:val="0"/>
      <w:rPr>
        <w:sz w:val="16"/>
        <w:szCs w:val="16"/>
      </w:rPr>
    </w:pPr>
    <w:r>
      <w:rPr>
        <w:sz w:val="16"/>
      </w:rPr>
      <w:t>A belvízi hajózási szabványok kidolgozásáért felelős európai bizottság (CESNI)</w:t>
    </w:r>
  </w:p>
  <w:p w:rsidR="00842442" w:rsidRPr="00226A59" w:rsidRDefault="00842442" w:rsidP="00226A59">
    <w:pPr>
      <w:widowControl w:val="0"/>
      <w:pBdr>
        <w:bottom w:val="single" w:sz="6" w:space="1" w:color="auto"/>
      </w:pBdr>
      <w:tabs>
        <w:tab w:val="right" w:pos="9070"/>
        <w:tab w:val="right" w:pos="14034"/>
      </w:tabs>
      <w:rPr>
        <w:sz w:val="16"/>
        <w:szCs w:val="16"/>
      </w:rPr>
    </w:pPr>
    <w:r>
      <w:rPr>
        <w:sz w:val="16"/>
      </w:rPr>
      <w:t xml:space="preserve">A belvízi hajók műszaki követelményeit meghatározó </w:t>
    </w:r>
  </w:p>
  <w:p w:rsidR="00842442" w:rsidRPr="00226A59" w:rsidRDefault="00842442" w:rsidP="00226A59">
    <w:pPr>
      <w:widowControl w:val="0"/>
      <w:pBdr>
        <w:bottom w:val="single" w:sz="6" w:space="1" w:color="auto"/>
      </w:pBdr>
      <w:tabs>
        <w:tab w:val="right" w:pos="9070"/>
        <w:tab w:val="right" w:pos="14034"/>
      </w:tabs>
      <w:rPr>
        <w:sz w:val="16"/>
        <w:szCs w:val="16"/>
      </w:rPr>
    </w:pPr>
    <w:r>
      <w:rPr>
        <w:sz w:val="16"/>
      </w:rPr>
      <w:t>európai szabvány (ES-TRIN)</w:t>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26A59" w:rsidRDefault="00842442" w:rsidP="00226A59">
    <w:pPr>
      <w:widowControl w:val="0"/>
      <w:rPr>
        <w:sz w:val="16"/>
        <w:szCs w:val="16"/>
      </w:rPr>
    </w:pPr>
    <w:r>
      <w:rPr>
        <w:sz w:val="16"/>
      </w:rPr>
      <w:t>A belvízi hajózási szabványok kidolgozásáért felelős európai bizottság (CESNI)</w:t>
    </w:r>
  </w:p>
  <w:p w:rsidR="00842442" w:rsidRPr="00226A59" w:rsidRDefault="00842442" w:rsidP="00226A59">
    <w:pPr>
      <w:widowControl w:val="0"/>
      <w:pBdr>
        <w:bottom w:val="single" w:sz="6" w:space="1" w:color="auto"/>
      </w:pBdr>
      <w:tabs>
        <w:tab w:val="right" w:pos="9070"/>
        <w:tab w:val="right" w:pos="14034"/>
      </w:tabs>
      <w:rPr>
        <w:sz w:val="16"/>
        <w:szCs w:val="16"/>
      </w:rPr>
    </w:pPr>
    <w:r>
      <w:rPr>
        <w:sz w:val="16"/>
      </w:rPr>
      <w:t>A belvízi hajók műszaki követelményeit meghatározó</w:t>
    </w:r>
  </w:p>
  <w:p w:rsidR="00842442" w:rsidRPr="00B60D5F" w:rsidRDefault="00842442" w:rsidP="00226A59">
    <w:pPr>
      <w:widowControl w:val="0"/>
      <w:pBdr>
        <w:bottom w:val="single" w:sz="6" w:space="1" w:color="auto"/>
      </w:pBdr>
      <w:tabs>
        <w:tab w:val="right" w:pos="9070"/>
        <w:tab w:val="right" w:pos="14034"/>
      </w:tabs>
      <w:rPr>
        <w:sz w:val="16"/>
        <w:szCs w:val="16"/>
      </w:rPr>
    </w:pPr>
    <w:r>
      <w:rPr>
        <w:sz w:val="16"/>
      </w:rPr>
      <w:t>európai szabvány (ES-TRIN)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26A59" w:rsidRDefault="00842442" w:rsidP="00226A59">
    <w:pPr>
      <w:widowControl w:val="0"/>
      <w:rPr>
        <w:sz w:val="16"/>
        <w:szCs w:val="16"/>
      </w:rPr>
    </w:pPr>
    <w:r>
      <w:rPr>
        <w:sz w:val="16"/>
      </w:rPr>
      <w:t>A belvízi hajózási szabványok kidolgozásáért felelős európai bizottság (CESNI)</w:t>
    </w:r>
  </w:p>
  <w:p w:rsidR="00842442" w:rsidRPr="00226A59" w:rsidRDefault="00842442" w:rsidP="00226A59">
    <w:pPr>
      <w:widowControl w:val="0"/>
      <w:pBdr>
        <w:bottom w:val="single" w:sz="6" w:space="1" w:color="auto"/>
      </w:pBdr>
      <w:tabs>
        <w:tab w:val="right" w:pos="9070"/>
        <w:tab w:val="right" w:pos="14034"/>
      </w:tabs>
      <w:rPr>
        <w:sz w:val="16"/>
        <w:szCs w:val="16"/>
      </w:rPr>
    </w:pPr>
    <w:r>
      <w:rPr>
        <w:sz w:val="16"/>
      </w:rPr>
      <w:t xml:space="preserve">A belvízi hajók műszaki követelményeit meghatározó </w:t>
    </w:r>
  </w:p>
  <w:p w:rsidR="00842442" w:rsidRPr="00DE4417" w:rsidRDefault="00842442" w:rsidP="00226A59">
    <w:pPr>
      <w:widowControl w:val="0"/>
      <w:pBdr>
        <w:bottom w:val="single" w:sz="6" w:space="1" w:color="auto"/>
      </w:pBdr>
      <w:tabs>
        <w:tab w:val="right" w:pos="9070"/>
        <w:tab w:val="right" w:pos="14034"/>
      </w:tabs>
      <w:rPr>
        <w:sz w:val="16"/>
        <w:szCs w:val="16"/>
      </w:rPr>
    </w:pPr>
    <w:r>
      <w:rPr>
        <w:sz w:val="16"/>
      </w:rPr>
      <w:t>európai szabvány (ES-TRIN)</w:t>
    </w:r>
    <w:r>
      <w:tab/>
    </w:r>
    <w:r>
      <w:rPr>
        <w:sz w:val="16"/>
      </w:rPr>
      <w:t>Tartalomjegyzék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26A59" w:rsidRDefault="00842442" w:rsidP="00226A59">
    <w:pPr>
      <w:widowControl w:val="0"/>
      <w:rPr>
        <w:sz w:val="16"/>
        <w:szCs w:val="16"/>
      </w:rPr>
    </w:pPr>
    <w:r>
      <w:rPr>
        <w:sz w:val="16"/>
      </w:rPr>
      <w:t>A belvízi hajózási szabványok kidolgozásáért felelős európai bizottság (CESNI)</w:t>
    </w:r>
  </w:p>
  <w:p w:rsidR="00842442" w:rsidRPr="00226A59" w:rsidRDefault="00842442" w:rsidP="00226A59">
    <w:pPr>
      <w:widowControl w:val="0"/>
      <w:pBdr>
        <w:bottom w:val="single" w:sz="6" w:space="1" w:color="auto"/>
      </w:pBdr>
      <w:tabs>
        <w:tab w:val="right" w:pos="9070"/>
        <w:tab w:val="right" w:pos="14034"/>
      </w:tabs>
      <w:rPr>
        <w:sz w:val="16"/>
        <w:szCs w:val="16"/>
      </w:rPr>
    </w:pPr>
    <w:r>
      <w:rPr>
        <w:sz w:val="16"/>
      </w:rPr>
      <w:t xml:space="preserve">A belvízi hajók műszaki követelményeit meghatározó </w:t>
    </w:r>
  </w:p>
  <w:p w:rsidR="00842442" w:rsidRPr="00226A59" w:rsidRDefault="00842442" w:rsidP="00226A59">
    <w:pPr>
      <w:widowControl w:val="0"/>
      <w:pBdr>
        <w:bottom w:val="single" w:sz="6" w:space="1" w:color="auto"/>
      </w:pBdr>
      <w:tabs>
        <w:tab w:val="right" w:pos="9070"/>
      </w:tabs>
      <w:rPr>
        <w:sz w:val="16"/>
        <w:szCs w:val="16"/>
      </w:rPr>
    </w:pPr>
    <w:r>
      <w:rPr>
        <w:sz w:val="16"/>
      </w:rPr>
      <w:t>európai szabvány (ES-TRIN)</w:t>
    </w:r>
    <w:r>
      <w:tab/>
    </w:r>
    <w:r>
      <w:rPr>
        <w:sz w:val="16"/>
      </w:rPr>
      <w:t>Tartalomjegyzék</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A2865" w:rsidRDefault="00842442" w:rsidP="004B2505">
    <w:pPr>
      <w:widowControl w:val="0"/>
      <w:pBdr>
        <w:bottom w:val="single" w:sz="4" w:space="1" w:color="auto"/>
      </w:pBdr>
      <w:tabs>
        <w:tab w:val="right" w:pos="9072"/>
      </w:tabs>
      <w:jc w:val="right"/>
      <w:rPr>
        <w:sz w:val="16"/>
        <w:szCs w:val="16"/>
      </w:rPr>
    </w:pPr>
    <w:r>
      <w:rPr>
        <w:sz w:val="16"/>
      </w:rPr>
      <w:t>ES-TRIN</w:t>
    </w:r>
    <w:r>
      <w:tab/>
    </w:r>
    <w:r w:rsidR="003142CA">
      <w:fldChar w:fldCharType="begin"/>
    </w:r>
    <w:r w:rsidR="003142CA">
      <w:instrText xml:space="preserve"> STYLEREF  ES-Titre2  \* MERGEFORMAT </w:instrText>
    </w:r>
    <w:r w:rsidR="003142CA">
      <w:fldChar w:fldCharType="separate"/>
    </w:r>
    <w:r w:rsidR="003142CA" w:rsidRPr="003142CA">
      <w:rPr>
        <w:noProof/>
        <w:sz w:val="16"/>
        <w:szCs w:val="16"/>
      </w:rPr>
      <w:t>2. fejezet</w:t>
    </w:r>
    <w:r w:rsidR="003142CA" w:rsidRPr="003142CA">
      <w:rPr>
        <w:noProof/>
        <w:sz w:val="16"/>
        <w:szCs w:val="16"/>
      </w:rPr>
      <w:br/>
    </w:r>
    <w:r w:rsidR="003142CA">
      <w:rPr>
        <w:noProof/>
      </w:rPr>
      <w:t>Eljárás</w:t>
    </w:r>
    <w:r w:rsidR="003142CA">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9A1D30" w:rsidRDefault="00842442" w:rsidP="0010389F">
    <w:pPr>
      <w:pStyle w:val="Header"/>
      <w:pBdr>
        <w:bottom w:val="single" w:sz="4" w:space="1" w:color="auto"/>
      </w:pBdr>
      <w:tabs>
        <w:tab w:val="clear" w:pos="8306"/>
        <w:tab w:val="right" w:pos="9072"/>
      </w:tabs>
      <w:rPr>
        <w:sz w:val="16"/>
        <w:szCs w:val="16"/>
      </w:rPr>
    </w:pPr>
    <w:r>
      <w:rPr>
        <w:sz w:val="16"/>
      </w:rPr>
      <w:t>ES-TRIN</w:t>
    </w:r>
    <w:r>
      <w:tab/>
    </w:r>
    <w:r>
      <w:rPr>
        <w:sz w:val="16"/>
      </w:rPr>
      <w:t>1. fejezet</w:t>
    </w:r>
  </w:p>
  <w:p w:rsidR="00842442" w:rsidRPr="009A1D30" w:rsidRDefault="00842442" w:rsidP="0010389F">
    <w:pPr>
      <w:pStyle w:val="Header"/>
      <w:pBdr>
        <w:bottom w:val="single" w:sz="4" w:space="1" w:color="auto"/>
      </w:pBdr>
      <w:jc w:val="right"/>
      <w:rPr>
        <w:sz w:val="16"/>
        <w:szCs w:val="16"/>
      </w:rPr>
    </w:pPr>
    <w:r>
      <w:rPr>
        <w:sz w:val="16"/>
      </w:rPr>
      <w:t>Általános rendelkezések</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7957F9" w:rsidRDefault="00842442" w:rsidP="004B2505">
    <w:pPr>
      <w:widowControl w:val="0"/>
      <w:pBdr>
        <w:bottom w:val="single" w:sz="4" w:space="1" w:color="auto"/>
      </w:pBdr>
      <w:tabs>
        <w:tab w:val="right" w:pos="9072"/>
      </w:tabs>
      <w:jc w:val="right"/>
      <w:rPr>
        <w:rFonts w:cs="Arial"/>
        <w:sz w:val="16"/>
        <w:szCs w:val="16"/>
      </w:rPr>
    </w:pPr>
    <w:r>
      <w:rPr>
        <w:sz w:val="16"/>
      </w:rPr>
      <w:t>ES-TRIN</w:t>
    </w:r>
    <w:r>
      <w:tab/>
    </w:r>
    <w:r w:rsidRPr="007957F9">
      <w:rPr>
        <w:rFonts w:cs="Times New Roman"/>
        <w:sz w:val="16"/>
        <w:szCs w:val="16"/>
      </w:rPr>
      <w:fldChar w:fldCharType="begin"/>
    </w:r>
    <w:r w:rsidRPr="007957F9">
      <w:rPr>
        <w:sz w:val="16"/>
        <w:szCs w:val="16"/>
      </w:rPr>
      <w:instrText xml:space="preserve"> STYLEREF  ES-Titre2  \* MERGEFORMAT </w:instrText>
    </w:r>
    <w:r w:rsidRPr="007957F9">
      <w:rPr>
        <w:rFonts w:cs="Times New Roman"/>
        <w:sz w:val="16"/>
        <w:szCs w:val="16"/>
      </w:rPr>
      <w:fldChar w:fldCharType="separate"/>
    </w:r>
    <w:r w:rsidR="003142CA" w:rsidRPr="003142CA">
      <w:rPr>
        <w:rFonts w:cs="Arial"/>
        <w:noProof/>
        <w:sz w:val="16"/>
        <w:szCs w:val="16"/>
      </w:rPr>
      <w:t>31. fejezet</w:t>
    </w:r>
    <w:r w:rsidR="003142CA">
      <w:rPr>
        <w:noProof/>
        <w:sz w:val="16"/>
        <w:szCs w:val="16"/>
      </w:rPr>
      <w:br/>
      <w:t>A minimális létszámú legénységgel közlekedő hajókra alkalmazandó külön rendelkezések</w:t>
    </w:r>
    <w:r w:rsidRPr="007957F9">
      <w:rPr>
        <w:rFonts w:cs="Arial"/>
        <w:noProof/>
        <w:sz w:val="16"/>
        <w:szCs w:val="16"/>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D71B1A" w:rsidRDefault="00842442" w:rsidP="00D71B1A">
    <w:pPr>
      <w:widowControl w:val="0"/>
      <w:pBdr>
        <w:bottom w:val="single" w:sz="6" w:space="1" w:color="auto"/>
      </w:pBdr>
      <w:tabs>
        <w:tab w:val="left" w:pos="8250"/>
        <w:tab w:val="right" w:pos="9070"/>
      </w:tabs>
      <w:rPr>
        <w:sz w:val="16"/>
        <w:szCs w:val="16"/>
      </w:rPr>
    </w:pPr>
    <w:r>
      <w:rPr>
        <w:sz w:val="16"/>
      </w:rPr>
      <w:t>ES-TRIN</w:t>
    </w:r>
    <w:r>
      <w:tab/>
    </w:r>
    <w:r>
      <w:rPr>
        <w:sz w:val="16"/>
      </w:rPr>
      <w:t>3. fejezet</w:t>
    </w:r>
  </w:p>
  <w:p w:rsidR="00842442" w:rsidRPr="00D71B1A" w:rsidRDefault="00842442" w:rsidP="00AE58CD">
    <w:pPr>
      <w:widowControl w:val="0"/>
      <w:pBdr>
        <w:bottom w:val="single" w:sz="6" w:space="1" w:color="auto"/>
      </w:pBdr>
      <w:tabs>
        <w:tab w:val="right" w:pos="9070"/>
      </w:tabs>
      <w:jc w:val="right"/>
      <w:rPr>
        <w:sz w:val="16"/>
        <w:szCs w:val="16"/>
      </w:rPr>
    </w:pPr>
    <w:r>
      <w:rPr>
        <w:sz w:val="16"/>
      </w:rPr>
      <w:t>Hajóépítési követelmények</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62373" w:rsidRDefault="00842442" w:rsidP="00C62373">
    <w:pPr>
      <w:widowControl w:val="0"/>
      <w:pBdr>
        <w:bottom w:val="single" w:sz="4" w:space="1" w:color="auto"/>
      </w:pBdr>
      <w:tabs>
        <w:tab w:val="right" w:pos="9072"/>
      </w:tabs>
      <w:jc w:val="right"/>
      <w:rPr>
        <w:rFonts w:cs="Arial"/>
        <w:noProof/>
        <w:sz w:val="16"/>
        <w:szCs w:val="16"/>
      </w:rPr>
    </w:pPr>
    <w:r>
      <w:rPr>
        <w:sz w:val="16"/>
      </w:rPr>
      <w:t>ES-TRIN</w:t>
    </w:r>
    <w:r>
      <w:tab/>
    </w:r>
    <w:r>
      <w:rPr>
        <w:rFonts w:cs="Arial"/>
        <w:noProof/>
        <w:sz w:val="16"/>
        <w:szCs w:val="16"/>
      </w:rPr>
      <w:fldChar w:fldCharType="begin"/>
    </w:r>
    <w:r w:rsidRPr="00F46C3C">
      <w:rPr>
        <w:rFonts w:cs="Arial"/>
        <w:noProof/>
        <w:sz w:val="16"/>
        <w:szCs w:val="16"/>
      </w:rPr>
      <w:instrText xml:space="preserve"> STYLEREF  ES-Titre2  \* MERGEFORMAT </w:instrText>
    </w:r>
    <w:r>
      <w:rPr>
        <w:rFonts w:cs="Arial"/>
        <w:noProof/>
        <w:sz w:val="16"/>
        <w:szCs w:val="16"/>
      </w:rPr>
      <w:fldChar w:fldCharType="separate"/>
    </w:r>
    <w:r w:rsidR="003142CA">
      <w:rPr>
        <w:rFonts w:cs="Arial"/>
        <w:noProof/>
        <w:sz w:val="16"/>
        <w:szCs w:val="16"/>
      </w:rPr>
      <w:t>6. fejezet</w:t>
    </w:r>
    <w:r w:rsidR="003142CA">
      <w:rPr>
        <w:rFonts w:cs="Arial"/>
        <w:noProof/>
        <w:sz w:val="16"/>
        <w:szCs w:val="16"/>
      </w:rPr>
      <w:br/>
      <w:t>Kormányberendezés</w:t>
    </w:r>
    <w:r>
      <w:rPr>
        <w:rFonts w:cs="Arial"/>
        <w:noProof/>
        <w:sz w:val="16"/>
        <w:szCs w:val="16"/>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62373" w:rsidRDefault="00842442" w:rsidP="00C62373">
    <w:pPr>
      <w:widowControl w:val="0"/>
      <w:pBdr>
        <w:bottom w:val="single" w:sz="4" w:space="1" w:color="auto"/>
      </w:pBdr>
      <w:tabs>
        <w:tab w:val="right" w:pos="9072"/>
      </w:tabs>
      <w:jc w:val="right"/>
      <w:rPr>
        <w:rFonts w:cs="Arial"/>
        <w:noProof/>
        <w:sz w:val="16"/>
        <w:szCs w:val="16"/>
      </w:rPr>
    </w:pPr>
    <w:r>
      <w:rPr>
        <w:sz w:val="16"/>
      </w:rPr>
      <w:t>ES-TRIN</w:t>
    </w:r>
    <w:r>
      <w:tab/>
    </w:r>
    <w:r>
      <w:rPr>
        <w:rFonts w:cs="Arial"/>
        <w:noProof/>
        <w:sz w:val="16"/>
        <w:szCs w:val="16"/>
      </w:rPr>
      <w:fldChar w:fldCharType="begin"/>
    </w:r>
    <w:r w:rsidRPr="00F46C3C">
      <w:rPr>
        <w:rFonts w:cs="Arial"/>
        <w:noProof/>
        <w:sz w:val="16"/>
        <w:szCs w:val="16"/>
      </w:rPr>
      <w:instrText xml:space="preserve"> STYLEREF  ES-Titre2  \* MERGEFORMAT </w:instrText>
    </w:r>
    <w:r>
      <w:rPr>
        <w:rFonts w:cs="Arial"/>
        <w:noProof/>
        <w:sz w:val="16"/>
        <w:szCs w:val="16"/>
      </w:rPr>
      <w:fldChar w:fldCharType="separate"/>
    </w:r>
    <w:r w:rsidR="003142CA">
      <w:rPr>
        <w:rFonts w:cs="Arial"/>
        <w:noProof/>
        <w:sz w:val="16"/>
        <w:szCs w:val="16"/>
      </w:rPr>
      <w:t>19. fejezet</w:t>
    </w:r>
    <w:r w:rsidR="003142CA">
      <w:rPr>
        <w:rFonts w:cs="Arial"/>
        <w:noProof/>
        <w:sz w:val="16"/>
        <w:szCs w:val="16"/>
      </w:rPr>
      <w:br/>
      <w:t>A személyhajókra alkalmazandó külön rendelkezések</w:t>
    </w:r>
    <w:r>
      <w:rPr>
        <w:rFonts w:cs="Arial"/>
        <w:noProof/>
        <w:sz w:val="16"/>
        <w:szCs w:val="1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20E00" w:rsidRDefault="00842442" w:rsidP="00DD1033">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C20E00">
      <w:rPr>
        <w:sz w:val="16"/>
        <w:szCs w:val="16"/>
      </w:rPr>
      <w:instrText xml:space="preserve"> STYLEREF  ES-Titre2  \* MERGEFORMAT </w:instrText>
    </w:r>
    <w:r w:rsidRPr="00C20E00">
      <w:rPr>
        <w:sz w:val="16"/>
        <w:szCs w:val="16"/>
      </w:rPr>
      <w:fldChar w:fldCharType="separate"/>
    </w:r>
    <w:r w:rsidR="003142CA">
      <w:rPr>
        <w:noProof/>
        <w:sz w:val="16"/>
        <w:szCs w:val="16"/>
      </w:rPr>
      <w:t>32. fejezet</w:t>
    </w:r>
    <w:r w:rsidR="003142CA">
      <w:rPr>
        <w:noProof/>
        <w:sz w:val="16"/>
        <w:szCs w:val="16"/>
      </w:rPr>
      <w:br/>
      <w:t>A Rajnán (R zóna) közlekedő vízi járművekre vonatkozó átmeneti rendelkezések</w:t>
    </w:r>
    <w:r w:rsidRPr="00C20E00">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32.02. cikk</w:t>
    </w:r>
    <w:r>
      <w:rPr>
        <w:sz w:val="16"/>
        <w:szCs w:val="16"/>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859BD" w:rsidRDefault="00842442" w:rsidP="001E2331">
    <w:pPr>
      <w:widowControl w:val="0"/>
      <w:pBdr>
        <w:bottom w:val="single" w:sz="6" w:space="1" w:color="auto"/>
      </w:pBdr>
      <w:tabs>
        <w:tab w:val="right" w:pos="14034"/>
      </w:tabs>
      <w:rPr>
        <w:sz w:val="16"/>
        <w:szCs w:val="16"/>
      </w:rPr>
    </w:pPr>
    <w:r>
      <w:rPr>
        <w:sz w:val="16"/>
      </w:rPr>
      <w:t>ES-TRIN</w:t>
    </w:r>
    <w:r>
      <w:tab/>
    </w:r>
    <w:r>
      <w:rPr>
        <w:sz w:val="16"/>
      </w:rPr>
      <w:t>32. fejezet</w:t>
    </w:r>
  </w:p>
  <w:p w:rsidR="00842442" w:rsidRPr="00AE58CD" w:rsidRDefault="00842442" w:rsidP="001E2331">
    <w:pPr>
      <w:widowControl w:val="0"/>
      <w:pBdr>
        <w:bottom w:val="single" w:sz="6" w:space="1" w:color="auto"/>
      </w:pBdr>
      <w:tabs>
        <w:tab w:val="right" w:pos="9070"/>
      </w:tabs>
      <w:jc w:val="right"/>
      <w:rPr>
        <w:sz w:val="16"/>
        <w:szCs w:val="16"/>
      </w:rPr>
    </w:pPr>
    <w:r>
      <w:rPr>
        <w:sz w:val="16"/>
      </w:rPr>
      <w:t>A Rajnán (R zóna) közlekedő vízi járművekre vonatkozó átmeneti rendelkezések -</w:t>
    </w:r>
    <w:r>
      <w:rPr>
        <w:sz w:val="16"/>
        <w:szCs w:val="16"/>
      </w:rPr>
      <w:fldChar w:fldCharType="begin"/>
    </w:r>
    <w:r>
      <w:rPr>
        <w:sz w:val="16"/>
        <w:szCs w:val="16"/>
      </w:rPr>
      <w:instrText xml:space="preserve"> STYLEREF  ES-Titre3_pr_chap32  \* MERGEFORMAT </w:instrText>
    </w:r>
    <w:r>
      <w:rPr>
        <w:sz w:val="16"/>
        <w:szCs w:val="16"/>
      </w:rPr>
      <w:fldChar w:fldCharType="separate"/>
    </w:r>
    <w:r w:rsidR="003142CA">
      <w:rPr>
        <w:noProof/>
        <w:sz w:val="16"/>
        <w:szCs w:val="16"/>
      </w:rPr>
      <w:t>32.01. cikk</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32.02. cikk</w:t>
    </w:r>
    <w:r>
      <w:rPr>
        <w:sz w:val="16"/>
        <w:szCs w:val="16"/>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DD1033" w:rsidRDefault="00842442" w:rsidP="00DD1033">
    <w:pPr>
      <w:widowControl w:val="0"/>
      <w:pBdr>
        <w:bottom w:val="single" w:sz="6" w:space="1" w:color="auto"/>
      </w:pBdr>
      <w:tabs>
        <w:tab w:val="right" w:pos="14034"/>
      </w:tabs>
      <w:jc w:val="right"/>
      <w:rPr>
        <w:sz w:val="16"/>
        <w:szCs w:val="16"/>
      </w:rPr>
    </w:pPr>
    <w:r>
      <w:rPr>
        <w:sz w:val="16"/>
      </w:rPr>
      <w:t>ES-TRIN</w:t>
    </w:r>
    <w:r>
      <w:tab/>
    </w:r>
    <w:r w:rsidR="003142CA">
      <w:fldChar w:fldCharType="begin"/>
    </w:r>
    <w:r w:rsidR="003142CA">
      <w:instrText xml:space="preserve"> STYLEREF  ES-Titre2  \* MERGEFORMAT </w:instrText>
    </w:r>
    <w:r w:rsidR="003142CA">
      <w:fldChar w:fldCharType="separate"/>
    </w:r>
    <w:r w:rsidR="003142CA" w:rsidRPr="003142CA">
      <w:rPr>
        <w:noProof/>
        <w:sz w:val="16"/>
        <w:szCs w:val="16"/>
      </w:rPr>
      <w:t>32. fejezet</w:t>
    </w:r>
    <w:r w:rsidR="003142CA" w:rsidRPr="003142CA">
      <w:rPr>
        <w:noProof/>
        <w:sz w:val="16"/>
        <w:szCs w:val="16"/>
      </w:rPr>
      <w:br/>
      <w:t xml:space="preserve">A Rajnán (R zóna) közlekedő vízi járművekre vonatkozó átmeneti </w:t>
    </w:r>
    <w:r w:rsidR="003142CA">
      <w:rPr>
        <w:noProof/>
      </w:rPr>
      <w:t>rendelkezések</w:t>
    </w:r>
    <w:r w:rsidR="003142CA">
      <w:rPr>
        <w:noProof/>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32.05. cikk</w:t>
    </w:r>
    <w:r>
      <w:rPr>
        <w:sz w:val="16"/>
        <w:szCs w:val="1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AE58CD" w:rsidRDefault="00842442" w:rsidP="001E2331">
    <w:pPr>
      <w:widowControl w:val="0"/>
      <w:pBdr>
        <w:bottom w:val="single" w:sz="6" w:space="1" w:color="auto"/>
      </w:pBdr>
      <w:tabs>
        <w:tab w:val="right" w:pos="14034"/>
      </w:tabs>
      <w:rPr>
        <w:sz w:val="16"/>
        <w:szCs w:val="16"/>
      </w:rPr>
    </w:pPr>
    <w:r>
      <w:rPr>
        <w:sz w:val="16"/>
      </w:rPr>
      <w:t>ES-TRIN</w:t>
    </w:r>
    <w:r>
      <w:tab/>
    </w:r>
    <w:r>
      <w:rPr>
        <w:sz w:val="16"/>
      </w:rPr>
      <w:t>32. fejezet</w:t>
    </w:r>
  </w:p>
  <w:p w:rsidR="00842442" w:rsidRPr="00AE58CD" w:rsidRDefault="00842442" w:rsidP="001E2331">
    <w:pPr>
      <w:widowControl w:val="0"/>
      <w:pBdr>
        <w:bottom w:val="single" w:sz="6" w:space="1" w:color="auto"/>
      </w:pBdr>
      <w:tabs>
        <w:tab w:val="right" w:pos="9070"/>
      </w:tabs>
      <w:jc w:val="right"/>
      <w:rPr>
        <w:sz w:val="16"/>
        <w:szCs w:val="16"/>
      </w:rPr>
    </w:pPr>
    <w:r>
      <w:rPr>
        <w:sz w:val="16"/>
      </w:rPr>
      <w:t xml:space="preserve">A Rajnán (R zóna) közlekedő vízi járművekre vonatkozó átmeneti rendelkezések - </w:t>
    </w: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32.03. cikk</w:t>
    </w:r>
    <w:r>
      <w:rPr>
        <w:sz w:val="16"/>
        <w:szCs w:val="16"/>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DD1033" w:rsidRDefault="00842442" w:rsidP="00DD1033">
    <w:pPr>
      <w:widowControl w:val="0"/>
      <w:pBdr>
        <w:bottom w:val="single" w:sz="6" w:space="1" w:color="auto"/>
      </w:pBdr>
      <w:tabs>
        <w:tab w:val="right" w:pos="14034"/>
      </w:tabs>
      <w:jc w:val="right"/>
      <w:rPr>
        <w:sz w:val="16"/>
        <w:szCs w:val="16"/>
      </w:rPr>
    </w:pPr>
    <w:r>
      <w:rPr>
        <w:sz w:val="16"/>
      </w:rPr>
      <w:t>ES-TRIN</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3142CA">
      <w:rPr>
        <w:noProof/>
        <w:sz w:val="16"/>
        <w:szCs w:val="16"/>
      </w:rPr>
      <w:t>33. fejezet</w:t>
    </w:r>
    <w:r w:rsidR="003142CA">
      <w:rPr>
        <w:noProof/>
        <w:sz w:val="16"/>
        <w:szCs w:val="16"/>
      </w:rPr>
      <w:br/>
      <w:t>A kizárólag a Rajnán (R zóna) kívül közlekedő vízi járművekre vonatkozó átmeneti rendelkezések</w:t>
    </w:r>
    <w:r w:rsidRPr="00F46C3C">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33.03. cikk</w:t>
    </w:r>
    <w:r>
      <w:rPr>
        <w:sz w:val="16"/>
        <w:szCs w:val="16"/>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20E00" w:rsidRDefault="00842442" w:rsidP="008E26B9">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9C40EF">
      <w:rPr>
        <w:sz w:val="16"/>
        <w:szCs w:val="16"/>
      </w:rPr>
      <w:instrText xml:space="preserve"> STYLEREF  ES-Titre2  \* MERGEFORMAT </w:instrText>
    </w:r>
    <w:r w:rsidRPr="00C20E00">
      <w:rPr>
        <w:sz w:val="16"/>
        <w:szCs w:val="16"/>
      </w:rPr>
      <w:fldChar w:fldCharType="separate"/>
    </w:r>
    <w:r w:rsidR="003142CA">
      <w:rPr>
        <w:noProof/>
        <w:sz w:val="16"/>
        <w:szCs w:val="16"/>
      </w:rPr>
      <w:t>33. fejezet</w:t>
    </w:r>
    <w:r w:rsidR="003142CA">
      <w:rPr>
        <w:noProof/>
        <w:sz w:val="16"/>
        <w:szCs w:val="16"/>
      </w:rPr>
      <w:br/>
      <w:t>A kizárólag a Rajnán (R zóna) kívül közlekedő vízi járművekre vonatkozó átmeneti rendelkezések</w:t>
    </w:r>
    <w:r w:rsidRPr="00C20E00">
      <w:rPr>
        <w:noProof/>
        <w:sz w:val="16"/>
        <w:szCs w:val="16"/>
      </w:rPr>
      <w:fldChar w:fldCharType="end"/>
    </w:r>
    <w:r>
      <w:rPr>
        <w:sz w:val="16"/>
      </w:rPr>
      <w:t xml:space="preserve"> -</w:t>
    </w:r>
    <w:r>
      <w:rPr>
        <w:sz w:val="16"/>
        <w:szCs w:val="16"/>
      </w:rPr>
      <w:fldChar w:fldCharType="begin"/>
    </w:r>
    <w:r>
      <w:rPr>
        <w:sz w:val="16"/>
        <w:szCs w:val="16"/>
      </w:rPr>
      <w:instrText xml:space="preserve"> STYLEREF  ES-Titre3_pr_chap32  \* MERGEFORMAT </w:instrText>
    </w:r>
    <w:r>
      <w:rPr>
        <w:sz w:val="16"/>
        <w:szCs w:val="16"/>
      </w:rPr>
      <w:fldChar w:fldCharType="separate"/>
    </w:r>
    <w:r w:rsidR="003142CA">
      <w:rPr>
        <w:noProof/>
        <w:sz w:val="16"/>
        <w:szCs w:val="16"/>
      </w:rPr>
      <w:t>33.01. cikk</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33.02. cikk</w:t>
    </w:r>
    <w:r>
      <w:rPr>
        <w:sz w:val="16"/>
        <w:szCs w:val="16"/>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62373" w:rsidRDefault="00842442" w:rsidP="008446C0">
    <w:pPr>
      <w:widowControl w:val="0"/>
      <w:pBdr>
        <w:bottom w:val="single" w:sz="4" w:space="1" w:color="auto"/>
      </w:pBdr>
      <w:tabs>
        <w:tab w:val="right" w:pos="13892"/>
      </w:tabs>
      <w:jc w:val="right"/>
      <w:rPr>
        <w:rFonts w:cs="Arial"/>
        <w:sz w:val="16"/>
        <w:szCs w:val="16"/>
      </w:rPr>
    </w:pPr>
    <w:r>
      <w:rPr>
        <w:sz w:val="16"/>
      </w:rPr>
      <w:t>ES-TRIN</w:t>
    </w:r>
    <w:r>
      <w:tab/>
    </w:r>
    <w:r w:rsidRPr="00F46C3C">
      <w:rPr>
        <w:rFonts w:cs="Times New Roman"/>
        <w:sz w:val="16"/>
        <w:szCs w:val="16"/>
      </w:rPr>
      <w:fldChar w:fldCharType="begin"/>
    </w:r>
    <w:r w:rsidRPr="00F46C3C">
      <w:rPr>
        <w:sz w:val="16"/>
        <w:szCs w:val="16"/>
      </w:rPr>
      <w:instrText xml:space="preserve"> STYLEREF  ES-Titre2  \* MERGEFORMAT </w:instrText>
    </w:r>
    <w:r w:rsidRPr="00F46C3C">
      <w:rPr>
        <w:rFonts w:cs="Times New Roman"/>
        <w:sz w:val="16"/>
        <w:szCs w:val="16"/>
      </w:rPr>
      <w:fldChar w:fldCharType="separate"/>
    </w:r>
    <w:r w:rsidR="003142CA" w:rsidRPr="003142CA">
      <w:rPr>
        <w:rFonts w:cs="Arial"/>
        <w:noProof/>
        <w:sz w:val="16"/>
        <w:szCs w:val="16"/>
      </w:rPr>
      <w:t>33. fejezet</w:t>
    </w:r>
    <w:r w:rsidR="003142CA" w:rsidRPr="003142CA">
      <w:rPr>
        <w:rFonts w:cs="Arial"/>
        <w:noProof/>
        <w:sz w:val="16"/>
        <w:szCs w:val="16"/>
      </w:rPr>
      <w:br/>
      <w:t>A kizárólag a Rajnán (R zóna) kívül közlekedő vízi járművekre vonatkozó</w:t>
    </w:r>
    <w:r w:rsidR="003142CA">
      <w:rPr>
        <w:noProof/>
        <w:sz w:val="16"/>
        <w:szCs w:val="16"/>
      </w:rPr>
      <w:t xml:space="preserve"> átmeneti rendelkezések</w:t>
    </w:r>
    <w:r w:rsidRPr="00F46C3C">
      <w:rPr>
        <w:rFonts w:cs="Arial"/>
        <w:noProof/>
        <w:sz w:val="16"/>
        <w:szCs w:val="16"/>
      </w:rPr>
      <w:fldChar w:fldCharType="end"/>
    </w:r>
    <w:r>
      <w:rPr>
        <w:sz w:val="16"/>
      </w:rPr>
      <w:t xml:space="preserve"> - </w:t>
    </w:r>
    <w:r>
      <w:rPr>
        <w:rFonts w:cs="Arial"/>
        <w:sz w:val="16"/>
        <w:szCs w:val="16"/>
      </w:rPr>
      <w:fldChar w:fldCharType="begin"/>
    </w:r>
    <w:r>
      <w:rPr>
        <w:rFonts w:cs="Arial"/>
        <w:sz w:val="16"/>
        <w:szCs w:val="16"/>
      </w:rPr>
      <w:instrText xml:space="preserve"> STYLEREF  ES-Titre3  \* MERGEFORMAT </w:instrText>
    </w:r>
    <w:r>
      <w:rPr>
        <w:rFonts w:cs="Arial"/>
        <w:sz w:val="16"/>
        <w:szCs w:val="16"/>
      </w:rPr>
      <w:fldChar w:fldCharType="separate"/>
    </w:r>
    <w:r w:rsidR="003142CA">
      <w:rPr>
        <w:rFonts w:cs="Arial"/>
        <w:noProof/>
        <w:sz w:val="16"/>
        <w:szCs w:val="16"/>
      </w:rPr>
      <w:t>33.02. cikk</w:t>
    </w:r>
    <w:r>
      <w:rPr>
        <w:rFonts w:cs="Arial"/>
        <w:sz w:val="16"/>
        <w:szCs w:val="16"/>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rsidP="001E2331">
    <w:pPr>
      <w:widowControl w:val="0"/>
      <w:pBdr>
        <w:bottom w:val="single" w:sz="6" w:space="1" w:color="auto"/>
      </w:pBdr>
      <w:tabs>
        <w:tab w:val="right" w:pos="9072"/>
      </w:tabs>
      <w:jc w:val="right"/>
      <w:rPr>
        <w:sz w:val="16"/>
        <w:szCs w:val="16"/>
      </w:rPr>
    </w:pPr>
    <w:r>
      <w:rPr>
        <w:sz w:val="16"/>
      </w:rPr>
      <w:t xml:space="preserve">ES-TRIN </w:t>
    </w:r>
    <w:r>
      <w:tab/>
    </w:r>
    <w:r w:rsidR="003142CA">
      <w:fldChar w:fldCharType="begin"/>
    </w:r>
    <w:r w:rsidR="003142CA">
      <w:instrText xml:space="preserve"> STYLEREF  Es-Titre_annexes  \* MERGEFORMAT </w:instrText>
    </w:r>
    <w:r w:rsidR="003142CA">
      <w:fldChar w:fldCharType="separate"/>
    </w:r>
    <w:r w:rsidR="003142CA" w:rsidRPr="003142CA">
      <w:rPr>
        <w:noProof/>
        <w:sz w:val="16"/>
        <w:szCs w:val="16"/>
      </w:rPr>
      <w:t>Az európai szabvány</w:t>
    </w:r>
    <w:r w:rsidR="003142CA">
      <w:rPr>
        <w:noProof/>
      </w:rPr>
      <w:t xml:space="preserve"> mellékletei</w:t>
    </w:r>
    <w:r w:rsidR="003142CA">
      <w:rPr>
        <w:noProof/>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rsidP="001E2331">
    <w:pPr>
      <w:widowControl w:val="0"/>
      <w:pBdr>
        <w:bottom w:val="single" w:sz="6" w:space="1" w:color="auto"/>
      </w:pBdr>
      <w:tabs>
        <w:tab w:val="right" w:pos="9072"/>
      </w:tabs>
      <w:jc w:val="right"/>
      <w:rPr>
        <w:sz w:val="16"/>
        <w:szCs w:val="16"/>
      </w:rPr>
    </w:pPr>
    <w:r>
      <w:rPr>
        <w:sz w:val="16"/>
      </w:rPr>
      <w:t xml:space="preserve">ES-TRIN </w:t>
    </w:r>
    <w:r>
      <w:tab/>
    </w:r>
    <w:r w:rsidR="003142CA">
      <w:fldChar w:fldCharType="begin"/>
    </w:r>
    <w:r w:rsidR="003142CA">
      <w:instrText xml:space="preserve"> STYLEREF  Es-Titre_annexes  \* MERGEFORMAT </w:instrText>
    </w:r>
    <w:r w:rsidR="003142CA">
      <w:fldChar w:fldCharType="separate"/>
    </w:r>
    <w:r w:rsidR="003142CA" w:rsidRPr="003142CA">
      <w:rPr>
        <w:noProof/>
        <w:sz w:val="16"/>
        <w:szCs w:val="16"/>
      </w:rPr>
      <w:t>Az európai szabvány</w:t>
    </w:r>
    <w:r w:rsidR="003142CA">
      <w:rPr>
        <w:noProof/>
      </w:rPr>
      <w:t xml:space="preserve"> mellékletei</w:t>
    </w:r>
    <w:r w:rsidR="003142CA">
      <w:rPr>
        <w:noProof/>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FD13C1" w:rsidRDefault="00842442" w:rsidP="009C13A9">
    <w:pPr>
      <w:widowControl w:val="0"/>
      <w:pBdr>
        <w:bottom w:val="single" w:sz="6" w:space="1" w:color="auto"/>
      </w:pBdr>
      <w:tabs>
        <w:tab w:val="right" w:pos="9072"/>
      </w:tabs>
      <w:jc w:val="right"/>
      <w:rPr>
        <w:sz w:val="16"/>
        <w:szCs w:val="16"/>
      </w:rPr>
    </w:pPr>
    <w:r>
      <w:rPr>
        <w:sz w:val="16"/>
      </w:rPr>
      <w:t xml:space="preserve">ES-TRIN </w:t>
    </w:r>
    <w:r>
      <w:tab/>
    </w:r>
    <w:r w:rsidRPr="00FD13C1">
      <w:rPr>
        <w:sz w:val="16"/>
        <w:szCs w:val="16"/>
      </w:rPr>
      <w:fldChar w:fldCharType="begin"/>
    </w:r>
    <w:r w:rsidRPr="00FD13C1">
      <w:rPr>
        <w:sz w:val="16"/>
        <w:szCs w:val="16"/>
      </w:rPr>
      <w:instrText xml:space="preserve"> STYLEREF  ES-Titre2 \l  \* MERGEFORMAT </w:instrText>
    </w:r>
    <w:r w:rsidRPr="00FD13C1">
      <w:rPr>
        <w:sz w:val="16"/>
        <w:szCs w:val="16"/>
      </w:rPr>
      <w:fldChar w:fldCharType="separate"/>
    </w:r>
    <w:r w:rsidR="003142CA">
      <w:rPr>
        <w:noProof/>
        <w:sz w:val="16"/>
        <w:szCs w:val="16"/>
      </w:rPr>
      <w:t>2. melléklet</w:t>
    </w:r>
    <w:r w:rsidR="003142CA">
      <w:rPr>
        <w:noProof/>
        <w:sz w:val="16"/>
        <w:szCs w:val="16"/>
      </w:rPr>
      <w:br/>
      <w:t>A vízi jármű azonosítására szolgáló adatok</w:t>
    </w:r>
    <w:r w:rsidRPr="00FD13C1">
      <w:rPr>
        <w:noProof/>
        <w:sz w:val="16"/>
        <w:szCs w:val="16"/>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395A9E" w:rsidRDefault="00842442" w:rsidP="009C13A9">
    <w:pPr>
      <w:widowControl w:val="0"/>
      <w:pBdr>
        <w:bottom w:val="single" w:sz="6" w:space="1" w:color="auto"/>
      </w:pBdr>
      <w:tabs>
        <w:tab w:val="right" w:pos="9070"/>
      </w:tabs>
      <w:ind w:left="3600" w:hanging="3600"/>
      <w:rPr>
        <w:sz w:val="16"/>
        <w:szCs w:val="16"/>
      </w:rPr>
    </w:pPr>
    <w:r>
      <w:rPr>
        <w:sz w:val="16"/>
      </w:rPr>
      <w:t>ES-TRIN</w:t>
    </w:r>
    <w:r>
      <w:tab/>
    </w:r>
    <w:r>
      <w:tab/>
    </w:r>
    <w:r>
      <w:rPr>
        <w:sz w:val="20"/>
        <w:szCs w:val="24"/>
      </w:rPr>
      <w:fldChar w:fldCharType="begin"/>
    </w:r>
    <w:r w:rsidRPr="00101CB2">
      <w:instrText xml:space="preserve"> STYLEREF  ES-Titre2 \l  \* MERGEFORMAT </w:instrText>
    </w:r>
    <w:r>
      <w:rPr>
        <w:sz w:val="20"/>
        <w:szCs w:val="24"/>
      </w:rPr>
      <w:fldChar w:fldCharType="separate"/>
    </w:r>
    <w:r w:rsidRPr="00801F1F">
      <w:rPr>
        <w:noProof/>
        <w:sz w:val="16"/>
        <w:szCs w:val="16"/>
      </w:rPr>
      <w:t>Chapter 33</w:t>
    </w:r>
    <w:r w:rsidRPr="00801F1F">
      <w:rPr>
        <w:noProof/>
        <w:sz w:val="16"/>
        <w:szCs w:val="16"/>
      </w:rPr>
      <w:br/>
      <w:t>Transitional provisions for craft operating exclusively on waterways outside the Rhine (</w:t>
    </w:r>
    <w:r>
      <w:rPr>
        <w:noProof/>
      </w:rPr>
      <w:t>Zone R)</w:t>
    </w:r>
    <w:r>
      <w:rPr>
        <w:noProof/>
        <w:sz w:val="16"/>
        <w:szCs w:val="16"/>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777D8" w:rsidRDefault="00842442"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\l  \* MERGEFORMAT </w:instrText>
    </w:r>
    <w:r>
      <w:rPr>
        <w:sz w:val="20"/>
        <w:szCs w:val="24"/>
      </w:rPr>
      <w:fldChar w:fldCharType="separate"/>
    </w:r>
    <w:r w:rsidR="003142CA" w:rsidRPr="003142CA">
      <w:rPr>
        <w:noProof/>
        <w:sz w:val="16"/>
        <w:szCs w:val="16"/>
      </w:rPr>
      <w:t>3. melléklet</w:t>
    </w:r>
    <w:r w:rsidR="003142CA" w:rsidRPr="003142CA">
      <w:rPr>
        <w:noProof/>
        <w:sz w:val="16"/>
        <w:szCs w:val="16"/>
      </w:rPr>
      <w:br/>
      <w:t xml:space="preserve">A belvízi hajóbizonyítványok mintái és a </w:t>
    </w:r>
    <w:r w:rsidR="003142CA">
      <w:rPr>
        <w:noProof/>
      </w:rPr>
      <w:t>belvízi hajóbizonyítványok nyilvántartásának mintája</w:t>
    </w:r>
    <w:r>
      <w:rPr>
        <w:noProof/>
        <w:sz w:val="16"/>
        <w:szCs w:val="16"/>
      </w:rPr>
      <w:fldChar w:fldCharType="end"/>
    </w:r>
  </w:p>
  <w:p w:rsidR="00842442" w:rsidRPr="00D229DB" w:rsidRDefault="00842442"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I. szakasz</w:t>
    </w:r>
    <w:r>
      <w:rPr>
        <w:sz w:val="16"/>
        <w:szCs w:val="16"/>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6B7368" w:rsidRDefault="00842442" w:rsidP="009C13A9">
    <w:pPr>
      <w:widowControl w:val="0"/>
      <w:pBdr>
        <w:bottom w:val="single" w:sz="6" w:space="1" w:color="auto"/>
      </w:pBdr>
      <w:tabs>
        <w:tab w:val="right" w:pos="9072"/>
      </w:tabs>
      <w:jc w:val="right"/>
      <w:rPr>
        <w:sz w:val="16"/>
        <w:szCs w:val="16"/>
      </w:rPr>
    </w:pPr>
    <w:r>
      <w:rPr>
        <w:sz w:val="16"/>
      </w:rPr>
      <w:t xml:space="preserve">ES-TRIN </w:t>
    </w:r>
    <w:r>
      <w:tab/>
    </w:r>
    <w:r w:rsidRPr="006B7368">
      <w:rPr>
        <w:sz w:val="16"/>
        <w:szCs w:val="16"/>
      </w:rPr>
      <w:fldChar w:fldCharType="begin"/>
    </w:r>
    <w:r w:rsidRPr="006B7368">
      <w:rPr>
        <w:sz w:val="16"/>
        <w:szCs w:val="16"/>
      </w:rPr>
      <w:instrText xml:space="preserve"> STYLEREF  ES-Titre2 \l  \* MERGEFORMAT </w:instrText>
    </w:r>
    <w:r w:rsidRPr="006B7368">
      <w:rPr>
        <w:sz w:val="16"/>
        <w:szCs w:val="16"/>
      </w:rPr>
      <w:fldChar w:fldCharType="separate"/>
    </w:r>
    <w:r w:rsidR="003142CA">
      <w:rPr>
        <w:noProof/>
        <w:sz w:val="16"/>
        <w:szCs w:val="16"/>
      </w:rPr>
      <w:t>3. melléklet</w:t>
    </w:r>
    <w:r w:rsidR="003142CA">
      <w:rPr>
        <w:noProof/>
        <w:sz w:val="16"/>
        <w:szCs w:val="16"/>
      </w:rPr>
      <w:br/>
      <w:t>A belvízi hajóbizonyítványok mintái és a belvízi hajóbizonyítványok nyilvántartásának mintája</w:t>
    </w:r>
    <w:r w:rsidRPr="006B7368">
      <w:rPr>
        <w:noProof/>
        <w:sz w:val="16"/>
        <w:szCs w:val="16"/>
      </w:rPr>
      <w:fldChar w:fldCharType="end"/>
    </w:r>
  </w:p>
  <w:p w:rsidR="00842442" w:rsidRPr="002352BD" w:rsidRDefault="00842442"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VI. szakasz</w:t>
    </w:r>
    <w:r>
      <w:rPr>
        <w:sz w:val="16"/>
        <w:szCs w:val="16"/>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352BD" w:rsidRDefault="00842442"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3142CA" w:rsidRPr="003142CA">
      <w:rPr>
        <w:noProof/>
        <w:sz w:val="16"/>
        <w:szCs w:val="16"/>
      </w:rPr>
      <w:t>3. melléklet</w:t>
    </w:r>
    <w:r w:rsidR="003142CA" w:rsidRPr="003142CA">
      <w:rPr>
        <w:noProof/>
        <w:sz w:val="16"/>
        <w:szCs w:val="16"/>
      </w:rPr>
      <w:br/>
      <w:t xml:space="preserve">A belvízi hajóbizonyítványok </w:t>
    </w:r>
    <w:r w:rsidR="003142CA">
      <w:rPr>
        <w:noProof/>
      </w:rPr>
      <w:t>mintái és a belvízi hajóbizonyítványok nyilvántartásának mintája</w:t>
    </w:r>
    <w:r>
      <w:rPr>
        <w:noProof/>
        <w:sz w:val="16"/>
        <w:szCs w:val="16"/>
      </w:rPr>
      <w:fldChar w:fldCharType="end"/>
    </w:r>
  </w:p>
  <w:p w:rsidR="00842442" w:rsidRDefault="00842442"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VI. szakasz</w:t>
    </w:r>
    <w:r>
      <w:rPr>
        <w:sz w:val="16"/>
        <w:szCs w:val="16"/>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42206B" w:rsidRDefault="00842442" w:rsidP="009C13A9">
    <w:pPr>
      <w:widowControl w:val="0"/>
      <w:pBdr>
        <w:bottom w:val="single" w:sz="6" w:space="1" w:color="auto"/>
      </w:pBdr>
      <w:tabs>
        <w:tab w:val="right" w:pos="9072"/>
      </w:tabs>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3142CA">
      <w:rPr>
        <w:noProof/>
        <w:sz w:val="16"/>
        <w:szCs w:val="16"/>
      </w:rPr>
      <w:t>5. melléklet</w:t>
    </w:r>
    <w:r w:rsidR="003142CA">
      <w:rPr>
        <w:noProof/>
        <w:sz w:val="16"/>
        <w:szCs w:val="16"/>
      </w:rPr>
      <w:br/>
      <w:t>Navigációs és információs eszközök</w:t>
    </w:r>
    <w:r w:rsidRPr="0042206B">
      <w:rPr>
        <w:noProof/>
        <w:sz w:val="16"/>
        <w:szCs w:val="16"/>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352BD" w:rsidRDefault="00842442"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3142CA" w:rsidRPr="003142CA">
      <w:rPr>
        <w:noProof/>
        <w:sz w:val="16"/>
        <w:szCs w:val="16"/>
      </w:rPr>
      <w:t>5. melléklet</w:t>
    </w:r>
    <w:r w:rsidR="003142CA" w:rsidRPr="003142CA">
      <w:rPr>
        <w:noProof/>
        <w:sz w:val="16"/>
        <w:szCs w:val="16"/>
      </w:rPr>
      <w:br/>
      <w:t xml:space="preserve">Navigációs és információs </w:t>
    </w:r>
    <w:r w:rsidR="003142CA">
      <w:rPr>
        <w:noProof/>
      </w:rPr>
      <w:t>eszközök</w:t>
    </w:r>
    <w:r>
      <w:rPr>
        <w:noProof/>
        <w:sz w:val="16"/>
        <w:szCs w:val="16"/>
      </w:rPr>
      <w:fldChar w:fldCharType="end"/>
    </w:r>
  </w:p>
  <w:p w:rsidR="00842442" w:rsidRDefault="00842442"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VI. szakasz</w:t>
    </w:r>
    <w:r>
      <w:rPr>
        <w:sz w:val="16"/>
        <w:szCs w:val="16"/>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859BD" w:rsidRDefault="00842442" w:rsidP="00652F98">
    <w:pPr>
      <w:widowControl w:val="0"/>
      <w:pBdr>
        <w:bottom w:val="single" w:sz="6" w:space="1" w:color="auto"/>
      </w:pBdr>
      <w:tabs>
        <w:tab w:val="right" w:pos="9072"/>
      </w:tabs>
      <w:jc w:val="right"/>
      <w:rPr>
        <w:sz w:val="16"/>
        <w:szCs w:val="16"/>
      </w:rPr>
    </w:pPr>
    <w:r>
      <w:rPr>
        <w:sz w:val="16"/>
      </w:rPr>
      <w:t xml:space="preserve">ES-TRIN </w:t>
    </w:r>
    <w:r>
      <w:tab/>
    </w:r>
    <w:r w:rsidRPr="00C859BD">
      <w:rPr>
        <w:sz w:val="16"/>
        <w:szCs w:val="16"/>
      </w:rPr>
      <w:fldChar w:fldCharType="begin"/>
    </w:r>
    <w:r w:rsidRPr="00C859BD">
      <w:rPr>
        <w:sz w:val="16"/>
        <w:szCs w:val="16"/>
      </w:rPr>
      <w:instrText xml:space="preserve"> STYLEREF  ES-Titre2  \* MERGEFORMAT </w:instrText>
    </w:r>
    <w:r w:rsidRPr="00C859BD">
      <w:rPr>
        <w:sz w:val="16"/>
        <w:szCs w:val="16"/>
      </w:rPr>
      <w:fldChar w:fldCharType="separate"/>
    </w:r>
    <w:r w:rsidR="003142CA">
      <w:rPr>
        <w:noProof/>
        <w:sz w:val="16"/>
        <w:szCs w:val="16"/>
      </w:rPr>
      <w:t>6. melléklet</w:t>
    </w:r>
    <w:r w:rsidR="003142CA">
      <w:rPr>
        <w:noProof/>
        <w:sz w:val="16"/>
        <w:szCs w:val="16"/>
      </w:rPr>
      <w:br/>
      <w:t>Motorparaméter-jegyzőkönyv</w:t>
    </w:r>
    <w:r w:rsidRPr="00C859BD">
      <w:rPr>
        <w:noProof/>
        <w:sz w:val="16"/>
        <w:szCs w:val="16"/>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42206B" w:rsidRDefault="00842442" w:rsidP="009C13A9">
    <w:pPr>
      <w:widowControl w:val="0"/>
      <w:pBdr>
        <w:bottom w:val="single" w:sz="6" w:space="1" w:color="auto"/>
      </w:pBdr>
      <w:tabs>
        <w:tab w:val="right" w:pos="9072"/>
      </w:tabs>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3142CA">
      <w:rPr>
        <w:noProof/>
        <w:sz w:val="16"/>
        <w:szCs w:val="16"/>
      </w:rPr>
      <w:t>7. melléklet</w:t>
    </w:r>
    <w:r w:rsidR="003142CA">
      <w:rPr>
        <w:noProof/>
        <w:sz w:val="16"/>
        <w:szCs w:val="16"/>
      </w:rPr>
      <w:br/>
      <w:t>Fedélzeti szennyvízkezelő művek</w:t>
    </w:r>
    <w:r w:rsidRPr="0042206B">
      <w:rPr>
        <w:noProof/>
        <w:sz w:val="16"/>
        <w:szCs w:val="16"/>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352BD" w:rsidRDefault="00842442"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3142CA" w:rsidRPr="003142CA">
      <w:rPr>
        <w:noProof/>
        <w:sz w:val="16"/>
        <w:szCs w:val="16"/>
      </w:rPr>
      <w:t>7. melléklet</w:t>
    </w:r>
    <w:r w:rsidR="003142CA" w:rsidRPr="003142CA">
      <w:rPr>
        <w:noProof/>
        <w:sz w:val="16"/>
        <w:szCs w:val="16"/>
      </w:rPr>
      <w:br/>
      <w:t>Fedélzeti szennyvízkezelő művek</w:t>
    </w:r>
    <w:r>
      <w:rPr>
        <w:noProof/>
        <w:sz w:val="16"/>
        <w:szCs w:val="16"/>
      </w:rPr>
      <w:fldChar w:fldCharType="end"/>
    </w:r>
  </w:p>
  <w:p w:rsidR="00842442" w:rsidRDefault="00842442"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IV. szakasz</w:t>
    </w:r>
    <w:r>
      <w:rPr>
        <w:sz w:val="16"/>
        <w:szCs w:val="16"/>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352BD" w:rsidRDefault="00842442"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3142CA" w:rsidRPr="003142CA">
      <w:rPr>
        <w:noProof/>
        <w:sz w:val="16"/>
        <w:szCs w:val="16"/>
      </w:rPr>
      <w:t>7. melléklet</w:t>
    </w:r>
    <w:r w:rsidR="003142CA" w:rsidRPr="003142CA">
      <w:rPr>
        <w:noProof/>
        <w:sz w:val="16"/>
        <w:szCs w:val="16"/>
      </w:rPr>
      <w:br/>
      <w:t>Fedélzeti szennyvízkezelő művek</w:t>
    </w:r>
    <w:r>
      <w:rPr>
        <w:noProof/>
        <w:sz w:val="16"/>
        <w:szCs w:val="16"/>
      </w:rPr>
      <w:fldChar w:fldCharType="end"/>
    </w:r>
  </w:p>
  <w:p w:rsidR="00842442" w:rsidRDefault="00842442"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V. szakasz</w:t>
    </w:r>
    <w:r>
      <w:rPr>
        <w:sz w:val="16"/>
        <w:szCs w:val="16"/>
      </w:rP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352BD" w:rsidRDefault="00842442"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3142CA" w:rsidRPr="003142CA">
      <w:rPr>
        <w:noProof/>
        <w:sz w:val="16"/>
        <w:szCs w:val="16"/>
      </w:rPr>
      <w:t>7. melléklet</w:t>
    </w:r>
    <w:r w:rsidR="003142CA" w:rsidRPr="003142CA">
      <w:rPr>
        <w:noProof/>
        <w:sz w:val="16"/>
        <w:szCs w:val="16"/>
      </w:rPr>
      <w:br/>
      <w:t>Fedélzeti szennyvízkezelő művek</w:t>
    </w:r>
    <w:r>
      <w:rPr>
        <w:noProof/>
        <w:sz w:val="16"/>
        <w:szCs w:val="16"/>
      </w:rPr>
      <w:fldChar w:fldCharType="end"/>
    </w:r>
  </w:p>
  <w:p w:rsidR="00842442" w:rsidRDefault="00842442"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VI. szakasz</w:t>
    </w:r>
    <w:r>
      <w:rPr>
        <w:sz w:val="16"/>
        <w:szCs w:val="16"/>
      </w:rPr>
      <w:fldChar w:fldCharType="end"/>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352BD" w:rsidRDefault="00842442"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3142CA" w:rsidRPr="003142CA">
      <w:rPr>
        <w:noProof/>
        <w:sz w:val="16"/>
        <w:szCs w:val="16"/>
      </w:rPr>
      <w:t>7. melléklet</w:t>
    </w:r>
    <w:r w:rsidR="003142CA" w:rsidRPr="003142CA">
      <w:rPr>
        <w:noProof/>
        <w:sz w:val="16"/>
        <w:szCs w:val="16"/>
      </w:rPr>
      <w:br/>
      <w:t>Fedélzeti szennyvízkezelő művek</w:t>
    </w:r>
    <w:r>
      <w:rPr>
        <w:noProof/>
        <w:sz w:val="16"/>
        <w:szCs w:val="16"/>
      </w:rPr>
      <w:fldChar w:fldCharType="end"/>
    </w:r>
  </w:p>
  <w:p w:rsidR="00842442" w:rsidRDefault="00842442"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VII. szakasz</w:t>
    </w:r>
    <w:r>
      <w:rPr>
        <w:sz w:val="16"/>
        <w:szCs w:val="16"/>
      </w:rPr>
      <w:fldChar w:fldCharType="end"/>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23950" w:rsidRDefault="00842442"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3142CA" w:rsidRPr="003142CA">
      <w:rPr>
        <w:noProof/>
        <w:sz w:val="16"/>
        <w:szCs w:val="16"/>
      </w:rPr>
      <w:t>7. melléklet</w:t>
    </w:r>
    <w:r w:rsidR="003142CA" w:rsidRPr="003142CA">
      <w:rPr>
        <w:noProof/>
        <w:sz w:val="16"/>
        <w:szCs w:val="16"/>
      </w:rPr>
      <w:br/>
      <w:t>Fedélzeti szennyvízkezelő művek</w:t>
    </w:r>
    <w:r>
      <w:rPr>
        <w:noProof/>
        <w:sz w:val="16"/>
        <w:szCs w:val="16"/>
      </w:rPr>
      <w:fldChar w:fldCharType="end"/>
    </w:r>
  </w:p>
  <w:p w:rsidR="00842442" w:rsidRDefault="00842442"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VIII. szakasz</w:t>
    </w:r>
    <w:r>
      <w:rPr>
        <w:sz w:val="16"/>
        <w:szCs w:val="16"/>
      </w:rPr>
      <w:fldChar w:fldCharType="end"/>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2352BD" w:rsidRDefault="00842442"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Pr="00801F1F">
      <w:rPr>
        <w:noProof/>
        <w:sz w:val="16"/>
        <w:szCs w:val="16"/>
      </w:rPr>
      <w:t>Annex 7</w:t>
    </w:r>
    <w:r w:rsidRPr="00801F1F">
      <w:rPr>
        <w:noProof/>
        <w:sz w:val="16"/>
        <w:szCs w:val="16"/>
      </w:rPr>
      <w:br/>
      <w:t>On-board sewage treatment plants</w:t>
    </w:r>
    <w:r>
      <w:rPr>
        <w:noProof/>
        <w:sz w:val="16"/>
        <w:szCs w:val="16"/>
      </w:rPr>
      <w:fldChar w:fldCharType="end"/>
    </w:r>
  </w:p>
  <w:p w:rsidR="00842442" w:rsidRPr="00147B16" w:rsidRDefault="00842442" w:rsidP="009C13A9">
    <w:pPr>
      <w:widowControl w:val="0"/>
      <w:pBdr>
        <w:bottom w:val="single" w:sz="6" w:space="1" w:color="auto"/>
      </w:pBdr>
      <w:tabs>
        <w:tab w:val="right" w:pos="9072"/>
      </w:tabs>
      <w:jc w:val="right"/>
      <w:rPr>
        <w:sz w:val="16"/>
        <w:szCs w:val="16"/>
        <w:lang w:val="fr-FR"/>
      </w:rPr>
    </w:pPr>
    <w:r>
      <w:fldChar w:fldCharType="begin"/>
    </w:r>
    <w:r w:rsidRPr="00147B16">
      <w:rPr>
        <w:lang w:val="fr-FR"/>
      </w:rPr>
      <w:instrText xml:space="preserve"> STYLEREF  "ES-Titre 3"  \* MERGEFORMAT </w:instrText>
    </w:r>
    <w:r>
      <w:fldChar w:fldCharType="separate"/>
    </w:r>
    <w:r w:rsidRPr="00147B16">
      <w:rPr>
        <w:b/>
        <w:bCs/>
        <w:noProof/>
        <w:lang w:val="fr-FR"/>
      </w:rPr>
      <w:t>Erreur ! Utilisez l'onglet Accueil pour appliquer ES-Titre 3 au texte que vous souhaitez faire apparaître ici.</w:t>
    </w:r>
    <w:r>
      <w:rPr>
        <w:b/>
        <w:bCs/>
        <w:noProof/>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F46C3C" w:rsidRDefault="00842442"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3142CA">
      <w:rPr>
        <w:noProof/>
        <w:sz w:val="16"/>
        <w:szCs w:val="16"/>
      </w:rPr>
      <w:t>8. melléklet</w:t>
    </w:r>
    <w:r w:rsidR="003142CA">
      <w:rPr>
        <w:noProof/>
        <w:sz w:val="16"/>
        <w:szCs w:val="16"/>
      </w:rPr>
      <w:br/>
      <w:t>Az 55  C vagy annál alacsonyabb lobbanáspontú tüzelőanyaggal üzemelő vízi járművekre vonatkozó kiegészítő rendelkezések</w:t>
    </w:r>
    <w:r w:rsidRPr="00F46C3C">
      <w:rPr>
        <w:noProof/>
        <w:sz w:val="16"/>
        <w:szCs w:val="16"/>
      </w:rPr>
      <w:fldChar w:fldCharType="end"/>
    </w:r>
  </w:p>
  <w:p w:rsidR="00842442" w:rsidRDefault="00842442"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I. szakasz</w:t>
    </w:r>
    <w:r>
      <w:rPr>
        <w:sz w:val="16"/>
        <w:szCs w:val="16"/>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395A9E" w:rsidRDefault="00842442" w:rsidP="001E2331">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3142CA" w:rsidRPr="003142CA">
      <w:rPr>
        <w:noProof/>
        <w:sz w:val="16"/>
        <w:szCs w:val="16"/>
      </w:rPr>
      <w:t>7. melléklet</w:t>
    </w:r>
    <w:r w:rsidR="003142CA" w:rsidRPr="003142CA">
      <w:rPr>
        <w:noProof/>
        <w:sz w:val="16"/>
        <w:szCs w:val="16"/>
      </w:rPr>
      <w:br/>
      <w:t>Fedélzeti szennyvízkezelő művek</w:t>
    </w:r>
    <w:r>
      <w:rPr>
        <w:noProof/>
        <w:sz w:val="16"/>
        <w:szCs w:val="16"/>
      </w:rPr>
      <w:fldChar w:fldCharType="end"/>
    </w:r>
  </w:p>
  <w:p w:rsidR="00842442" w:rsidRDefault="00842442"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3142CA">
      <w:rPr>
        <w:noProof/>
        <w:sz w:val="16"/>
        <w:szCs w:val="16"/>
      </w:rPr>
      <w:t>IX. szakasz</w:t>
    </w:r>
    <w:r>
      <w:rPr>
        <w:sz w:val="16"/>
        <w:szCs w:val="16"/>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F46C3C" w:rsidRDefault="00842442"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3142CA">
      <w:rPr>
        <w:noProof/>
        <w:sz w:val="16"/>
        <w:szCs w:val="16"/>
      </w:rPr>
      <w:t>8. melléklet</w:t>
    </w:r>
    <w:r w:rsidR="003142CA">
      <w:rPr>
        <w:noProof/>
        <w:sz w:val="16"/>
        <w:szCs w:val="16"/>
      </w:rPr>
      <w:br/>
      <w:t>Az 55  C vagy annál alacsonyabb lobbanáspontú tüzelőanyaggal üzemelő vízi járművekre vonatkozó kiegészítő rendelkezések</w:t>
    </w:r>
    <w:r w:rsidRPr="00F46C3C">
      <w:rPr>
        <w:noProof/>
        <w:sz w:val="16"/>
        <w:szCs w:val="16"/>
      </w:rPr>
      <w:fldChar w:fldCharType="end"/>
    </w:r>
    <w:r>
      <w:rPr>
        <w:noProof/>
        <w:sz w:val="16"/>
      </w:rPr>
      <w:t xml:space="preserve"> - </w:t>
    </w:r>
    <w:r>
      <w:rPr>
        <w:noProof/>
        <w:sz w:val="16"/>
        <w:szCs w:val="16"/>
      </w:rPr>
      <w:fldChar w:fldCharType="begin"/>
    </w:r>
    <w:r>
      <w:rPr>
        <w:noProof/>
        <w:sz w:val="16"/>
        <w:szCs w:val="16"/>
      </w:rPr>
      <w:instrText xml:space="preserve"> STYLEREF  ES-Titre3  \* MERGEFORMAT </w:instrText>
    </w:r>
    <w:r>
      <w:rPr>
        <w:noProof/>
        <w:sz w:val="16"/>
        <w:szCs w:val="16"/>
      </w:rPr>
      <w:fldChar w:fldCharType="separate"/>
    </w:r>
    <w:r w:rsidR="003142CA">
      <w:rPr>
        <w:noProof/>
        <w:sz w:val="16"/>
        <w:szCs w:val="16"/>
      </w:rPr>
      <w:t>I. szakasz</w:t>
    </w:r>
    <w:r>
      <w:rPr>
        <w:noProof/>
        <w:sz w:val="16"/>
        <w:szCs w:val="16"/>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Default="00842442">
    <w:pPr>
      <w:pStyle w:val="Heade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767CBB"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3142CA">
      <w:rPr>
        <w:noProof/>
        <w:sz w:val="16"/>
        <w:szCs w:val="16"/>
      </w:rPr>
      <w:t>A műszaki szabvány alkalmazására vonatkozó utasítások</w:t>
    </w:r>
    <w:r>
      <w:rPr>
        <w:sz w:val="16"/>
        <w:szCs w:val="16"/>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767CBB"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3142CA">
      <w:rPr>
        <w:noProof/>
        <w:sz w:val="16"/>
        <w:szCs w:val="16"/>
      </w:rPr>
      <w:t>A műszaki szabvány alkalmazására vonatkozó utasítások</w:t>
    </w:r>
    <w:r>
      <w:rPr>
        <w:sz w:val="16"/>
        <w:szCs w:val="16"/>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3142CA" w:rsidRPr="003142CA">
      <w:rPr>
        <w:bCs/>
        <w:noProof/>
        <w:sz w:val="16"/>
        <w:szCs w:val="16"/>
      </w:rPr>
      <w:t>ESI-II-3</w:t>
    </w:r>
    <w:r w:rsidR="003142CA" w:rsidRPr="003142CA">
      <w:rPr>
        <w:bCs/>
        <w:noProof/>
        <w:sz w:val="16"/>
        <w:szCs w:val="16"/>
      </w:rPr>
      <w:br/>
      <w:t>Előírt maximális előremeneti sebesség</w:t>
    </w:r>
    <w:r w:rsidR="003142CA">
      <w:rPr>
        <w:noProof/>
        <w:sz w:val="16"/>
        <w:szCs w:val="16"/>
      </w:rPr>
      <w:t>, megállási és hátrameneti képesség</w:t>
    </w:r>
    <w:r w:rsidRPr="00A84512">
      <w:rPr>
        <w:sz w:val="16"/>
        <w:szCs w:val="16"/>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A84512" w:rsidRDefault="00842442"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3142CA" w:rsidRPr="003142CA">
      <w:rPr>
        <w:bCs/>
        <w:noProof/>
        <w:sz w:val="16"/>
        <w:szCs w:val="16"/>
      </w:rPr>
      <w:t>ESI-II-3</w:t>
    </w:r>
    <w:r w:rsidR="003142CA" w:rsidRPr="003142CA">
      <w:rPr>
        <w:bCs/>
        <w:noProof/>
        <w:sz w:val="16"/>
        <w:szCs w:val="16"/>
      </w:rPr>
      <w:br/>
      <w:t>Előírt maximális előremeneti sebesség</w:t>
    </w:r>
    <w:r w:rsidR="003142CA">
      <w:rPr>
        <w:noProof/>
        <w:sz w:val="16"/>
        <w:szCs w:val="16"/>
      </w:rPr>
      <w:t>, megállási és hátrameneti képesség</w:t>
    </w:r>
    <w:r w:rsidRPr="00A84512">
      <w:rPr>
        <w:sz w:val="16"/>
        <w:szCs w:val="16"/>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3142CA" w:rsidRPr="003142CA">
      <w:rPr>
        <w:bCs/>
        <w:noProof/>
        <w:sz w:val="16"/>
        <w:szCs w:val="16"/>
      </w:rPr>
      <w:t>ESI-II-3</w:t>
    </w:r>
    <w:r w:rsidR="003142CA" w:rsidRPr="003142CA">
      <w:rPr>
        <w:bCs/>
        <w:noProof/>
        <w:sz w:val="16"/>
        <w:szCs w:val="16"/>
      </w:rPr>
      <w:br/>
      <w:t>Előírt maximális előremeneti sebesség,</w:t>
    </w:r>
    <w:r w:rsidR="003142CA" w:rsidRPr="003142CA">
      <w:rPr>
        <w:b/>
        <w:bCs/>
        <w:noProof/>
        <w:sz w:val="16"/>
        <w:szCs w:val="16"/>
      </w:rPr>
      <w:t xml:space="preserve"> </w:t>
    </w:r>
    <w:r w:rsidR="003142CA">
      <w:rPr>
        <w:noProof/>
        <w:sz w:val="16"/>
        <w:szCs w:val="16"/>
      </w:rPr>
      <w:t>megállási és hátrameneti képesség</w:t>
    </w:r>
    <w:r>
      <w:rPr>
        <w:sz w:val="16"/>
        <w:szCs w:val="16"/>
      </w:rPr>
      <w:fldChar w:fldCharType="end"/>
    </w:r>
    <w:r>
      <w:rPr>
        <w:sz w:val="16"/>
      </w:rPr>
      <w:t xml:space="preserve"> -</w:t>
    </w:r>
  </w:p>
  <w:p w:rsidR="00842442" w:rsidRPr="004F47BB" w:rsidRDefault="00842442"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3142CA">
      <w:rPr>
        <w:noProof/>
        <w:sz w:val="16"/>
        <w:szCs w:val="16"/>
      </w:rPr>
      <w:t>1. melléklet az ESI-II-3 utasításhoz</w:t>
    </w:r>
    <w:r>
      <w:rPr>
        <w:sz w:val="16"/>
        <w:szCs w:val="16"/>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3142CA" w:rsidRPr="003142CA">
      <w:rPr>
        <w:bCs/>
        <w:noProof/>
        <w:sz w:val="16"/>
        <w:szCs w:val="16"/>
      </w:rPr>
      <w:t>ESI-II-3</w:t>
    </w:r>
    <w:r w:rsidR="003142CA" w:rsidRPr="003142CA">
      <w:rPr>
        <w:bCs/>
        <w:noProof/>
        <w:sz w:val="16"/>
        <w:szCs w:val="16"/>
      </w:rPr>
      <w:br/>
      <w:t xml:space="preserve">Előírt maximális előremeneti sebesség, </w:t>
    </w:r>
    <w:r w:rsidR="003142CA">
      <w:rPr>
        <w:noProof/>
        <w:sz w:val="16"/>
        <w:szCs w:val="16"/>
      </w:rPr>
      <w:t>megállási és hátrameneti képesség</w:t>
    </w:r>
    <w:r>
      <w:rPr>
        <w:sz w:val="16"/>
        <w:szCs w:val="16"/>
      </w:rPr>
      <w:fldChar w:fldCharType="end"/>
    </w:r>
    <w:r>
      <w:rPr>
        <w:sz w:val="16"/>
      </w:rPr>
      <w:t xml:space="preserve"> -</w:t>
    </w:r>
  </w:p>
  <w:p w:rsidR="00842442" w:rsidRPr="004F47BB" w:rsidRDefault="00842442"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3142CA">
      <w:rPr>
        <w:noProof/>
        <w:sz w:val="16"/>
        <w:szCs w:val="16"/>
      </w:rPr>
      <w:t>1. melléklet az ESI-II-3 utasításhoz</w:t>
    </w:r>
    <w:r>
      <w:rPr>
        <w:sz w:val="16"/>
        <w:szCs w:val="16"/>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5B46C9">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3142CA" w:rsidRPr="003142CA">
      <w:rPr>
        <w:bCs/>
        <w:noProof/>
        <w:sz w:val="16"/>
        <w:szCs w:val="16"/>
      </w:rPr>
      <w:t>ESI-II-3</w:t>
    </w:r>
    <w:r w:rsidR="003142CA" w:rsidRPr="003142CA">
      <w:rPr>
        <w:bCs/>
        <w:noProof/>
        <w:sz w:val="16"/>
        <w:szCs w:val="16"/>
      </w:rPr>
      <w:br/>
      <w:t xml:space="preserve">Előírt maximális előremeneti sebesség, </w:t>
    </w:r>
    <w:r w:rsidR="003142CA">
      <w:rPr>
        <w:noProof/>
        <w:sz w:val="16"/>
        <w:szCs w:val="16"/>
      </w:rPr>
      <w:t>megállási és hátrameneti képesség</w:t>
    </w:r>
    <w:r>
      <w:rPr>
        <w:sz w:val="16"/>
        <w:szCs w:val="16"/>
      </w:rPr>
      <w:fldChar w:fldCharType="end"/>
    </w:r>
    <w:r>
      <w:rPr>
        <w:sz w:val="16"/>
      </w:rPr>
      <w:t xml:space="preserve"> -</w:t>
    </w:r>
  </w:p>
  <w:p w:rsidR="00842442" w:rsidRPr="004F47BB" w:rsidRDefault="00842442"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3142CA">
      <w:rPr>
        <w:noProof/>
        <w:sz w:val="16"/>
        <w:szCs w:val="16"/>
      </w:rPr>
      <w:t>1. melléklet az ESI-II-3 utasításhoz</w:t>
    </w:r>
    <w:r>
      <w:rPr>
        <w:sz w:val="16"/>
        <w:szCs w:val="16"/>
      </w:rPr>
      <w:fldChar w:fldCharType="end"/>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sidRPr="00CD0739">
      <w:rPr>
        <w:sz w:val="16"/>
        <w:szCs w:val="16"/>
      </w:rPr>
      <w:fldChar w:fldCharType="begin"/>
    </w:r>
    <w:r w:rsidRPr="005B46C9">
      <w:rPr>
        <w:sz w:val="16"/>
        <w:szCs w:val="16"/>
      </w:rPr>
      <w:instrText xml:space="preserve"> STYLEREF  ES-Titre2_ESI  \* MERGEFORMAT </w:instrText>
    </w:r>
    <w:r w:rsidRPr="00CD0739">
      <w:rPr>
        <w:sz w:val="16"/>
        <w:szCs w:val="16"/>
      </w:rPr>
      <w:fldChar w:fldCharType="separate"/>
    </w:r>
    <w:r w:rsidR="003142CA" w:rsidRPr="003142CA">
      <w:rPr>
        <w:bCs/>
        <w:noProof/>
        <w:sz w:val="16"/>
        <w:szCs w:val="16"/>
      </w:rPr>
      <w:t>ESI-II-3</w:t>
    </w:r>
    <w:r w:rsidR="003142CA" w:rsidRPr="003142CA">
      <w:rPr>
        <w:bCs/>
        <w:noProof/>
        <w:sz w:val="16"/>
        <w:szCs w:val="16"/>
      </w:rPr>
      <w:br/>
      <w:t xml:space="preserve">Előírt maximális előremeneti sebesség, </w:t>
    </w:r>
    <w:r w:rsidR="003142CA">
      <w:rPr>
        <w:noProof/>
        <w:sz w:val="16"/>
        <w:szCs w:val="16"/>
      </w:rPr>
      <w:t>megállási és hátrameneti képesség</w:t>
    </w:r>
    <w:r w:rsidRPr="00CD0739">
      <w:rPr>
        <w:sz w:val="16"/>
        <w:szCs w:val="16"/>
      </w:rPr>
      <w:fldChar w:fldCharType="end"/>
    </w:r>
    <w:r>
      <w:rPr>
        <w:sz w:val="16"/>
      </w:rPr>
      <w:t xml:space="preserve"> –</w:t>
    </w:r>
  </w:p>
  <w:p w:rsidR="00842442" w:rsidRPr="004F47BB" w:rsidRDefault="00842442"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3142CA">
      <w:rPr>
        <w:noProof/>
        <w:sz w:val="16"/>
        <w:szCs w:val="16"/>
      </w:rPr>
      <w:t>2. melléklet az ESI-II-3 utasításhoz</w:t>
    </w:r>
    <w:r>
      <w:rPr>
        <w:sz w:val="16"/>
        <w:szCs w:val="16"/>
      </w:rPr>
      <w:fldChar w:fldCharType="end"/>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3142CA" w:rsidRPr="003142CA">
      <w:rPr>
        <w:bCs/>
        <w:noProof/>
        <w:sz w:val="16"/>
        <w:szCs w:val="16"/>
      </w:rPr>
      <w:t>ESI-II-3</w:t>
    </w:r>
    <w:r w:rsidR="003142CA" w:rsidRPr="003142CA">
      <w:rPr>
        <w:bCs/>
        <w:noProof/>
        <w:sz w:val="16"/>
        <w:szCs w:val="16"/>
      </w:rPr>
      <w:br/>
      <w:t xml:space="preserve">Előírt maximális előremeneti sebesség, </w:t>
    </w:r>
    <w:r w:rsidR="003142CA">
      <w:rPr>
        <w:noProof/>
        <w:sz w:val="16"/>
        <w:szCs w:val="16"/>
      </w:rPr>
      <w:t>megállási és hátrameneti képesség</w:t>
    </w:r>
    <w:r>
      <w:rPr>
        <w:sz w:val="16"/>
        <w:szCs w:val="16"/>
      </w:rPr>
      <w:fldChar w:fldCharType="end"/>
    </w:r>
    <w:r>
      <w:rPr>
        <w:sz w:val="16"/>
      </w:rPr>
      <w:t xml:space="preserve"> -</w:t>
    </w:r>
  </w:p>
  <w:p w:rsidR="00842442" w:rsidRPr="004F47BB" w:rsidRDefault="00842442"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3142CA">
      <w:rPr>
        <w:noProof/>
        <w:sz w:val="16"/>
        <w:szCs w:val="16"/>
      </w:rPr>
      <w:t>2. melléklet az ESI-II-3 utasításhoz</w:t>
    </w:r>
    <w:r>
      <w:rPr>
        <w:sz w:val="16"/>
        <w:szCs w:val="16"/>
      </w:rPr>
      <w:fldChar w:fldCharType="end"/>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3142CA" w:rsidRPr="003142CA">
      <w:rPr>
        <w:bCs/>
        <w:noProof/>
        <w:sz w:val="16"/>
        <w:szCs w:val="16"/>
      </w:rPr>
      <w:t>ESI-II-3</w:t>
    </w:r>
    <w:r w:rsidR="003142CA" w:rsidRPr="003142CA">
      <w:rPr>
        <w:bCs/>
        <w:noProof/>
        <w:sz w:val="16"/>
        <w:szCs w:val="16"/>
      </w:rPr>
      <w:br/>
      <w:t xml:space="preserve">Előírt maximális előremeneti sebesség, </w:t>
    </w:r>
    <w:r w:rsidR="003142CA">
      <w:rPr>
        <w:noProof/>
        <w:sz w:val="16"/>
        <w:szCs w:val="16"/>
      </w:rPr>
      <w:t>megállási és hátrameneti képesség</w:t>
    </w:r>
    <w:r>
      <w:rPr>
        <w:sz w:val="16"/>
        <w:szCs w:val="16"/>
      </w:rPr>
      <w:fldChar w:fldCharType="end"/>
    </w:r>
    <w:r>
      <w:rPr>
        <w:sz w:val="16"/>
      </w:rPr>
      <w:t xml:space="preserve"> – </w:t>
    </w:r>
  </w:p>
  <w:p w:rsidR="00842442" w:rsidRPr="009E63BD" w:rsidRDefault="00842442" w:rsidP="00D45887">
    <w:pPr>
      <w:widowControl w:val="0"/>
      <w:pBdr>
        <w:bottom w:val="single" w:sz="6" w:space="1" w:color="auto"/>
      </w:pBdr>
      <w:tabs>
        <w:tab w:val="right" w:pos="9072"/>
      </w:tabs>
      <w:jc w:val="right"/>
      <w:rPr>
        <w:sz w:val="16"/>
        <w:szCs w:val="16"/>
      </w:rPr>
    </w:pPr>
    <w:r>
      <w:rPr>
        <w:sz w:val="16"/>
        <w:szCs w:val="16"/>
      </w:rPr>
      <w:fldChar w:fldCharType="begin"/>
    </w:r>
    <w:r w:rsidRPr="009E63BD">
      <w:rPr>
        <w:sz w:val="16"/>
        <w:szCs w:val="16"/>
      </w:rPr>
      <w:instrText xml:space="preserve"> STYLEREF  ES-Titre4  \* MERGEFORMAT </w:instrText>
    </w:r>
    <w:r>
      <w:rPr>
        <w:sz w:val="16"/>
        <w:szCs w:val="16"/>
      </w:rPr>
      <w:fldChar w:fldCharType="separate"/>
    </w:r>
    <w:r w:rsidR="003142CA">
      <w:rPr>
        <w:noProof/>
        <w:sz w:val="16"/>
        <w:szCs w:val="16"/>
      </w:rPr>
      <w:t>1. függelék az ESI-II-3 utasítás 2. mellékletéhez</w:t>
    </w:r>
    <w:r>
      <w:rPr>
        <w:sz w:val="16"/>
        <w:szCs w:val="16"/>
      </w:rPr>
      <w:fldChar w:fldCharType="end"/>
    </w:r>
    <w:r>
      <w:rPr>
        <w:sz w:val="16"/>
      </w:rPr>
      <w:t xml:space="preserve"> - </w:t>
    </w:r>
    <w:r>
      <w:rPr>
        <w:sz w:val="16"/>
        <w:szCs w:val="16"/>
      </w:rPr>
      <w:fldChar w:fldCharType="begin"/>
    </w:r>
    <w:r w:rsidRPr="009E63BD">
      <w:rPr>
        <w:sz w:val="16"/>
        <w:szCs w:val="16"/>
      </w:rPr>
      <w:instrText xml:space="preserve"> STYLEREF  ES-Titre4_pr_ESI_exple  \* MERGEFORMAT </w:instrText>
    </w:r>
    <w:r>
      <w:rPr>
        <w:sz w:val="16"/>
        <w:szCs w:val="16"/>
      </w:rPr>
      <w:fldChar w:fldCharType="separate"/>
    </w:r>
    <w:r w:rsidR="003142CA">
      <w:rPr>
        <w:noProof/>
        <w:sz w:val="16"/>
        <w:szCs w:val="16"/>
      </w:rPr>
      <w:t>II. példa</w:t>
    </w:r>
    <w:r>
      <w:rPr>
        <w:sz w:val="16"/>
        <w:szCs w:val="16"/>
      </w:rPr>
      <w:fldChar w:fldCharType="end"/>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3142CA" w:rsidRPr="003142CA">
      <w:rPr>
        <w:bCs/>
        <w:noProof/>
        <w:sz w:val="16"/>
        <w:szCs w:val="16"/>
      </w:rPr>
      <w:t>ESI-II-3</w:t>
    </w:r>
    <w:r w:rsidR="003142CA" w:rsidRPr="003142CA">
      <w:rPr>
        <w:bCs/>
        <w:noProof/>
        <w:sz w:val="16"/>
        <w:szCs w:val="16"/>
      </w:rPr>
      <w:br/>
      <w:t xml:space="preserve">Előírt maximális előremeneti sebesség, </w:t>
    </w:r>
    <w:r w:rsidR="003142CA">
      <w:rPr>
        <w:noProof/>
        <w:sz w:val="16"/>
        <w:szCs w:val="16"/>
      </w:rPr>
      <w:t>megállási és hátrameneti képesség</w:t>
    </w:r>
    <w:r>
      <w:rPr>
        <w:sz w:val="16"/>
        <w:szCs w:val="16"/>
      </w:rPr>
      <w:fldChar w:fldCharType="end"/>
    </w:r>
    <w:r>
      <w:rPr>
        <w:sz w:val="16"/>
      </w:rPr>
      <w:t xml:space="preserve"> -</w:t>
    </w:r>
  </w:p>
  <w:p w:rsidR="00842442" w:rsidRPr="00E846E9" w:rsidRDefault="00842442"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3142CA">
      <w:rPr>
        <w:noProof/>
        <w:sz w:val="16"/>
        <w:szCs w:val="16"/>
      </w:rPr>
      <w:t>1. függelék az ESI-II-3 utasítás 2. mellékletéhez</w:t>
    </w:r>
    <w:r>
      <w:rPr>
        <w:sz w:val="16"/>
        <w:szCs w:val="16"/>
      </w:rPr>
      <w:fldChar w:fldCharType="end"/>
    </w:r>
    <w:r>
      <w:rPr>
        <w:sz w:val="16"/>
      </w:rPr>
      <w:t>–</w:t>
    </w:r>
    <w:r>
      <w:rPr>
        <w:sz w:val="16"/>
        <w:szCs w:val="16"/>
      </w:rPr>
      <w:fldChar w:fldCharType="begin"/>
    </w:r>
    <w:r>
      <w:rPr>
        <w:sz w:val="16"/>
        <w:szCs w:val="16"/>
      </w:rPr>
      <w:instrText xml:space="preserve"> STYLEREF  ES-Titre4_pr_ESI_exple  \* MERGEFORMAT </w:instrText>
    </w:r>
    <w:r>
      <w:rPr>
        <w:sz w:val="16"/>
        <w:szCs w:val="16"/>
      </w:rPr>
      <w:fldChar w:fldCharType="separate"/>
    </w:r>
    <w:r w:rsidR="003142CA">
      <w:rPr>
        <w:noProof/>
        <w:sz w:val="16"/>
        <w:szCs w:val="16"/>
      </w:rPr>
      <w:t>I. példa</w:t>
    </w:r>
    <w:r>
      <w:rPr>
        <w:sz w:val="16"/>
        <w:szCs w:val="16"/>
      </w:rPr>
      <w:fldChar w:fldCharType="end"/>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3142CA" w:rsidRPr="003142CA">
      <w:rPr>
        <w:bCs/>
        <w:noProof/>
        <w:sz w:val="16"/>
        <w:szCs w:val="16"/>
      </w:rPr>
      <w:t>ESI-II-3</w:t>
    </w:r>
    <w:r w:rsidR="003142CA" w:rsidRPr="003142CA">
      <w:rPr>
        <w:bCs/>
        <w:noProof/>
        <w:sz w:val="16"/>
        <w:szCs w:val="16"/>
      </w:rPr>
      <w:br/>
      <w:t xml:space="preserve">Előírt maximális előremeneti sebesség, </w:t>
    </w:r>
    <w:r w:rsidR="003142CA">
      <w:rPr>
        <w:noProof/>
        <w:sz w:val="16"/>
        <w:szCs w:val="16"/>
      </w:rPr>
      <w:t>megállási és hátrameneti képesség</w:t>
    </w:r>
    <w:r>
      <w:rPr>
        <w:sz w:val="16"/>
        <w:szCs w:val="16"/>
      </w:rPr>
      <w:fldChar w:fldCharType="end"/>
    </w:r>
    <w:r>
      <w:rPr>
        <w:sz w:val="16"/>
      </w:rPr>
      <w:t xml:space="preserve"> – </w:t>
    </w:r>
  </w:p>
  <w:p w:rsidR="00842442" w:rsidRPr="006B7368" w:rsidRDefault="00842442" w:rsidP="00D45887">
    <w:pPr>
      <w:widowControl w:val="0"/>
      <w:pBdr>
        <w:bottom w:val="single" w:sz="6" w:space="1" w:color="auto"/>
      </w:pBdr>
      <w:tabs>
        <w:tab w:val="right" w:pos="9072"/>
      </w:tabs>
      <w:jc w:val="right"/>
      <w:rPr>
        <w:sz w:val="16"/>
        <w:szCs w:val="16"/>
      </w:rPr>
    </w:pPr>
    <w:r>
      <w:rPr>
        <w:sz w:val="16"/>
        <w:szCs w:val="16"/>
      </w:rPr>
      <w:fldChar w:fldCharType="begin"/>
    </w:r>
    <w:r w:rsidRPr="006B7368">
      <w:rPr>
        <w:sz w:val="16"/>
        <w:szCs w:val="16"/>
      </w:rPr>
      <w:instrText xml:space="preserve"> STYLEREF  ES-Titre4  \* MERGEFORMAT </w:instrText>
    </w:r>
    <w:r>
      <w:rPr>
        <w:sz w:val="16"/>
        <w:szCs w:val="16"/>
      </w:rPr>
      <w:fldChar w:fldCharType="separate"/>
    </w:r>
    <w:r w:rsidR="003142CA">
      <w:rPr>
        <w:noProof/>
        <w:sz w:val="16"/>
        <w:szCs w:val="16"/>
      </w:rPr>
      <w:t>1. függelék az ESI-II-3 utasítás 2. mellékletéhez</w:t>
    </w:r>
    <w:r>
      <w:rPr>
        <w:sz w:val="16"/>
        <w:szCs w:val="16"/>
      </w:rPr>
      <w:fldChar w:fldCharType="end"/>
    </w:r>
    <w:r>
      <w:rPr>
        <w:sz w:val="16"/>
      </w:rPr>
      <w:t xml:space="preserve"> - </w:t>
    </w:r>
    <w:r>
      <w:rPr>
        <w:sz w:val="16"/>
        <w:szCs w:val="16"/>
      </w:rPr>
      <w:fldChar w:fldCharType="begin"/>
    </w:r>
    <w:r w:rsidRPr="006B7368">
      <w:rPr>
        <w:sz w:val="16"/>
        <w:szCs w:val="16"/>
      </w:rPr>
      <w:instrText xml:space="preserve"> STYLEREF  ES-Titre4_pr_ESI_exple  \* MERGEFORMAT </w:instrText>
    </w:r>
    <w:r>
      <w:rPr>
        <w:sz w:val="16"/>
        <w:szCs w:val="16"/>
      </w:rPr>
      <w:fldChar w:fldCharType="separate"/>
    </w:r>
    <w:r w:rsidR="003142CA">
      <w:rPr>
        <w:noProof/>
        <w:sz w:val="16"/>
        <w:szCs w:val="16"/>
      </w:rPr>
      <w:t>II. példa</w:t>
    </w:r>
    <w:r>
      <w:rPr>
        <w:sz w:val="16"/>
        <w:szCs w:val="16"/>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9025E1" w:rsidRDefault="00842442"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3142CA" w:rsidRPr="003142CA">
      <w:rPr>
        <w:bCs/>
        <w:noProof/>
        <w:sz w:val="16"/>
        <w:szCs w:val="16"/>
      </w:rPr>
      <w:t>ESI-II-4</w:t>
    </w:r>
    <w:r w:rsidR="003142CA" w:rsidRPr="003142CA">
      <w:rPr>
        <w:bCs/>
        <w:noProof/>
        <w:sz w:val="16"/>
        <w:szCs w:val="16"/>
      </w:rPr>
      <w:br/>
      <w:t>Kitérési képesség és fordulási képesség</w:t>
    </w:r>
    <w:r w:rsidRPr="005B46C9">
      <w:rPr>
        <w:sz w:val="16"/>
        <w:szCs w:val="16"/>
      </w:rPr>
      <w:fldChar w:fldCharType="end"/>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3142CA" w:rsidRPr="003142CA">
      <w:rPr>
        <w:bCs/>
        <w:noProof/>
        <w:sz w:val="16"/>
        <w:szCs w:val="16"/>
      </w:rPr>
      <w:t>ESI-II-4</w:t>
    </w:r>
    <w:r w:rsidR="003142CA" w:rsidRPr="003142CA">
      <w:rPr>
        <w:bCs/>
        <w:noProof/>
        <w:sz w:val="16"/>
        <w:szCs w:val="16"/>
      </w:rPr>
      <w:br/>
      <w:t>Kitérési képesség és fordulási képesség</w:t>
    </w:r>
    <w:r w:rsidRPr="005B46C9">
      <w:rPr>
        <w:sz w:val="16"/>
        <w:szCs w:val="16"/>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9025E1"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3142CA" w:rsidRPr="003142CA">
      <w:rPr>
        <w:bCs/>
        <w:noProof/>
        <w:sz w:val="16"/>
        <w:szCs w:val="16"/>
      </w:rPr>
      <w:t>ESI-II-4</w:t>
    </w:r>
    <w:r w:rsidR="003142CA" w:rsidRPr="003142CA">
      <w:rPr>
        <w:bCs/>
        <w:noProof/>
        <w:sz w:val="16"/>
        <w:szCs w:val="16"/>
      </w:rPr>
      <w:br/>
      <w:t>Kitérési képesség és fordulási képesség</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3142CA">
      <w:rPr>
        <w:noProof/>
        <w:sz w:val="16"/>
        <w:szCs w:val="16"/>
      </w:rPr>
      <w:t>1. melléklet az ESI-II-4 utasításhoz</w:t>
    </w:r>
    <w:r>
      <w:rPr>
        <w:sz w:val="16"/>
        <w:szCs w:val="16"/>
      </w:rPr>
      <w:fldChar w:fldCharType="end"/>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5B46C9" w:rsidRDefault="00842442"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3142CA" w:rsidRPr="003142CA">
      <w:rPr>
        <w:bCs/>
        <w:noProof/>
        <w:sz w:val="16"/>
        <w:szCs w:val="16"/>
      </w:rPr>
      <w:t>ESI-II-4</w:t>
    </w:r>
    <w:r w:rsidR="003142CA" w:rsidRPr="003142CA">
      <w:rPr>
        <w:bCs/>
        <w:noProof/>
        <w:sz w:val="16"/>
        <w:szCs w:val="16"/>
      </w:rPr>
      <w:br/>
      <w:t>Kitérési képesség és fordulási képesség</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3142CA">
      <w:rPr>
        <w:noProof/>
        <w:sz w:val="16"/>
        <w:szCs w:val="16"/>
      </w:rPr>
      <w:t>2. melléklet az ESI-II-4 utasításhoz</w:t>
    </w:r>
    <w:r>
      <w:rPr>
        <w:sz w:val="16"/>
        <w:szCs w:val="16"/>
      </w:rPr>
      <w:fldChar w:fldCharType="end"/>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9025E1" w:rsidRDefault="00842442" w:rsidP="00D45887">
    <w:pPr>
      <w:widowControl w:val="0"/>
      <w:pBdr>
        <w:bottom w:val="single" w:sz="6" w:space="1" w:color="auto"/>
      </w:pBdr>
      <w:tabs>
        <w:tab w:val="right" w:pos="9070"/>
      </w:tabs>
      <w:jc w:val="right"/>
      <w:rPr>
        <w:sz w:val="16"/>
        <w:szCs w:val="16"/>
      </w:rPr>
    </w:pPr>
    <w:r>
      <w:rPr>
        <w:sz w:val="16"/>
      </w:rPr>
      <w:t>ES-TRIN</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30168"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3142CA">
      <w:rPr>
        <w:noProof/>
        <w:sz w:val="16"/>
        <w:szCs w:val="16"/>
      </w:rPr>
      <w:t>ESI-II-9</w:t>
    </w:r>
    <w:r w:rsidR="003142CA">
      <w:rPr>
        <w:noProof/>
        <w:sz w:val="16"/>
        <w:szCs w:val="16"/>
      </w:rPr>
      <w:br/>
      <w:t>Csökkentett tömegű különleges horgonyok</w:t>
    </w:r>
    <w:r>
      <w:rPr>
        <w:sz w:val="16"/>
        <w:szCs w:val="16"/>
      </w:rPr>
      <w:fldChar w:fldCharType="end"/>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9025E1" w:rsidRDefault="00842442" w:rsidP="00D45887">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3142CA">
      <w:rPr>
        <w:noProof/>
        <w:sz w:val="16"/>
        <w:szCs w:val="16"/>
      </w:rPr>
      <w:t>ESI-II-9</w:t>
    </w:r>
    <w:r w:rsidR="003142CA">
      <w:rPr>
        <w:noProof/>
        <w:sz w:val="16"/>
        <w:szCs w:val="16"/>
      </w:rPr>
      <w:br/>
      <w:t>Csökkentett tömegű különleges horgonyok</w:t>
    </w:r>
    <w:r>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3142CA">
      <w:rPr>
        <w:noProof/>
        <w:sz w:val="16"/>
        <w:szCs w:val="16"/>
      </w:rPr>
      <w:t>1. melléklet az ESI-II-9 utasításhoz</w:t>
    </w:r>
    <w:r>
      <w:rPr>
        <w:sz w:val="16"/>
        <w:szCs w:val="16"/>
      </w:rPr>
      <w:fldChar w:fldCharType="end"/>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9025E1"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3142CA">
      <w:rPr>
        <w:noProof/>
        <w:sz w:val="16"/>
        <w:szCs w:val="16"/>
      </w:rPr>
      <w:t>ESI-II-10</w:t>
    </w:r>
    <w:r w:rsidR="003142CA">
      <w:rPr>
        <w:noProof/>
        <w:sz w:val="16"/>
        <w:szCs w:val="16"/>
      </w:rPr>
      <w:br/>
      <w:t>Automatikus, vízpermettel oltó túlnyomásos berendezések</w:t>
    </w:r>
    <w:r>
      <w:rPr>
        <w:sz w:val="16"/>
        <w:szCs w:val="16"/>
      </w:rPr>
      <w:fldChar w:fldCharType="end"/>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C64DB8" w:rsidRDefault="00842442"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Pr>
        <w:sz w:val="16"/>
        <w:szCs w:val="16"/>
      </w:rPr>
      <w:instrText xml:space="preserve"> STYLEREF  ES-Titre2_ESI  \* MERGEFORMAT </w:instrText>
    </w:r>
    <w:r>
      <w:rPr>
        <w:sz w:val="16"/>
        <w:szCs w:val="16"/>
      </w:rPr>
      <w:fldChar w:fldCharType="separate"/>
    </w:r>
    <w:r w:rsidR="003142CA">
      <w:rPr>
        <w:noProof/>
        <w:sz w:val="16"/>
        <w:szCs w:val="16"/>
      </w:rPr>
      <w:t>ESI-IV-1</w:t>
    </w:r>
    <w:r w:rsidR="003142CA">
      <w:rPr>
        <w:noProof/>
        <w:sz w:val="16"/>
        <w:szCs w:val="16"/>
      </w:rPr>
      <w:br/>
      <w:t>Átmeneti rendelkezések alkalmazása</w:t>
    </w:r>
    <w:r>
      <w:rPr>
        <w:sz w:val="16"/>
        <w:szCs w:val="16"/>
      </w:rPr>
      <w:fldChar w:fldCharType="end"/>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2442" w:rsidRPr="009025E1" w:rsidRDefault="00842442" w:rsidP="00D45887">
    <w:pPr>
      <w:widowControl w:val="0"/>
      <w:pBdr>
        <w:bottom w:val="single" w:sz="6" w:space="1" w:color="auto"/>
      </w:pBdr>
      <w:tabs>
        <w:tab w:val="right" w:pos="9070"/>
      </w:tabs>
      <w:jc w:val="right"/>
      <w:rPr>
        <w:sz w:val="16"/>
        <w:szCs w:val="16"/>
      </w:rPr>
    </w:pPr>
    <w:r>
      <w:rPr>
        <w:sz w:val="16"/>
      </w:rPr>
      <w:t>ES-TRIN</w:t>
    </w:r>
    <w:r>
      <w:tab/>
    </w:r>
    <w:r>
      <w:rPr>
        <w:sz w:val="16"/>
        <w:szCs w:val="16"/>
      </w:rPr>
      <w:fldChar w:fldCharType="begin"/>
    </w:r>
    <w:r>
      <w:rPr>
        <w:sz w:val="16"/>
        <w:szCs w:val="16"/>
      </w:rPr>
      <w:instrText xml:space="preserve"> STYLEREF  ES-Titre2_ESI  \* MERGEFORMAT </w:instrText>
    </w:r>
    <w:r>
      <w:rPr>
        <w:sz w:val="16"/>
        <w:szCs w:val="16"/>
      </w:rPr>
      <w:fldChar w:fldCharType="separate"/>
    </w:r>
    <w:r w:rsidR="003142CA">
      <w:rPr>
        <w:noProof/>
        <w:sz w:val="16"/>
        <w:szCs w:val="16"/>
      </w:rPr>
      <w:t>ESI-IV-1</w:t>
    </w:r>
    <w:r w:rsidR="003142CA">
      <w:rPr>
        <w:noProof/>
        <w:sz w:val="16"/>
        <w:szCs w:val="16"/>
      </w:rPr>
      <w:br/>
      <w:t>Átmeneti rendelkezések alkalmazása</w:t>
    </w:r>
    <w:r>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416"/>
        </w:tabs>
        <w:ind w:left="1416" w:hanging="708"/>
      </w:pPr>
      <w:rPr>
        <w:rFonts w:ascii="Times New Roman" w:hAnsi="Times New Roman" w:cs="Times New Roman"/>
      </w:rPr>
    </w:lvl>
  </w:abstractNum>
  <w:abstractNum w:abstractNumId="1">
    <w:nsid w:val="00000004"/>
    <w:multiLevelType w:val="multilevel"/>
    <w:tmpl w:val="00000004"/>
    <w:name w:val="WW8Num4"/>
    <w:lvl w:ilvl="0">
      <w:start w:val="2"/>
      <w:numFmt w:val="decimal"/>
      <w:pStyle w:val="jeveux"/>
      <w:lvlText w:val="%1."/>
      <w:lvlJc w:val="left"/>
      <w:pPr>
        <w:tabs>
          <w:tab w:val="num" w:pos="794"/>
        </w:tabs>
        <w:ind w:left="720" w:hanging="692"/>
      </w:pPr>
    </w:lvl>
    <w:lvl w:ilvl="1">
      <w:start w:val="9"/>
      <w:numFmt w:val="bullet"/>
      <w:lvlText w:val="-"/>
      <w:lvlJc w:val="left"/>
      <w:pPr>
        <w:tabs>
          <w:tab w:val="num" w:pos="794"/>
        </w:tabs>
        <w:ind w:left="1440" w:hanging="1412"/>
      </w:pPr>
      <w:rPr>
        <w:rFonts w:ascii="Times New Roman" w:hAnsi="Times New Roman" w:cs="Times New Roman"/>
      </w:rPr>
    </w:lvl>
    <w:lvl w:ilvl="2">
      <w:start w:val="1"/>
      <w:numFmt w:val="lowerRoman"/>
      <w:lvlText w:val="%3."/>
      <w:lvlJc w:val="left"/>
      <w:pPr>
        <w:tabs>
          <w:tab w:val="num" w:pos="794"/>
        </w:tabs>
        <w:ind w:left="2160" w:hanging="2132"/>
      </w:pPr>
    </w:lvl>
    <w:lvl w:ilvl="3">
      <w:start w:val="1"/>
      <w:numFmt w:val="decimal"/>
      <w:lvlText w:val="%4."/>
      <w:lvlJc w:val="left"/>
      <w:pPr>
        <w:tabs>
          <w:tab w:val="num" w:pos="794"/>
        </w:tabs>
        <w:ind w:left="2880" w:hanging="2852"/>
      </w:pPr>
    </w:lvl>
    <w:lvl w:ilvl="4">
      <w:start w:val="1"/>
      <w:numFmt w:val="lowerLetter"/>
      <w:lvlText w:val="%5."/>
      <w:lvlJc w:val="left"/>
      <w:pPr>
        <w:tabs>
          <w:tab w:val="num" w:pos="794"/>
        </w:tabs>
        <w:ind w:left="3600" w:hanging="3572"/>
      </w:pPr>
    </w:lvl>
    <w:lvl w:ilvl="5">
      <w:start w:val="1"/>
      <w:numFmt w:val="lowerRoman"/>
      <w:lvlText w:val="%6."/>
      <w:lvlJc w:val="left"/>
      <w:pPr>
        <w:tabs>
          <w:tab w:val="num" w:pos="794"/>
        </w:tabs>
        <w:ind w:left="4320" w:hanging="4292"/>
      </w:pPr>
    </w:lvl>
    <w:lvl w:ilvl="6">
      <w:start w:val="1"/>
      <w:numFmt w:val="decimal"/>
      <w:lvlText w:val="%7."/>
      <w:lvlJc w:val="left"/>
      <w:pPr>
        <w:tabs>
          <w:tab w:val="num" w:pos="794"/>
        </w:tabs>
        <w:ind w:left="5040" w:hanging="5012"/>
      </w:pPr>
    </w:lvl>
    <w:lvl w:ilvl="7">
      <w:start w:val="1"/>
      <w:numFmt w:val="lowerLetter"/>
      <w:lvlText w:val="%8."/>
      <w:lvlJc w:val="left"/>
      <w:pPr>
        <w:tabs>
          <w:tab w:val="num" w:pos="794"/>
        </w:tabs>
        <w:ind w:left="5760" w:hanging="5732"/>
      </w:pPr>
    </w:lvl>
    <w:lvl w:ilvl="8">
      <w:start w:val="1"/>
      <w:numFmt w:val="lowerRoman"/>
      <w:lvlText w:val="%9."/>
      <w:lvlJc w:val="left"/>
      <w:pPr>
        <w:tabs>
          <w:tab w:val="num" w:pos="794"/>
        </w:tabs>
        <w:ind w:left="6480" w:hanging="6452"/>
      </w:pPr>
    </w:lvl>
  </w:abstractNum>
  <w:abstractNum w:abstractNumId="2">
    <w:nsid w:val="0AFD4894"/>
    <w:multiLevelType w:val="singleLevel"/>
    <w:tmpl w:val="FAC02758"/>
    <w:name w:val="Tiret 0"/>
    <w:lvl w:ilvl="0">
      <w:start w:val="1"/>
      <w:numFmt w:val="bullet"/>
      <w:lvlRestart w:val="0"/>
      <w:lvlText w:val="–"/>
      <w:lvlJc w:val="left"/>
      <w:pPr>
        <w:tabs>
          <w:tab w:val="num" w:pos="850"/>
        </w:tabs>
        <w:ind w:left="850" w:hanging="850"/>
      </w:pPr>
    </w:lvl>
  </w:abstractNum>
  <w:abstractNum w:abstractNumId="3">
    <w:nsid w:val="137A65C0"/>
    <w:multiLevelType w:val="hybridMultilevel"/>
    <w:tmpl w:val="95C29EC0"/>
    <w:lvl w:ilvl="0" w:tplc="D292A33A">
      <w:numFmt w:val="bullet"/>
      <w:lvlText w:val=""/>
      <w:lvlJc w:val="left"/>
      <w:pPr>
        <w:ind w:left="720" w:hanging="360"/>
      </w:pPr>
      <w:rPr>
        <w:rFonts w:ascii="Symbol" w:eastAsia="Times New Roman" w:hAnsi="Symbol" w:cs="Arial" w:hint="default"/>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0A057E8"/>
    <w:multiLevelType w:val="hybridMultilevel"/>
    <w:tmpl w:val="97A87118"/>
    <w:lvl w:ilvl="0" w:tplc="C61CCFA6">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3633AA5"/>
    <w:multiLevelType w:val="singleLevel"/>
    <w:tmpl w:val="43740D98"/>
    <w:name w:val="Bullet 2"/>
    <w:lvl w:ilvl="0">
      <w:start w:val="1"/>
      <w:numFmt w:val="bullet"/>
      <w:lvlRestart w:val="0"/>
      <w:pStyle w:val="Bullet2"/>
      <w:lvlText w:val=""/>
      <w:lvlJc w:val="left"/>
      <w:pPr>
        <w:tabs>
          <w:tab w:val="num" w:pos="1984"/>
        </w:tabs>
        <w:ind w:left="1984" w:hanging="567"/>
      </w:pPr>
      <w:rPr>
        <w:rFonts w:ascii="Symbol" w:hAnsi="Symbol" w:hint="default"/>
      </w:rPr>
    </w:lvl>
  </w:abstractNum>
  <w:abstractNum w:abstractNumId="6">
    <w:nsid w:val="274F3331"/>
    <w:multiLevelType w:val="hybridMultilevel"/>
    <w:tmpl w:val="4B6CC5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DA1323F"/>
    <w:multiLevelType w:val="hybridMultilevel"/>
    <w:tmpl w:val="424A924C"/>
    <w:lvl w:ilvl="0" w:tplc="FFFFFFFF">
      <w:start w:val="14"/>
      <w:numFmt w:val="bullet"/>
      <w:lvlText w:val="-"/>
      <w:lvlJc w:val="left"/>
      <w:pPr>
        <w:ind w:left="720" w:hanging="360"/>
      </w:pPr>
      <w:rPr>
        <w:rFonts w:ascii="Arial" w:eastAsia="Times New Roman" w:hAnsi="Aria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8">
    <w:nsid w:val="375E5176"/>
    <w:multiLevelType w:val="hybridMultilevel"/>
    <w:tmpl w:val="06228422"/>
    <w:lvl w:ilvl="0" w:tplc="F3F6B2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D5233CE"/>
    <w:multiLevelType w:val="hybridMultilevel"/>
    <w:tmpl w:val="77BC0B34"/>
    <w:lvl w:ilvl="0" w:tplc="50424CEC">
      <w:start w:val="1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F8043E9"/>
    <w:multiLevelType w:val="hybridMultilevel"/>
    <w:tmpl w:val="CBCA938C"/>
    <w:lvl w:ilvl="0" w:tplc="25A807C0">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40665587"/>
    <w:multiLevelType w:val="hybridMultilevel"/>
    <w:tmpl w:val="ABDA506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21140B"/>
    <w:multiLevelType w:val="singleLevel"/>
    <w:tmpl w:val="9F38A1E6"/>
    <w:lvl w:ilvl="0">
      <w:start w:val="1"/>
      <w:numFmt w:val="decimal"/>
      <w:pStyle w:val="Considrant"/>
      <w:lvlText w:val="(%1)"/>
      <w:lvlJc w:val="left"/>
      <w:pPr>
        <w:tabs>
          <w:tab w:val="num" w:pos="709"/>
        </w:tabs>
        <w:ind w:left="709" w:hanging="709"/>
      </w:pPr>
    </w:lvl>
  </w:abstractNum>
  <w:abstractNum w:abstractNumId="13">
    <w:nsid w:val="53564CCD"/>
    <w:multiLevelType w:val="multilevel"/>
    <w:tmpl w:val="DAEE582E"/>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5CBB3924"/>
    <w:multiLevelType w:val="multilevel"/>
    <w:tmpl w:val="7F4CFBBA"/>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6FFF5257"/>
    <w:multiLevelType w:val="singleLevel"/>
    <w:tmpl w:val="659A5DB2"/>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16">
    <w:nsid w:val="762A79C9"/>
    <w:multiLevelType w:val="hybridMultilevel"/>
    <w:tmpl w:val="0A4E9D96"/>
    <w:lvl w:ilvl="0" w:tplc="9BBCF40C">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84B2BA1"/>
    <w:multiLevelType w:val="singleLevel"/>
    <w:tmpl w:val="17AC9850"/>
    <w:name w:val="Bullet 1"/>
    <w:lvl w:ilvl="0">
      <w:start w:val="1"/>
      <w:numFmt w:val="lowerLetter"/>
      <w:lvlRestart w:val="0"/>
      <w:pStyle w:val="Bullet1"/>
      <w:lvlText w:val="%1)"/>
      <w:lvlJc w:val="left"/>
      <w:pPr>
        <w:tabs>
          <w:tab w:val="num" w:pos="1417"/>
        </w:tabs>
        <w:ind w:left="1417" w:hanging="567"/>
      </w:pPr>
      <w:rPr>
        <w:rFonts w:ascii="Times New Roman" w:eastAsia="Times New Roman" w:hAnsi="Times New Roman" w:cs="Times New Roman"/>
      </w:rPr>
    </w:lvl>
  </w:abstractNum>
  <w:abstractNum w:abstractNumId="18">
    <w:nsid w:val="7A61200C"/>
    <w:multiLevelType w:val="multilevel"/>
    <w:tmpl w:val="CC7C38C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C7C61AB"/>
    <w:multiLevelType w:val="multilevel"/>
    <w:tmpl w:val="3F04EE72"/>
    <w:name w:val="0,5280224"/>
    <w:lvl w:ilvl="0">
      <w:start w:val="1"/>
      <w:numFmt w:val="decimal"/>
      <w:lvlRestart w:val="0"/>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4"/>
  </w:num>
  <w:num w:numId="2">
    <w:abstractNumId w:val="13"/>
  </w:num>
  <w:num w:numId="3">
    <w:abstractNumId w:val="12"/>
  </w:num>
  <w:num w:numId="4">
    <w:abstractNumId w:val="15"/>
  </w:num>
  <w:num w:numId="5">
    <w:abstractNumId w:val="17"/>
  </w:num>
  <w:num w:numId="6">
    <w:abstractNumId w:val="5"/>
  </w:num>
  <w:num w:numId="7">
    <w:abstractNumId w:val="9"/>
  </w:num>
  <w:num w:numId="8">
    <w:abstractNumId w:val="4"/>
  </w:num>
  <w:num w:numId="9">
    <w:abstractNumId w:val="1"/>
  </w:num>
  <w:num w:numId="10">
    <w:abstractNumId w:val="18"/>
  </w:num>
  <w:num w:numId="11">
    <w:abstractNumId w:val="3"/>
  </w:num>
  <w:num w:numId="12">
    <w:abstractNumId w:val="6"/>
  </w:num>
  <w:num w:numId="13">
    <w:abstractNumId w:val="16"/>
  </w:num>
  <w:num w:numId="14">
    <w:abstractNumId w:val="8"/>
  </w:num>
  <w:num w:numId="15">
    <w:abstractNumId w:val="11"/>
  </w:num>
  <w:num w:numId="16">
    <w:abstractNumId w:val="7"/>
  </w:num>
  <w:num w:numId="17">
    <w:abstractNumId w:val="10"/>
  </w:num>
  <w:num w:numId="18">
    <w:abstractNumId w:val="0"/>
  </w:num>
  <w:num w:numId="19">
    <w:abstractNumId w:val="19"/>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80"/>
  <w:removePersonalInformation/>
  <w:removeDateAndTime/>
  <w:embedSystemFonts/>
  <w:hideSpellingErrors/>
  <w:linkStyles/>
  <w:doNotTrackFormatting/>
  <w:defaultTabStop w:val="72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435201"/>
  </w:hdrShapeDefaults>
  <w:footnotePr>
    <w:numRestart w:val="eachPage"/>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612D96"/>
    <w:rsid w:val="000009AC"/>
    <w:rsid w:val="00001079"/>
    <w:rsid w:val="00001650"/>
    <w:rsid w:val="00002CF3"/>
    <w:rsid w:val="00003903"/>
    <w:rsid w:val="00006207"/>
    <w:rsid w:val="00007D56"/>
    <w:rsid w:val="00011E41"/>
    <w:rsid w:val="00014931"/>
    <w:rsid w:val="00014FF4"/>
    <w:rsid w:val="000153B3"/>
    <w:rsid w:val="00016542"/>
    <w:rsid w:val="00016B72"/>
    <w:rsid w:val="00017B11"/>
    <w:rsid w:val="00017C69"/>
    <w:rsid w:val="00020374"/>
    <w:rsid w:val="00020D02"/>
    <w:rsid w:val="000222E9"/>
    <w:rsid w:val="000225FB"/>
    <w:rsid w:val="000228A4"/>
    <w:rsid w:val="00022DFD"/>
    <w:rsid w:val="0002366B"/>
    <w:rsid w:val="000236CB"/>
    <w:rsid w:val="00025E87"/>
    <w:rsid w:val="000265D0"/>
    <w:rsid w:val="00031119"/>
    <w:rsid w:val="0003171D"/>
    <w:rsid w:val="000323C7"/>
    <w:rsid w:val="000323F4"/>
    <w:rsid w:val="00033E56"/>
    <w:rsid w:val="00034331"/>
    <w:rsid w:val="00034977"/>
    <w:rsid w:val="00034CAA"/>
    <w:rsid w:val="00035837"/>
    <w:rsid w:val="0003592A"/>
    <w:rsid w:val="00035FE4"/>
    <w:rsid w:val="000403EC"/>
    <w:rsid w:val="000403F6"/>
    <w:rsid w:val="000418C9"/>
    <w:rsid w:val="00043377"/>
    <w:rsid w:val="00044E4F"/>
    <w:rsid w:val="000505FE"/>
    <w:rsid w:val="00051641"/>
    <w:rsid w:val="000525EE"/>
    <w:rsid w:val="000526B5"/>
    <w:rsid w:val="000532D6"/>
    <w:rsid w:val="000536A6"/>
    <w:rsid w:val="000544E4"/>
    <w:rsid w:val="00054791"/>
    <w:rsid w:val="0005522B"/>
    <w:rsid w:val="00055419"/>
    <w:rsid w:val="000562CE"/>
    <w:rsid w:val="00056313"/>
    <w:rsid w:val="0005658E"/>
    <w:rsid w:val="00057037"/>
    <w:rsid w:val="0006083D"/>
    <w:rsid w:val="00060F09"/>
    <w:rsid w:val="00061B86"/>
    <w:rsid w:val="00063D84"/>
    <w:rsid w:val="00064BFC"/>
    <w:rsid w:val="00065064"/>
    <w:rsid w:val="00065CEE"/>
    <w:rsid w:val="00066459"/>
    <w:rsid w:val="000672C2"/>
    <w:rsid w:val="0006780B"/>
    <w:rsid w:val="00067BB9"/>
    <w:rsid w:val="00071AAC"/>
    <w:rsid w:val="00072882"/>
    <w:rsid w:val="0007393A"/>
    <w:rsid w:val="00074639"/>
    <w:rsid w:val="00074C87"/>
    <w:rsid w:val="00074E15"/>
    <w:rsid w:val="00077A58"/>
    <w:rsid w:val="00077A7F"/>
    <w:rsid w:val="000804D1"/>
    <w:rsid w:val="00080F6D"/>
    <w:rsid w:val="000813F1"/>
    <w:rsid w:val="00083340"/>
    <w:rsid w:val="00083603"/>
    <w:rsid w:val="000855F0"/>
    <w:rsid w:val="00086CF5"/>
    <w:rsid w:val="00090862"/>
    <w:rsid w:val="00090EDC"/>
    <w:rsid w:val="0009266E"/>
    <w:rsid w:val="000928CC"/>
    <w:rsid w:val="00092AD1"/>
    <w:rsid w:val="00092FA7"/>
    <w:rsid w:val="00095462"/>
    <w:rsid w:val="0009596F"/>
    <w:rsid w:val="000A105C"/>
    <w:rsid w:val="000A13AD"/>
    <w:rsid w:val="000A15B3"/>
    <w:rsid w:val="000A1609"/>
    <w:rsid w:val="000A290B"/>
    <w:rsid w:val="000A2F1D"/>
    <w:rsid w:val="000A2F7F"/>
    <w:rsid w:val="000A399F"/>
    <w:rsid w:val="000A3F57"/>
    <w:rsid w:val="000A52E4"/>
    <w:rsid w:val="000A7601"/>
    <w:rsid w:val="000B2B59"/>
    <w:rsid w:val="000B35AC"/>
    <w:rsid w:val="000B4123"/>
    <w:rsid w:val="000B44A5"/>
    <w:rsid w:val="000B4982"/>
    <w:rsid w:val="000B4A23"/>
    <w:rsid w:val="000B4F66"/>
    <w:rsid w:val="000B60B9"/>
    <w:rsid w:val="000B68E7"/>
    <w:rsid w:val="000C0499"/>
    <w:rsid w:val="000C0B7A"/>
    <w:rsid w:val="000C1DB3"/>
    <w:rsid w:val="000C41E0"/>
    <w:rsid w:val="000C6892"/>
    <w:rsid w:val="000D0F00"/>
    <w:rsid w:val="000D24E1"/>
    <w:rsid w:val="000D2654"/>
    <w:rsid w:val="000D3267"/>
    <w:rsid w:val="000D326E"/>
    <w:rsid w:val="000D3586"/>
    <w:rsid w:val="000D44AE"/>
    <w:rsid w:val="000D613C"/>
    <w:rsid w:val="000D7607"/>
    <w:rsid w:val="000E1628"/>
    <w:rsid w:val="000E1B99"/>
    <w:rsid w:val="000E1F46"/>
    <w:rsid w:val="000E2CDC"/>
    <w:rsid w:val="000E30BB"/>
    <w:rsid w:val="000E49C3"/>
    <w:rsid w:val="000E4A73"/>
    <w:rsid w:val="000E5F8A"/>
    <w:rsid w:val="000E732C"/>
    <w:rsid w:val="000E7E11"/>
    <w:rsid w:val="000F09D4"/>
    <w:rsid w:val="000F1B69"/>
    <w:rsid w:val="000F215E"/>
    <w:rsid w:val="000F3425"/>
    <w:rsid w:val="000F3AFD"/>
    <w:rsid w:val="000F41DF"/>
    <w:rsid w:val="000F42F5"/>
    <w:rsid w:val="000F53DA"/>
    <w:rsid w:val="000F600A"/>
    <w:rsid w:val="000F6553"/>
    <w:rsid w:val="000F7006"/>
    <w:rsid w:val="00100EF1"/>
    <w:rsid w:val="00101A80"/>
    <w:rsid w:val="00101CB2"/>
    <w:rsid w:val="00101D20"/>
    <w:rsid w:val="0010389F"/>
    <w:rsid w:val="0010666B"/>
    <w:rsid w:val="00106E92"/>
    <w:rsid w:val="001077F3"/>
    <w:rsid w:val="00107B2C"/>
    <w:rsid w:val="001107BF"/>
    <w:rsid w:val="001108EB"/>
    <w:rsid w:val="00110BC9"/>
    <w:rsid w:val="00111867"/>
    <w:rsid w:val="00113730"/>
    <w:rsid w:val="00116526"/>
    <w:rsid w:val="001171AE"/>
    <w:rsid w:val="001179E7"/>
    <w:rsid w:val="00117BDC"/>
    <w:rsid w:val="0012395A"/>
    <w:rsid w:val="001243C3"/>
    <w:rsid w:val="00124738"/>
    <w:rsid w:val="00124817"/>
    <w:rsid w:val="00124E9C"/>
    <w:rsid w:val="00125490"/>
    <w:rsid w:val="001257FE"/>
    <w:rsid w:val="001267B1"/>
    <w:rsid w:val="0012747B"/>
    <w:rsid w:val="0012781A"/>
    <w:rsid w:val="001317E7"/>
    <w:rsid w:val="00133108"/>
    <w:rsid w:val="00133F19"/>
    <w:rsid w:val="00135E26"/>
    <w:rsid w:val="001363D1"/>
    <w:rsid w:val="00136542"/>
    <w:rsid w:val="00136BFD"/>
    <w:rsid w:val="00137A45"/>
    <w:rsid w:val="00140690"/>
    <w:rsid w:val="00141B17"/>
    <w:rsid w:val="001427DF"/>
    <w:rsid w:val="0014563E"/>
    <w:rsid w:val="00145B96"/>
    <w:rsid w:val="001469B0"/>
    <w:rsid w:val="00147283"/>
    <w:rsid w:val="001476EC"/>
    <w:rsid w:val="00147B16"/>
    <w:rsid w:val="00151656"/>
    <w:rsid w:val="00151AEA"/>
    <w:rsid w:val="00153AB4"/>
    <w:rsid w:val="001542BC"/>
    <w:rsid w:val="00154B30"/>
    <w:rsid w:val="00155AB8"/>
    <w:rsid w:val="00155D5C"/>
    <w:rsid w:val="00156207"/>
    <w:rsid w:val="00157062"/>
    <w:rsid w:val="001575C2"/>
    <w:rsid w:val="0016074C"/>
    <w:rsid w:val="00160E19"/>
    <w:rsid w:val="001610C7"/>
    <w:rsid w:val="00161AB6"/>
    <w:rsid w:val="00161BF6"/>
    <w:rsid w:val="0016282C"/>
    <w:rsid w:val="0016317F"/>
    <w:rsid w:val="0016337E"/>
    <w:rsid w:val="00163956"/>
    <w:rsid w:val="001640EF"/>
    <w:rsid w:val="00165024"/>
    <w:rsid w:val="00165F82"/>
    <w:rsid w:val="001662DB"/>
    <w:rsid w:val="00166C9D"/>
    <w:rsid w:val="00166DDA"/>
    <w:rsid w:val="00166EA9"/>
    <w:rsid w:val="0016731B"/>
    <w:rsid w:val="0016750C"/>
    <w:rsid w:val="001705E4"/>
    <w:rsid w:val="0017082D"/>
    <w:rsid w:val="00171478"/>
    <w:rsid w:val="00172F8E"/>
    <w:rsid w:val="001749C4"/>
    <w:rsid w:val="0017546E"/>
    <w:rsid w:val="00176095"/>
    <w:rsid w:val="0017630F"/>
    <w:rsid w:val="0017699E"/>
    <w:rsid w:val="00176B5A"/>
    <w:rsid w:val="00177969"/>
    <w:rsid w:val="00177CE4"/>
    <w:rsid w:val="001807CA"/>
    <w:rsid w:val="00181116"/>
    <w:rsid w:val="00181BB6"/>
    <w:rsid w:val="0018270B"/>
    <w:rsid w:val="0018359A"/>
    <w:rsid w:val="00183609"/>
    <w:rsid w:val="00183D1F"/>
    <w:rsid w:val="001851F8"/>
    <w:rsid w:val="001853EE"/>
    <w:rsid w:val="001856B5"/>
    <w:rsid w:val="001865DF"/>
    <w:rsid w:val="00190746"/>
    <w:rsid w:val="00190B8A"/>
    <w:rsid w:val="00191DB0"/>
    <w:rsid w:val="00192ED9"/>
    <w:rsid w:val="00194498"/>
    <w:rsid w:val="001958C0"/>
    <w:rsid w:val="00195D93"/>
    <w:rsid w:val="001964F8"/>
    <w:rsid w:val="00196FBC"/>
    <w:rsid w:val="00197723"/>
    <w:rsid w:val="00197F7A"/>
    <w:rsid w:val="001A16CD"/>
    <w:rsid w:val="001A19C2"/>
    <w:rsid w:val="001A409D"/>
    <w:rsid w:val="001A583E"/>
    <w:rsid w:val="001A6B1D"/>
    <w:rsid w:val="001A723F"/>
    <w:rsid w:val="001A7DAB"/>
    <w:rsid w:val="001B09F1"/>
    <w:rsid w:val="001B1AA7"/>
    <w:rsid w:val="001B2673"/>
    <w:rsid w:val="001B4203"/>
    <w:rsid w:val="001B4DBC"/>
    <w:rsid w:val="001B500F"/>
    <w:rsid w:val="001B543F"/>
    <w:rsid w:val="001B5ABA"/>
    <w:rsid w:val="001B62AD"/>
    <w:rsid w:val="001B6FDF"/>
    <w:rsid w:val="001B7F10"/>
    <w:rsid w:val="001C1441"/>
    <w:rsid w:val="001C15FF"/>
    <w:rsid w:val="001C29FD"/>
    <w:rsid w:val="001C46BB"/>
    <w:rsid w:val="001C47D9"/>
    <w:rsid w:val="001C4EBD"/>
    <w:rsid w:val="001C4EBE"/>
    <w:rsid w:val="001C566A"/>
    <w:rsid w:val="001C5E10"/>
    <w:rsid w:val="001C7F2E"/>
    <w:rsid w:val="001D0FFC"/>
    <w:rsid w:val="001D190F"/>
    <w:rsid w:val="001D2AF7"/>
    <w:rsid w:val="001D2DFD"/>
    <w:rsid w:val="001D61F0"/>
    <w:rsid w:val="001D67AA"/>
    <w:rsid w:val="001D6819"/>
    <w:rsid w:val="001D71AA"/>
    <w:rsid w:val="001E1E3E"/>
    <w:rsid w:val="001E2331"/>
    <w:rsid w:val="001E24E0"/>
    <w:rsid w:val="001E2A58"/>
    <w:rsid w:val="001E33AF"/>
    <w:rsid w:val="001E4DDC"/>
    <w:rsid w:val="001E571A"/>
    <w:rsid w:val="001E577F"/>
    <w:rsid w:val="001E59A4"/>
    <w:rsid w:val="001E6F07"/>
    <w:rsid w:val="001E7C77"/>
    <w:rsid w:val="001F02E6"/>
    <w:rsid w:val="001F14D0"/>
    <w:rsid w:val="001F173C"/>
    <w:rsid w:val="001F199D"/>
    <w:rsid w:val="001F1A9D"/>
    <w:rsid w:val="001F1AC2"/>
    <w:rsid w:val="001F1CE5"/>
    <w:rsid w:val="001F4463"/>
    <w:rsid w:val="001F4766"/>
    <w:rsid w:val="001F7283"/>
    <w:rsid w:val="002004C3"/>
    <w:rsid w:val="00200817"/>
    <w:rsid w:val="00201BA8"/>
    <w:rsid w:val="00202533"/>
    <w:rsid w:val="002025EC"/>
    <w:rsid w:val="00203319"/>
    <w:rsid w:val="00203A7C"/>
    <w:rsid w:val="002043D6"/>
    <w:rsid w:val="00204E05"/>
    <w:rsid w:val="002052A6"/>
    <w:rsid w:val="00210A11"/>
    <w:rsid w:val="00211AAA"/>
    <w:rsid w:val="0021540A"/>
    <w:rsid w:val="0021687F"/>
    <w:rsid w:val="00216BFB"/>
    <w:rsid w:val="00217AA8"/>
    <w:rsid w:val="00220FB5"/>
    <w:rsid w:val="00221291"/>
    <w:rsid w:val="00222FDC"/>
    <w:rsid w:val="002233AD"/>
    <w:rsid w:val="00223F08"/>
    <w:rsid w:val="00225A33"/>
    <w:rsid w:val="00226293"/>
    <w:rsid w:val="00226336"/>
    <w:rsid w:val="00226353"/>
    <w:rsid w:val="00226A59"/>
    <w:rsid w:val="0022701F"/>
    <w:rsid w:val="00230288"/>
    <w:rsid w:val="00230625"/>
    <w:rsid w:val="00234B95"/>
    <w:rsid w:val="0023703A"/>
    <w:rsid w:val="0023707F"/>
    <w:rsid w:val="00237080"/>
    <w:rsid w:val="002404BE"/>
    <w:rsid w:val="00241CDC"/>
    <w:rsid w:val="002424B9"/>
    <w:rsid w:val="00242D8C"/>
    <w:rsid w:val="00242E51"/>
    <w:rsid w:val="002433BB"/>
    <w:rsid w:val="00243762"/>
    <w:rsid w:val="00243A81"/>
    <w:rsid w:val="00245091"/>
    <w:rsid w:val="00246883"/>
    <w:rsid w:val="002470D6"/>
    <w:rsid w:val="002506E7"/>
    <w:rsid w:val="00250DD7"/>
    <w:rsid w:val="00251454"/>
    <w:rsid w:val="0025243A"/>
    <w:rsid w:val="00253FD8"/>
    <w:rsid w:val="00254134"/>
    <w:rsid w:val="00256F6F"/>
    <w:rsid w:val="00257F0E"/>
    <w:rsid w:val="00260F40"/>
    <w:rsid w:val="002614C4"/>
    <w:rsid w:val="00261847"/>
    <w:rsid w:val="00262467"/>
    <w:rsid w:val="00263BAB"/>
    <w:rsid w:val="002647C0"/>
    <w:rsid w:val="0026577D"/>
    <w:rsid w:val="00266522"/>
    <w:rsid w:val="00270FEE"/>
    <w:rsid w:val="0027136B"/>
    <w:rsid w:val="00271B3E"/>
    <w:rsid w:val="00271E61"/>
    <w:rsid w:val="002722AA"/>
    <w:rsid w:val="002723EF"/>
    <w:rsid w:val="00274DBA"/>
    <w:rsid w:val="00274EE8"/>
    <w:rsid w:val="00275065"/>
    <w:rsid w:val="00275ADD"/>
    <w:rsid w:val="00275FCF"/>
    <w:rsid w:val="00276993"/>
    <w:rsid w:val="00277E12"/>
    <w:rsid w:val="00277E63"/>
    <w:rsid w:val="002808E4"/>
    <w:rsid w:val="002816B8"/>
    <w:rsid w:val="002828C5"/>
    <w:rsid w:val="00283317"/>
    <w:rsid w:val="002836CA"/>
    <w:rsid w:val="00283723"/>
    <w:rsid w:val="00283BC6"/>
    <w:rsid w:val="00283D5F"/>
    <w:rsid w:val="00283E41"/>
    <w:rsid w:val="00284D7D"/>
    <w:rsid w:val="00286D03"/>
    <w:rsid w:val="00290108"/>
    <w:rsid w:val="00290368"/>
    <w:rsid w:val="002908AA"/>
    <w:rsid w:val="00291A42"/>
    <w:rsid w:val="00292101"/>
    <w:rsid w:val="00293067"/>
    <w:rsid w:val="002938DE"/>
    <w:rsid w:val="0029395D"/>
    <w:rsid w:val="00293D2C"/>
    <w:rsid w:val="0029453D"/>
    <w:rsid w:val="0029618E"/>
    <w:rsid w:val="002A0558"/>
    <w:rsid w:val="002A2E8E"/>
    <w:rsid w:val="002A3799"/>
    <w:rsid w:val="002A434E"/>
    <w:rsid w:val="002A46AD"/>
    <w:rsid w:val="002A624E"/>
    <w:rsid w:val="002A6D89"/>
    <w:rsid w:val="002A778C"/>
    <w:rsid w:val="002A7BC6"/>
    <w:rsid w:val="002B1925"/>
    <w:rsid w:val="002B1E93"/>
    <w:rsid w:val="002B22A4"/>
    <w:rsid w:val="002B2F9A"/>
    <w:rsid w:val="002B3AE0"/>
    <w:rsid w:val="002B4577"/>
    <w:rsid w:val="002B6B2C"/>
    <w:rsid w:val="002B715D"/>
    <w:rsid w:val="002C0BA5"/>
    <w:rsid w:val="002C0EB8"/>
    <w:rsid w:val="002C0F5F"/>
    <w:rsid w:val="002C32DD"/>
    <w:rsid w:val="002C3798"/>
    <w:rsid w:val="002C3FF7"/>
    <w:rsid w:val="002C44F2"/>
    <w:rsid w:val="002C527C"/>
    <w:rsid w:val="002C64B3"/>
    <w:rsid w:val="002D0F03"/>
    <w:rsid w:val="002D1826"/>
    <w:rsid w:val="002D2D76"/>
    <w:rsid w:val="002D3A91"/>
    <w:rsid w:val="002D3F17"/>
    <w:rsid w:val="002D46BA"/>
    <w:rsid w:val="002D4B83"/>
    <w:rsid w:val="002D4CEF"/>
    <w:rsid w:val="002D6150"/>
    <w:rsid w:val="002D7949"/>
    <w:rsid w:val="002E100D"/>
    <w:rsid w:val="002E24E2"/>
    <w:rsid w:val="002E3EAE"/>
    <w:rsid w:val="002E50EF"/>
    <w:rsid w:val="002E6352"/>
    <w:rsid w:val="002E65C8"/>
    <w:rsid w:val="002E6F15"/>
    <w:rsid w:val="002E752A"/>
    <w:rsid w:val="002E78A3"/>
    <w:rsid w:val="002F426E"/>
    <w:rsid w:val="002F5184"/>
    <w:rsid w:val="002F5DD8"/>
    <w:rsid w:val="002F6118"/>
    <w:rsid w:val="002F6788"/>
    <w:rsid w:val="0030176A"/>
    <w:rsid w:val="00302C3E"/>
    <w:rsid w:val="003032D6"/>
    <w:rsid w:val="00305C85"/>
    <w:rsid w:val="00305CA8"/>
    <w:rsid w:val="003062AF"/>
    <w:rsid w:val="00310312"/>
    <w:rsid w:val="00311A98"/>
    <w:rsid w:val="003122DE"/>
    <w:rsid w:val="00312819"/>
    <w:rsid w:val="00312D29"/>
    <w:rsid w:val="00312E1A"/>
    <w:rsid w:val="00313B91"/>
    <w:rsid w:val="003142CA"/>
    <w:rsid w:val="0031453E"/>
    <w:rsid w:val="00314706"/>
    <w:rsid w:val="0031552A"/>
    <w:rsid w:val="00316CE7"/>
    <w:rsid w:val="00320866"/>
    <w:rsid w:val="00320B64"/>
    <w:rsid w:val="00320EDC"/>
    <w:rsid w:val="003216FC"/>
    <w:rsid w:val="00321E38"/>
    <w:rsid w:val="003230FD"/>
    <w:rsid w:val="003232B5"/>
    <w:rsid w:val="00324388"/>
    <w:rsid w:val="00325D34"/>
    <w:rsid w:val="00326518"/>
    <w:rsid w:val="00326590"/>
    <w:rsid w:val="00327A49"/>
    <w:rsid w:val="0033095A"/>
    <w:rsid w:val="00330D4B"/>
    <w:rsid w:val="00330FC4"/>
    <w:rsid w:val="00332197"/>
    <w:rsid w:val="00333A30"/>
    <w:rsid w:val="0033732B"/>
    <w:rsid w:val="00337F85"/>
    <w:rsid w:val="0034036D"/>
    <w:rsid w:val="0034064A"/>
    <w:rsid w:val="00340C95"/>
    <w:rsid w:val="00340F35"/>
    <w:rsid w:val="00342E23"/>
    <w:rsid w:val="00343813"/>
    <w:rsid w:val="00343FC4"/>
    <w:rsid w:val="00344E11"/>
    <w:rsid w:val="003462BA"/>
    <w:rsid w:val="0034719E"/>
    <w:rsid w:val="003501F9"/>
    <w:rsid w:val="00350277"/>
    <w:rsid w:val="00350554"/>
    <w:rsid w:val="0035095C"/>
    <w:rsid w:val="0035236A"/>
    <w:rsid w:val="00354286"/>
    <w:rsid w:val="00354D10"/>
    <w:rsid w:val="003552BC"/>
    <w:rsid w:val="00355EBF"/>
    <w:rsid w:val="00356281"/>
    <w:rsid w:val="00357056"/>
    <w:rsid w:val="003604EF"/>
    <w:rsid w:val="00360C91"/>
    <w:rsid w:val="00360D41"/>
    <w:rsid w:val="00360E7D"/>
    <w:rsid w:val="00363591"/>
    <w:rsid w:val="00363895"/>
    <w:rsid w:val="00363D0C"/>
    <w:rsid w:val="00363D4F"/>
    <w:rsid w:val="00364496"/>
    <w:rsid w:val="00364497"/>
    <w:rsid w:val="00367730"/>
    <w:rsid w:val="00367B28"/>
    <w:rsid w:val="003712DE"/>
    <w:rsid w:val="00372479"/>
    <w:rsid w:val="0037277F"/>
    <w:rsid w:val="00373D7A"/>
    <w:rsid w:val="00374BB2"/>
    <w:rsid w:val="00375641"/>
    <w:rsid w:val="003765F8"/>
    <w:rsid w:val="00377B97"/>
    <w:rsid w:val="00380358"/>
    <w:rsid w:val="00380C1C"/>
    <w:rsid w:val="00380DE8"/>
    <w:rsid w:val="00382B0C"/>
    <w:rsid w:val="00383DE0"/>
    <w:rsid w:val="00384DFB"/>
    <w:rsid w:val="003854B9"/>
    <w:rsid w:val="003872C5"/>
    <w:rsid w:val="00390107"/>
    <w:rsid w:val="0039092B"/>
    <w:rsid w:val="003915AC"/>
    <w:rsid w:val="00391A9D"/>
    <w:rsid w:val="00392C41"/>
    <w:rsid w:val="00392DAE"/>
    <w:rsid w:val="00392E68"/>
    <w:rsid w:val="003930DB"/>
    <w:rsid w:val="00393255"/>
    <w:rsid w:val="00393E27"/>
    <w:rsid w:val="00394AE4"/>
    <w:rsid w:val="00395A9E"/>
    <w:rsid w:val="00396448"/>
    <w:rsid w:val="003968E4"/>
    <w:rsid w:val="003971A3"/>
    <w:rsid w:val="0039774B"/>
    <w:rsid w:val="00397B3B"/>
    <w:rsid w:val="00397B6A"/>
    <w:rsid w:val="00397C6F"/>
    <w:rsid w:val="003A01A0"/>
    <w:rsid w:val="003A3ED2"/>
    <w:rsid w:val="003A44F2"/>
    <w:rsid w:val="003A47CF"/>
    <w:rsid w:val="003A635F"/>
    <w:rsid w:val="003A6400"/>
    <w:rsid w:val="003A6543"/>
    <w:rsid w:val="003A66B6"/>
    <w:rsid w:val="003B0440"/>
    <w:rsid w:val="003B0801"/>
    <w:rsid w:val="003B3A1A"/>
    <w:rsid w:val="003B7663"/>
    <w:rsid w:val="003B7C0C"/>
    <w:rsid w:val="003C13A6"/>
    <w:rsid w:val="003C32D4"/>
    <w:rsid w:val="003C34F5"/>
    <w:rsid w:val="003C7766"/>
    <w:rsid w:val="003D0163"/>
    <w:rsid w:val="003D0171"/>
    <w:rsid w:val="003D2554"/>
    <w:rsid w:val="003D29D8"/>
    <w:rsid w:val="003D2D08"/>
    <w:rsid w:val="003D2E2F"/>
    <w:rsid w:val="003D32C2"/>
    <w:rsid w:val="003D3AAC"/>
    <w:rsid w:val="003D4399"/>
    <w:rsid w:val="003D4DBF"/>
    <w:rsid w:val="003D5828"/>
    <w:rsid w:val="003D632C"/>
    <w:rsid w:val="003D6C19"/>
    <w:rsid w:val="003D6C36"/>
    <w:rsid w:val="003D7271"/>
    <w:rsid w:val="003D7B4A"/>
    <w:rsid w:val="003E0735"/>
    <w:rsid w:val="003E15C0"/>
    <w:rsid w:val="003E245C"/>
    <w:rsid w:val="003E3E06"/>
    <w:rsid w:val="003E4FF5"/>
    <w:rsid w:val="003E54E3"/>
    <w:rsid w:val="003E5D67"/>
    <w:rsid w:val="003E6750"/>
    <w:rsid w:val="003E6AE7"/>
    <w:rsid w:val="003E7493"/>
    <w:rsid w:val="003F06B0"/>
    <w:rsid w:val="003F0FEF"/>
    <w:rsid w:val="003F11EC"/>
    <w:rsid w:val="003F1736"/>
    <w:rsid w:val="003F1CB4"/>
    <w:rsid w:val="003F2595"/>
    <w:rsid w:val="003F30FB"/>
    <w:rsid w:val="003F3DE1"/>
    <w:rsid w:val="003F4728"/>
    <w:rsid w:val="003F4F82"/>
    <w:rsid w:val="003F558E"/>
    <w:rsid w:val="003F5E4D"/>
    <w:rsid w:val="003F616C"/>
    <w:rsid w:val="004004C5"/>
    <w:rsid w:val="00401300"/>
    <w:rsid w:val="00402237"/>
    <w:rsid w:val="00404915"/>
    <w:rsid w:val="00404D6F"/>
    <w:rsid w:val="004055EA"/>
    <w:rsid w:val="00405894"/>
    <w:rsid w:val="004060E5"/>
    <w:rsid w:val="00406EDB"/>
    <w:rsid w:val="004076F6"/>
    <w:rsid w:val="00410582"/>
    <w:rsid w:val="00410C5D"/>
    <w:rsid w:val="00411A7D"/>
    <w:rsid w:val="004133CD"/>
    <w:rsid w:val="00413EA1"/>
    <w:rsid w:val="0041418C"/>
    <w:rsid w:val="00414479"/>
    <w:rsid w:val="004151B7"/>
    <w:rsid w:val="00415ECE"/>
    <w:rsid w:val="004171D0"/>
    <w:rsid w:val="00417419"/>
    <w:rsid w:val="0042206B"/>
    <w:rsid w:val="00422169"/>
    <w:rsid w:val="00424CE8"/>
    <w:rsid w:val="004262AC"/>
    <w:rsid w:val="004271FC"/>
    <w:rsid w:val="00430B47"/>
    <w:rsid w:val="00431542"/>
    <w:rsid w:val="00431553"/>
    <w:rsid w:val="004316CC"/>
    <w:rsid w:val="00433D99"/>
    <w:rsid w:val="00434691"/>
    <w:rsid w:val="00434B2A"/>
    <w:rsid w:val="00436033"/>
    <w:rsid w:val="00436930"/>
    <w:rsid w:val="00436EAF"/>
    <w:rsid w:val="00437A24"/>
    <w:rsid w:val="004405C3"/>
    <w:rsid w:val="00441E77"/>
    <w:rsid w:val="0044336D"/>
    <w:rsid w:val="0044416E"/>
    <w:rsid w:val="004446A0"/>
    <w:rsid w:val="0044624D"/>
    <w:rsid w:val="00447377"/>
    <w:rsid w:val="00450DA2"/>
    <w:rsid w:val="00451B55"/>
    <w:rsid w:val="00451D26"/>
    <w:rsid w:val="0045354D"/>
    <w:rsid w:val="004535B7"/>
    <w:rsid w:val="00454061"/>
    <w:rsid w:val="00455657"/>
    <w:rsid w:val="00460742"/>
    <w:rsid w:val="00461781"/>
    <w:rsid w:val="0046196E"/>
    <w:rsid w:val="00464998"/>
    <w:rsid w:val="0046569B"/>
    <w:rsid w:val="00465BBB"/>
    <w:rsid w:val="004678C0"/>
    <w:rsid w:val="004706D2"/>
    <w:rsid w:val="004734B5"/>
    <w:rsid w:val="00474A9B"/>
    <w:rsid w:val="00475311"/>
    <w:rsid w:val="00480E5E"/>
    <w:rsid w:val="00481591"/>
    <w:rsid w:val="00481A0E"/>
    <w:rsid w:val="004859E8"/>
    <w:rsid w:val="00486A70"/>
    <w:rsid w:val="00486EE9"/>
    <w:rsid w:val="00487BDA"/>
    <w:rsid w:val="00491AE4"/>
    <w:rsid w:val="004923DB"/>
    <w:rsid w:val="00493339"/>
    <w:rsid w:val="00493D4C"/>
    <w:rsid w:val="00495307"/>
    <w:rsid w:val="00495E37"/>
    <w:rsid w:val="00496E97"/>
    <w:rsid w:val="00496E9B"/>
    <w:rsid w:val="00497622"/>
    <w:rsid w:val="00497A37"/>
    <w:rsid w:val="004A0B6A"/>
    <w:rsid w:val="004A2F59"/>
    <w:rsid w:val="004A33BD"/>
    <w:rsid w:val="004A35FF"/>
    <w:rsid w:val="004A3862"/>
    <w:rsid w:val="004A6AD8"/>
    <w:rsid w:val="004A75F7"/>
    <w:rsid w:val="004A76B4"/>
    <w:rsid w:val="004B107C"/>
    <w:rsid w:val="004B1399"/>
    <w:rsid w:val="004B2505"/>
    <w:rsid w:val="004B26E2"/>
    <w:rsid w:val="004B5897"/>
    <w:rsid w:val="004B62D6"/>
    <w:rsid w:val="004B6F54"/>
    <w:rsid w:val="004B73D1"/>
    <w:rsid w:val="004B7750"/>
    <w:rsid w:val="004C02DF"/>
    <w:rsid w:val="004C123A"/>
    <w:rsid w:val="004C209B"/>
    <w:rsid w:val="004C2C5D"/>
    <w:rsid w:val="004C32BE"/>
    <w:rsid w:val="004C3399"/>
    <w:rsid w:val="004C4825"/>
    <w:rsid w:val="004C6446"/>
    <w:rsid w:val="004D1500"/>
    <w:rsid w:val="004D15B0"/>
    <w:rsid w:val="004D1B5D"/>
    <w:rsid w:val="004D26B9"/>
    <w:rsid w:val="004D2B3E"/>
    <w:rsid w:val="004D2C3E"/>
    <w:rsid w:val="004D3A30"/>
    <w:rsid w:val="004D4299"/>
    <w:rsid w:val="004D440A"/>
    <w:rsid w:val="004D727A"/>
    <w:rsid w:val="004E04FD"/>
    <w:rsid w:val="004E1AD0"/>
    <w:rsid w:val="004E2C9F"/>
    <w:rsid w:val="004E389F"/>
    <w:rsid w:val="004E3A15"/>
    <w:rsid w:val="004E3A98"/>
    <w:rsid w:val="004E499A"/>
    <w:rsid w:val="004E6822"/>
    <w:rsid w:val="004F0FED"/>
    <w:rsid w:val="004F13FC"/>
    <w:rsid w:val="004F159E"/>
    <w:rsid w:val="004F47BB"/>
    <w:rsid w:val="004F5E7B"/>
    <w:rsid w:val="004F634C"/>
    <w:rsid w:val="004F7EC9"/>
    <w:rsid w:val="00500018"/>
    <w:rsid w:val="00502D76"/>
    <w:rsid w:val="005034E6"/>
    <w:rsid w:val="005038C1"/>
    <w:rsid w:val="00505D66"/>
    <w:rsid w:val="0050629F"/>
    <w:rsid w:val="00511351"/>
    <w:rsid w:val="00511BF6"/>
    <w:rsid w:val="005123FE"/>
    <w:rsid w:val="005128B5"/>
    <w:rsid w:val="0051422F"/>
    <w:rsid w:val="005144F5"/>
    <w:rsid w:val="0051525C"/>
    <w:rsid w:val="005157A0"/>
    <w:rsid w:val="00521221"/>
    <w:rsid w:val="00522B8C"/>
    <w:rsid w:val="00525BB1"/>
    <w:rsid w:val="00530062"/>
    <w:rsid w:val="005306C4"/>
    <w:rsid w:val="00533048"/>
    <w:rsid w:val="00533929"/>
    <w:rsid w:val="005344DA"/>
    <w:rsid w:val="00535E7C"/>
    <w:rsid w:val="005373DE"/>
    <w:rsid w:val="00537DD3"/>
    <w:rsid w:val="00540178"/>
    <w:rsid w:val="0054038A"/>
    <w:rsid w:val="00540EF2"/>
    <w:rsid w:val="0054153F"/>
    <w:rsid w:val="00541EB6"/>
    <w:rsid w:val="005420AD"/>
    <w:rsid w:val="00542260"/>
    <w:rsid w:val="00543E74"/>
    <w:rsid w:val="00544563"/>
    <w:rsid w:val="00546775"/>
    <w:rsid w:val="00546ED7"/>
    <w:rsid w:val="005475FE"/>
    <w:rsid w:val="00547F83"/>
    <w:rsid w:val="00550E01"/>
    <w:rsid w:val="00551E44"/>
    <w:rsid w:val="00552318"/>
    <w:rsid w:val="00553616"/>
    <w:rsid w:val="00554C94"/>
    <w:rsid w:val="00555661"/>
    <w:rsid w:val="00557306"/>
    <w:rsid w:val="00560299"/>
    <w:rsid w:val="0056114C"/>
    <w:rsid w:val="005612D9"/>
    <w:rsid w:val="00561878"/>
    <w:rsid w:val="00561953"/>
    <w:rsid w:val="0056242B"/>
    <w:rsid w:val="005624E3"/>
    <w:rsid w:val="005625CE"/>
    <w:rsid w:val="00562D2E"/>
    <w:rsid w:val="0056385B"/>
    <w:rsid w:val="005645A5"/>
    <w:rsid w:val="00564EFE"/>
    <w:rsid w:val="005662C0"/>
    <w:rsid w:val="005662E8"/>
    <w:rsid w:val="00567453"/>
    <w:rsid w:val="00570639"/>
    <w:rsid w:val="00570A92"/>
    <w:rsid w:val="005711FA"/>
    <w:rsid w:val="005714D9"/>
    <w:rsid w:val="005716BB"/>
    <w:rsid w:val="00572BD3"/>
    <w:rsid w:val="00573261"/>
    <w:rsid w:val="005737CD"/>
    <w:rsid w:val="005739AB"/>
    <w:rsid w:val="00574385"/>
    <w:rsid w:val="00574D04"/>
    <w:rsid w:val="005758C9"/>
    <w:rsid w:val="00576124"/>
    <w:rsid w:val="0057768B"/>
    <w:rsid w:val="005777D8"/>
    <w:rsid w:val="00577ECC"/>
    <w:rsid w:val="005833A6"/>
    <w:rsid w:val="005849A9"/>
    <w:rsid w:val="005852BA"/>
    <w:rsid w:val="0058606C"/>
    <w:rsid w:val="005901F3"/>
    <w:rsid w:val="00590CC7"/>
    <w:rsid w:val="00591E2F"/>
    <w:rsid w:val="005924FC"/>
    <w:rsid w:val="00594D75"/>
    <w:rsid w:val="00595AD9"/>
    <w:rsid w:val="00595EEB"/>
    <w:rsid w:val="0059704F"/>
    <w:rsid w:val="00597218"/>
    <w:rsid w:val="00597427"/>
    <w:rsid w:val="005A10B1"/>
    <w:rsid w:val="005A1994"/>
    <w:rsid w:val="005A25B4"/>
    <w:rsid w:val="005A3B52"/>
    <w:rsid w:val="005A3E0D"/>
    <w:rsid w:val="005A3F3C"/>
    <w:rsid w:val="005A3FE1"/>
    <w:rsid w:val="005A4E3E"/>
    <w:rsid w:val="005A6C74"/>
    <w:rsid w:val="005A78A5"/>
    <w:rsid w:val="005B0563"/>
    <w:rsid w:val="005B0967"/>
    <w:rsid w:val="005B0BB8"/>
    <w:rsid w:val="005B1B49"/>
    <w:rsid w:val="005B1BE0"/>
    <w:rsid w:val="005B2022"/>
    <w:rsid w:val="005B2F7E"/>
    <w:rsid w:val="005B46C9"/>
    <w:rsid w:val="005B594A"/>
    <w:rsid w:val="005B59CC"/>
    <w:rsid w:val="005B6102"/>
    <w:rsid w:val="005B6108"/>
    <w:rsid w:val="005B697A"/>
    <w:rsid w:val="005B79A9"/>
    <w:rsid w:val="005C1A91"/>
    <w:rsid w:val="005C1DF0"/>
    <w:rsid w:val="005C2A80"/>
    <w:rsid w:val="005C3492"/>
    <w:rsid w:val="005C3F09"/>
    <w:rsid w:val="005C5181"/>
    <w:rsid w:val="005C69BE"/>
    <w:rsid w:val="005C7859"/>
    <w:rsid w:val="005C7DB3"/>
    <w:rsid w:val="005D13EF"/>
    <w:rsid w:val="005D5D40"/>
    <w:rsid w:val="005D6684"/>
    <w:rsid w:val="005E15D4"/>
    <w:rsid w:val="005E285C"/>
    <w:rsid w:val="005E31C6"/>
    <w:rsid w:val="005E325D"/>
    <w:rsid w:val="005E4B2A"/>
    <w:rsid w:val="005E4CF8"/>
    <w:rsid w:val="005E4D81"/>
    <w:rsid w:val="005E5D49"/>
    <w:rsid w:val="005E7B71"/>
    <w:rsid w:val="005E7B83"/>
    <w:rsid w:val="005E7FBB"/>
    <w:rsid w:val="005F0225"/>
    <w:rsid w:val="005F0AA2"/>
    <w:rsid w:val="005F2D46"/>
    <w:rsid w:val="005F5F39"/>
    <w:rsid w:val="005F6042"/>
    <w:rsid w:val="0060057A"/>
    <w:rsid w:val="00600BEE"/>
    <w:rsid w:val="00600FBC"/>
    <w:rsid w:val="00601459"/>
    <w:rsid w:val="00601723"/>
    <w:rsid w:val="0060175E"/>
    <w:rsid w:val="0060199F"/>
    <w:rsid w:val="006025D0"/>
    <w:rsid w:val="0060301E"/>
    <w:rsid w:val="006045A6"/>
    <w:rsid w:val="006058B1"/>
    <w:rsid w:val="00605BA5"/>
    <w:rsid w:val="00611BF5"/>
    <w:rsid w:val="00611E1B"/>
    <w:rsid w:val="00612D96"/>
    <w:rsid w:val="00613092"/>
    <w:rsid w:val="00613599"/>
    <w:rsid w:val="006136F0"/>
    <w:rsid w:val="006137DC"/>
    <w:rsid w:val="00615071"/>
    <w:rsid w:val="00615E63"/>
    <w:rsid w:val="006161E9"/>
    <w:rsid w:val="00620783"/>
    <w:rsid w:val="00620A37"/>
    <w:rsid w:val="00620CE7"/>
    <w:rsid w:val="00622329"/>
    <w:rsid w:val="00623DA7"/>
    <w:rsid w:val="0062583C"/>
    <w:rsid w:val="00626316"/>
    <w:rsid w:val="006316A9"/>
    <w:rsid w:val="006327E3"/>
    <w:rsid w:val="006329B6"/>
    <w:rsid w:val="00633C91"/>
    <w:rsid w:val="00633CC5"/>
    <w:rsid w:val="0063454C"/>
    <w:rsid w:val="0063563D"/>
    <w:rsid w:val="006371F5"/>
    <w:rsid w:val="00637424"/>
    <w:rsid w:val="00637A28"/>
    <w:rsid w:val="00640E02"/>
    <w:rsid w:val="00642E70"/>
    <w:rsid w:val="0064343D"/>
    <w:rsid w:val="006435E7"/>
    <w:rsid w:val="00643C51"/>
    <w:rsid w:val="00647244"/>
    <w:rsid w:val="00647B13"/>
    <w:rsid w:val="006506DE"/>
    <w:rsid w:val="00650FA6"/>
    <w:rsid w:val="00651EFD"/>
    <w:rsid w:val="00652389"/>
    <w:rsid w:val="00652561"/>
    <w:rsid w:val="00652F98"/>
    <w:rsid w:val="00655841"/>
    <w:rsid w:val="00655F84"/>
    <w:rsid w:val="006560F0"/>
    <w:rsid w:val="00660718"/>
    <w:rsid w:val="00661999"/>
    <w:rsid w:val="00663421"/>
    <w:rsid w:val="0066397A"/>
    <w:rsid w:val="00665E41"/>
    <w:rsid w:val="00666810"/>
    <w:rsid w:val="00666A95"/>
    <w:rsid w:val="00666CE2"/>
    <w:rsid w:val="00666FAB"/>
    <w:rsid w:val="00670DA2"/>
    <w:rsid w:val="00671520"/>
    <w:rsid w:val="00672DB1"/>
    <w:rsid w:val="006753AE"/>
    <w:rsid w:val="0067550D"/>
    <w:rsid w:val="00675651"/>
    <w:rsid w:val="006757B1"/>
    <w:rsid w:val="00676205"/>
    <w:rsid w:val="00676E87"/>
    <w:rsid w:val="00676F45"/>
    <w:rsid w:val="00677052"/>
    <w:rsid w:val="006777B9"/>
    <w:rsid w:val="00680C50"/>
    <w:rsid w:val="00681851"/>
    <w:rsid w:val="0068347D"/>
    <w:rsid w:val="0068402B"/>
    <w:rsid w:val="00684B1D"/>
    <w:rsid w:val="00684D07"/>
    <w:rsid w:val="00685350"/>
    <w:rsid w:val="00687B32"/>
    <w:rsid w:val="00690BD5"/>
    <w:rsid w:val="006919F7"/>
    <w:rsid w:val="006934E2"/>
    <w:rsid w:val="00694E6B"/>
    <w:rsid w:val="006953F9"/>
    <w:rsid w:val="006971A7"/>
    <w:rsid w:val="006A0231"/>
    <w:rsid w:val="006A1046"/>
    <w:rsid w:val="006A364B"/>
    <w:rsid w:val="006A4701"/>
    <w:rsid w:val="006A4BCB"/>
    <w:rsid w:val="006A5083"/>
    <w:rsid w:val="006A5337"/>
    <w:rsid w:val="006A5CDC"/>
    <w:rsid w:val="006A6A3E"/>
    <w:rsid w:val="006A6DF3"/>
    <w:rsid w:val="006A72C4"/>
    <w:rsid w:val="006B0330"/>
    <w:rsid w:val="006B0963"/>
    <w:rsid w:val="006B1D78"/>
    <w:rsid w:val="006B3499"/>
    <w:rsid w:val="006B3771"/>
    <w:rsid w:val="006B5BE0"/>
    <w:rsid w:val="006B6215"/>
    <w:rsid w:val="006B7368"/>
    <w:rsid w:val="006B754E"/>
    <w:rsid w:val="006B78FD"/>
    <w:rsid w:val="006C043E"/>
    <w:rsid w:val="006C0C67"/>
    <w:rsid w:val="006C0C6B"/>
    <w:rsid w:val="006C1428"/>
    <w:rsid w:val="006C1A8C"/>
    <w:rsid w:val="006C6A9E"/>
    <w:rsid w:val="006C7BF8"/>
    <w:rsid w:val="006D01EA"/>
    <w:rsid w:val="006D1BF5"/>
    <w:rsid w:val="006D32EE"/>
    <w:rsid w:val="006D37CC"/>
    <w:rsid w:val="006D5A2D"/>
    <w:rsid w:val="006D617E"/>
    <w:rsid w:val="006D6907"/>
    <w:rsid w:val="006E0BD7"/>
    <w:rsid w:val="006E12A3"/>
    <w:rsid w:val="006E2B32"/>
    <w:rsid w:val="006E472A"/>
    <w:rsid w:val="006E6F5E"/>
    <w:rsid w:val="006E6FB5"/>
    <w:rsid w:val="006E79EB"/>
    <w:rsid w:val="006F1CB2"/>
    <w:rsid w:val="006F2A90"/>
    <w:rsid w:val="006F3490"/>
    <w:rsid w:val="006F3EE0"/>
    <w:rsid w:val="006F454C"/>
    <w:rsid w:val="006F45C2"/>
    <w:rsid w:val="006F46CE"/>
    <w:rsid w:val="006F55F5"/>
    <w:rsid w:val="00700D97"/>
    <w:rsid w:val="00701289"/>
    <w:rsid w:val="00701407"/>
    <w:rsid w:val="0070366C"/>
    <w:rsid w:val="00703E84"/>
    <w:rsid w:val="00703EC3"/>
    <w:rsid w:val="00704BED"/>
    <w:rsid w:val="00705506"/>
    <w:rsid w:val="007105A9"/>
    <w:rsid w:val="0071452F"/>
    <w:rsid w:val="007146BE"/>
    <w:rsid w:val="007161AA"/>
    <w:rsid w:val="00716655"/>
    <w:rsid w:val="007168AF"/>
    <w:rsid w:val="00716BAB"/>
    <w:rsid w:val="00716DF3"/>
    <w:rsid w:val="0071721E"/>
    <w:rsid w:val="007209AB"/>
    <w:rsid w:val="00720A75"/>
    <w:rsid w:val="007233FE"/>
    <w:rsid w:val="0072529F"/>
    <w:rsid w:val="0072538D"/>
    <w:rsid w:val="00725CA7"/>
    <w:rsid w:val="00725CFD"/>
    <w:rsid w:val="00725D4A"/>
    <w:rsid w:val="007261E0"/>
    <w:rsid w:val="00726252"/>
    <w:rsid w:val="007272E6"/>
    <w:rsid w:val="00727539"/>
    <w:rsid w:val="00727AB6"/>
    <w:rsid w:val="007304B2"/>
    <w:rsid w:val="007319C6"/>
    <w:rsid w:val="00731C25"/>
    <w:rsid w:val="00731F17"/>
    <w:rsid w:val="00731F7D"/>
    <w:rsid w:val="00732D8B"/>
    <w:rsid w:val="00733121"/>
    <w:rsid w:val="007331B9"/>
    <w:rsid w:val="00734E85"/>
    <w:rsid w:val="00736797"/>
    <w:rsid w:val="00740060"/>
    <w:rsid w:val="00740370"/>
    <w:rsid w:val="007406CD"/>
    <w:rsid w:val="007407E1"/>
    <w:rsid w:val="00744CAC"/>
    <w:rsid w:val="00745362"/>
    <w:rsid w:val="00745DD2"/>
    <w:rsid w:val="007502D9"/>
    <w:rsid w:val="00750B56"/>
    <w:rsid w:val="00751A5B"/>
    <w:rsid w:val="00751C8D"/>
    <w:rsid w:val="007527F6"/>
    <w:rsid w:val="00752E3A"/>
    <w:rsid w:val="0075351F"/>
    <w:rsid w:val="00754A0C"/>
    <w:rsid w:val="007558CC"/>
    <w:rsid w:val="0075615D"/>
    <w:rsid w:val="00756D4B"/>
    <w:rsid w:val="0075795F"/>
    <w:rsid w:val="00757CA5"/>
    <w:rsid w:val="00757DD1"/>
    <w:rsid w:val="0076247E"/>
    <w:rsid w:val="00763ADA"/>
    <w:rsid w:val="00765C6B"/>
    <w:rsid w:val="007670C0"/>
    <w:rsid w:val="00767591"/>
    <w:rsid w:val="00767E47"/>
    <w:rsid w:val="00770BDD"/>
    <w:rsid w:val="007711D6"/>
    <w:rsid w:val="007715DE"/>
    <w:rsid w:val="00771FEA"/>
    <w:rsid w:val="007720D9"/>
    <w:rsid w:val="00772341"/>
    <w:rsid w:val="007724B5"/>
    <w:rsid w:val="0077255B"/>
    <w:rsid w:val="00773703"/>
    <w:rsid w:val="00776215"/>
    <w:rsid w:val="0077688D"/>
    <w:rsid w:val="00777BB9"/>
    <w:rsid w:val="00780CD7"/>
    <w:rsid w:val="0078121C"/>
    <w:rsid w:val="007828F7"/>
    <w:rsid w:val="00785862"/>
    <w:rsid w:val="00785C25"/>
    <w:rsid w:val="007873EA"/>
    <w:rsid w:val="007874ED"/>
    <w:rsid w:val="00790B09"/>
    <w:rsid w:val="00790FAC"/>
    <w:rsid w:val="00791104"/>
    <w:rsid w:val="00793782"/>
    <w:rsid w:val="007937E9"/>
    <w:rsid w:val="00794C91"/>
    <w:rsid w:val="007957F9"/>
    <w:rsid w:val="00795953"/>
    <w:rsid w:val="007A07BC"/>
    <w:rsid w:val="007A1B68"/>
    <w:rsid w:val="007A22A9"/>
    <w:rsid w:val="007A3786"/>
    <w:rsid w:val="007A4F84"/>
    <w:rsid w:val="007A54F0"/>
    <w:rsid w:val="007A75B1"/>
    <w:rsid w:val="007A7CC3"/>
    <w:rsid w:val="007B1046"/>
    <w:rsid w:val="007B4A3D"/>
    <w:rsid w:val="007B4EE9"/>
    <w:rsid w:val="007B50A6"/>
    <w:rsid w:val="007B5186"/>
    <w:rsid w:val="007B5B9D"/>
    <w:rsid w:val="007B6BC4"/>
    <w:rsid w:val="007C1DAC"/>
    <w:rsid w:val="007C20B4"/>
    <w:rsid w:val="007C381E"/>
    <w:rsid w:val="007C39F8"/>
    <w:rsid w:val="007C3DA3"/>
    <w:rsid w:val="007C7C40"/>
    <w:rsid w:val="007C7F1D"/>
    <w:rsid w:val="007D2255"/>
    <w:rsid w:val="007D2961"/>
    <w:rsid w:val="007D2A57"/>
    <w:rsid w:val="007D30F6"/>
    <w:rsid w:val="007D3F2F"/>
    <w:rsid w:val="007D4191"/>
    <w:rsid w:val="007E0A8B"/>
    <w:rsid w:val="007E11B9"/>
    <w:rsid w:val="007E1288"/>
    <w:rsid w:val="007E1D94"/>
    <w:rsid w:val="007E2368"/>
    <w:rsid w:val="007E2A1F"/>
    <w:rsid w:val="007E2E18"/>
    <w:rsid w:val="007E2EA9"/>
    <w:rsid w:val="007E3C4A"/>
    <w:rsid w:val="007E4031"/>
    <w:rsid w:val="007E5F4E"/>
    <w:rsid w:val="007E5FD5"/>
    <w:rsid w:val="007E6DEB"/>
    <w:rsid w:val="007E73DF"/>
    <w:rsid w:val="007F01CB"/>
    <w:rsid w:val="007F15F5"/>
    <w:rsid w:val="007F2627"/>
    <w:rsid w:val="007F3C26"/>
    <w:rsid w:val="007F3ED6"/>
    <w:rsid w:val="007F43E9"/>
    <w:rsid w:val="007F6CB7"/>
    <w:rsid w:val="008002BA"/>
    <w:rsid w:val="008011FF"/>
    <w:rsid w:val="00801D26"/>
    <w:rsid w:val="00801F1F"/>
    <w:rsid w:val="008029BC"/>
    <w:rsid w:val="00803B00"/>
    <w:rsid w:val="008041DE"/>
    <w:rsid w:val="00804611"/>
    <w:rsid w:val="00810360"/>
    <w:rsid w:val="0081036E"/>
    <w:rsid w:val="00811428"/>
    <w:rsid w:val="0081172D"/>
    <w:rsid w:val="00813060"/>
    <w:rsid w:val="00814AF4"/>
    <w:rsid w:val="00815AA4"/>
    <w:rsid w:val="00816AA6"/>
    <w:rsid w:val="008204A2"/>
    <w:rsid w:val="00820DCC"/>
    <w:rsid w:val="00820E6F"/>
    <w:rsid w:val="00821291"/>
    <w:rsid w:val="0082144D"/>
    <w:rsid w:val="00822C1C"/>
    <w:rsid w:val="008230FC"/>
    <w:rsid w:val="00823792"/>
    <w:rsid w:val="00824063"/>
    <w:rsid w:val="0082441A"/>
    <w:rsid w:val="00826B65"/>
    <w:rsid w:val="00826BEA"/>
    <w:rsid w:val="00830A4C"/>
    <w:rsid w:val="00830FC3"/>
    <w:rsid w:val="00831E50"/>
    <w:rsid w:val="008336A2"/>
    <w:rsid w:val="00833FB2"/>
    <w:rsid w:val="008355EA"/>
    <w:rsid w:val="00836164"/>
    <w:rsid w:val="008373D8"/>
    <w:rsid w:val="00837421"/>
    <w:rsid w:val="00837508"/>
    <w:rsid w:val="00840579"/>
    <w:rsid w:val="008415E3"/>
    <w:rsid w:val="0084166A"/>
    <w:rsid w:val="00841719"/>
    <w:rsid w:val="008418DC"/>
    <w:rsid w:val="00842442"/>
    <w:rsid w:val="00843010"/>
    <w:rsid w:val="008433CF"/>
    <w:rsid w:val="00843DE4"/>
    <w:rsid w:val="00843FFC"/>
    <w:rsid w:val="008446C0"/>
    <w:rsid w:val="00844E91"/>
    <w:rsid w:val="00845644"/>
    <w:rsid w:val="008456D8"/>
    <w:rsid w:val="00847826"/>
    <w:rsid w:val="00850AFF"/>
    <w:rsid w:val="00851A17"/>
    <w:rsid w:val="008525B2"/>
    <w:rsid w:val="00853731"/>
    <w:rsid w:val="0085414C"/>
    <w:rsid w:val="00857FC2"/>
    <w:rsid w:val="008612A9"/>
    <w:rsid w:val="008632BC"/>
    <w:rsid w:val="0086493E"/>
    <w:rsid w:val="00865CF5"/>
    <w:rsid w:val="0087027F"/>
    <w:rsid w:val="0087516F"/>
    <w:rsid w:val="00875A5A"/>
    <w:rsid w:val="008761B8"/>
    <w:rsid w:val="008761D9"/>
    <w:rsid w:val="008776B5"/>
    <w:rsid w:val="00877ACC"/>
    <w:rsid w:val="00877D5D"/>
    <w:rsid w:val="00880D4D"/>
    <w:rsid w:val="00881510"/>
    <w:rsid w:val="00884328"/>
    <w:rsid w:val="0088585A"/>
    <w:rsid w:val="00886F89"/>
    <w:rsid w:val="008872E2"/>
    <w:rsid w:val="00887B58"/>
    <w:rsid w:val="0089015B"/>
    <w:rsid w:val="00891292"/>
    <w:rsid w:val="0089219A"/>
    <w:rsid w:val="00893D5B"/>
    <w:rsid w:val="008941C5"/>
    <w:rsid w:val="00894579"/>
    <w:rsid w:val="00894C4D"/>
    <w:rsid w:val="008968E9"/>
    <w:rsid w:val="008A0873"/>
    <w:rsid w:val="008A12E7"/>
    <w:rsid w:val="008A1C93"/>
    <w:rsid w:val="008A2D08"/>
    <w:rsid w:val="008A3163"/>
    <w:rsid w:val="008A3881"/>
    <w:rsid w:val="008A407A"/>
    <w:rsid w:val="008A4941"/>
    <w:rsid w:val="008A5402"/>
    <w:rsid w:val="008A5ADA"/>
    <w:rsid w:val="008A6837"/>
    <w:rsid w:val="008A7C86"/>
    <w:rsid w:val="008B09D7"/>
    <w:rsid w:val="008B1036"/>
    <w:rsid w:val="008B1EFB"/>
    <w:rsid w:val="008B32A7"/>
    <w:rsid w:val="008B398D"/>
    <w:rsid w:val="008B4AC1"/>
    <w:rsid w:val="008B57A8"/>
    <w:rsid w:val="008B75F9"/>
    <w:rsid w:val="008B7A80"/>
    <w:rsid w:val="008C0D48"/>
    <w:rsid w:val="008C2125"/>
    <w:rsid w:val="008C2B5C"/>
    <w:rsid w:val="008C2B7E"/>
    <w:rsid w:val="008C2C15"/>
    <w:rsid w:val="008C3BC2"/>
    <w:rsid w:val="008C3FE7"/>
    <w:rsid w:val="008C6F28"/>
    <w:rsid w:val="008C73B3"/>
    <w:rsid w:val="008D121C"/>
    <w:rsid w:val="008D134C"/>
    <w:rsid w:val="008D24FF"/>
    <w:rsid w:val="008D2608"/>
    <w:rsid w:val="008D2F29"/>
    <w:rsid w:val="008D2FD5"/>
    <w:rsid w:val="008D5508"/>
    <w:rsid w:val="008D5C11"/>
    <w:rsid w:val="008D5C65"/>
    <w:rsid w:val="008D7EA6"/>
    <w:rsid w:val="008E00AD"/>
    <w:rsid w:val="008E03B4"/>
    <w:rsid w:val="008E24ED"/>
    <w:rsid w:val="008E26B9"/>
    <w:rsid w:val="008E51B7"/>
    <w:rsid w:val="008E5D74"/>
    <w:rsid w:val="008E6308"/>
    <w:rsid w:val="008E7459"/>
    <w:rsid w:val="008E7AC7"/>
    <w:rsid w:val="008F109E"/>
    <w:rsid w:val="008F13FA"/>
    <w:rsid w:val="008F19E2"/>
    <w:rsid w:val="008F1AD2"/>
    <w:rsid w:val="008F1C00"/>
    <w:rsid w:val="008F266D"/>
    <w:rsid w:val="008F2A25"/>
    <w:rsid w:val="008F3331"/>
    <w:rsid w:val="008F4ECC"/>
    <w:rsid w:val="008F61AD"/>
    <w:rsid w:val="008F61C4"/>
    <w:rsid w:val="008F6CE0"/>
    <w:rsid w:val="008F7396"/>
    <w:rsid w:val="008F79A4"/>
    <w:rsid w:val="008F7E38"/>
    <w:rsid w:val="0090137B"/>
    <w:rsid w:val="00901928"/>
    <w:rsid w:val="00901A3D"/>
    <w:rsid w:val="00901D19"/>
    <w:rsid w:val="00902C47"/>
    <w:rsid w:val="00902FF6"/>
    <w:rsid w:val="00903243"/>
    <w:rsid w:val="009037F9"/>
    <w:rsid w:val="00903AFC"/>
    <w:rsid w:val="00903B0F"/>
    <w:rsid w:val="009058C5"/>
    <w:rsid w:val="009068C8"/>
    <w:rsid w:val="009069D6"/>
    <w:rsid w:val="0090753B"/>
    <w:rsid w:val="00910878"/>
    <w:rsid w:val="0091173E"/>
    <w:rsid w:val="00911763"/>
    <w:rsid w:val="00911CA4"/>
    <w:rsid w:val="00914055"/>
    <w:rsid w:val="009156D0"/>
    <w:rsid w:val="0091718D"/>
    <w:rsid w:val="00917628"/>
    <w:rsid w:val="00924267"/>
    <w:rsid w:val="00925755"/>
    <w:rsid w:val="009258CC"/>
    <w:rsid w:val="00925D41"/>
    <w:rsid w:val="0092642D"/>
    <w:rsid w:val="0092687B"/>
    <w:rsid w:val="00927089"/>
    <w:rsid w:val="00930803"/>
    <w:rsid w:val="0093091E"/>
    <w:rsid w:val="00930A86"/>
    <w:rsid w:val="00931546"/>
    <w:rsid w:val="009315AF"/>
    <w:rsid w:val="009336F5"/>
    <w:rsid w:val="00934A8A"/>
    <w:rsid w:val="00935328"/>
    <w:rsid w:val="0093727C"/>
    <w:rsid w:val="00937D25"/>
    <w:rsid w:val="00937FBE"/>
    <w:rsid w:val="00940616"/>
    <w:rsid w:val="009413B2"/>
    <w:rsid w:val="0094200F"/>
    <w:rsid w:val="00943724"/>
    <w:rsid w:val="00943EAD"/>
    <w:rsid w:val="00944893"/>
    <w:rsid w:val="009448A3"/>
    <w:rsid w:val="0094532F"/>
    <w:rsid w:val="00946CF6"/>
    <w:rsid w:val="00947639"/>
    <w:rsid w:val="00947C5D"/>
    <w:rsid w:val="0095069D"/>
    <w:rsid w:val="009528A2"/>
    <w:rsid w:val="009538C7"/>
    <w:rsid w:val="00953E89"/>
    <w:rsid w:val="00954259"/>
    <w:rsid w:val="00955727"/>
    <w:rsid w:val="009614D4"/>
    <w:rsid w:val="009615E1"/>
    <w:rsid w:val="009616BC"/>
    <w:rsid w:val="00961889"/>
    <w:rsid w:val="0096207F"/>
    <w:rsid w:val="009622D2"/>
    <w:rsid w:val="00962A6A"/>
    <w:rsid w:val="009635C7"/>
    <w:rsid w:val="00963883"/>
    <w:rsid w:val="00963DA5"/>
    <w:rsid w:val="009667A5"/>
    <w:rsid w:val="00966FCF"/>
    <w:rsid w:val="00967046"/>
    <w:rsid w:val="009675EE"/>
    <w:rsid w:val="00971243"/>
    <w:rsid w:val="009732A1"/>
    <w:rsid w:val="00973DAA"/>
    <w:rsid w:val="0097552D"/>
    <w:rsid w:val="00975DEB"/>
    <w:rsid w:val="0097624C"/>
    <w:rsid w:val="00976343"/>
    <w:rsid w:val="009774A3"/>
    <w:rsid w:val="00977812"/>
    <w:rsid w:val="009805F2"/>
    <w:rsid w:val="00980973"/>
    <w:rsid w:val="00980F0D"/>
    <w:rsid w:val="00980FF0"/>
    <w:rsid w:val="0098261A"/>
    <w:rsid w:val="009827B2"/>
    <w:rsid w:val="00984930"/>
    <w:rsid w:val="00986505"/>
    <w:rsid w:val="00986EBC"/>
    <w:rsid w:val="009870AF"/>
    <w:rsid w:val="009879C7"/>
    <w:rsid w:val="009942A5"/>
    <w:rsid w:val="00994EB3"/>
    <w:rsid w:val="00995717"/>
    <w:rsid w:val="00995B32"/>
    <w:rsid w:val="00995D3E"/>
    <w:rsid w:val="00996A5E"/>
    <w:rsid w:val="00996AC9"/>
    <w:rsid w:val="00996AD3"/>
    <w:rsid w:val="00997C0D"/>
    <w:rsid w:val="009A04A8"/>
    <w:rsid w:val="009A1D30"/>
    <w:rsid w:val="009A2117"/>
    <w:rsid w:val="009A25DA"/>
    <w:rsid w:val="009A3584"/>
    <w:rsid w:val="009A42BD"/>
    <w:rsid w:val="009A4333"/>
    <w:rsid w:val="009A4813"/>
    <w:rsid w:val="009A5D0A"/>
    <w:rsid w:val="009A628D"/>
    <w:rsid w:val="009A62D1"/>
    <w:rsid w:val="009B3495"/>
    <w:rsid w:val="009B46F3"/>
    <w:rsid w:val="009B581E"/>
    <w:rsid w:val="009C0D3E"/>
    <w:rsid w:val="009C13A9"/>
    <w:rsid w:val="009C2468"/>
    <w:rsid w:val="009C2B58"/>
    <w:rsid w:val="009C3666"/>
    <w:rsid w:val="009C3A41"/>
    <w:rsid w:val="009C40EF"/>
    <w:rsid w:val="009C48EE"/>
    <w:rsid w:val="009C6A75"/>
    <w:rsid w:val="009C732E"/>
    <w:rsid w:val="009C7A31"/>
    <w:rsid w:val="009D025E"/>
    <w:rsid w:val="009D157A"/>
    <w:rsid w:val="009D1E89"/>
    <w:rsid w:val="009D3C72"/>
    <w:rsid w:val="009D3F76"/>
    <w:rsid w:val="009D7055"/>
    <w:rsid w:val="009E183E"/>
    <w:rsid w:val="009E1A19"/>
    <w:rsid w:val="009E2139"/>
    <w:rsid w:val="009E319F"/>
    <w:rsid w:val="009E363E"/>
    <w:rsid w:val="009E470B"/>
    <w:rsid w:val="009E63BD"/>
    <w:rsid w:val="009E6EE8"/>
    <w:rsid w:val="009E7498"/>
    <w:rsid w:val="009F0C0C"/>
    <w:rsid w:val="009F1809"/>
    <w:rsid w:val="009F1B50"/>
    <w:rsid w:val="009F1B54"/>
    <w:rsid w:val="009F1B9A"/>
    <w:rsid w:val="009F29CE"/>
    <w:rsid w:val="009F3675"/>
    <w:rsid w:val="009F398B"/>
    <w:rsid w:val="009F3E19"/>
    <w:rsid w:val="009F4DEA"/>
    <w:rsid w:val="009F4F31"/>
    <w:rsid w:val="009F52D9"/>
    <w:rsid w:val="009F642E"/>
    <w:rsid w:val="009F7329"/>
    <w:rsid w:val="00A00E58"/>
    <w:rsid w:val="00A012BC"/>
    <w:rsid w:val="00A01308"/>
    <w:rsid w:val="00A014D4"/>
    <w:rsid w:val="00A01DB8"/>
    <w:rsid w:val="00A02D3E"/>
    <w:rsid w:val="00A02E28"/>
    <w:rsid w:val="00A040C6"/>
    <w:rsid w:val="00A04850"/>
    <w:rsid w:val="00A0619C"/>
    <w:rsid w:val="00A06CEC"/>
    <w:rsid w:val="00A07DE6"/>
    <w:rsid w:val="00A104E3"/>
    <w:rsid w:val="00A11759"/>
    <w:rsid w:val="00A12356"/>
    <w:rsid w:val="00A14A3A"/>
    <w:rsid w:val="00A14F7B"/>
    <w:rsid w:val="00A151FE"/>
    <w:rsid w:val="00A15D4D"/>
    <w:rsid w:val="00A16748"/>
    <w:rsid w:val="00A167FC"/>
    <w:rsid w:val="00A174D5"/>
    <w:rsid w:val="00A17B2A"/>
    <w:rsid w:val="00A20258"/>
    <w:rsid w:val="00A2046F"/>
    <w:rsid w:val="00A2073E"/>
    <w:rsid w:val="00A21D74"/>
    <w:rsid w:val="00A22998"/>
    <w:rsid w:val="00A23DA0"/>
    <w:rsid w:val="00A240BC"/>
    <w:rsid w:val="00A2468B"/>
    <w:rsid w:val="00A24E4C"/>
    <w:rsid w:val="00A25015"/>
    <w:rsid w:val="00A26CDA"/>
    <w:rsid w:val="00A26ED8"/>
    <w:rsid w:val="00A31C24"/>
    <w:rsid w:val="00A31E1B"/>
    <w:rsid w:val="00A33E33"/>
    <w:rsid w:val="00A358D5"/>
    <w:rsid w:val="00A35901"/>
    <w:rsid w:val="00A35CE6"/>
    <w:rsid w:val="00A35D13"/>
    <w:rsid w:val="00A377FA"/>
    <w:rsid w:val="00A379E7"/>
    <w:rsid w:val="00A40841"/>
    <w:rsid w:val="00A4153D"/>
    <w:rsid w:val="00A4271F"/>
    <w:rsid w:val="00A43F3C"/>
    <w:rsid w:val="00A44AC2"/>
    <w:rsid w:val="00A455C7"/>
    <w:rsid w:val="00A45A5D"/>
    <w:rsid w:val="00A46FFC"/>
    <w:rsid w:val="00A5038C"/>
    <w:rsid w:val="00A50F11"/>
    <w:rsid w:val="00A52415"/>
    <w:rsid w:val="00A525C5"/>
    <w:rsid w:val="00A5301C"/>
    <w:rsid w:val="00A5358D"/>
    <w:rsid w:val="00A535DE"/>
    <w:rsid w:val="00A53A13"/>
    <w:rsid w:val="00A547C6"/>
    <w:rsid w:val="00A54EF9"/>
    <w:rsid w:val="00A56366"/>
    <w:rsid w:val="00A56F16"/>
    <w:rsid w:val="00A57982"/>
    <w:rsid w:val="00A60727"/>
    <w:rsid w:val="00A60E37"/>
    <w:rsid w:val="00A610BD"/>
    <w:rsid w:val="00A61287"/>
    <w:rsid w:val="00A61699"/>
    <w:rsid w:val="00A6196F"/>
    <w:rsid w:val="00A646F2"/>
    <w:rsid w:val="00A6484E"/>
    <w:rsid w:val="00A64FDC"/>
    <w:rsid w:val="00A6678B"/>
    <w:rsid w:val="00A667BC"/>
    <w:rsid w:val="00A669D0"/>
    <w:rsid w:val="00A66FB3"/>
    <w:rsid w:val="00A71E4D"/>
    <w:rsid w:val="00A71FF0"/>
    <w:rsid w:val="00A727D8"/>
    <w:rsid w:val="00A746FA"/>
    <w:rsid w:val="00A74B09"/>
    <w:rsid w:val="00A74BA8"/>
    <w:rsid w:val="00A74DAC"/>
    <w:rsid w:val="00A76137"/>
    <w:rsid w:val="00A764BB"/>
    <w:rsid w:val="00A77DA6"/>
    <w:rsid w:val="00A8005B"/>
    <w:rsid w:val="00A83A54"/>
    <w:rsid w:val="00A84512"/>
    <w:rsid w:val="00A8532D"/>
    <w:rsid w:val="00A85C3D"/>
    <w:rsid w:val="00A86379"/>
    <w:rsid w:val="00A867CE"/>
    <w:rsid w:val="00A90B64"/>
    <w:rsid w:val="00A90F88"/>
    <w:rsid w:val="00A91702"/>
    <w:rsid w:val="00A936D2"/>
    <w:rsid w:val="00A938EB"/>
    <w:rsid w:val="00A94102"/>
    <w:rsid w:val="00A9523F"/>
    <w:rsid w:val="00A953D4"/>
    <w:rsid w:val="00A95D65"/>
    <w:rsid w:val="00A9660C"/>
    <w:rsid w:val="00A970F9"/>
    <w:rsid w:val="00A9727A"/>
    <w:rsid w:val="00AA0C8A"/>
    <w:rsid w:val="00AA2973"/>
    <w:rsid w:val="00AA2D9E"/>
    <w:rsid w:val="00AA3519"/>
    <w:rsid w:val="00AA4542"/>
    <w:rsid w:val="00AA5614"/>
    <w:rsid w:val="00AA5633"/>
    <w:rsid w:val="00AA6581"/>
    <w:rsid w:val="00AA6660"/>
    <w:rsid w:val="00AA6D97"/>
    <w:rsid w:val="00AB0F3C"/>
    <w:rsid w:val="00AB18EA"/>
    <w:rsid w:val="00AB1EBE"/>
    <w:rsid w:val="00AB2265"/>
    <w:rsid w:val="00AB2748"/>
    <w:rsid w:val="00AB2818"/>
    <w:rsid w:val="00AB3847"/>
    <w:rsid w:val="00AB38CE"/>
    <w:rsid w:val="00AB4321"/>
    <w:rsid w:val="00AB5CA0"/>
    <w:rsid w:val="00AB6D23"/>
    <w:rsid w:val="00AC00ED"/>
    <w:rsid w:val="00AC2B23"/>
    <w:rsid w:val="00AC39F0"/>
    <w:rsid w:val="00AC3F9A"/>
    <w:rsid w:val="00AC5510"/>
    <w:rsid w:val="00AC5CC1"/>
    <w:rsid w:val="00AC658E"/>
    <w:rsid w:val="00AC6621"/>
    <w:rsid w:val="00AD0020"/>
    <w:rsid w:val="00AD0736"/>
    <w:rsid w:val="00AD0A30"/>
    <w:rsid w:val="00AD0BF7"/>
    <w:rsid w:val="00AD0DF4"/>
    <w:rsid w:val="00AD176C"/>
    <w:rsid w:val="00AD18F9"/>
    <w:rsid w:val="00AD249E"/>
    <w:rsid w:val="00AD352C"/>
    <w:rsid w:val="00AD3773"/>
    <w:rsid w:val="00AD3E75"/>
    <w:rsid w:val="00AD5D50"/>
    <w:rsid w:val="00AD768F"/>
    <w:rsid w:val="00AD76BF"/>
    <w:rsid w:val="00AE0DE6"/>
    <w:rsid w:val="00AE2BF1"/>
    <w:rsid w:val="00AE3640"/>
    <w:rsid w:val="00AE3F86"/>
    <w:rsid w:val="00AE4667"/>
    <w:rsid w:val="00AE4E9D"/>
    <w:rsid w:val="00AE58CD"/>
    <w:rsid w:val="00AE65C4"/>
    <w:rsid w:val="00AE6FFC"/>
    <w:rsid w:val="00AE7B53"/>
    <w:rsid w:val="00AF03FB"/>
    <w:rsid w:val="00AF0659"/>
    <w:rsid w:val="00AF190A"/>
    <w:rsid w:val="00AF353E"/>
    <w:rsid w:val="00AF4AE5"/>
    <w:rsid w:val="00AF4C79"/>
    <w:rsid w:val="00AF5985"/>
    <w:rsid w:val="00B006DB"/>
    <w:rsid w:val="00B012F3"/>
    <w:rsid w:val="00B021F4"/>
    <w:rsid w:val="00B0223D"/>
    <w:rsid w:val="00B02D51"/>
    <w:rsid w:val="00B030F8"/>
    <w:rsid w:val="00B0363E"/>
    <w:rsid w:val="00B04264"/>
    <w:rsid w:val="00B04291"/>
    <w:rsid w:val="00B04711"/>
    <w:rsid w:val="00B0625C"/>
    <w:rsid w:val="00B065DF"/>
    <w:rsid w:val="00B0682F"/>
    <w:rsid w:val="00B079AF"/>
    <w:rsid w:val="00B1298D"/>
    <w:rsid w:val="00B1384D"/>
    <w:rsid w:val="00B15090"/>
    <w:rsid w:val="00B15951"/>
    <w:rsid w:val="00B16341"/>
    <w:rsid w:val="00B165F6"/>
    <w:rsid w:val="00B165F7"/>
    <w:rsid w:val="00B17374"/>
    <w:rsid w:val="00B17F06"/>
    <w:rsid w:val="00B238CB"/>
    <w:rsid w:val="00B239F2"/>
    <w:rsid w:val="00B24980"/>
    <w:rsid w:val="00B2613D"/>
    <w:rsid w:val="00B2629C"/>
    <w:rsid w:val="00B267B5"/>
    <w:rsid w:val="00B2696E"/>
    <w:rsid w:val="00B27DE2"/>
    <w:rsid w:val="00B307EF"/>
    <w:rsid w:val="00B3156B"/>
    <w:rsid w:val="00B3315E"/>
    <w:rsid w:val="00B33A01"/>
    <w:rsid w:val="00B33A41"/>
    <w:rsid w:val="00B35C66"/>
    <w:rsid w:val="00B405CE"/>
    <w:rsid w:val="00B413A5"/>
    <w:rsid w:val="00B41586"/>
    <w:rsid w:val="00B430B9"/>
    <w:rsid w:val="00B4337C"/>
    <w:rsid w:val="00B45E42"/>
    <w:rsid w:val="00B50368"/>
    <w:rsid w:val="00B51484"/>
    <w:rsid w:val="00B51D33"/>
    <w:rsid w:val="00B534F4"/>
    <w:rsid w:val="00B54011"/>
    <w:rsid w:val="00B54C65"/>
    <w:rsid w:val="00B563E6"/>
    <w:rsid w:val="00B56EBB"/>
    <w:rsid w:val="00B56F4C"/>
    <w:rsid w:val="00B570E3"/>
    <w:rsid w:val="00B5757A"/>
    <w:rsid w:val="00B57D82"/>
    <w:rsid w:val="00B6033F"/>
    <w:rsid w:val="00B60D03"/>
    <w:rsid w:val="00B60D5F"/>
    <w:rsid w:val="00B61A40"/>
    <w:rsid w:val="00B628FA"/>
    <w:rsid w:val="00B6381D"/>
    <w:rsid w:val="00B6459E"/>
    <w:rsid w:val="00B65E04"/>
    <w:rsid w:val="00B66648"/>
    <w:rsid w:val="00B66E8F"/>
    <w:rsid w:val="00B6729C"/>
    <w:rsid w:val="00B70293"/>
    <w:rsid w:val="00B70FC2"/>
    <w:rsid w:val="00B722AB"/>
    <w:rsid w:val="00B72823"/>
    <w:rsid w:val="00B73D19"/>
    <w:rsid w:val="00B74390"/>
    <w:rsid w:val="00B75A70"/>
    <w:rsid w:val="00B760BB"/>
    <w:rsid w:val="00B761F2"/>
    <w:rsid w:val="00B769C2"/>
    <w:rsid w:val="00B8070E"/>
    <w:rsid w:val="00B80F57"/>
    <w:rsid w:val="00B814B8"/>
    <w:rsid w:val="00B81C6D"/>
    <w:rsid w:val="00B82B38"/>
    <w:rsid w:val="00B82C8E"/>
    <w:rsid w:val="00B82F01"/>
    <w:rsid w:val="00B86957"/>
    <w:rsid w:val="00B9093D"/>
    <w:rsid w:val="00B909CF"/>
    <w:rsid w:val="00B90A00"/>
    <w:rsid w:val="00B92309"/>
    <w:rsid w:val="00B92395"/>
    <w:rsid w:val="00B93114"/>
    <w:rsid w:val="00B95396"/>
    <w:rsid w:val="00B956B5"/>
    <w:rsid w:val="00B9641A"/>
    <w:rsid w:val="00BA0485"/>
    <w:rsid w:val="00BA0670"/>
    <w:rsid w:val="00BA095D"/>
    <w:rsid w:val="00BA1181"/>
    <w:rsid w:val="00BA2A05"/>
    <w:rsid w:val="00BA60E9"/>
    <w:rsid w:val="00BA6806"/>
    <w:rsid w:val="00BB1E7F"/>
    <w:rsid w:val="00BB2312"/>
    <w:rsid w:val="00BB3A91"/>
    <w:rsid w:val="00BB3D8E"/>
    <w:rsid w:val="00BB70D1"/>
    <w:rsid w:val="00BB7B04"/>
    <w:rsid w:val="00BB7C3F"/>
    <w:rsid w:val="00BC0C4F"/>
    <w:rsid w:val="00BC4D9C"/>
    <w:rsid w:val="00BC63D4"/>
    <w:rsid w:val="00BC7661"/>
    <w:rsid w:val="00BD3403"/>
    <w:rsid w:val="00BD3872"/>
    <w:rsid w:val="00BD4F1D"/>
    <w:rsid w:val="00BE2487"/>
    <w:rsid w:val="00BE2EE8"/>
    <w:rsid w:val="00BE4DE6"/>
    <w:rsid w:val="00BE7CE4"/>
    <w:rsid w:val="00BF049A"/>
    <w:rsid w:val="00BF0D6E"/>
    <w:rsid w:val="00BF3595"/>
    <w:rsid w:val="00BF43F6"/>
    <w:rsid w:val="00BF58F6"/>
    <w:rsid w:val="00BF5E65"/>
    <w:rsid w:val="00BF6FF9"/>
    <w:rsid w:val="00BF7CC1"/>
    <w:rsid w:val="00BF7ECB"/>
    <w:rsid w:val="00C00B6D"/>
    <w:rsid w:val="00C01A86"/>
    <w:rsid w:val="00C01A94"/>
    <w:rsid w:val="00C036E3"/>
    <w:rsid w:val="00C0534F"/>
    <w:rsid w:val="00C05B51"/>
    <w:rsid w:val="00C05BD4"/>
    <w:rsid w:val="00C05CA2"/>
    <w:rsid w:val="00C07595"/>
    <w:rsid w:val="00C076AB"/>
    <w:rsid w:val="00C1044D"/>
    <w:rsid w:val="00C13278"/>
    <w:rsid w:val="00C14847"/>
    <w:rsid w:val="00C1490B"/>
    <w:rsid w:val="00C1740E"/>
    <w:rsid w:val="00C209A2"/>
    <w:rsid w:val="00C20E00"/>
    <w:rsid w:val="00C213FE"/>
    <w:rsid w:val="00C22BDF"/>
    <w:rsid w:val="00C22EEA"/>
    <w:rsid w:val="00C24D40"/>
    <w:rsid w:val="00C253AA"/>
    <w:rsid w:val="00C26BCA"/>
    <w:rsid w:val="00C26EBD"/>
    <w:rsid w:val="00C323D2"/>
    <w:rsid w:val="00C34F3E"/>
    <w:rsid w:val="00C36F08"/>
    <w:rsid w:val="00C40483"/>
    <w:rsid w:val="00C408A4"/>
    <w:rsid w:val="00C413F3"/>
    <w:rsid w:val="00C41535"/>
    <w:rsid w:val="00C421C8"/>
    <w:rsid w:val="00C42516"/>
    <w:rsid w:val="00C44D3C"/>
    <w:rsid w:val="00C45ABB"/>
    <w:rsid w:val="00C50120"/>
    <w:rsid w:val="00C509E3"/>
    <w:rsid w:val="00C50DA9"/>
    <w:rsid w:val="00C50E46"/>
    <w:rsid w:val="00C5222B"/>
    <w:rsid w:val="00C5225E"/>
    <w:rsid w:val="00C52DCC"/>
    <w:rsid w:val="00C5514F"/>
    <w:rsid w:val="00C551C2"/>
    <w:rsid w:val="00C55ACE"/>
    <w:rsid w:val="00C6177E"/>
    <w:rsid w:val="00C61B17"/>
    <w:rsid w:val="00C62043"/>
    <w:rsid w:val="00C62373"/>
    <w:rsid w:val="00C62508"/>
    <w:rsid w:val="00C62D50"/>
    <w:rsid w:val="00C67B25"/>
    <w:rsid w:val="00C7029E"/>
    <w:rsid w:val="00C712D1"/>
    <w:rsid w:val="00C713F3"/>
    <w:rsid w:val="00C73999"/>
    <w:rsid w:val="00C77CDB"/>
    <w:rsid w:val="00C81966"/>
    <w:rsid w:val="00C825ED"/>
    <w:rsid w:val="00C83149"/>
    <w:rsid w:val="00C8379C"/>
    <w:rsid w:val="00C8443B"/>
    <w:rsid w:val="00C84555"/>
    <w:rsid w:val="00C859BD"/>
    <w:rsid w:val="00C85C55"/>
    <w:rsid w:val="00C8674F"/>
    <w:rsid w:val="00C903F8"/>
    <w:rsid w:val="00C919D5"/>
    <w:rsid w:val="00C92875"/>
    <w:rsid w:val="00C92BD2"/>
    <w:rsid w:val="00C973E6"/>
    <w:rsid w:val="00CA009A"/>
    <w:rsid w:val="00CA1BCB"/>
    <w:rsid w:val="00CA2865"/>
    <w:rsid w:val="00CA40AB"/>
    <w:rsid w:val="00CA6E56"/>
    <w:rsid w:val="00CA7493"/>
    <w:rsid w:val="00CA7A6A"/>
    <w:rsid w:val="00CB03D0"/>
    <w:rsid w:val="00CB1C9C"/>
    <w:rsid w:val="00CB2AB9"/>
    <w:rsid w:val="00CB331B"/>
    <w:rsid w:val="00CB42C8"/>
    <w:rsid w:val="00CB4403"/>
    <w:rsid w:val="00CB46B8"/>
    <w:rsid w:val="00CB6B47"/>
    <w:rsid w:val="00CB6F16"/>
    <w:rsid w:val="00CC1FBB"/>
    <w:rsid w:val="00CC355E"/>
    <w:rsid w:val="00CC3810"/>
    <w:rsid w:val="00CC5991"/>
    <w:rsid w:val="00CC63E4"/>
    <w:rsid w:val="00CC6BC0"/>
    <w:rsid w:val="00CD00A1"/>
    <w:rsid w:val="00CD00A7"/>
    <w:rsid w:val="00CD1CE4"/>
    <w:rsid w:val="00CD247D"/>
    <w:rsid w:val="00CD2A33"/>
    <w:rsid w:val="00CD35C5"/>
    <w:rsid w:val="00CD383A"/>
    <w:rsid w:val="00CD5388"/>
    <w:rsid w:val="00CD654F"/>
    <w:rsid w:val="00CE138A"/>
    <w:rsid w:val="00CE1CF7"/>
    <w:rsid w:val="00CE26A4"/>
    <w:rsid w:val="00CE2A05"/>
    <w:rsid w:val="00CE2B61"/>
    <w:rsid w:val="00CE3053"/>
    <w:rsid w:val="00CE374D"/>
    <w:rsid w:val="00CE39BD"/>
    <w:rsid w:val="00CE3DCA"/>
    <w:rsid w:val="00CE3F9F"/>
    <w:rsid w:val="00CE405E"/>
    <w:rsid w:val="00CE452F"/>
    <w:rsid w:val="00CE497A"/>
    <w:rsid w:val="00CE67BB"/>
    <w:rsid w:val="00CE7004"/>
    <w:rsid w:val="00CF24C2"/>
    <w:rsid w:val="00CF2764"/>
    <w:rsid w:val="00CF356B"/>
    <w:rsid w:val="00CF42AA"/>
    <w:rsid w:val="00CF4561"/>
    <w:rsid w:val="00CF4770"/>
    <w:rsid w:val="00CF4CA9"/>
    <w:rsid w:val="00CF5E0F"/>
    <w:rsid w:val="00CF6849"/>
    <w:rsid w:val="00CF6BAA"/>
    <w:rsid w:val="00CF6DA5"/>
    <w:rsid w:val="00D03A68"/>
    <w:rsid w:val="00D043A7"/>
    <w:rsid w:val="00D052FA"/>
    <w:rsid w:val="00D1009D"/>
    <w:rsid w:val="00D101D1"/>
    <w:rsid w:val="00D11A51"/>
    <w:rsid w:val="00D13599"/>
    <w:rsid w:val="00D1381D"/>
    <w:rsid w:val="00D14634"/>
    <w:rsid w:val="00D15054"/>
    <w:rsid w:val="00D170C0"/>
    <w:rsid w:val="00D17D4D"/>
    <w:rsid w:val="00D20B98"/>
    <w:rsid w:val="00D2125E"/>
    <w:rsid w:val="00D21324"/>
    <w:rsid w:val="00D229DB"/>
    <w:rsid w:val="00D2321E"/>
    <w:rsid w:val="00D24A21"/>
    <w:rsid w:val="00D24BFE"/>
    <w:rsid w:val="00D255D3"/>
    <w:rsid w:val="00D2598D"/>
    <w:rsid w:val="00D2603A"/>
    <w:rsid w:val="00D275BC"/>
    <w:rsid w:val="00D302B4"/>
    <w:rsid w:val="00D30332"/>
    <w:rsid w:val="00D30C93"/>
    <w:rsid w:val="00D321F1"/>
    <w:rsid w:val="00D329B3"/>
    <w:rsid w:val="00D33F1C"/>
    <w:rsid w:val="00D34747"/>
    <w:rsid w:val="00D3541D"/>
    <w:rsid w:val="00D376CF"/>
    <w:rsid w:val="00D429D9"/>
    <w:rsid w:val="00D45887"/>
    <w:rsid w:val="00D46600"/>
    <w:rsid w:val="00D47C81"/>
    <w:rsid w:val="00D5230C"/>
    <w:rsid w:val="00D52D51"/>
    <w:rsid w:val="00D52D91"/>
    <w:rsid w:val="00D5367C"/>
    <w:rsid w:val="00D542D3"/>
    <w:rsid w:val="00D55E4A"/>
    <w:rsid w:val="00D5731E"/>
    <w:rsid w:val="00D639C2"/>
    <w:rsid w:val="00D64000"/>
    <w:rsid w:val="00D6489E"/>
    <w:rsid w:val="00D653B7"/>
    <w:rsid w:val="00D66948"/>
    <w:rsid w:val="00D71B1A"/>
    <w:rsid w:val="00D740C8"/>
    <w:rsid w:val="00D74433"/>
    <w:rsid w:val="00D750D4"/>
    <w:rsid w:val="00D80B34"/>
    <w:rsid w:val="00D81C05"/>
    <w:rsid w:val="00D81FCA"/>
    <w:rsid w:val="00D83801"/>
    <w:rsid w:val="00D84823"/>
    <w:rsid w:val="00D857F8"/>
    <w:rsid w:val="00D858AA"/>
    <w:rsid w:val="00D85981"/>
    <w:rsid w:val="00D85F67"/>
    <w:rsid w:val="00D86408"/>
    <w:rsid w:val="00D87E14"/>
    <w:rsid w:val="00D90C81"/>
    <w:rsid w:val="00D92EB0"/>
    <w:rsid w:val="00D93FF7"/>
    <w:rsid w:val="00D94043"/>
    <w:rsid w:val="00D94C10"/>
    <w:rsid w:val="00D95E4A"/>
    <w:rsid w:val="00D96486"/>
    <w:rsid w:val="00DA0D55"/>
    <w:rsid w:val="00DA132B"/>
    <w:rsid w:val="00DA19EF"/>
    <w:rsid w:val="00DA2B2D"/>
    <w:rsid w:val="00DA3E23"/>
    <w:rsid w:val="00DA4114"/>
    <w:rsid w:val="00DA47A0"/>
    <w:rsid w:val="00DA53FD"/>
    <w:rsid w:val="00DA5DCE"/>
    <w:rsid w:val="00DA647E"/>
    <w:rsid w:val="00DA7C23"/>
    <w:rsid w:val="00DB01FA"/>
    <w:rsid w:val="00DB089C"/>
    <w:rsid w:val="00DB0A19"/>
    <w:rsid w:val="00DB3812"/>
    <w:rsid w:val="00DB419A"/>
    <w:rsid w:val="00DB447C"/>
    <w:rsid w:val="00DB5653"/>
    <w:rsid w:val="00DB6111"/>
    <w:rsid w:val="00DB6EC2"/>
    <w:rsid w:val="00DB7EFD"/>
    <w:rsid w:val="00DC065B"/>
    <w:rsid w:val="00DC11E8"/>
    <w:rsid w:val="00DC3959"/>
    <w:rsid w:val="00DC4D54"/>
    <w:rsid w:val="00DC50ED"/>
    <w:rsid w:val="00DC64E2"/>
    <w:rsid w:val="00DC7384"/>
    <w:rsid w:val="00DD1033"/>
    <w:rsid w:val="00DD1826"/>
    <w:rsid w:val="00DD2FE8"/>
    <w:rsid w:val="00DD3260"/>
    <w:rsid w:val="00DD3335"/>
    <w:rsid w:val="00DD4D9C"/>
    <w:rsid w:val="00DD58BC"/>
    <w:rsid w:val="00DD67C0"/>
    <w:rsid w:val="00DD67E3"/>
    <w:rsid w:val="00DD6F1B"/>
    <w:rsid w:val="00DD7924"/>
    <w:rsid w:val="00DD7C92"/>
    <w:rsid w:val="00DE01A2"/>
    <w:rsid w:val="00DE21D8"/>
    <w:rsid w:val="00DE2419"/>
    <w:rsid w:val="00DE404B"/>
    <w:rsid w:val="00DE4362"/>
    <w:rsid w:val="00DE4417"/>
    <w:rsid w:val="00DE454B"/>
    <w:rsid w:val="00DE524A"/>
    <w:rsid w:val="00DE66D2"/>
    <w:rsid w:val="00DE69C7"/>
    <w:rsid w:val="00DF02F2"/>
    <w:rsid w:val="00DF0694"/>
    <w:rsid w:val="00DF0B9E"/>
    <w:rsid w:val="00DF19D3"/>
    <w:rsid w:val="00DF2560"/>
    <w:rsid w:val="00DF5C3B"/>
    <w:rsid w:val="00DF6200"/>
    <w:rsid w:val="00DF6838"/>
    <w:rsid w:val="00E0003E"/>
    <w:rsid w:val="00E000F9"/>
    <w:rsid w:val="00E004CF"/>
    <w:rsid w:val="00E0050D"/>
    <w:rsid w:val="00E00F5E"/>
    <w:rsid w:val="00E01453"/>
    <w:rsid w:val="00E02548"/>
    <w:rsid w:val="00E02B7F"/>
    <w:rsid w:val="00E0338E"/>
    <w:rsid w:val="00E04086"/>
    <w:rsid w:val="00E04714"/>
    <w:rsid w:val="00E1027C"/>
    <w:rsid w:val="00E1060C"/>
    <w:rsid w:val="00E113D0"/>
    <w:rsid w:val="00E11F4C"/>
    <w:rsid w:val="00E1635F"/>
    <w:rsid w:val="00E17E0C"/>
    <w:rsid w:val="00E17E96"/>
    <w:rsid w:val="00E22349"/>
    <w:rsid w:val="00E223C8"/>
    <w:rsid w:val="00E23CED"/>
    <w:rsid w:val="00E24808"/>
    <w:rsid w:val="00E24BA6"/>
    <w:rsid w:val="00E24BFD"/>
    <w:rsid w:val="00E26B8F"/>
    <w:rsid w:val="00E30D59"/>
    <w:rsid w:val="00E3172D"/>
    <w:rsid w:val="00E31A5D"/>
    <w:rsid w:val="00E31D91"/>
    <w:rsid w:val="00E31E3E"/>
    <w:rsid w:val="00E32E30"/>
    <w:rsid w:val="00E355F3"/>
    <w:rsid w:val="00E35772"/>
    <w:rsid w:val="00E357FD"/>
    <w:rsid w:val="00E3601E"/>
    <w:rsid w:val="00E36B0E"/>
    <w:rsid w:val="00E370BE"/>
    <w:rsid w:val="00E41D8E"/>
    <w:rsid w:val="00E43E4C"/>
    <w:rsid w:val="00E44793"/>
    <w:rsid w:val="00E45F42"/>
    <w:rsid w:val="00E46F58"/>
    <w:rsid w:val="00E47CBC"/>
    <w:rsid w:val="00E5028E"/>
    <w:rsid w:val="00E51316"/>
    <w:rsid w:val="00E52B0E"/>
    <w:rsid w:val="00E53EE2"/>
    <w:rsid w:val="00E54523"/>
    <w:rsid w:val="00E54654"/>
    <w:rsid w:val="00E5665A"/>
    <w:rsid w:val="00E56841"/>
    <w:rsid w:val="00E56A84"/>
    <w:rsid w:val="00E602EE"/>
    <w:rsid w:val="00E608AB"/>
    <w:rsid w:val="00E60D45"/>
    <w:rsid w:val="00E61447"/>
    <w:rsid w:val="00E6144D"/>
    <w:rsid w:val="00E61C17"/>
    <w:rsid w:val="00E61D20"/>
    <w:rsid w:val="00E630F7"/>
    <w:rsid w:val="00E64406"/>
    <w:rsid w:val="00E65F26"/>
    <w:rsid w:val="00E66500"/>
    <w:rsid w:val="00E66C5C"/>
    <w:rsid w:val="00E67DA4"/>
    <w:rsid w:val="00E75A70"/>
    <w:rsid w:val="00E767BB"/>
    <w:rsid w:val="00E777ED"/>
    <w:rsid w:val="00E77F1F"/>
    <w:rsid w:val="00E834CD"/>
    <w:rsid w:val="00E836FE"/>
    <w:rsid w:val="00E846E9"/>
    <w:rsid w:val="00E852A7"/>
    <w:rsid w:val="00E865A1"/>
    <w:rsid w:val="00E86B69"/>
    <w:rsid w:val="00E87BD8"/>
    <w:rsid w:val="00E90895"/>
    <w:rsid w:val="00E91938"/>
    <w:rsid w:val="00E9195A"/>
    <w:rsid w:val="00E92F73"/>
    <w:rsid w:val="00E959CB"/>
    <w:rsid w:val="00E9735B"/>
    <w:rsid w:val="00E976ED"/>
    <w:rsid w:val="00EA03BA"/>
    <w:rsid w:val="00EA1478"/>
    <w:rsid w:val="00EA2183"/>
    <w:rsid w:val="00EA3F15"/>
    <w:rsid w:val="00EA62EB"/>
    <w:rsid w:val="00EA770F"/>
    <w:rsid w:val="00EB3292"/>
    <w:rsid w:val="00EB36FC"/>
    <w:rsid w:val="00EB50AB"/>
    <w:rsid w:val="00EB56AC"/>
    <w:rsid w:val="00EB5848"/>
    <w:rsid w:val="00EB6D1A"/>
    <w:rsid w:val="00EB78D3"/>
    <w:rsid w:val="00EB7F5F"/>
    <w:rsid w:val="00EC07E8"/>
    <w:rsid w:val="00EC0A82"/>
    <w:rsid w:val="00EC0E7D"/>
    <w:rsid w:val="00EC1301"/>
    <w:rsid w:val="00EC2B81"/>
    <w:rsid w:val="00EC68C9"/>
    <w:rsid w:val="00ED0C30"/>
    <w:rsid w:val="00ED1418"/>
    <w:rsid w:val="00ED1CB3"/>
    <w:rsid w:val="00ED1EFF"/>
    <w:rsid w:val="00ED22AF"/>
    <w:rsid w:val="00ED26E0"/>
    <w:rsid w:val="00ED26ED"/>
    <w:rsid w:val="00ED2F51"/>
    <w:rsid w:val="00ED32CF"/>
    <w:rsid w:val="00ED3ED8"/>
    <w:rsid w:val="00ED4701"/>
    <w:rsid w:val="00ED4C15"/>
    <w:rsid w:val="00ED7069"/>
    <w:rsid w:val="00EE0BE4"/>
    <w:rsid w:val="00EE1038"/>
    <w:rsid w:val="00EE2CD3"/>
    <w:rsid w:val="00EE3555"/>
    <w:rsid w:val="00EE4183"/>
    <w:rsid w:val="00EE4E3D"/>
    <w:rsid w:val="00EE5AAD"/>
    <w:rsid w:val="00EE658F"/>
    <w:rsid w:val="00EE69C0"/>
    <w:rsid w:val="00EE7E64"/>
    <w:rsid w:val="00EF09D4"/>
    <w:rsid w:val="00EF2D8E"/>
    <w:rsid w:val="00EF2F61"/>
    <w:rsid w:val="00EF32EE"/>
    <w:rsid w:val="00EF34B7"/>
    <w:rsid w:val="00EF49C3"/>
    <w:rsid w:val="00EF4E24"/>
    <w:rsid w:val="00EF4E57"/>
    <w:rsid w:val="00F01F72"/>
    <w:rsid w:val="00F02F7A"/>
    <w:rsid w:val="00F0412C"/>
    <w:rsid w:val="00F0431F"/>
    <w:rsid w:val="00F04611"/>
    <w:rsid w:val="00F0492F"/>
    <w:rsid w:val="00F04CAF"/>
    <w:rsid w:val="00F06174"/>
    <w:rsid w:val="00F11663"/>
    <w:rsid w:val="00F11EA9"/>
    <w:rsid w:val="00F12269"/>
    <w:rsid w:val="00F125EF"/>
    <w:rsid w:val="00F1380E"/>
    <w:rsid w:val="00F13BF9"/>
    <w:rsid w:val="00F14E8B"/>
    <w:rsid w:val="00F15337"/>
    <w:rsid w:val="00F15601"/>
    <w:rsid w:val="00F164D6"/>
    <w:rsid w:val="00F22A09"/>
    <w:rsid w:val="00F244EB"/>
    <w:rsid w:val="00F25585"/>
    <w:rsid w:val="00F26734"/>
    <w:rsid w:val="00F30085"/>
    <w:rsid w:val="00F33226"/>
    <w:rsid w:val="00F33F55"/>
    <w:rsid w:val="00F35B3D"/>
    <w:rsid w:val="00F36844"/>
    <w:rsid w:val="00F37017"/>
    <w:rsid w:val="00F40BDA"/>
    <w:rsid w:val="00F41CBD"/>
    <w:rsid w:val="00F421ED"/>
    <w:rsid w:val="00F424D4"/>
    <w:rsid w:val="00F44F66"/>
    <w:rsid w:val="00F451B9"/>
    <w:rsid w:val="00F452A9"/>
    <w:rsid w:val="00F46634"/>
    <w:rsid w:val="00F46772"/>
    <w:rsid w:val="00F46C3C"/>
    <w:rsid w:val="00F47726"/>
    <w:rsid w:val="00F50AA4"/>
    <w:rsid w:val="00F50FB5"/>
    <w:rsid w:val="00F51060"/>
    <w:rsid w:val="00F51304"/>
    <w:rsid w:val="00F5473D"/>
    <w:rsid w:val="00F548A5"/>
    <w:rsid w:val="00F551E2"/>
    <w:rsid w:val="00F55D2A"/>
    <w:rsid w:val="00F601C0"/>
    <w:rsid w:val="00F611DE"/>
    <w:rsid w:val="00F6236E"/>
    <w:rsid w:val="00F62C54"/>
    <w:rsid w:val="00F6371D"/>
    <w:rsid w:val="00F64273"/>
    <w:rsid w:val="00F645F6"/>
    <w:rsid w:val="00F64DF2"/>
    <w:rsid w:val="00F65D96"/>
    <w:rsid w:val="00F66147"/>
    <w:rsid w:val="00F6695F"/>
    <w:rsid w:val="00F66D1B"/>
    <w:rsid w:val="00F670A2"/>
    <w:rsid w:val="00F67253"/>
    <w:rsid w:val="00F67D58"/>
    <w:rsid w:val="00F71051"/>
    <w:rsid w:val="00F71681"/>
    <w:rsid w:val="00F716DC"/>
    <w:rsid w:val="00F72ACC"/>
    <w:rsid w:val="00F73EE2"/>
    <w:rsid w:val="00F742D5"/>
    <w:rsid w:val="00F7449C"/>
    <w:rsid w:val="00F759D4"/>
    <w:rsid w:val="00F75A1F"/>
    <w:rsid w:val="00F76783"/>
    <w:rsid w:val="00F76D36"/>
    <w:rsid w:val="00F7713D"/>
    <w:rsid w:val="00F77872"/>
    <w:rsid w:val="00F83422"/>
    <w:rsid w:val="00F83FA6"/>
    <w:rsid w:val="00F84244"/>
    <w:rsid w:val="00F84742"/>
    <w:rsid w:val="00F87682"/>
    <w:rsid w:val="00F90F15"/>
    <w:rsid w:val="00F9107C"/>
    <w:rsid w:val="00F91288"/>
    <w:rsid w:val="00F91AFF"/>
    <w:rsid w:val="00F92563"/>
    <w:rsid w:val="00F935C7"/>
    <w:rsid w:val="00F9422E"/>
    <w:rsid w:val="00F9609C"/>
    <w:rsid w:val="00F9734D"/>
    <w:rsid w:val="00FA096B"/>
    <w:rsid w:val="00FA1840"/>
    <w:rsid w:val="00FA2A5B"/>
    <w:rsid w:val="00FA2BFC"/>
    <w:rsid w:val="00FA4437"/>
    <w:rsid w:val="00FA47C1"/>
    <w:rsid w:val="00FA4ADC"/>
    <w:rsid w:val="00FA4C58"/>
    <w:rsid w:val="00FA4DE2"/>
    <w:rsid w:val="00FA5168"/>
    <w:rsid w:val="00FA61F4"/>
    <w:rsid w:val="00FB0A98"/>
    <w:rsid w:val="00FB0DBF"/>
    <w:rsid w:val="00FB16BC"/>
    <w:rsid w:val="00FB3089"/>
    <w:rsid w:val="00FB4201"/>
    <w:rsid w:val="00FB55E9"/>
    <w:rsid w:val="00FB64C5"/>
    <w:rsid w:val="00FC00FF"/>
    <w:rsid w:val="00FC013F"/>
    <w:rsid w:val="00FC0393"/>
    <w:rsid w:val="00FC0ED4"/>
    <w:rsid w:val="00FC2E1B"/>
    <w:rsid w:val="00FC3016"/>
    <w:rsid w:val="00FC3759"/>
    <w:rsid w:val="00FC52C1"/>
    <w:rsid w:val="00FC574B"/>
    <w:rsid w:val="00FC5BBF"/>
    <w:rsid w:val="00FC5FF6"/>
    <w:rsid w:val="00FC64E2"/>
    <w:rsid w:val="00FC6C7F"/>
    <w:rsid w:val="00FC746F"/>
    <w:rsid w:val="00FD13C1"/>
    <w:rsid w:val="00FD1E75"/>
    <w:rsid w:val="00FD55F0"/>
    <w:rsid w:val="00FD5887"/>
    <w:rsid w:val="00FD6754"/>
    <w:rsid w:val="00FD7D54"/>
    <w:rsid w:val="00FE10D2"/>
    <w:rsid w:val="00FE3EAB"/>
    <w:rsid w:val="00FE3FE9"/>
    <w:rsid w:val="00FE4BA1"/>
    <w:rsid w:val="00FE79CB"/>
    <w:rsid w:val="00FE7BE7"/>
    <w:rsid w:val="00FE7D73"/>
    <w:rsid w:val="00FF03A3"/>
    <w:rsid w:val="00FF0E37"/>
    <w:rsid w:val="00FF18B9"/>
    <w:rsid w:val="00FF4813"/>
    <w:rsid w:val="00FF4A81"/>
    <w:rsid w:val="00FF5044"/>
    <w:rsid w:val="00FF6A33"/>
    <w:rsid w:val="00FF7340"/>
    <w:rsid w:val="00FF7869"/>
  </w:rsids>
  <m:mathPr>
    <m:mathFont m:val="Cambria Math"/>
    <m:brkBin m:val="before"/>
    <m:brkBinSub m:val="--"/>
    <m:smallFrac m:val="0"/>
    <m:dispDef/>
    <m:lMargin m:val="0"/>
    <m:rMargin m:val="0"/>
    <m:defJc m:val="centerGroup"/>
    <m:wrapIndent m:val="1440"/>
    <m:intLim m:val="subSup"/>
    <m:naryLim m:val="undOvr"/>
  </m:mathPr>
  <w:themeFontLang w:val="fr-FR"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52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hu-HU" w:eastAsia="hu-HU" w:bidi="hu-HU"/>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3142CA"/>
    <w:pPr>
      <w:spacing w:after="200" w:line="276" w:lineRule="auto"/>
    </w:pPr>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3142C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3142CA"/>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rPr>
  </w:style>
  <w:style w:type="paragraph" w:customStyle="1" w:styleId="Referencedumodificateur">
    <w:name w:val="Reference du modificateur"/>
    <w:basedOn w:val="Normal"/>
    <w:next w:val="Annexetitrefichefinglobale"/>
    <w:uiPriority w:val="99"/>
    <w:rsid w:val="00475311"/>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hu-HU"/>
    </w:rPr>
  </w:style>
  <w:style w:type="character" w:customStyle="1" w:styleId="BodyTextChar">
    <w:name w:val="Body Text Char"/>
    <w:link w:val="BodyText"/>
    <w:rsid w:val="00225A33"/>
    <w:rPr>
      <w:rFonts w:ascii="Arial" w:hAnsi="Arial"/>
      <w:szCs w:val="24"/>
      <w:lang w:val="hu-HU" w:eastAsia="hu-HU"/>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rPr>
  </w:style>
  <w:style w:type="character" w:customStyle="1" w:styleId="ES-introCar">
    <w:name w:val="ES-intro Car"/>
    <w:link w:val="ES-intro"/>
    <w:rsid w:val="00465BBB"/>
    <w:rPr>
      <w:rFonts w:ascii="Arial" w:eastAsia="Calibri" w:hAnsi="Arial"/>
      <w:lang w:val="hu-HU" w:eastAsia="hu-HU"/>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rPr>
  </w:style>
  <w:style w:type="character" w:customStyle="1" w:styleId="ES-Titre1Car">
    <w:name w:val="ES-Titre1 Car"/>
    <w:link w:val="ES-Titre1"/>
    <w:rsid w:val="00A84512"/>
    <w:rPr>
      <w:rFonts w:ascii="Arial" w:eastAsia="Calibri" w:hAnsi="Arial" w:cs="Arial"/>
      <w:b/>
      <w:color w:val="000000"/>
      <w:sz w:val="28"/>
      <w:szCs w:val="32"/>
      <w:lang w:val="hu-HU" w:eastAsia="hu-HU"/>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hu-HU" w:eastAsia="hu-HU"/>
    </w:rPr>
  </w:style>
  <w:style w:type="character" w:customStyle="1" w:styleId="ES-Titre3Car">
    <w:name w:val="ES-Titre3 Car"/>
    <w:link w:val="ES-Titre3"/>
    <w:rsid w:val="00944893"/>
    <w:rPr>
      <w:rFonts w:ascii="Arial" w:eastAsia="Calibri" w:hAnsi="Arial"/>
      <w:b/>
      <w:sz w:val="22"/>
      <w:szCs w:val="22"/>
      <w:lang w:eastAsia="hu-HU"/>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szCs w:val="20"/>
    </w:rPr>
  </w:style>
  <w:style w:type="paragraph" w:customStyle="1" w:styleId="EStiret">
    <w:name w:val="ES_tiret"/>
    <w:basedOn w:val="Normal"/>
    <w:qFormat/>
    <w:rsid w:val="00E65F26"/>
    <w:pPr>
      <w:spacing w:before="60" w:line="240" w:lineRule="atLeast"/>
      <w:ind w:left="1417"/>
    </w:pPr>
    <w:rPr>
      <w:noProof/>
      <w:snapToGrid w:val="0"/>
      <w:color w:val="000000"/>
      <w:lang w:bidi="hu-HU"/>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eastAsia="hu-HU"/>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eastAsia="Batang" w:cs="Arial"/>
      <w:szCs w:val="20"/>
      <w:lang w:eastAsia="hu-HU"/>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hu-HU"/>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hu-HU"/>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style>
  <w:style w:type="paragraph" w:customStyle="1" w:styleId="CM1">
    <w:name w:val="CM1"/>
    <w:basedOn w:val="Normal"/>
    <w:next w:val="Normal"/>
    <w:uiPriority w:val="99"/>
    <w:rsid w:val="00973DAA"/>
    <w:pPr>
      <w:adjustRightInd w:val="0"/>
    </w:pPr>
    <w:rPr>
      <w:rFonts w:eastAsia="Calibri"/>
    </w:rPr>
  </w:style>
  <w:style w:type="paragraph" w:customStyle="1" w:styleId="CM3">
    <w:name w:val="CM3"/>
    <w:basedOn w:val="Normal"/>
    <w:next w:val="Normal"/>
    <w:uiPriority w:val="99"/>
    <w:rsid w:val="00973DAA"/>
    <w:pPr>
      <w:adjustRightInd w:val="0"/>
    </w:pPr>
    <w:rPr>
      <w:rFonts w:eastAsia="Calibri"/>
    </w:rPr>
  </w:style>
  <w:style w:type="paragraph" w:customStyle="1" w:styleId="CM4">
    <w:name w:val="CM4"/>
    <w:basedOn w:val="Normal"/>
    <w:next w:val="Normal"/>
    <w:uiPriority w:val="99"/>
    <w:rsid w:val="00973DAA"/>
    <w:pPr>
      <w:adjustRightInd w:val="0"/>
    </w:pPr>
    <w:rPr>
      <w:rFonts w:eastAsia="Calibri"/>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hu-HU"/>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b/>
      <w:bCs/>
      <w:i/>
      <w:iCs/>
      <w:snapToGrid w:val="0"/>
      <w:szCs w:val="20"/>
    </w:rPr>
  </w:style>
  <w:style w:type="paragraph" w:customStyle="1" w:styleId="ES-Titre3prchap32">
    <w:name w:val="ES-Titre3_pr_chap32"/>
    <w:basedOn w:val="ES-Titre3"/>
    <w:qFormat/>
    <w:rsid w:val="001E2331"/>
  </w:style>
  <w:style w:type="paragraph" w:styleId="NormalIndent">
    <w:name w:val="Normal Indent"/>
    <w:basedOn w:val="Normal"/>
    <w:rsid w:val="009C13A9"/>
    <w:pPr>
      <w:overflowPunct w:val="0"/>
      <w:adjustRightInd w:val="0"/>
      <w:spacing w:line="240" w:lineRule="exact"/>
      <w:ind w:left="708"/>
      <w:textAlignment w:val="baseline"/>
    </w:p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szCs w:val="20"/>
    </w:rPr>
  </w:style>
  <w:style w:type="paragraph" w:customStyle="1" w:styleId="N3">
    <w:name w:val="N3"/>
    <w:basedOn w:val="Normal"/>
    <w:rsid w:val="009C13A9"/>
    <w:pPr>
      <w:tabs>
        <w:tab w:val="left" w:pos="170"/>
      </w:tabs>
      <w:overflowPunct w:val="0"/>
      <w:adjustRightInd w:val="0"/>
      <w:spacing w:line="240" w:lineRule="exact"/>
      <w:textAlignment w:val="baseline"/>
    </w:pPr>
    <w:rPr>
      <w:szCs w:val="20"/>
    </w:rPr>
  </w:style>
  <w:style w:type="character" w:customStyle="1" w:styleId="En-tte">
    <w:name w:val="En-tête"/>
    <w:rsid w:val="009C13A9"/>
    <w:rPr>
      <w:lang w:val="hu-HU" w:eastAsia="hu-HU" w:bidi="hu-HU"/>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rPr>
  </w:style>
  <w:style w:type="character" w:customStyle="1" w:styleId="EndnoteTextChar">
    <w:name w:val="Endnote Text Char"/>
    <w:link w:val="EndnoteText"/>
    <w:rsid w:val="009C13A9"/>
    <w:rPr>
      <w:rFonts w:ascii="Arial" w:hAnsi="Arial"/>
      <w:snapToGrid w:val="0"/>
      <w:lang w:val="hu-HU"/>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snapToGrid w:val="0"/>
      <w:szCs w:val="20"/>
    </w:rPr>
  </w:style>
  <w:style w:type="paragraph" w:customStyle="1" w:styleId="N7">
    <w:name w:val="N7"/>
    <w:basedOn w:val="Normal"/>
    <w:rsid w:val="009C13A9"/>
    <w:pPr>
      <w:tabs>
        <w:tab w:val="left" w:pos="284"/>
      </w:tabs>
      <w:overflowPunct w:val="0"/>
      <w:adjustRightInd w:val="0"/>
      <w:ind w:hanging="397"/>
      <w:textAlignment w:val="baseline"/>
    </w:pPr>
    <w:rPr>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snapToGrid w:val="0"/>
    </w:rPr>
  </w:style>
  <w:style w:type="character" w:customStyle="1" w:styleId="BodyTextIndent2Char">
    <w:name w:val="Body Text Indent 2 Char"/>
    <w:link w:val="BodyTextIndent2"/>
    <w:rsid w:val="009C13A9"/>
    <w:rPr>
      <w:rFonts w:ascii="Times New Roman" w:hAnsi="Times New Roman"/>
      <w:snapToGrid w:val="0"/>
      <w:sz w:val="24"/>
      <w:szCs w:val="24"/>
      <w:lang w:val="hu-HU"/>
    </w:rPr>
  </w:style>
  <w:style w:type="paragraph" w:styleId="Title">
    <w:name w:val="Title"/>
    <w:basedOn w:val="Normal"/>
    <w:link w:val="TitleChar"/>
    <w:qFormat/>
    <w:rsid w:val="009C13A9"/>
    <w:pPr>
      <w:jc w:val="center"/>
    </w:pPr>
    <w:rPr>
      <w:b/>
      <w:bCs/>
      <w:snapToGrid w:val="0"/>
    </w:rPr>
  </w:style>
  <w:style w:type="character" w:customStyle="1" w:styleId="TitleChar">
    <w:name w:val="Title Char"/>
    <w:link w:val="Title"/>
    <w:rsid w:val="009C13A9"/>
    <w:rPr>
      <w:rFonts w:ascii="Arial" w:hAnsi="Arial"/>
      <w:b/>
      <w:bCs/>
      <w:snapToGrid w:val="0"/>
      <w:sz w:val="22"/>
      <w:szCs w:val="22"/>
      <w:lang w:val="hu-HU"/>
    </w:rPr>
  </w:style>
  <w:style w:type="paragraph" w:customStyle="1" w:styleId="bijschrift">
    <w:name w:val="bijschrift"/>
    <w:basedOn w:val="Normal"/>
    <w:rsid w:val="009C13A9"/>
    <w:pPr>
      <w:widowControl w:val="0"/>
      <w:overflowPunct w:val="0"/>
      <w:adjustRightInd w:val="0"/>
      <w:textAlignment w:val="baseline"/>
    </w:pPr>
    <w:rPr>
      <w:snapToGrid w:val="0"/>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snapToGrid w:val="0"/>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snapToGrid w:val="0"/>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style>
  <w:style w:type="paragraph" w:customStyle="1" w:styleId="N5">
    <w:name w:val="N5"/>
    <w:basedOn w:val="Normal"/>
    <w:rsid w:val="009C13A9"/>
    <w:pPr>
      <w:tabs>
        <w:tab w:val="left" w:pos="284"/>
      </w:tabs>
      <w:overflowPunct w:val="0"/>
      <w:adjustRightInd w:val="0"/>
      <w:textAlignment w:val="baseline"/>
    </w:p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rPr>
  </w:style>
  <w:style w:type="paragraph" w:customStyle="1" w:styleId="c1">
    <w:name w:val="c1"/>
    <w:basedOn w:val="Normal"/>
    <w:rsid w:val="009C13A9"/>
    <w:pPr>
      <w:spacing w:line="240" w:lineRule="atLeast"/>
      <w:jc w:val="center"/>
    </w:pPr>
  </w:style>
  <w:style w:type="paragraph" w:customStyle="1" w:styleId="Brieftext10">
    <w:name w:val="Brieftext_10"/>
    <w:basedOn w:val="Normal"/>
    <w:rsid w:val="009C13A9"/>
    <w:pPr>
      <w:widowControl w:val="0"/>
      <w:suppressAutoHyphens/>
      <w:spacing w:line="360" w:lineRule="auto"/>
    </w:pPr>
    <w:rPr>
      <w:szCs w:val="20"/>
    </w:rPr>
  </w:style>
  <w:style w:type="paragraph" w:customStyle="1" w:styleId="Retraitcorpsdetexte21">
    <w:name w:val="Retrait corps de texte 21"/>
    <w:basedOn w:val="Normal"/>
    <w:rsid w:val="009C13A9"/>
    <w:pPr>
      <w:tabs>
        <w:tab w:val="left" w:pos="1418"/>
      </w:tabs>
      <w:suppressAutoHyphens/>
      <w:spacing w:before="120"/>
      <w:ind w:left="1418" w:hanging="1418"/>
    </w:pPr>
    <w:rPr>
      <w:snapToGrid w:val="0"/>
      <w:szCs w:val="20"/>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style>
  <w:style w:type="paragraph" w:customStyle="1" w:styleId="Ta">
    <w:name w:val="Ta"/>
    <w:basedOn w:val="Normal"/>
    <w:rsid w:val="009C13A9"/>
    <w:pPr>
      <w:tabs>
        <w:tab w:val="left" w:pos="851"/>
      </w:tabs>
      <w:spacing w:line="240" w:lineRule="atLeast"/>
      <w:ind w:left="850"/>
    </w:pPr>
    <w:rPr>
      <w:rFonts w:cs="Arial"/>
      <w:i/>
      <w:iCs/>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b/>
      <w:bCs/>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i/>
      <w:iCs/>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eastAsia="Batang"/>
      <w:sz w:val="19"/>
      <w:szCs w:val="19"/>
      <w:lang w:eastAsia="hu-HU"/>
    </w:rPr>
  </w:style>
  <w:style w:type="paragraph" w:styleId="BodyText2">
    <w:name w:val="Body Text 2"/>
    <w:basedOn w:val="Normal"/>
    <w:link w:val="BodyText2Char"/>
    <w:rsid w:val="009C13A9"/>
    <w:pPr>
      <w:spacing w:after="120" w:line="480" w:lineRule="auto"/>
    </w:pPr>
    <w:rPr>
      <w:snapToGrid w:val="0"/>
    </w:rPr>
  </w:style>
  <w:style w:type="character" w:customStyle="1" w:styleId="BodyText2Char">
    <w:name w:val="Body Text 2 Char"/>
    <w:link w:val="BodyText2"/>
    <w:rsid w:val="009C13A9"/>
    <w:rPr>
      <w:rFonts w:ascii="Times New Roman" w:hAnsi="Times New Roman"/>
      <w:snapToGrid w:val="0"/>
      <w:sz w:val="24"/>
      <w:szCs w:val="24"/>
      <w:lang w:val="hu-HU"/>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snapToGrid w:val="0"/>
    </w:rPr>
  </w:style>
  <w:style w:type="paragraph" w:customStyle="1" w:styleId="1berschriftTF">
    <w:name w:val="1.Überschrift TF"/>
    <w:basedOn w:val="Normal"/>
    <w:rsid w:val="009C13A9"/>
    <w:rPr>
      <w:rFonts w:ascii="Arial Narrow" w:hAnsi="Arial Narrow"/>
      <w:snapToGrid w:val="0"/>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rPr>
  </w:style>
  <w:style w:type="character" w:customStyle="1" w:styleId="SubtitleChar">
    <w:name w:val="Subtitle Char"/>
    <w:link w:val="Subtitle"/>
    <w:rsid w:val="009C13A9"/>
    <w:rPr>
      <w:rFonts w:ascii="Arial" w:hAnsi="Arial"/>
      <w:b/>
      <w:bCs/>
      <w:snapToGrid w:val="0"/>
      <w:sz w:val="28"/>
      <w:szCs w:val="28"/>
      <w:lang w:val="hu-HU"/>
    </w:rPr>
  </w:style>
  <w:style w:type="paragraph" w:customStyle="1" w:styleId="t60">
    <w:name w:val="t60"/>
    <w:basedOn w:val="Normal"/>
    <w:rsid w:val="009C13A9"/>
    <w:pPr>
      <w:spacing w:line="200" w:lineRule="atLeast"/>
    </w:pPr>
    <w:rPr>
      <w:snapToGrid w:val="0"/>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snapToGrid w:val="0"/>
    </w:rPr>
  </w:style>
  <w:style w:type="paragraph" w:customStyle="1" w:styleId="rad1">
    <w:name w:val="rad1"/>
    <w:aliases w:val="11"/>
    <w:basedOn w:val="Normal"/>
    <w:rsid w:val="009C13A9"/>
    <w:pPr>
      <w:tabs>
        <w:tab w:val="left" w:pos="284"/>
        <w:tab w:val="left" w:pos="454"/>
        <w:tab w:val="left" w:pos="709"/>
      </w:tabs>
      <w:spacing w:line="240" w:lineRule="exact"/>
      <w:ind w:hanging="567"/>
    </w:p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szCs w:val="20"/>
    </w:rPr>
  </w:style>
  <w:style w:type="paragraph" w:customStyle="1" w:styleId="Hoofdgedeelte">
    <w:name w:val="Hoofdgedeelte"/>
    <w:basedOn w:val="Normal"/>
    <w:rsid w:val="009C13A9"/>
    <w:pPr>
      <w:widowControl w:val="0"/>
    </w:pPr>
    <w:rPr>
      <w:rFonts w:ascii="Times" w:hAnsi="Times"/>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hu-HU" w:eastAsia="hu-HU" w:bidi="hu-HU"/>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eastAsia="hu-HU"/>
    </w:rPr>
  </w:style>
  <w:style w:type="paragraph" w:styleId="List">
    <w:name w:val="List"/>
    <w:basedOn w:val="BodyText"/>
    <w:rsid w:val="009C13A9"/>
    <w:pPr>
      <w:keepNext w:val="0"/>
      <w:tabs>
        <w:tab w:val="clear" w:pos="709"/>
      </w:tabs>
      <w:suppressAutoHyphens/>
    </w:pPr>
    <w:rPr>
      <w:rFonts w:ascii="Liberation Sans" w:hAnsi="Liberation Sans" w:cs="Tahoma"/>
      <w:b/>
    </w:rPr>
  </w:style>
  <w:style w:type="paragraph" w:customStyle="1" w:styleId="Lgende1">
    <w:name w:val="Légende1"/>
    <w:basedOn w:val="Normal"/>
    <w:next w:val="Normal"/>
    <w:rsid w:val="009C13A9"/>
    <w:pPr>
      <w:suppressAutoHyphens/>
      <w:spacing w:before="120" w:after="120"/>
    </w:pPr>
    <w:rPr>
      <w:b/>
      <w:bCs/>
      <w:szCs w:val="20"/>
      <w:lang w:eastAsia="hu-HU"/>
    </w:rPr>
  </w:style>
  <w:style w:type="paragraph" w:customStyle="1" w:styleId="Index">
    <w:name w:val="Index"/>
    <w:basedOn w:val="Normal"/>
    <w:rsid w:val="009C13A9"/>
    <w:pPr>
      <w:suppressLineNumbers/>
      <w:suppressAutoHyphens/>
    </w:pPr>
    <w:rPr>
      <w:rFonts w:ascii="Liberation Sans" w:hAnsi="Liberation Sans" w:cs="Tahoma"/>
      <w:lang w:eastAsia="hu-HU"/>
    </w:rPr>
  </w:style>
  <w:style w:type="paragraph" w:customStyle="1" w:styleId="Explorateurdedocument1">
    <w:name w:val="Explorateur de document1"/>
    <w:basedOn w:val="Normal"/>
    <w:rsid w:val="009C13A9"/>
    <w:pPr>
      <w:shd w:val="clear" w:color="auto" w:fill="000080"/>
      <w:suppressAutoHyphens/>
    </w:pPr>
    <w:rPr>
      <w:szCs w:val="20"/>
      <w:lang w:eastAsia="hu-HU"/>
    </w:rPr>
  </w:style>
  <w:style w:type="paragraph" w:customStyle="1" w:styleId="Anlage">
    <w:name w:val="Anlage"/>
    <w:basedOn w:val="Normal"/>
    <w:rsid w:val="009C13A9"/>
    <w:pPr>
      <w:suppressAutoHyphens/>
      <w:spacing w:before="240"/>
      <w:ind w:left="1134" w:hanging="1134"/>
    </w:pPr>
    <w:rPr>
      <w:lang w:eastAsia="hu-HU"/>
    </w:rPr>
  </w:style>
  <w:style w:type="paragraph" w:customStyle="1" w:styleId="Betrifft">
    <w:name w:val="Betrifft"/>
    <w:basedOn w:val="Normal"/>
    <w:rsid w:val="009C13A9"/>
    <w:pPr>
      <w:suppressAutoHyphens/>
      <w:spacing w:before="480"/>
    </w:pPr>
    <w:rPr>
      <w:lang w:eastAsia="hu-HU"/>
    </w:rPr>
  </w:style>
  <w:style w:type="paragraph" w:customStyle="1" w:styleId="Bezug">
    <w:name w:val="Bezug"/>
    <w:basedOn w:val="Normal"/>
    <w:rsid w:val="009C13A9"/>
    <w:pPr>
      <w:suppressAutoHyphens/>
      <w:spacing w:before="240"/>
    </w:pPr>
    <w:rPr>
      <w:lang w:eastAsia="hu-HU"/>
    </w:rPr>
  </w:style>
  <w:style w:type="paragraph" w:customStyle="1" w:styleId="Hier">
    <w:name w:val="Hier"/>
    <w:basedOn w:val="Normal"/>
    <w:rsid w:val="009C13A9"/>
    <w:pPr>
      <w:tabs>
        <w:tab w:val="left" w:pos="284"/>
      </w:tabs>
      <w:suppressAutoHyphens/>
      <w:ind w:left="284" w:hanging="284"/>
    </w:pPr>
    <w:rPr>
      <w:lang w:eastAsia="hu-HU"/>
    </w:rPr>
  </w:style>
  <w:style w:type="paragraph" w:customStyle="1" w:styleId="yyx">
    <w:name w:val="yyx"/>
    <w:basedOn w:val="Normal"/>
    <w:rsid w:val="009C13A9"/>
    <w:pPr>
      <w:suppressAutoHyphens/>
      <w:spacing w:line="360" w:lineRule="auto"/>
    </w:pPr>
    <w:rPr>
      <w:b/>
      <w:lang w:eastAsia="hu-HU"/>
    </w:rPr>
  </w:style>
  <w:style w:type="paragraph" w:customStyle="1" w:styleId="Nverborgen">
    <w:name w:val="Nverborgen"/>
    <w:basedOn w:val="Normal"/>
    <w:next w:val="Normal"/>
    <w:rsid w:val="009C13A9"/>
    <w:pPr>
      <w:suppressAutoHyphens/>
      <w:spacing w:line="360" w:lineRule="auto"/>
      <w:ind w:hanging="567"/>
    </w:pPr>
    <w:rPr>
      <w:lang w:eastAsia="hu-HU"/>
    </w:rPr>
  </w:style>
  <w:style w:type="paragraph" w:customStyle="1" w:styleId="Verborgen">
    <w:name w:val="Verborgen"/>
    <w:basedOn w:val="Normal"/>
    <w:next w:val="Normal"/>
    <w:rsid w:val="009C13A9"/>
    <w:pPr>
      <w:suppressAutoHyphens/>
      <w:spacing w:after="360" w:line="360" w:lineRule="auto"/>
      <w:ind w:hanging="567"/>
    </w:pPr>
    <w:rPr>
      <w:vanish/>
      <w:color w:val="0000FF"/>
      <w:lang w:eastAsia="hu-HU"/>
    </w:rPr>
  </w:style>
  <w:style w:type="paragraph" w:customStyle="1" w:styleId="Salutations1">
    <w:name w:val="Salutations1"/>
    <w:basedOn w:val="Normal"/>
    <w:next w:val="Normal"/>
    <w:rsid w:val="009C13A9"/>
    <w:pPr>
      <w:suppressAutoHyphens/>
      <w:spacing w:before="720" w:line="360" w:lineRule="auto"/>
    </w:pPr>
    <w:rPr>
      <w:lang w:eastAsia="hu-HU"/>
    </w:rPr>
  </w:style>
  <w:style w:type="paragraph" w:customStyle="1" w:styleId="c4">
    <w:name w:val="c4"/>
    <w:basedOn w:val="Normal"/>
    <w:rsid w:val="009C13A9"/>
    <w:pPr>
      <w:suppressAutoHyphens/>
      <w:spacing w:line="240" w:lineRule="atLeast"/>
      <w:jc w:val="center"/>
    </w:pPr>
    <w:rPr>
      <w:szCs w:val="20"/>
      <w:lang w:eastAsia="hu-HU"/>
    </w:rPr>
  </w:style>
  <w:style w:type="paragraph" w:customStyle="1" w:styleId="p4">
    <w:name w:val="p4"/>
    <w:basedOn w:val="Normal"/>
    <w:rsid w:val="009C13A9"/>
    <w:pPr>
      <w:tabs>
        <w:tab w:val="left" w:pos="720"/>
      </w:tabs>
      <w:suppressAutoHyphens/>
      <w:spacing w:line="220" w:lineRule="atLeast"/>
    </w:pPr>
    <w:rPr>
      <w:szCs w:val="20"/>
      <w:lang w:eastAsia="hu-HU"/>
    </w:rPr>
  </w:style>
  <w:style w:type="paragraph" w:customStyle="1" w:styleId="c2">
    <w:name w:val="c2"/>
    <w:basedOn w:val="Normal"/>
    <w:rsid w:val="009C13A9"/>
    <w:pPr>
      <w:suppressAutoHyphens/>
      <w:spacing w:line="240" w:lineRule="atLeast"/>
      <w:jc w:val="center"/>
    </w:pPr>
    <w:rPr>
      <w:szCs w:val="20"/>
      <w:lang w:eastAsia="hu-HU"/>
    </w:rPr>
  </w:style>
  <w:style w:type="paragraph" w:customStyle="1" w:styleId="p9">
    <w:name w:val="p9"/>
    <w:basedOn w:val="Normal"/>
    <w:rsid w:val="009C13A9"/>
    <w:pPr>
      <w:tabs>
        <w:tab w:val="left" w:pos="1060"/>
      </w:tabs>
      <w:suppressAutoHyphens/>
      <w:spacing w:line="240" w:lineRule="atLeast"/>
      <w:ind w:left="1440" w:firstLine="1008"/>
    </w:pPr>
    <w:rPr>
      <w:szCs w:val="20"/>
      <w:lang w:eastAsia="hu-HU"/>
    </w:rPr>
  </w:style>
  <w:style w:type="paragraph" w:customStyle="1" w:styleId="p5">
    <w:name w:val="p5"/>
    <w:basedOn w:val="Normal"/>
    <w:rsid w:val="009C13A9"/>
    <w:pPr>
      <w:tabs>
        <w:tab w:val="left" w:pos="720"/>
      </w:tabs>
      <w:suppressAutoHyphens/>
      <w:spacing w:line="240" w:lineRule="atLeast"/>
    </w:pPr>
    <w:rPr>
      <w:szCs w:val="20"/>
      <w:lang w:eastAsia="hu-HU"/>
    </w:rPr>
  </w:style>
  <w:style w:type="paragraph" w:customStyle="1" w:styleId="p10">
    <w:name w:val="p10"/>
    <w:basedOn w:val="Normal"/>
    <w:rsid w:val="009C13A9"/>
    <w:pPr>
      <w:tabs>
        <w:tab w:val="left" w:pos="240"/>
        <w:tab w:val="left" w:pos="500"/>
      </w:tabs>
      <w:suppressAutoHyphens/>
      <w:spacing w:line="240" w:lineRule="atLeast"/>
      <w:ind w:left="1440" w:firstLine="288"/>
    </w:pPr>
    <w:rPr>
      <w:szCs w:val="20"/>
      <w:lang w:eastAsia="hu-HU"/>
    </w:rPr>
  </w:style>
  <w:style w:type="paragraph" w:customStyle="1" w:styleId="p11">
    <w:name w:val="p11"/>
    <w:basedOn w:val="Normal"/>
    <w:rsid w:val="009C13A9"/>
    <w:pPr>
      <w:tabs>
        <w:tab w:val="left" w:pos="720"/>
      </w:tabs>
      <w:suppressAutoHyphens/>
      <w:spacing w:line="220" w:lineRule="atLeast"/>
    </w:pPr>
    <w:rPr>
      <w:szCs w:val="20"/>
      <w:lang w:eastAsia="hu-HU"/>
    </w:rPr>
  </w:style>
  <w:style w:type="paragraph" w:customStyle="1" w:styleId="p12">
    <w:name w:val="p12"/>
    <w:basedOn w:val="Normal"/>
    <w:rsid w:val="009C13A9"/>
    <w:pPr>
      <w:tabs>
        <w:tab w:val="left" w:pos="720"/>
      </w:tabs>
      <w:suppressAutoHyphens/>
      <w:spacing w:line="240" w:lineRule="atLeast"/>
    </w:pPr>
    <w:rPr>
      <w:szCs w:val="20"/>
      <w:lang w:eastAsia="hu-HU"/>
    </w:rPr>
  </w:style>
  <w:style w:type="paragraph" w:customStyle="1" w:styleId="p14">
    <w:name w:val="p14"/>
    <w:basedOn w:val="Normal"/>
    <w:rsid w:val="009C13A9"/>
    <w:pPr>
      <w:tabs>
        <w:tab w:val="left" w:pos="260"/>
        <w:tab w:val="left" w:pos="540"/>
      </w:tabs>
      <w:suppressAutoHyphens/>
      <w:spacing w:line="220" w:lineRule="atLeast"/>
      <w:ind w:left="864" w:hanging="576"/>
    </w:pPr>
    <w:rPr>
      <w:szCs w:val="20"/>
      <w:lang w:eastAsia="hu-HU"/>
    </w:rPr>
  </w:style>
  <w:style w:type="paragraph" w:customStyle="1" w:styleId="p15">
    <w:name w:val="p15"/>
    <w:basedOn w:val="Normal"/>
    <w:rsid w:val="009C13A9"/>
    <w:pPr>
      <w:tabs>
        <w:tab w:val="left" w:pos="260"/>
      </w:tabs>
      <w:suppressAutoHyphens/>
      <w:spacing w:line="240" w:lineRule="atLeast"/>
      <w:ind w:left="1152" w:hanging="288"/>
    </w:pPr>
    <w:rPr>
      <w:szCs w:val="20"/>
      <w:lang w:eastAsia="hu-HU"/>
    </w:rPr>
  </w:style>
  <w:style w:type="paragraph" w:customStyle="1" w:styleId="p7">
    <w:name w:val="p7"/>
    <w:basedOn w:val="Normal"/>
    <w:rsid w:val="009C13A9"/>
    <w:pPr>
      <w:tabs>
        <w:tab w:val="left" w:pos="260"/>
      </w:tabs>
      <w:suppressAutoHyphens/>
      <w:spacing w:line="220" w:lineRule="atLeast"/>
      <w:ind w:left="1152" w:hanging="288"/>
    </w:pPr>
    <w:rPr>
      <w:szCs w:val="20"/>
      <w:lang w:eastAsia="hu-HU"/>
    </w:rPr>
  </w:style>
  <w:style w:type="paragraph" w:customStyle="1" w:styleId="p16">
    <w:name w:val="p16"/>
    <w:basedOn w:val="Normal"/>
    <w:rsid w:val="009C13A9"/>
    <w:pPr>
      <w:tabs>
        <w:tab w:val="left" w:pos="520"/>
      </w:tabs>
      <w:suppressAutoHyphens/>
      <w:spacing w:line="240" w:lineRule="atLeast"/>
      <w:ind w:left="1440" w:firstLine="576"/>
    </w:pPr>
    <w:rPr>
      <w:szCs w:val="20"/>
      <w:lang w:eastAsia="hu-HU"/>
    </w:rPr>
  </w:style>
  <w:style w:type="paragraph" w:customStyle="1" w:styleId="c18">
    <w:name w:val="c18"/>
    <w:basedOn w:val="Normal"/>
    <w:rsid w:val="009C13A9"/>
    <w:pPr>
      <w:suppressAutoHyphens/>
      <w:spacing w:line="240" w:lineRule="atLeast"/>
      <w:jc w:val="center"/>
    </w:pPr>
    <w:rPr>
      <w:szCs w:val="20"/>
      <w:lang w:eastAsia="hu-HU"/>
    </w:rPr>
  </w:style>
  <w:style w:type="paragraph" w:customStyle="1" w:styleId="t17">
    <w:name w:val="t17"/>
    <w:basedOn w:val="Normal"/>
    <w:rsid w:val="009C13A9"/>
    <w:pPr>
      <w:suppressAutoHyphens/>
      <w:spacing w:line="240" w:lineRule="atLeast"/>
    </w:pPr>
    <w:rPr>
      <w:szCs w:val="20"/>
      <w:lang w:eastAsia="hu-HU"/>
    </w:rPr>
  </w:style>
  <w:style w:type="paragraph" w:customStyle="1" w:styleId="p19">
    <w:name w:val="p19"/>
    <w:basedOn w:val="Normal"/>
    <w:rsid w:val="009C13A9"/>
    <w:pPr>
      <w:tabs>
        <w:tab w:val="left" w:pos="280"/>
        <w:tab w:val="left" w:pos="520"/>
      </w:tabs>
      <w:suppressAutoHyphens/>
      <w:spacing w:line="220" w:lineRule="atLeast"/>
      <w:ind w:left="1152" w:hanging="288"/>
    </w:pPr>
    <w:rPr>
      <w:szCs w:val="20"/>
      <w:lang w:eastAsia="hu-HU"/>
    </w:rPr>
  </w:style>
  <w:style w:type="paragraph" w:customStyle="1" w:styleId="p21">
    <w:name w:val="p21"/>
    <w:basedOn w:val="Normal"/>
    <w:rsid w:val="009C13A9"/>
    <w:pPr>
      <w:tabs>
        <w:tab w:val="left" w:pos="2480"/>
      </w:tabs>
      <w:suppressAutoHyphens/>
      <w:spacing w:line="240" w:lineRule="atLeast"/>
      <w:ind w:left="1040"/>
    </w:pPr>
    <w:rPr>
      <w:szCs w:val="20"/>
      <w:lang w:eastAsia="hu-HU"/>
    </w:rPr>
  </w:style>
  <w:style w:type="paragraph" w:customStyle="1" w:styleId="p8">
    <w:name w:val="p8"/>
    <w:basedOn w:val="Normal"/>
    <w:rsid w:val="009C13A9"/>
    <w:pPr>
      <w:tabs>
        <w:tab w:val="left" w:pos="520"/>
      </w:tabs>
      <w:suppressAutoHyphens/>
      <w:spacing w:line="220" w:lineRule="atLeast"/>
      <w:ind w:left="864" w:hanging="576"/>
    </w:pPr>
    <w:rPr>
      <w:szCs w:val="20"/>
      <w:lang w:eastAsia="hu-HU"/>
    </w:rPr>
  </w:style>
  <w:style w:type="paragraph" w:customStyle="1" w:styleId="c3">
    <w:name w:val="c3"/>
    <w:basedOn w:val="Normal"/>
    <w:rsid w:val="009C13A9"/>
    <w:pPr>
      <w:suppressAutoHyphens/>
      <w:spacing w:line="240" w:lineRule="atLeast"/>
      <w:jc w:val="center"/>
    </w:pPr>
    <w:rPr>
      <w:szCs w:val="20"/>
      <w:lang w:eastAsia="hu-HU"/>
    </w:rPr>
  </w:style>
  <w:style w:type="paragraph" w:customStyle="1" w:styleId="p13">
    <w:name w:val="p13"/>
    <w:basedOn w:val="Normal"/>
    <w:rsid w:val="009C13A9"/>
    <w:pPr>
      <w:tabs>
        <w:tab w:val="left" w:pos="260"/>
      </w:tabs>
      <w:suppressAutoHyphens/>
      <w:spacing w:line="220" w:lineRule="atLeast"/>
      <w:ind w:left="1180"/>
    </w:pPr>
    <w:rPr>
      <w:szCs w:val="20"/>
      <w:lang w:eastAsia="hu-HU"/>
    </w:rPr>
  </w:style>
  <w:style w:type="paragraph" w:customStyle="1" w:styleId="p20">
    <w:name w:val="p20"/>
    <w:basedOn w:val="Normal"/>
    <w:rsid w:val="009C13A9"/>
    <w:pPr>
      <w:tabs>
        <w:tab w:val="left" w:pos="780"/>
      </w:tabs>
      <w:suppressAutoHyphens/>
      <w:spacing w:line="220" w:lineRule="atLeast"/>
    </w:pPr>
    <w:rPr>
      <w:szCs w:val="20"/>
      <w:lang w:eastAsia="hu-HU"/>
    </w:rPr>
  </w:style>
  <w:style w:type="paragraph" w:customStyle="1" w:styleId="c15">
    <w:name w:val="c15"/>
    <w:basedOn w:val="Normal"/>
    <w:rsid w:val="009C13A9"/>
    <w:pPr>
      <w:suppressAutoHyphens/>
      <w:spacing w:line="240" w:lineRule="atLeast"/>
      <w:jc w:val="center"/>
    </w:pPr>
    <w:rPr>
      <w:szCs w:val="20"/>
      <w:lang w:eastAsia="hu-HU"/>
    </w:rPr>
  </w:style>
  <w:style w:type="paragraph" w:customStyle="1" w:styleId="p22">
    <w:name w:val="p22"/>
    <w:basedOn w:val="Normal"/>
    <w:rsid w:val="009C13A9"/>
    <w:pPr>
      <w:tabs>
        <w:tab w:val="left" w:pos="520"/>
        <w:tab w:val="left" w:pos="1060"/>
      </w:tabs>
      <w:suppressAutoHyphens/>
      <w:spacing w:line="220" w:lineRule="atLeast"/>
      <w:ind w:left="432" w:hanging="432"/>
    </w:pPr>
    <w:rPr>
      <w:szCs w:val="20"/>
      <w:lang w:eastAsia="hu-HU"/>
    </w:rPr>
  </w:style>
  <w:style w:type="paragraph" w:customStyle="1" w:styleId="p26">
    <w:name w:val="p26"/>
    <w:basedOn w:val="Normal"/>
    <w:rsid w:val="009C13A9"/>
    <w:pPr>
      <w:tabs>
        <w:tab w:val="left" w:pos="520"/>
      </w:tabs>
      <w:suppressAutoHyphens/>
      <w:spacing w:line="240" w:lineRule="atLeast"/>
      <w:ind w:left="864" w:hanging="576"/>
    </w:pPr>
    <w:rPr>
      <w:szCs w:val="20"/>
      <w:lang w:eastAsia="hu-HU"/>
    </w:rPr>
  </w:style>
  <w:style w:type="paragraph" w:customStyle="1" w:styleId="p31">
    <w:name w:val="p31"/>
    <w:basedOn w:val="Normal"/>
    <w:rsid w:val="009C13A9"/>
    <w:pPr>
      <w:tabs>
        <w:tab w:val="left" w:pos="260"/>
        <w:tab w:val="left" w:pos="540"/>
      </w:tabs>
      <w:suppressAutoHyphens/>
      <w:spacing w:line="220" w:lineRule="atLeast"/>
      <w:ind w:left="1440" w:firstLine="288"/>
    </w:pPr>
    <w:rPr>
      <w:szCs w:val="20"/>
      <w:lang w:eastAsia="hu-HU"/>
    </w:rPr>
  </w:style>
  <w:style w:type="paragraph" w:customStyle="1" w:styleId="p32">
    <w:name w:val="p32"/>
    <w:basedOn w:val="Normal"/>
    <w:rsid w:val="009C13A9"/>
    <w:pPr>
      <w:tabs>
        <w:tab w:val="left" w:pos="280"/>
      </w:tabs>
      <w:suppressAutoHyphens/>
      <w:spacing w:line="220" w:lineRule="atLeast"/>
      <w:ind w:left="1152" w:hanging="288"/>
    </w:pPr>
    <w:rPr>
      <w:szCs w:val="20"/>
      <w:lang w:eastAsia="hu-HU"/>
    </w:rPr>
  </w:style>
  <w:style w:type="paragraph" w:customStyle="1" w:styleId="p33">
    <w:name w:val="p33"/>
    <w:basedOn w:val="Normal"/>
    <w:rsid w:val="009C13A9"/>
    <w:pPr>
      <w:tabs>
        <w:tab w:val="left" w:pos="260"/>
      </w:tabs>
      <w:suppressAutoHyphens/>
      <w:spacing w:line="240" w:lineRule="atLeast"/>
      <w:ind w:left="1440" w:firstLine="288"/>
    </w:pPr>
    <w:rPr>
      <w:szCs w:val="20"/>
      <w:lang w:eastAsia="hu-HU"/>
    </w:rPr>
  </w:style>
  <w:style w:type="paragraph" w:customStyle="1" w:styleId="p36">
    <w:name w:val="p36"/>
    <w:basedOn w:val="Normal"/>
    <w:rsid w:val="009C13A9"/>
    <w:pPr>
      <w:tabs>
        <w:tab w:val="left" w:pos="280"/>
      </w:tabs>
      <w:suppressAutoHyphens/>
      <w:spacing w:line="220" w:lineRule="atLeast"/>
      <w:ind w:left="1152" w:hanging="288"/>
    </w:pPr>
    <w:rPr>
      <w:szCs w:val="20"/>
      <w:lang w:eastAsia="hu-HU"/>
    </w:rPr>
  </w:style>
  <w:style w:type="paragraph" w:customStyle="1" w:styleId="p39">
    <w:name w:val="p39"/>
    <w:basedOn w:val="Normal"/>
    <w:rsid w:val="009C13A9"/>
    <w:pPr>
      <w:tabs>
        <w:tab w:val="left" w:pos="280"/>
      </w:tabs>
      <w:suppressAutoHyphens/>
      <w:spacing w:line="220" w:lineRule="atLeast"/>
      <w:ind w:left="1152" w:hanging="288"/>
    </w:pPr>
    <w:rPr>
      <w:szCs w:val="20"/>
      <w:lang w:eastAsia="hu-HU"/>
    </w:rPr>
  </w:style>
  <w:style w:type="paragraph" w:customStyle="1" w:styleId="c6">
    <w:name w:val="c6"/>
    <w:basedOn w:val="Normal"/>
    <w:rsid w:val="009C13A9"/>
    <w:pPr>
      <w:suppressAutoHyphens/>
      <w:spacing w:line="240" w:lineRule="atLeast"/>
      <w:jc w:val="center"/>
    </w:pPr>
    <w:rPr>
      <w:szCs w:val="20"/>
      <w:lang w:eastAsia="hu-HU"/>
    </w:rPr>
  </w:style>
  <w:style w:type="paragraph" w:customStyle="1" w:styleId="p28">
    <w:name w:val="p28"/>
    <w:basedOn w:val="Normal"/>
    <w:rsid w:val="009C13A9"/>
    <w:pPr>
      <w:tabs>
        <w:tab w:val="left" w:pos="720"/>
      </w:tabs>
      <w:suppressAutoHyphens/>
      <w:spacing w:line="220" w:lineRule="atLeast"/>
    </w:pPr>
    <w:rPr>
      <w:szCs w:val="20"/>
      <w:lang w:eastAsia="hu-HU"/>
    </w:rPr>
  </w:style>
  <w:style w:type="paragraph" w:customStyle="1" w:styleId="c56">
    <w:name w:val="c56"/>
    <w:basedOn w:val="Normal"/>
    <w:rsid w:val="009C13A9"/>
    <w:pPr>
      <w:suppressAutoHyphens/>
      <w:spacing w:line="240" w:lineRule="atLeast"/>
      <w:jc w:val="center"/>
    </w:pPr>
    <w:rPr>
      <w:szCs w:val="20"/>
      <w:lang w:eastAsia="hu-HU"/>
    </w:rPr>
  </w:style>
  <w:style w:type="paragraph" w:customStyle="1" w:styleId="c66">
    <w:name w:val="c66"/>
    <w:basedOn w:val="Normal"/>
    <w:rsid w:val="009C13A9"/>
    <w:pPr>
      <w:suppressAutoHyphens/>
      <w:spacing w:line="240" w:lineRule="atLeast"/>
      <w:jc w:val="center"/>
    </w:pPr>
    <w:rPr>
      <w:szCs w:val="20"/>
      <w:lang w:eastAsia="hu-HU"/>
    </w:rPr>
  </w:style>
  <w:style w:type="paragraph" w:customStyle="1" w:styleId="p52">
    <w:name w:val="p52"/>
    <w:basedOn w:val="Normal"/>
    <w:rsid w:val="009C13A9"/>
    <w:pPr>
      <w:tabs>
        <w:tab w:val="left" w:pos="720"/>
      </w:tabs>
      <w:suppressAutoHyphens/>
      <w:spacing w:line="220" w:lineRule="atLeast"/>
    </w:pPr>
    <w:rPr>
      <w:szCs w:val="20"/>
      <w:lang w:eastAsia="hu-HU"/>
    </w:rPr>
  </w:style>
  <w:style w:type="paragraph" w:customStyle="1" w:styleId="c62">
    <w:name w:val="c62"/>
    <w:basedOn w:val="Normal"/>
    <w:rsid w:val="009C13A9"/>
    <w:pPr>
      <w:suppressAutoHyphens/>
      <w:spacing w:line="240" w:lineRule="atLeast"/>
      <w:jc w:val="center"/>
    </w:pPr>
    <w:rPr>
      <w:szCs w:val="20"/>
      <w:lang w:eastAsia="hu-HU"/>
    </w:rPr>
  </w:style>
  <w:style w:type="paragraph" w:customStyle="1" w:styleId="c84">
    <w:name w:val="c84"/>
    <w:basedOn w:val="Normal"/>
    <w:rsid w:val="009C13A9"/>
    <w:pPr>
      <w:suppressAutoHyphens/>
      <w:spacing w:line="240" w:lineRule="atLeast"/>
      <w:jc w:val="center"/>
    </w:pPr>
    <w:rPr>
      <w:szCs w:val="20"/>
      <w:lang w:eastAsia="hu-HU"/>
    </w:rPr>
  </w:style>
  <w:style w:type="paragraph" w:customStyle="1" w:styleId="p1">
    <w:name w:val="p1"/>
    <w:basedOn w:val="Normal"/>
    <w:rsid w:val="009C13A9"/>
    <w:pPr>
      <w:tabs>
        <w:tab w:val="left" w:pos="280"/>
      </w:tabs>
      <w:suppressAutoHyphens/>
      <w:spacing w:line="220" w:lineRule="atLeast"/>
      <w:ind w:left="1440" w:firstLine="288"/>
    </w:pPr>
    <w:rPr>
      <w:szCs w:val="20"/>
      <w:lang w:eastAsia="hu-HU"/>
    </w:rPr>
  </w:style>
  <w:style w:type="paragraph" w:customStyle="1" w:styleId="p2">
    <w:name w:val="p2"/>
    <w:basedOn w:val="Normal"/>
    <w:rsid w:val="009C13A9"/>
    <w:pPr>
      <w:tabs>
        <w:tab w:val="left" w:pos="1700"/>
      </w:tabs>
      <w:suppressAutoHyphens/>
      <w:spacing w:line="340" w:lineRule="atLeast"/>
      <w:ind w:left="288" w:hanging="1728"/>
    </w:pPr>
    <w:rPr>
      <w:szCs w:val="20"/>
      <w:lang w:eastAsia="hu-HU"/>
    </w:rPr>
  </w:style>
  <w:style w:type="paragraph" w:customStyle="1" w:styleId="VO-Textohne">
    <w:name w:val="VO-Text ohne"/>
    <w:basedOn w:val="Normal"/>
    <w:rsid w:val="009C13A9"/>
    <w:pPr>
      <w:suppressAutoHyphens/>
      <w:spacing w:before="120"/>
    </w:pPr>
    <w:rPr>
      <w:bCs/>
      <w:szCs w:val="20"/>
      <w:lang w:eastAsia="hu-HU"/>
    </w:rPr>
  </w:style>
  <w:style w:type="paragraph" w:customStyle="1" w:styleId="Commentaire2">
    <w:name w:val="Commentaire2"/>
    <w:basedOn w:val="Normal"/>
    <w:rsid w:val="009C13A9"/>
    <w:pPr>
      <w:suppressAutoHyphens/>
    </w:pPr>
    <w:rPr>
      <w:szCs w:val="20"/>
      <w:lang w:eastAsia="hu-HU"/>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eastAsia="hu-HU"/>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eastAsia="hu-HU"/>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Cs w:val="20"/>
      <w:lang w:eastAsia="hu-HU"/>
    </w:rPr>
  </w:style>
  <w:style w:type="paragraph" w:customStyle="1" w:styleId="Retraitcorpsdetexte31">
    <w:name w:val="Retrait corps de texte 31"/>
    <w:basedOn w:val="Normal"/>
    <w:rsid w:val="009C13A9"/>
    <w:pPr>
      <w:suppressAutoHyphens/>
      <w:spacing w:after="120" w:line="360" w:lineRule="auto"/>
      <w:ind w:left="283"/>
    </w:pPr>
    <w:rPr>
      <w:sz w:val="16"/>
      <w:szCs w:val="16"/>
      <w:lang w:eastAsia="hu-HU"/>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b/>
      <w:szCs w:val="20"/>
      <w:lang w:eastAsia="hu-HU"/>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b/>
      <w:szCs w:val="20"/>
      <w:lang w:eastAsia="hu-HU"/>
    </w:rPr>
  </w:style>
  <w:style w:type="paragraph" w:customStyle="1" w:styleId="Retraitcorpsdetexte23">
    <w:name w:val="Retrait corps de texte 23"/>
    <w:basedOn w:val="Normal"/>
    <w:rsid w:val="009C13A9"/>
    <w:pPr>
      <w:widowControl w:val="0"/>
      <w:tabs>
        <w:tab w:val="left" w:pos="284"/>
      </w:tabs>
      <w:suppressAutoHyphens/>
      <w:ind w:left="284" w:hanging="284"/>
    </w:pPr>
    <w:rPr>
      <w:i/>
      <w:szCs w:val="20"/>
      <w:lang w:eastAsia="hu-HU"/>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hu-HU"/>
    </w:rPr>
  </w:style>
  <w:style w:type="paragraph" w:customStyle="1" w:styleId="Corpsdetexte31">
    <w:name w:val="Corps de texte 31"/>
    <w:basedOn w:val="Normal"/>
    <w:rsid w:val="009C13A9"/>
    <w:pPr>
      <w:suppressAutoHyphens/>
      <w:overflowPunct w:val="0"/>
      <w:spacing w:before="40" w:after="40"/>
      <w:textAlignment w:val="baseline"/>
    </w:pPr>
    <w:rPr>
      <w:szCs w:val="20"/>
      <w:lang w:eastAsia="hu-HU"/>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eastAsia="hu-HU"/>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Cs w:val="20"/>
      <w:lang w:eastAsia="hu-HU"/>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Cs w:val="20"/>
      <w:lang w:eastAsia="hu-HU"/>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Cs w:val="20"/>
      <w:lang w:eastAsia="hu-HU"/>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Cs w:val="20"/>
      <w:u w:val="single"/>
      <w:lang w:eastAsia="hu-HU"/>
    </w:rPr>
  </w:style>
  <w:style w:type="paragraph" w:customStyle="1" w:styleId="Corpsdetexte2">
    <w:name w:val="Corps de texte2"/>
    <w:basedOn w:val="Normal"/>
    <w:rsid w:val="009C13A9"/>
    <w:pPr>
      <w:widowControl w:val="0"/>
      <w:suppressAutoHyphens/>
      <w:overflowPunct w:val="0"/>
      <w:spacing w:line="340" w:lineRule="atLeast"/>
      <w:textAlignment w:val="baseline"/>
    </w:pPr>
    <w:rPr>
      <w:szCs w:val="20"/>
      <w:lang w:eastAsia="hu-HU"/>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eastAsia="hu-HU"/>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eastAsia="hu-HU"/>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eastAsia="hu-HU"/>
    </w:rPr>
  </w:style>
  <w:style w:type="paragraph" w:customStyle="1" w:styleId="Corpsdetexte1">
    <w:name w:val="Corps de texte1"/>
    <w:basedOn w:val="Normal"/>
    <w:rsid w:val="009C13A9"/>
    <w:pPr>
      <w:widowControl w:val="0"/>
      <w:suppressAutoHyphens/>
      <w:overflowPunct w:val="0"/>
      <w:spacing w:line="340" w:lineRule="atLeast"/>
      <w:textAlignment w:val="baseline"/>
    </w:pPr>
    <w:rPr>
      <w:szCs w:val="20"/>
      <w:lang w:eastAsia="hu-HU"/>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eastAsia="hu-HU"/>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eastAsia="hu-HU"/>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szCs w:val="20"/>
      <w:lang w:eastAsia="hu-HU"/>
    </w:rPr>
  </w:style>
  <w:style w:type="paragraph" w:customStyle="1" w:styleId="Par1">
    <w:name w:val="Par_1"/>
    <w:basedOn w:val="Normal"/>
    <w:rsid w:val="009C13A9"/>
    <w:pPr>
      <w:tabs>
        <w:tab w:val="left" w:pos="482"/>
      </w:tabs>
      <w:suppressAutoHyphens/>
      <w:spacing w:before="40" w:after="40"/>
      <w:ind w:left="482" w:right="57"/>
    </w:pPr>
    <w:rPr>
      <w:szCs w:val="20"/>
      <w:lang w:eastAsia="hu-HU"/>
    </w:rPr>
  </w:style>
  <w:style w:type="paragraph" w:customStyle="1" w:styleId="t62">
    <w:name w:val="t62"/>
    <w:basedOn w:val="Normal"/>
    <w:rsid w:val="009C13A9"/>
    <w:pPr>
      <w:suppressAutoHyphens/>
      <w:spacing w:line="240" w:lineRule="atLeast"/>
    </w:pPr>
    <w:rPr>
      <w:szCs w:val="20"/>
      <w:lang w:eastAsia="hu-HU"/>
    </w:rPr>
  </w:style>
  <w:style w:type="paragraph" w:customStyle="1" w:styleId="p17">
    <w:name w:val="p17"/>
    <w:basedOn w:val="Normal"/>
    <w:rsid w:val="009C13A9"/>
    <w:pPr>
      <w:tabs>
        <w:tab w:val="left" w:pos="280"/>
      </w:tabs>
      <w:suppressAutoHyphens/>
      <w:spacing w:line="200" w:lineRule="atLeast"/>
      <w:ind w:left="1440" w:firstLine="288"/>
    </w:pPr>
    <w:rPr>
      <w:szCs w:val="20"/>
      <w:lang w:eastAsia="hu-HU"/>
    </w:rPr>
  </w:style>
  <w:style w:type="paragraph" w:customStyle="1" w:styleId="p67">
    <w:name w:val="p67"/>
    <w:basedOn w:val="Normal"/>
    <w:rsid w:val="009C13A9"/>
    <w:pPr>
      <w:tabs>
        <w:tab w:val="left" w:pos="660"/>
      </w:tabs>
      <w:suppressAutoHyphens/>
      <w:spacing w:line="200" w:lineRule="atLeast"/>
      <w:ind w:left="780"/>
    </w:pPr>
    <w:rPr>
      <w:szCs w:val="20"/>
      <w:lang w:eastAsia="hu-HU"/>
    </w:rPr>
  </w:style>
  <w:style w:type="paragraph" w:customStyle="1" w:styleId="ai">
    <w:name w:val="ai"/>
    <w:basedOn w:val="Normal"/>
    <w:rsid w:val="009C13A9"/>
    <w:pPr>
      <w:tabs>
        <w:tab w:val="left" w:pos="425"/>
      </w:tabs>
      <w:suppressAutoHyphens/>
      <w:spacing w:line="240" w:lineRule="atLeast"/>
    </w:pPr>
    <w:rPr>
      <w:rFonts w:cs="Arial"/>
      <w:bCs/>
      <w:i/>
      <w:lang w:eastAsia="hu-HU"/>
    </w:rPr>
  </w:style>
  <w:style w:type="paragraph" w:customStyle="1" w:styleId="aai">
    <w:name w:val="aai"/>
    <w:basedOn w:val="Normal"/>
    <w:rsid w:val="009C13A9"/>
    <w:pPr>
      <w:tabs>
        <w:tab w:val="left" w:pos="851"/>
      </w:tabs>
      <w:suppressAutoHyphens/>
      <w:spacing w:line="240" w:lineRule="atLeast"/>
      <w:ind w:left="850"/>
    </w:pPr>
    <w:rPr>
      <w:rFonts w:cs="Arial"/>
      <w:bCs/>
      <w:i/>
      <w:lang w:eastAsia="hu-HU"/>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eastAsia="hu-HU"/>
    </w:rPr>
  </w:style>
  <w:style w:type="paragraph" w:customStyle="1" w:styleId="xl39">
    <w:name w:val="xl39"/>
    <w:basedOn w:val="Normal"/>
    <w:rsid w:val="009C13A9"/>
    <w:pPr>
      <w:suppressAutoHyphens/>
      <w:spacing w:before="100" w:after="100"/>
      <w:jc w:val="center"/>
    </w:pPr>
    <w:rPr>
      <w:rFonts w:cs="Arial"/>
      <w:b/>
      <w:bCs/>
      <w:lang w:eastAsia="hu-HU"/>
    </w:rPr>
  </w:style>
  <w:style w:type="paragraph" w:customStyle="1" w:styleId="Textedebulles1">
    <w:name w:val="Texte de bulles1"/>
    <w:basedOn w:val="Normal"/>
    <w:rsid w:val="009C13A9"/>
    <w:pPr>
      <w:suppressAutoHyphens/>
      <w:overflowPunct w:val="0"/>
      <w:textAlignment w:val="baseline"/>
    </w:pPr>
    <w:rPr>
      <w:sz w:val="16"/>
      <w:szCs w:val="16"/>
      <w:lang w:eastAsia="hu-HU"/>
    </w:rPr>
  </w:style>
  <w:style w:type="paragraph" w:customStyle="1" w:styleId="Text10">
    <w:name w:val="Text1"/>
    <w:basedOn w:val="Normal"/>
    <w:rsid w:val="009C13A9"/>
    <w:pPr>
      <w:suppressAutoHyphens/>
      <w:spacing w:after="120" w:line="360" w:lineRule="auto"/>
    </w:pPr>
    <w:rPr>
      <w:rFonts w:ascii="Arial Narrow" w:hAnsi="Arial Narrow"/>
      <w:lang w:eastAsia="hu-HU"/>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lang w:eastAsia="hu-HU"/>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eastAsia="hu-HU"/>
    </w:rPr>
  </w:style>
  <w:style w:type="paragraph" w:customStyle="1" w:styleId="Bo1">
    <w:name w:val="Bo1"/>
    <w:basedOn w:val="Normal"/>
    <w:rsid w:val="009C13A9"/>
    <w:pPr>
      <w:suppressAutoHyphens/>
      <w:spacing w:line="240" w:lineRule="atLeast"/>
      <w:ind w:left="1134" w:hanging="709"/>
    </w:pPr>
    <w:rPr>
      <w:b/>
      <w:lang w:eastAsia="hu-HU"/>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lang w:eastAsia="hu-HU"/>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hu-HU"/>
    </w:rPr>
  </w:style>
  <w:style w:type="paragraph" w:customStyle="1" w:styleId="Textebrut1">
    <w:name w:val="Texte brut1"/>
    <w:basedOn w:val="Normal"/>
    <w:rsid w:val="009C13A9"/>
    <w:pPr>
      <w:suppressAutoHyphens/>
    </w:pPr>
    <w:rPr>
      <w:rFonts w:ascii="Consolas" w:hAnsi="Consolas"/>
      <w:sz w:val="21"/>
      <w:szCs w:val="21"/>
      <w:lang w:eastAsia="hu-HU"/>
    </w:rPr>
  </w:style>
  <w:style w:type="paragraph" w:customStyle="1" w:styleId="ED1">
    <w:name w:val="ED1"/>
    <w:basedOn w:val="Normal"/>
    <w:rsid w:val="009C13A9"/>
    <w:pPr>
      <w:suppressAutoHyphens/>
    </w:pPr>
    <w:rPr>
      <w:lang w:eastAsia="hu-HU"/>
    </w:rPr>
  </w:style>
  <w:style w:type="paragraph" w:customStyle="1" w:styleId="Commentaire1">
    <w:name w:val="Commentaire1"/>
    <w:basedOn w:val="Normal"/>
    <w:rsid w:val="009C13A9"/>
    <w:pPr>
      <w:suppressAutoHyphens/>
    </w:pPr>
    <w:rPr>
      <w:szCs w:val="20"/>
      <w:lang w:eastAsia="hu-HU"/>
    </w:rPr>
  </w:style>
  <w:style w:type="paragraph" w:customStyle="1" w:styleId="Contenudetableau">
    <w:name w:val="Contenu de tableau"/>
    <w:basedOn w:val="Normal"/>
    <w:rsid w:val="009C13A9"/>
    <w:pPr>
      <w:suppressLineNumbers/>
      <w:suppressAutoHyphens/>
    </w:pPr>
    <w:rPr>
      <w:lang w:eastAsia="hu-HU"/>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rPr>
  </w:style>
  <w:style w:type="paragraph" w:styleId="List2">
    <w:name w:val="List 2"/>
    <w:basedOn w:val="Normal"/>
    <w:rsid w:val="009C13A9"/>
    <w:pPr>
      <w:ind w:left="566" w:hanging="283"/>
    </w:pPr>
  </w:style>
  <w:style w:type="paragraph" w:styleId="List3">
    <w:name w:val="List 3"/>
    <w:basedOn w:val="Normal"/>
    <w:rsid w:val="009C13A9"/>
    <w:pPr>
      <w:ind w:left="849" w:hanging="283"/>
    </w:pPr>
  </w:style>
  <w:style w:type="paragraph" w:styleId="ListContinue2">
    <w:name w:val="List Continue 2"/>
    <w:basedOn w:val="Normal"/>
    <w:rsid w:val="009C13A9"/>
    <w:pPr>
      <w:spacing w:after="120"/>
      <w:ind w:left="566"/>
    </w:p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eastAsia="hu-HU"/>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sz w:val="16"/>
      <w:szCs w:val="16"/>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snapToGrid w:val="0"/>
    </w:rPr>
  </w:style>
  <w:style w:type="numbering" w:customStyle="1" w:styleId="Aucuneliste3">
    <w:name w:val="Aucune liste3"/>
    <w:next w:val="NoList"/>
    <w:semiHidden/>
    <w:rsid w:val="009C13A9"/>
  </w:style>
  <w:style w:type="paragraph" w:customStyle="1" w:styleId="Normal1">
    <w:name w:val="Normal1"/>
    <w:basedOn w:val="Normal"/>
    <w:rsid w:val="009C13A9"/>
    <w:rPr>
      <w:color w:val="000000"/>
      <w:szCs w:val="20"/>
      <w:lang w:eastAsia="hu-HU"/>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rPr>
  </w:style>
  <w:style w:type="paragraph" w:customStyle="1" w:styleId="Esanngauche">
    <w:name w:val="Es_ann_gauche"/>
    <w:basedOn w:val="Normal"/>
    <w:qFormat/>
    <w:rsid w:val="009C13A9"/>
    <w:pPr>
      <w:tabs>
        <w:tab w:val="left" w:leader="dot" w:pos="9072"/>
      </w:tabs>
      <w:spacing w:line="240" w:lineRule="atLeast"/>
    </w:pPr>
    <w:rPr>
      <w:rFonts w:cs="Arial"/>
    </w:rPr>
  </w:style>
  <w:style w:type="paragraph" w:customStyle="1" w:styleId="ESannexetitrearticle">
    <w:name w:val="ES_annexe_titre_article"/>
    <w:basedOn w:val="Normal"/>
    <w:qFormat/>
    <w:rsid w:val="009C13A9"/>
    <w:pPr>
      <w:spacing w:line="240" w:lineRule="atLeast"/>
      <w:jc w:val="center"/>
    </w:pPr>
    <w:rPr>
      <w:rFonts w:cs="Arial"/>
      <w:b/>
      <w:noProof/>
    </w:rPr>
  </w:style>
  <w:style w:type="paragraph" w:customStyle="1" w:styleId="ESannexelet">
    <w:name w:val="ES_annexe_let"/>
    <w:basedOn w:val="Normal"/>
    <w:qFormat/>
    <w:rsid w:val="009C13A9"/>
    <w:pPr>
      <w:spacing w:before="60" w:line="240" w:lineRule="atLeast"/>
      <w:ind w:left="851"/>
    </w:pPr>
    <w:rPr>
      <w:rFonts w:cs="Arial"/>
      <w:noProof/>
      <w:lang w:eastAsia="hu-HU"/>
    </w:rPr>
  </w:style>
  <w:style w:type="paragraph" w:customStyle="1" w:styleId="ESannexechpar">
    <w:name w:val="ES_annexe_ch_par"/>
    <w:basedOn w:val="ESchpar"/>
    <w:qFormat/>
    <w:rsid w:val="009C13A9"/>
    <w:pPr>
      <w:ind w:left="426"/>
    </w:pPr>
    <w:rPr>
      <w:lang w:eastAsia="hu-HU"/>
    </w:rPr>
  </w:style>
  <w:style w:type="paragraph" w:customStyle="1" w:styleId="Esannexeletgauch">
    <w:name w:val="Es_annexe_let_gauch"/>
    <w:basedOn w:val="Normal"/>
    <w:qFormat/>
    <w:rsid w:val="009C13A9"/>
    <w:pPr>
      <w:spacing w:before="60" w:line="240" w:lineRule="atLeast"/>
    </w:pPr>
    <w:rPr>
      <w:rFonts w:cs="Arial"/>
      <w:noProof/>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style>
  <w:style w:type="paragraph" w:customStyle="1" w:styleId="Bullet1">
    <w:name w:val="Bullet 1"/>
    <w:basedOn w:val="Normal"/>
    <w:rsid w:val="009C13A9"/>
    <w:pPr>
      <w:numPr>
        <w:numId w:val="5"/>
      </w:numPr>
      <w:spacing w:before="120" w:after="120"/>
    </w:pPr>
  </w:style>
  <w:style w:type="paragraph" w:customStyle="1" w:styleId="Bullet2">
    <w:name w:val="Bullet 2"/>
    <w:basedOn w:val="Normal"/>
    <w:rsid w:val="009C13A9"/>
    <w:pPr>
      <w:numPr>
        <w:numId w:val="6"/>
      </w:numPr>
      <w:spacing w:before="120" w:after="120"/>
    </w:p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snapToGrid w:val="0"/>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rPr>
  </w:style>
  <w:style w:type="paragraph" w:customStyle="1" w:styleId="Chiffregras">
    <w:name w:val="Chiffre_gras"/>
    <w:basedOn w:val="Normal"/>
    <w:qFormat/>
    <w:rsid w:val="005C7DB3"/>
    <w:pPr>
      <w:adjustRightInd w:val="0"/>
      <w:spacing w:line="240" w:lineRule="atLeast"/>
      <w:ind w:left="709" w:hanging="709"/>
      <w:outlineLvl w:val="0"/>
    </w:pPr>
    <w:rPr>
      <w:rFonts w:eastAsia="Calibri"/>
      <w:b/>
      <w:bCs/>
    </w:rPr>
  </w:style>
  <w:style w:type="paragraph" w:customStyle="1" w:styleId="Chiffrepar">
    <w:name w:val="Chiffre_par"/>
    <w:basedOn w:val="Normal"/>
    <w:qFormat/>
    <w:rsid w:val="005C7DB3"/>
    <w:pPr>
      <w:adjustRightInd w:val="0"/>
      <w:spacing w:line="240" w:lineRule="atLeast"/>
      <w:ind w:left="709"/>
    </w:pPr>
    <w:rPr>
      <w:rFonts w:eastAsia="Calibri"/>
    </w:rPr>
  </w:style>
  <w:style w:type="paragraph" w:customStyle="1" w:styleId="Chiffre">
    <w:name w:val="Chiffre"/>
    <w:basedOn w:val="Normal"/>
    <w:qFormat/>
    <w:rsid w:val="005C7DB3"/>
    <w:pPr>
      <w:adjustRightInd w:val="0"/>
      <w:spacing w:line="240" w:lineRule="atLeast"/>
      <w:ind w:left="709" w:hanging="709"/>
    </w:pPr>
    <w:rPr>
      <w:rFonts w:eastAsia="Calibri"/>
    </w:rPr>
  </w:style>
  <w:style w:type="paragraph" w:customStyle="1" w:styleId="chiffrelettre">
    <w:name w:val="chiffre_lettre"/>
    <w:basedOn w:val="Normal"/>
    <w:qFormat/>
    <w:rsid w:val="005C7DB3"/>
    <w:pPr>
      <w:adjustRightInd w:val="0"/>
      <w:spacing w:before="60" w:line="240" w:lineRule="atLeast"/>
      <w:ind w:left="1134"/>
    </w:pPr>
    <w:rPr>
      <w:rFonts w:eastAsia="Calibri"/>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style>
  <w:style w:type="paragraph" w:customStyle="1" w:styleId="norm">
    <w:name w:val="norm"/>
    <w:basedOn w:val="Normal"/>
    <w:rsid w:val="003D29D8"/>
    <w:pPr>
      <w:spacing w:before="100" w:beforeAutospacing="1" w:after="100" w:afterAutospacing="1"/>
    </w:p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rPr>
  </w:style>
  <w:style w:type="character" w:customStyle="1" w:styleId="IS1cmCar">
    <w:name w:val="IS_1cm Car"/>
    <w:link w:val="IS1cm"/>
    <w:rsid w:val="004F47BB"/>
    <w:rPr>
      <w:rFonts w:ascii="Arial" w:hAnsi="Arial"/>
      <w:lang w:val="hu-HU"/>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style>
  <w:style w:type="paragraph" w:customStyle="1" w:styleId="ES-Titre4a">
    <w:name w:val="ES-Titre4a"/>
    <w:basedOn w:val="ES-Titre3a"/>
    <w:qFormat/>
    <w:rsid w:val="00C859B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hu-HU" w:eastAsia="hu-HU" w:bidi="hu-HU"/>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3142CA"/>
    <w:pPr>
      <w:spacing w:after="200" w:line="276" w:lineRule="auto"/>
    </w:pPr>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3142C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3142CA"/>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rPr>
  </w:style>
  <w:style w:type="paragraph" w:customStyle="1" w:styleId="Referencedumodificateur">
    <w:name w:val="Reference du modificateur"/>
    <w:basedOn w:val="Normal"/>
    <w:next w:val="Annexetitrefichefinglobale"/>
    <w:uiPriority w:val="99"/>
    <w:rsid w:val="00475311"/>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hu-HU"/>
    </w:rPr>
  </w:style>
  <w:style w:type="character" w:customStyle="1" w:styleId="BodyTextChar">
    <w:name w:val="Body Text Char"/>
    <w:link w:val="BodyText"/>
    <w:rsid w:val="00225A33"/>
    <w:rPr>
      <w:rFonts w:ascii="Arial" w:hAnsi="Arial"/>
      <w:szCs w:val="24"/>
      <w:lang w:val="hu-HU" w:eastAsia="hu-HU"/>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rPr>
  </w:style>
  <w:style w:type="character" w:customStyle="1" w:styleId="ES-introCar">
    <w:name w:val="ES-intro Car"/>
    <w:link w:val="ES-intro"/>
    <w:rsid w:val="00465BBB"/>
    <w:rPr>
      <w:rFonts w:ascii="Arial" w:eastAsia="Calibri" w:hAnsi="Arial"/>
      <w:lang w:val="hu-HU" w:eastAsia="hu-HU"/>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rPr>
  </w:style>
  <w:style w:type="character" w:customStyle="1" w:styleId="ES-Titre1Car">
    <w:name w:val="ES-Titre1 Car"/>
    <w:link w:val="ES-Titre1"/>
    <w:rsid w:val="00A84512"/>
    <w:rPr>
      <w:rFonts w:ascii="Arial" w:eastAsia="Calibri" w:hAnsi="Arial" w:cs="Arial"/>
      <w:b/>
      <w:color w:val="000000"/>
      <w:sz w:val="28"/>
      <w:szCs w:val="32"/>
      <w:lang w:val="hu-HU" w:eastAsia="hu-HU"/>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hu-HU" w:eastAsia="hu-HU"/>
    </w:rPr>
  </w:style>
  <w:style w:type="character" w:customStyle="1" w:styleId="ES-Titre3Car">
    <w:name w:val="ES-Titre3 Car"/>
    <w:link w:val="ES-Titre3"/>
    <w:rsid w:val="00944893"/>
    <w:rPr>
      <w:rFonts w:ascii="Arial" w:eastAsia="Calibri" w:hAnsi="Arial"/>
      <w:b/>
      <w:sz w:val="22"/>
      <w:szCs w:val="22"/>
      <w:lang w:eastAsia="hu-HU"/>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szCs w:val="20"/>
    </w:rPr>
  </w:style>
  <w:style w:type="paragraph" w:customStyle="1" w:styleId="EStiret">
    <w:name w:val="ES_tiret"/>
    <w:basedOn w:val="Normal"/>
    <w:qFormat/>
    <w:rsid w:val="00E65F26"/>
    <w:pPr>
      <w:spacing w:before="60" w:line="240" w:lineRule="atLeast"/>
      <w:ind w:left="1417"/>
    </w:pPr>
    <w:rPr>
      <w:noProof/>
      <w:snapToGrid w:val="0"/>
      <w:color w:val="000000"/>
      <w:lang w:bidi="hu-HU"/>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eastAsia="hu-HU"/>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eastAsia="Batang" w:cs="Arial"/>
      <w:szCs w:val="20"/>
      <w:lang w:eastAsia="hu-HU"/>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hu-HU"/>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hu-HU"/>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style>
  <w:style w:type="paragraph" w:customStyle="1" w:styleId="CM1">
    <w:name w:val="CM1"/>
    <w:basedOn w:val="Normal"/>
    <w:next w:val="Normal"/>
    <w:uiPriority w:val="99"/>
    <w:rsid w:val="00973DAA"/>
    <w:pPr>
      <w:adjustRightInd w:val="0"/>
    </w:pPr>
    <w:rPr>
      <w:rFonts w:eastAsia="Calibri"/>
    </w:rPr>
  </w:style>
  <w:style w:type="paragraph" w:customStyle="1" w:styleId="CM3">
    <w:name w:val="CM3"/>
    <w:basedOn w:val="Normal"/>
    <w:next w:val="Normal"/>
    <w:uiPriority w:val="99"/>
    <w:rsid w:val="00973DAA"/>
    <w:pPr>
      <w:adjustRightInd w:val="0"/>
    </w:pPr>
    <w:rPr>
      <w:rFonts w:eastAsia="Calibri"/>
    </w:rPr>
  </w:style>
  <w:style w:type="paragraph" w:customStyle="1" w:styleId="CM4">
    <w:name w:val="CM4"/>
    <w:basedOn w:val="Normal"/>
    <w:next w:val="Normal"/>
    <w:uiPriority w:val="99"/>
    <w:rsid w:val="00973DAA"/>
    <w:pPr>
      <w:adjustRightInd w:val="0"/>
    </w:pPr>
    <w:rPr>
      <w:rFonts w:eastAsia="Calibri"/>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hu-HU"/>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b/>
      <w:bCs/>
      <w:i/>
      <w:iCs/>
      <w:snapToGrid w:val="0"/>
      <w:szCs w:val="20"/>
    </w:rPr>
  </w:style>
  <w:style w:type="paragraph" w:customStyle="1" w:styleId="ES-Titre3prchap32">
    <w:name w:val="ES-Titre3_pr_chap32"/>
    <w:basedOn w:val="ES-Titre3"/>
    <w:qFormat/>
    <w:rsid w:val="001E2331"/>
  </w:style>
  <w:style w:type="paragraph" w:styleId="NormalIndent">
    <w:name w:val="Normal Indent"/>
    <w:basedOn w:val="Normal"/>
    <w:rsid w:val="009C13A9"/>
    <w:pPr>
      <w:overflowPunct w:val="0"/>
      <w:adjustRightInd w:val="0"/>
      <w:spacing w:line="240" w:lineRule="exact"/>
      <w:ind w:left="708"/>
      <w:textAlignment w:val="baseline"/>
    </w:p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szCs w:val="20"/>
    </w:rPr>
  </w:style>
  <w:style w:type="paragraph" w:customStyle="1" w:styleId="N3">
    <w:name w:val="N3"/>
    <w:basedOn w:val="Normal"/>
    <w:rsid w:val="009C13A9"/>
    <w:pPr>
      <w:tabs>
        <w:tab w:val="left" w:pos="170"/>
      </w:tabs>
      <w:overflowPunct w:val="0"/>
      <w:adjustRightInd w:val="0"/>
      <w:spacing w:line="240" w:lineRule="exact"/>
      <w:textAlignment w:val="baseline"/>
    </w:pPr>
    <w:rPr>
      <w:szCs w:val="20"/>
    </w:rPr>
  </w:style>
  <w:style w:type="character" w:customStyle="1" w:styleId="En-tte">
    <w:name w:val="En-tête"/>
    <w:rsid w:val="009C13A9"/>
    <w:rPr>
      <w:lang w:val="hu-HU" w:eastAsia="hu-HU" w:bidi="hu-HU"/>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rPr>
  </w:style>
  <w:style w:type="character" w:customStyle="1" w:styleId="EndnoteTextChar">
    <w:name w:val="Endnote Text Char"/>
    <w:link w:val="EndnoteText"/>
    <w:rsid w:val="009C13A9"/>
    <w:rPr>
      <w:rFonts w:ascii="Arial" w:hAnsi="Arial"/>
      <w:snapToGrid w:val="0"/>
      <w:lang w:val="hu-HU"/>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snapToGrid w:val="0"/>
      <w:szCs w:val="20"/>
    </w:rPr>
  </w:style>
  <w:style w:type="paragraph" w:customStyle="1" w:styleId="N7">
    <w:name w:val="N7"/>
    <w:basedOn w:val="Normal"/>
    <w:rsid w:val="009C13A9"/>
    <w:pPr>
      <w:tabs>
        <w:tab w:val="left" w:pos="284"/>
      </w:tabs>
      <w:overflowPunct w:val="0"/>
      <w:adjustRightInd w:val="0"/>
      <w:ind w:hanging="397"/>
      <w:textAlignment w:val="baseline"/>
    </w:pPr>
    <w:rPr>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snapToGrid w:val="0"/>
    </w:rPr>
  </w:style>
  <w:style w:type="character" w:customStyle="1" w:styleId="BodyTextIndent2Char">
    <w:name w:val="Body Text Indent 2 Char"/>
    <w:link w:val="BodyTextIndent2"/>
    <w:rsid w:val="009C13A9"/>
    <w:rPr>
      <w:rFonts w:ascii="Times New Roman" w:hAnsi="Times New Roman"/>
      <w:snapToGrid w:val="0"/>
      <w:sz w:val="24"/>
      <w:szCs w:val="24"/>
      <w:lang w:val="hu-HU"/>
    </w:rPr>
  </w:style>
  <w:style w:type="paragraph" w:styleId="Title">
    <w:name w:val="Title"/>
    <w:basedOn w:val="Normal"/>
    <w:link w:val="TitleChar"/>
    <w:qFormat/>
    <w:rsid w:val="009C13A9"/>
    <w:pPr>
      <w:jc w:val="center"/>
    </w:pPr>
    <w:rPr>
      <w:b/>
      <w:bCs/>
      <w:snapToGrid w:val="0"/>
    </w:rPr>
  </w:style>
  <w:style w:type="character" w:customStyle="1" w:styleId="TitleChar">
    <w:name w:val="Title Char"/>
    <w:link w:val="Title"/>
    <w:rsid w:val="009C13A9"/>
    <w:rPr>
      <w:rFonts w:ascii="Arial" w:hAnsi="Arial"/>
      <w:b/>
      <w:bCs/>
      <w:snapToGrid w:val="0"/>
      <w:sz w:val="22"/>
      <w:szCs w:val="22"/>
      <w:lang w:val="hu-HU"/>
    </w:rPr>
  </w:style>
  <w:style w:type="paragraph" w:customStyle="1" w:styleId="bijschrift">
    <w:name w:val="bijschrift"/>
    <w:basedOn w:val="Normal"/>
    <w:rsid w:val="009C13A9"/>
    <w:pPr>
      <w:widowControl w:val="0"/>
      <w:overflowPunct w:val="0"/>
      <w:adjustRightInd w:val="0"/>
      <w:textAlignment w:val="baseline"/>
    </w:pPr>
    <w:rPr>
      <w:snapToGrid w:val="0"/>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snapToGrid w:val="0"/>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snapToGrid w:val="0"/>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style>
  <w:style w:type="paragraph" w:customStyle="1" w:styleId="N5">
    <w:name w:val="N5"/>
    <w:basedOn w:val="Normal"/>
    <w:rsid w:val="009C13A9"/>
    <w:pPr>
      <w:tabs>
        <w:tab w:val="left" w:pos="284"/>
      </w:tabs>
      <w:overflowPunct w:val="0"/>
      <w:adjustRightInd w:val="0"/>
      <w:textAlignment w:val="baseline"/>
    </w:p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rPr>
  </w:style>
  <w:style w:type="paragraph" w:customStyle="1" w:styleId="c1">
    <w:name w:val="c1"/>
    <w:basedOn w:val="Normal"/>
    <w:rsid w:val="009C13A9"/>
    <w:pPr>
      <w:spacing w:line="240" w:lineRule="atLeast"/>
      <w:jc w:val="center"/>
    </w:pPr>
  </w:style>
  <w:style w:type="paragraph" w:customStyle="1" w:styleId="Brieftext10">
    <w:name w:val="Brieftext_10"/>
    <w:basedOn w:val="Normal"/>
    <w:rsid w:val="009C13A9"/>
    <w:pPr>
      <w:widowControl w:val="0"/>
      <w:suppressAutoHyphens/>
      <w:spacing w:line="360" w:lineRule="auto"/>
    </w:pPr>
    <w:rPr>
      <w:szCs w:val="20"/>
    </w:rPr>
  </w:style>
  <w:style w:type="paragraph" w:customStyle="1" w:styleId="Retraitcorpsdetexte21">
    <w:name w:val="Retrait corps de texte 21"/>
    <w:basedOn w:val="Normal"/>
    <w:rsid w:val="009C13A9"/>
    <w:pPr>
      <w:tabs>
        <w:tab w:val="left" w:pos="1418"/>
      </w:tabs>
      <w:suppressAutoHyphens/>
      <w:spacing w:before="120"/>
      <w:ind w:left="1418" w:hanging="1418"/>
    </w:pPr>
    <w:rPr>
      <w:snapToGrid w:val="0"/>
      <w:szCs w:val="20"/>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style>
  <w:style w:type="paragraph" w:customStyle="1" w:styleId="Ta">
    <w:name w:val="Ta"/>
    <w:basedOn w:val="Normal"/>
    <w:rsid w:val="009C13A9"/>
    <w:pPr>
      <w:tabs>
        <w:tab w:val="left" w:pos="851"/>
      </w:tabs>
      <w:spacing w:line="240" w:lineRule="atLeast"/>
      <w:ind w:left="850"/>
    </w:pPr>
    <w:rPr>
      <w:rFonts w:cs="Arial"/>
      <w:i/>
      <w:iCs/>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b/>
      <w:bCs/>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i/>
      <w:iCs/>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eastAsia="Batang"/>
      <w:sz w:val="19"/>
      <w:szCs w:val="19"/>
      <w:lang w:eastAsia="hu-HU"/>
    </w:rPr>
  </w:style>
  <w:style w:type="paragraph" w:styleId="BodyText2">
    <w:name w:val="Body Text 2"/>
    <w:basedOn w:val="Normal"/>
    <w:link w:val="BodyText2Char"/>
    <w:rsid w:val="009C13A9"/>
    <w:pPr>
      <w:spacing w:after="120" w:line="480" w:lineRule="auto"/>
    </w:pPr>
    <w:rPr>
      <w:snapToGrid w:val="0"/>
    </w:rPr>
  </w:style>
  <w:style w:type="character" w:customStyle="1" w:styleId="BodyText2Char">
    <w:name w:val="Body Text 2 Char"/>
    <w:link w:val="BodyText2"/>
    <w:rsid w:val="009C13A9"/>
    <w:rPr>
      <w:rFonts w:ascii="Times New Roman" w:hAnsi="Times New Roman"/>
      <w:snapToGrid w:val="0"/>
      <w:sz w:val="24"/>
      <w:szCs w:val="24"/>
      <w:lang w:val="hu-HU"/>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snapToGrid w:val="0"/>
    </w:rPr>
  </w:style>
  <w:style w:type="paragraph" w:customStyle="1" w:styleId="1berschriftTF">
    <w:name w:val="1.Überschrift TF"/>
    <w:basedOn w:val="Normal"/>
    <w:rsid w:val="009C13A9"/>
    <w:rPr>
      <w:rFonts w:ascii="Arial Narrow" w:hAnsi="Arial Narrow"/>
      <w:snapToGrid w:val="0"/>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rPr>
  </w:style>
  <w:style w:type="character" w:customStyle="1" w:styleId="SubtitleChar">
    <w:name w:val="Subtitle Char"/>
    <w:link w:val="Subtitle"/>
    <w:rsid w:val="009C13A9"/>
    <w:rPr>
      <w:rFonts w:ascii="Arial" w:hAnsi="Arial"/>
      <w:b/>
      <w:bCs/>
      <w:snapToGrid w:val="0"/>
      <w:sz w:val="28"/>
      <w:szCs w:val="28"/>
      <w:lang w:val="hu-HU"/>
    </w:rPr>
  </w:style>
  <w:style w:type="paragraph" w:customStyle="1" w:styleId="t60">
    <w:name w:val="t60"/>
    <w:basedOn w:val="Normal"/>
    <w:rsid w:val="009C13A9"/>
    <w:pPr>
      <w:spacing w:line="200" w:lineRule="atLeast"/>
    </w:pPr>
    <w:rPr>
      <w:snapToGrid w:val="0"/>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snapToGrid w:val="0"/>
    </w:rPr>
  </w:style>
  <w:style w:type="paragraph" w:customStyle="1" w:styleId="rad1">
    <w:name w:val="rad1"/>
    <w:aliases w:val="11"/>
    <w:basedOn w:val="Normal"/>
    <w:rsid w:val="009C13A9"/>
    <w:pPr>
      <w:tabs>
        <w:tab w:val="left" w:pos="284"/>
        <w:tab w:val="left" w:pos="454"/>
        <w:tab w:val="left" w:pos="709"/>
      </w:tabs>
      <w:spacing w:line="240" w:lineRule="exact"/>
      <w:ind w:hanging="567"/>
    </w:p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szCs w:val="20"/>
    </w:rPr>
  </w:style>
  <w:style w:type="paragraph" w:customStyle="1" w:styleId="Hoofdgedeelte">
    <w:name w:val="Hoofdgedeelte"/>
    <w:basedOn w:val="Normal"/>
    <w:rsid w:val="009C13A9"/>
    <w:pPr>
      <w:widowControl w:val="0"/>
    </w:pPr>
    <w:rPr>
      <w:rFonts w:ascii="Times" w:hAnsi="Times"/>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hu-HU" w:eastAsia="hu-HU" w:bidi="hu-HU"/>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eastAsia="hu-HU"/>
    </w:rPr>
  </w:style>
  <w:style w:type="paragraph" w:styleId="List">
    <w:name w:val="List"/>
    <w:basedOn w:val="BodyText"/>
    <w:rsid w:val="009C13A9"/>
    <w:pPr>
      <w:keepNext w:val="0"/>
      <w:tabs>
        <w:tab w:val="clear" w:pos="709"/>
      </w:tabs>
      <w:suppressAutoHyphens/>
    </w:pPr>
    <w:rPr>
      <w:rFonts w:ascii="Liberation Sans" w:hAnsi="Liberation Sans" w:cs="Tahoma"/>
      <w:b/>
    </w:rPr>
  </w:style>
  <w:style w:type="paragraph" w:customStyle="1" w:styleId="Lgende1">
    <w:name w:val="Légende1"/>
    <w:basedOn w:val="Normal"/>
    <w:next w:val="Normal"/>
    <w:rsid w:val="009C13A9"/>
    <w:pPr>
      <w:suppressAutoHyphens/>
      <w:spacing w:before="120" w:after="120"/>
    </w:pPr>
    <w:rPr>
      <w:b/>
      <w:bCs/>
      <w:szCs w:val="20"/>
      <w:lang w:eastAsia="hu-HU"/>
    </w:rPr>
  </w:style>
  <w:style w:type="paragraph" w:customStyle="1" w:styleId="Index">
    <w:name w:val="Index"/>
    <w:basedOn w:val="Normal"/>
    <w:rsid w:val="009C13A9"/>
    <w:pPr>
      <w:suppressLineNumbers/>
      <w:suppressAutoHyphens/>
    </w:pPr>
    <w:rPr>
      <w:rFonts w:ascii="Liberation Sans" w:hAnsi="Liberation Sans" w:cs="Tahoma"/>
      <w:lang w:eastAsia="hu-HU"/>
    </w:rPr>
  </w:style>
  <w:style w:type="paragraph" w:customStyle="1" w:styleId="Explorateurdedocument1">
    <w:name w:val="Explorateur de document1"/>
    <w:basedOn w:val="Normal"/>
    <w:rsid w:val="009C13A9"/>
    <w:pPr>
      <w:shd w:val="clear" w:color="auto" w:fill="000080"/>
      <w:suppressAutoHyphens/>
    </w:pPr>
    <w:rPr>
      <w:szCs w:val="20"/>
      <w:lang w:eastAsia="hu-HU"/>
    </w:rPr>
  </w:style>
  <w:style w:type="paragraph" w:customStyle="1" w:styleId="Anlage">
    <w:name w:val="Anlage"/>
    <w:basedOn w:val="Normal"/>
    <w:rsid w:val="009C13A9"/>
    <w:pPr>
      <w:suppressAutoHyphens/>
      <w:spacing w:before="240"/>
      <w:ind w:left="1134" w:hanging="1134"/>
    </w:pPr>
    <w:rPr>
      <w:lang w:eastAsia="hu-HU"/>
    </w:rPr>
  </w:style>
  <w:style w:type="paragraph" w:customStyle="1" w:styleId="Betrifft">
    <w:name w:val="Betrifft"/>
    <w:basedOn w:val="Normal"/>
    <w:rsid w:val="009C13A9"/>
    <w:pPr>
      <w:suppressAutoHyphens/>
      <w:spacing w:before="480"/>
    </w:pPr>
    <w:rPr>
      <w:lang w:eastAsia="hu-HU"/>
    </w:rPr>
  </w:style>
  <w:style w:type="paragraph" w:customStyle="1" w:styleId="Bezug">
    <w:name w:val="Bezug"/>
    <w:basedOn w:val="Normal"/>
    <w:rsid w:val="009C13A9"/>
    <w:pPr>
      <w:suppressAutoHyphens/>
      <w:spacing w:before="240"/>
    </w:pPr>
    <w:rPr>
      <w:lang w:eastAsia="hu-HU"/>
    </w:rPr>
  </w:style>
  <w:style w:type="paragraph" w:customStyle="1" w:styleId="Hier">
    <w:name w:val="Hier"/>
    <w:basedOn w:val="Normal"/>
    <w:rsid w:val="009C13A9"/>
    <w:pPr>
      <w:tabs>
        <w:tab w:val="left" w:pos="284"/>
      </w:tabs>
      <w:suppressAutoHyphens/>
      <w:ind w:left="284" w:hanging="284"/>
    </w:pPr>
    <w:rPr>
      <w:lang w:eastAsia="hu-HU"/>
    </w:rPr>
  </w:style>
  <w:style w:type="paragraph" w:customStyle="1" w:styleId="yyx">
    <w:name w:val="yyx"/>
    <w:basedOn w:val="Normal"/>
    <w:rsid w:val="009C13A9"/>
    <w:pPr>
      <w:suppressAutoHyphens/>
      <w:spacing w:line="360" w:lineRule="auto"/>
    </w:pPr>
    <w:rPr>
      <w:b/>
      <w:lang w:eastAsia="hu-HU"/>
    </w:rPr>
  </w:style>
  <w:style w:type="paragraph" w:customStyle="1" w:styleId="Nverborgen">
    <w:name w:val="Nverborgen"/>
    <w:basedOn w:val="Normal"/>
    <w:next w:val="Normal"/>
    <w:rsid w:val="009C13A9"/>
    <w:pPr>
      <w:suppressAutoHyphens/>
      <w:spacing w:line="360" w:lineRule="auto"/>
      <w:ind w:hanging="567"/>
    </w:pPr>
    <w:rPr>
      <w:lang w:eastAsia="hu-HU"/>
    </w:rPr>
  </w:style>
  <w:style w:type="paragraph" w:customStyle="1" w:styleId="Verborgen">
    <w:name w:val="Verborgen"/>
    <w:basedOn w:val="Normal"/>
    <w:next w:val="Normal"/>
    <w:rsid w:val="009C13A9"/>
    <w:pPr>
      <w:suppressAutoHyphens/>
      <w:spacing w:after="360" w:line="360" w:lineRule="auto"/>
      <w:ind w:hanging="567"/>
    </w:pPr>
    <w:rPr>
      <w:vanish/>
      <w:color w:val="0000FF"/>
      <w:lang w:eastAsia="hu-HU"/>
    </w:rPr>
  </w:style>
  <w:style w:type="paragraph" w:customStyle="1" w:styleId="Salutations1">
    <w:name w:val="Salutations1"/>
    <w:basedOn w:val="Normal"/>
    <w:next w:val="Normal"/>
    <w:rsid w:val="009C13A9"/>
    <w:pPr>
      <w:suppressAutoHyphens/>
      <w:spacing w:before="720" w:line="360" w:lineRule="auto"/>
    </w:pPr>
    <w:rPr>
      <w:lang w:eastAsia="hu-HU"/>
    </w:rPr>
  </w:style>
  <w:style w:type="paragraph" w:customStyle="1" w:styleId="c4">
    <w:name w:val="c4"/>
    <w:basedOn w:val="Normal"/>
    <w:rsid w:val="009C13A9"/>
    <w:pPr>
      <w:suppressAutoHyphens/>
      <w:spacing w:line="240" w:lineRule="atLeast"/>
      <w:jc w:val="center"/>
    </w:pPr>
    <w:rPr>
      <w:szCs w:val="20"/>
      <w:lang w:eastAsia="hu-HU"/>
    </w:rPr>
  </w:style>
  <w:style w:type="paragraph" w:customStyle="1" w:styleId="p4">
    <w:name w:val="p4"/>
    <w:basedOn w:val="Normal"/>
    <w:rsid w:val="009C13A9"/>
    <w:pPr>
      <w:tabs>
        <w:tab w:val="left" w:pos="720"/>
      </w:tabs>
      <w:suppressAutoHyphens/>
      <w:spacing w:line="220" w:lineRule="atLeast"/>
    </w:pPr>
    <w:rPr>
      <w:szCs w:val="20"/>
      <w:lang w:eastAsia="hu-HU"/>
    </w:rPr>
  </w:style>
  <w:style w:type="paragraph" w:customStyle="1" w:styleId="c2">
    <w:name w:val="c2"/>
    <w:basedOn w:val="Normal"/>
    <w:rsid w:val="009C13A9"/>
    <w:pPr>
      <w:suppressAutoHyphens/>
      <w:spacing w:line="240" w:lineRule="atLeast"/>
      <w:jc w:val="center"/>
    </w:pPr>
    <w:rPr>
      <w:szCs w:val="20"/>
      <w:lang w:eastAsia="hu-HU"/>
    </w:rPr>
  </w:style>
  <w:style w:type="paragraph" w:customStyle="1" w:styleId="p9">
    <w:name w:val="p9"/>
    <w:basedOn w:val="Normal"/>
    <w:rsid w:val="009C13A9"/>
    <w:pPr>
      <w:tabs>
        <w:tab w:val="left" w:pos="1060"/>
      </w:tabs>
      <w:suppressAutoHyphens/>
      <w:spacing w:line="240" w:lineRule="atLeast"/>
      <w:ind w:left="1440" w:firstLine="1008"/>
    </w:pPr>
    <w:rPr>
      <w:szCs w:val="20"/>
      <w:lang w:eastAsia="hu-HU"/>
    </w:rPr>
  </w:style>
  <w:style w:type="paragraph" w:customStyle="1" w:styleId="p5">
    <w:name w:val="p5"/>
    <w:basedOn w:val="Normal"/>
    <w:rsid w:val="009C13A9"/>
    <w:pPr>
      <w:tabs>
        <w:tab w:val="left" w:pos="720"/>
      </w:tabs>
      <w:suppressAutoHyphens/>
      <w:spacing w:line="240" w:lineRule="atLeast"/>
    </w:pPr>
    <w:rPr>
      <w:szCs w:val="20"/>
      <w:lang w:eastAsia="hu-HU"/>
    </w:rPr>
  </w:style>
  <w:style w:type="paragraph" w:customStyle="1" w:styleId="p10">
    <w:name w:val="p10"/>
    <w:basedOn w:val="Normal"/>
    <w:rsid w:val="009C13A9"/>
    <w:pPr>
      <w:tabs>
        <w:tab w:val="left" w:pos="240"/>
        <w:tab w:val="left" w:pos="500"/>
      </w:tabs>
      <w:suppressAutoHyphens/>
      <w:spacing w:line="240" w:lineRule="atLeast"/>
      <w:ind w:left="1440" w:firstLine="288"/>
    </w:pPr>
    <w:rPr>
      <w:szCs w:val="20"/>
      <w:lang w:eastAsia="hu-HU"/>
    </w:rPr>
  </w:style>
  <w:style w:type="paragraph" w:customStyle="1" w:styleId="p11">
    <w:name w:val="p11"/>
    <w:basedOn w:val="Normal"/>
    <w:rsid w:val="009C13A9"/>
    <w:pPr>
      <w:tabs>
        <w:tab w:val="left" w:pos="720"/>
      </w:tabs>
      <w:suppressAutoHyphens/>
      <w:spacing w:line="220" w:lineRule="atLeast"/>
    </w:pPr>
    <w:rPr>
      <w:szCs w:val="20"/>
      <w:lang w:eastAsia="hu-HU"/>
    </w:rPr>
  </w:style>
  <w:style w:type="paragraph" w:customStyle="1" w:styleId="p12">
    <w:name w:val="p12"/>
    <w:basedOn w:val="Normal"/>
    <w:rsid w:val="009C13A9"/>
    <w:pPr>
      <w:tabs>
        <w:tab w:val="left" w:pos="720"/>
      </w:tabs>
      <w:suppressAutoHyphens/>
      <w:spacing w:line="240" w:lineRule="atLeast"/>
    </w:pPr>
    <w:rPr>
      <w:szCs w:val="20"/>
      <w:lang w:eastAsia="hu-HU"/>
    </w:rPr>
  </w:style>
  <w:style w:type="paragraph" w:customStyle="1" w:styleId="p14">
    <w:name w:val="p14"/>
    <w:basedOn w:val="Normal"/>
    <w:rsid w:val="009C13A9"/>
    <w:pPr>
      <w:tabs>
        <w:tab w:val="left" w:pos="260"/>
        <w:tab w:val="left" w:pos="540"/>
      </w:tabs>
      <w:suppressAutoHyphens/>
      <w:spacing w:line="220" w:lineRule="atLeast"/>
      <w:ind w:left="864" w:hanging="576"/>
    </w:pPr>
    <w:rPr>
      <w:szCs w:val="20"/>
      <w:lang w:eastAsia="hu-HU"/>
    </w:rPr>
  </w:style>
  <w:style w:type="paragraph" w:customStyle="1" w:styleId="p15">
    <w:name w:val="p15"/>
    <w:basedOn w:val="Normal"/>
    <w:rsid w:val="009C13A9"/>
    <w:pPr>
      <w:tabs>
        <w:tab w:val="left" w:pos="260"/>
      </w:tabs>
      <w:suppressAutoHyphens/>
      <w:spacing w:line="240" w:lineRule="atLeast"/>
      <w:ind w:left="1152" w:hanging="288"/>
    </w:pPr>
    <w:rPr>
      <w:szCs w:val="20"/>
      <w:lang w:eastAsia="hu-HU"/>
    </w:rPr>
  </w:style>
  <w:style w:type="paragraph" w:customStyle="1" w:styleId="p7">
    <w:name w:val="p7"/>
    <w:basedOn w:val="Normal"/>
    <w:rsid w:val="009C13A9"/>
    <w:pPr>
      <w:tabs>
        <w:tab w:val="left" w:pos="260"/>
      </w:tabs>
      <w:suppressAutoHyphens/>
      <w:spacing w:line="220" w:lineRule="atLeast"/>
      <w:ind w:left="1152" w:hanging="288"/>
    </w:pPr>
    <w:rPr>
      <w:szCs w:val="20"/>
      <w:lang w:eastAsia="hu-HU"/>
    </w:rPr>
  </w:style>
  <w:style w:type="paragraph" w:customStyle="1" w:styleId="p16">
    <w:name w:val="p16"/>
    <w:basedOn w:val="Normal"/>
    <w:rsid w:val="009C13A9"/>
    <w:pPr>
      <w:tabs>
        <w:tab w:val="left" w:pos="520"/>
      </w:tabs>
      <w:suppressAutoHyphens/>
      <w:spacing w:line="240" w:lineRule="atLeast"/>
      <w:ind w:left="1440" w:firstLine="576"/>
    </w:pPr>
    <w:rPr>
      <w:szCs w:val="20"/>
      <w:lang w:eastAsia="hu-HU"/>
    </w:rPr>
  </w:style>
  <w:style w:type="paragraph" w:customStyle="1" w:styleId="c18">
    <w:name w:val="c18"/>
    <w:basedOn w:val="Normal"/>
    <w:rsid w:val="009C13A9"/>
    <w:pPr>
      <w:suppressAutoHyphens/>
      <w:spacing w:line="240" w:lineRule="atLeast"/>
      <w:jc w:val="center"/>
    </w:pPr>
    <w:rPr>
      <w:szCs w:val="20"/>
      <w:lang w:eastAsia="hu-HU"/>
    </w:rPr>
  </w:style>
  <w:style w:type="paragraph" w:customStyle="1" w:styleId="t17">
    <w:name w:val="t17"/>
    <w:basedOn w:val="Normal"/>
    <w:rsid w:val="009C13A9"/>
    <w:pPr>
      <w:suppressAutoHyphens/>
      <w:spacing w:line="240" w:lineRule="atLeast"/>
    </w:pPr>
    <w:rPr>
      <w:szCs w:val="20"/>
      <w:lang w:eastAsia="hu-HU"/>
    </w:rPr>
  </w:style>
  <w:style w:type="paragraph" w:customStyle="1" w:styleId="p19">
    <w:name w:val="p19"/>
    <w:basedOn w:val="Normal"/>
    <w:rsid w:val="009C13A9"/>
    <w:pPr>
      <w:tabs>
        <w:tab w:val="left" w:pos="280"/>
        <w:tab w:val="left" w:pos="520"/>
      </w:tabs>
      <w:suppressAutoHyphens/>
      <w:spacing w:line="220" w:lineRule="atLeast"/>
      <w:ind w:left="1152" w:hanging="288"/>
    </w:pPr>
    <w:rPr>
      <w:szCs w:val="20"/>
      <w:lang w:eastAsia="hu-HU"/>
    </w:rPr>
  </w:style>
  <w:style w:type="paragraph" w:customStyle="1" w:styleId="p21">
    <w:name w:val="p21"/>
    <w:basedOn w:val="Normal"/>
    <w:rsid w:val="009C13A9"/>
    <w:pPr>
      <w:tabs>
        <w:tab w:val="left" w:pos="2480"/>
      </w:tabs>
      <w:suppressAutoHyphens/>
      <w:spacing w:line="240" w:lineRule="atLeast"/>
      <w:ind w:left="1040"/>
    </w:pPr>
    <w:rPr>
      <w:szCs w:val="20"/>
      <w:lang w:eastAsia="hu-HU"/>
    </w:rPr>
  </w:style>
  <w:style w:type="paragraph" w:customStyle="1" w:styleId="p8">
    <w:name w:val="p8"/>
    <w:basedOn w:val="Normal"/>
    <w:rsid w:val="009C13A9"/>
    <w:pPr>
      <w:tabs>
        <w:tab w:val="left" w:pos="520"/>
      </w:tabs>
      <w:suppressAutoHyphens/>
      <w:spacing w:line="220" w:lineRule="atLeast"/>
      <w:ind w:left="864" w:hanging="576"/>
    </w:pPr>
    <w:rPr>
      <w:szCs w:val="20"/>
      <w:lang w:eastAsia="hu-HU"/>
    </w:rPr>
  </w:style>
  <w:style w:type="paragraph" w:customStyle="1" w:styleId="c3">
    <w:name w:val="c3"/>
    <w:basedOn w:val="Normal"/>
    <w:rsid w:val="009C13A9"/>
    <w:pPr>
      <w:suppressAutoHyphens/>
      <w:spacing w:line="240" w:lineRule="atLeast"/>
      <w:jc w:val="center"/>
    </w:pPr>
    <w:rPr>
      <w:szCs w:val="20"/>
      <w:lang w:eastAsia="hu-HU"/>
    </w:rPr>
  </w:style>
  <w:style w:type="paragraph" w:customStyle="1" w:styleId="p13">
    <w:name w:val="p13"/>
    <w:basedOn w:val="Normal"/>
    <w:rsid w:val="009C13A9"/>
    <w:pPr>
      <w:tabs>
        <w:tab w:val="left" w:pos="260"/>
      </w:tabs>
      <w:suppressAutoHyphens/>
      <w:spacing w:line="220" w:lineRule="atLeast"/>
      <w:ind w:left="1180"/>
    </w:pPr>
    <w:rPr>
      <w:szCs w:val="20"/>
      <w:lang w:eastAsia="hu-HU"/>
    </w:rPr>
  </w:style>
  <w:style w:type="paragraph" w:customStyle="1" w:styleId="p20">
    <w:name w:val="p20"/>
    <w:basedOn w:val="Normal"/>
    <w:rsid w:val="009C13A9"/>
    <w:pPr>
      <w:tabs>
        <w:tab w:val="left" w:pos="780"/>
      </w:tabs>
      <w:suppressAutoHyphens/>
      <w:spacing w:line="220" w:lineRule="atLeast"/>
    </w:pPr>
    <w:rPr>
      <w:szCs w:val="20"/>
      <w:lang w:eastAsia="hu-HU"/>
    </w:rPr>
  </w:style>
  <w:style w:type="paragraph" w:customStyle="1" w:styleId="c15">
    <w:name w:val="c15"/>
    <w:basedOn w:val="Normal"/>
    <w:rsid w:val="009C13A9"/>
    <w:pPr>
      <w:suppressAutoHyphens/>
      <w:spacing w:line="240" w:lineRule="atLeast"/>
      <w:jc w:val="center"/>
    </w:pPr>
    <w:rPr>
      <w:szCs w:val="20"/>
      <w:lang w:eastAsia="hu-HU"/>
    </w:rPr>
  </w:style>
  <w:style w:type="paragraph" w:customStyle="1" w:styleId="p22">
    <w:name w:val="p22"/>
    <w:basedOn w:val="Normal"/>
    <w:rsid w:val="009C13A9"/>
    <w:pPr>
      <w:tabs>
        <w:tab w:val="left" w:pos="520"/>
        <w:tab w:val="left" w:pos="1060"/>
      </w:tabs>
      <w:suppressAutoHyphens/>
      <w:spacing w:line="220" w:lineRule="atLeast"/>
      <w:ind w:left="432" w:hanging="432"/>
    </w:pPr>
    <w:rPr>
      <w:szCs w:val="20"/>
      <w:lang w:eastAsia="hu-HU"/>
    </w:rPr>
  </w:style>
  <w:style w:type="paragraph" w:customStyle="1" w:styleId="p26">
    <w:name w:val="p26"/>
    <w:basedOn w:val="Normal"/>
    <w:rsid w:val="009C13A9"/>
    <w:pPr>
      <w:tabs>
        <w:tab w:val="left" w:pos="520"/>
      </w:tabs>
      <w:suppressAutoHyphens/>
      <w:spacing w:line="240" w:lineRule="atLeast"/>
      <w:ind w:left="864" w:hanging="576"/>
    </w:pPr>
    <w:rPr>
      <w:szCs w:val="20"/>
      <w:lang w:eastAsia="hu-HU"/>
    </w:rPr>
  </w:style>
  <w:style w:type="paragraph" w:customStyle="1" w:styleId="p31">
    <w:name w:val="p31"/>
    <w:basedOn w:val="Normal"/>
    <w:rsid w:val="009C13A9"/>
    <w:pPr>
      <w:tabs>
        <w:tab w:val="left" w:pos="260"/>
        <w:tab w:val="left" w:pos="540"/>
      </w:tabs>
      <w:suppressAutoHyphens/>
      <w:spacing w:line="220" w:lineRule="atLeast"/>
      <w:ind w:left="1440" w:firstLine="288"/>
    </w:pPr>
    <w:rPr>
      <w:szCs w:val="20"/>
      <w:lang w:eastAsia="hu-HU"/>
    </w:rPr>
  </w:style>
  <w:style w:type="paragraph" w:customStyle="1" w:styleId="p32">
    <w:name w:val="p32"/>
    <w:basedOn w:val="Normal"/>
    <w:rsid w:val="009C13A9"/>
    <w:pPr>
      <w:tabs>
        <w:tab w:val="left" w:pos="280"/>
      </w:tabs>
      <w:suppressAutoHyphens/>
      <w:spacing w:line="220" w:lineRule="atLeast"/>
      <w:ind w:left="1152" w:hanging="288"/>
    </w:pPr>
    <w:rPr>
      <w:szCs w:val="20"/>
      <w:lang w:eastAsia="hu-HU"/>
    </w:rPr>
  </w:style>
  <w:style w:type="paragraph" w:customStyle="1" w:styleId="p33">
    <w:name w:val="p33"/>
    <w:basedOn w:val="Normal"/>
    <w:rsid w:val="009C13A9"/>
    <w:pPr>
      <w:tabs>
        <w:tab w:val="left" w:pos="260"/>
      </w:tabs>
      <w:suppressAutoHyphens/>
      <w:spacing w:line="240" w:lineRule="atLeast"/>
      <w:ind w:left="1440" w:firstLine="288"/>
    </w:pPr>
    <w:rPr>
      <w:szCs w:val="20"/>
      <w:lang w:eastAsia="hu-HU"/>
    </w:rPr>
  </w:style>
  <w:style w:type="paragraph" w:customStyle="1" w:styleId="p36">
    <w:name w:val="p36"/>
    <w:basedOn w:val="Normal"/>
    <w:rsid w:val="009C13A9"/>
    <w:pPr>
      <w:tabs>
        <w:tab w:val="left" w:pos="280"/>
      </w:tabs>
      <w:suppressAutoHyphens/>
      <w:spacing w:line="220" w:lineRule="atLeast"/>
      <w:ind w:left="1152" w:hanging="288"/>
    </w:pPr>
    <w:rPr>
      <w:szCs w:val="20"/>
      <w:lang w:eastAsia="hu-HU"/>
    </w:rPr>
  </w:style>
  <w:style w:type="paragraph" w:customStyle="1" w:styleId="p39">
    <w:name w:val="p39"/>
    <w:basedOn w:val="Normal"/>
    <w:rsid w:val="009C13A9"/>
    <w:pPr>
      <w:tabs>
        <w:tab w:val="left" w:pos="280"/>
      </w:tabs>
      <w:suppressAutoHyphens/>
      <w:spacing w:line="220" w:lineRule="atLeast"/>
      <w:ind w:left="1152" w:hanging="288"/>
    </w:pPr>
    <w:rPr>
      <w:szCs w:val="20"/>
      <w:lang w:eastAsia="hu-HU"/>
    </w:rPr>
  </w:style>
  <w:style w:type="paragraph" w:customStyle="1" w:styleId="c6">
    <w:name w:val="c6"/>
    <w:basedOn w:val="Normal"/>
    <w:rsid w:val="009C13A9"/>
    <w:pPr>
      <w:suppressAutoHyphens/>
      <w:spacing w:line="240" w:lineRule="atLeast"/>
      <w:jc w:val="center"/>
    </w:pPr>
    <w:rPr>
      <w:szCs w:val="20"/>
      <w:lang w:eastAsia="hu-HU"/>
    </w:rPr>
  </w:style>
  <w:style w:type="paragraph" w:customStyle="1" w:styleId="p28">
    <w:name w:val="p28"/>
    <w:basedOn w:val="Normal"/>
    <w:rsid w:val="009C13A9"/>
    <w:pPr>
      <w:tabs>
        <w:tab w:val="left" w:pos="720"/>
      </w:tabs>
      <w:suppressAutoHyphens/>
      <w:spacing w:line="220" w:lineRule="atLeast"/>
    </w:pPr>
    <w:rPr>
      <w:szCs w:val="20"/>
      <w:lang w:eastAsia="hu-HU"/>
    </w:rPr>
  </w:style>
  <w:style w:type="paragraph" w:customStyle="1" w:styleId="c56">
    <w:name w:val="c56"/>
    <w:basedOn w:val="Normal"/>
    <w:rsid w:val="009C13A9"/>
    <w:pPr>
      <w:suppressAutoHyphens/>
      <w:spacing w:line="240" w:lineRule="atLeast"/>
      <w:jc w:val="center"/>
    </w:pPr>
    <w:rPr>
      <w:szCs w:val="20"/>
      <w:lang w:eastAsia="hu-HU"/>
    </w:rPr>
  </w:style>
  <w:style w:type="paragraph" w:customStyle="1" w:styleId="c66">
    <w:name w:val="c66"/>
    <w:basedOn w:val="Normal"/>
    <w:rsid w:val="009C13A9"/>
    <w:pPr>
      <w:suppressAutoHyphens/>
      <w:spacing w:line="240" w:lineRule="atLeast"/>
      <w:jc w:val="center"/>
    </w:pPr>
    <w:rPr>
      <w:szCs w:val="20"/>
      <w:lang w:eastAsia="hu-HU"/>
    </w:rPr>
  </w:style>
  <w:style w:type="paragraph" w:customStyle="1" w:styleId="p52">
    <w:name w:val="p52"/>
    <w:basedOn w:val="Normal"/>
    <w:rsid w:val="009C13A9"/>
    <w:pPr>
      <w:tabs>
        <w:tab w:val="left" w:pos="720"/>
      </w:tabs>
      <w:suppressAutoHyphens/>
      <w:spacing w:line="220" w:lineRule="atLeast"/>
    </w:pPr>
    <w:rPr>
      <w:szCs w:val="20"/>
      <w:lang w:eastAsia="hu-HU"/>
    </w:rPr>
  </w:style>
  <w:style w:type="paragraph" w:customStyle="1" w:styleId="c62">
    <w:name w:val="c62"/>
    <w:basedOn w:val="Normal"/>
    <w:rsid w:val="009C13A9"/>
    <w:pPr>
      <w:suppressAutoHyphens/>
      <w:spacing w:line="240" w:lineRule="atLeast"/>
      <w:jc w:val="center"/>
    </w:pPr>
    <w:rPr>
      <w:szCs w:val="20"/>
      <w:lang w:eastAsia="hu-HU"/>
    </w:rPr>
  </w:style>
  <w:style w:type="paragraph" w:customStyle="1" w:styleId="c84">
    <w:name w:val="c84"/>
    <w:basedOn w:val="Normal"/>
    <w:rsid w:val="009C13A9"/>
    <w:pPr>
      <w:suppressAutoHyphens/>
      <w:spacing w:line="240" w:lineRule="atLeast"/>
      <w:jc w:val="center"/>
    </w:pPr>
    <w:rPr>
      <w:szCs w:val="20"/>
      <w:lang w:eastAsia="hu-HU"/>
    </w:rPr>
  </w:style>
  <w:style w:type="paragraph" w:customStyle="1" w:styleId="p1">
    <w:name w:val="p1"/>
    <w:basedOn w:val="Normal"/>
    <w:rsid w:val="009C13A9"/>
    <w:pPr>
      <w:tabs>
        <w:tab w:val="left" w:pos="280"/>
      </w:tabs>
      <w:suppressAutoHyphens/>
      <w:spacing w:line="220" w:lineRule="atLeast"/>
      <w:ind w:left="1440" w:firstLine="288"/>
    </w:pPr>
    <w:rPr>
      <w:szCs w:val="20"/>
      <w:lang w:eastAsia="hu-HU"/>
    </w:rPr>
  </w:style>
  <w:style w:type="paragraph" w:customStyle="1" w:styleId="p2">
    <w:name w:val="p2"/>
    <w:basedOn w:val="Normal"/>
    <w:rsid w:val="009C13A9"/>
    <w:pPr>
      <w:tabs>
        <w:tab w:val="left" w:pos="1700"/>
      </w:tabs>
      <w:suppressAutoHyphens/>
      <w:spacing w:line="340" w:lineRule="atLeast"/>
      <w:ind w:left="288" w:hanging="1728"/>
    </w:pPr>
    <w:rPr>
      <w:szCs w:val="20"/>
      <w:lang w:eastAsia="hu-HU"/>
    </w:rPr>
  </w:style>
  <w:style w:type="paragraph" w:customStyle="1" w:styleId="VO-Textohne">
    <w:name w:val="VO-Text ohne"/>
    <w:basedOn w:val="Normal"/>
    <w:rsid w:val="009C13A9"/>
    <w:pPr>
      <w:suppressAutoHyphens/>
      <w:spacing w:before="120"/>
    </w:pPr>
    <w:rPr>
      <w:bCs/>
      <w:szCs w:val="20"/>
      <w:lang w:eastAsia="hu-HU"/>
    </w:rPr>
  </w:style>
  <w:style w:type="paragraph" w:customStyle="1" w:styleId="Commentaire2">
    <w:name w:val="Commentaire2"/>
    <w:basedOn w:val="Normal"/>
    <w:rsid w:val="009C13A9"/>
    <w:pPr>
      <w:suppressAutoHyphens/>
    </w:pPr>
    <w:rPr>
      <w:szCs w:val="20"/>
      <w:lang w:eastAsia="hu-HU"/>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eastAsia="hu-HU"/>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eastAsia="hu-HU"/>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Cs w:val="20"/>
      <w:lang w:eastAsia="hu-HU"/>
    </w:rPr>
  </w:style>
  <w:style w:type="paragraph" w:customStyle="1" w:styleId="Retraitcorpsdetexte31">
    <w:name w:val="Retrait corps de texte 31"/>
    <w:basedOn w:val="Normal"/>
    <w:rsid w:val="009C13A9"/>
    <w:pPr>
      <w:suppressAutoHyphens/>
      <w:spacing w:after="120" w:line="360" w:lineRule="auto"/>
      <w:ind w:left="283"/>
    </w:pPr>
    <w:rPr>
      <w:sz w:val="16"/>
      <w:szCs w:val="16"/>
      <w:lang w:eastAsia="hu-HU"/>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b/>
      <w:szCs w:val="20"/>
      <w:lang w:eastAsia="hu-HU"/>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b/>
      <w:szCs w:val="20"/>
      <w:lang w:eastAsia="hu-HU"/>
    </w:rPr>
  </w:style>
  <w:style w:type="paragraph" w:customStyle="1" w:styleId="Retraitcorpsdetexte23">
    <w:name w:val="Retrait corps de texte 23"/>
    <w:basedOn w:val="Normal"/>
    <w:rsid w:val="009C13A9"/>
    <w:pPr>
      <w:widowControl w:val="0"/>
      <w:tabs>
        <w:tab w:val="left" w:pos="284"/>
      </w:tabs>
      <w:suppressAutoHyphens/>
      <w:ind w:left="284" w:hanging="284"/>
    </w:pPr>
    <w:rPr>
      <w:i/>
      <w:szCs w:val="20"/>
      <w:lang w:eastAsia="hu-HU"/>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hu-HU"/>
    </w:rPr>
  </w:style>
  <w:style w:type="paragraph" w:customStyle="1" w:styleId="Corpsdetexte31">
    <w:name w:val="Corps de texte 31"/>
    <w:basedOn w:val="Normal"/>
    <w:rsid w:val="009C13A9"/>
    <w:pPr>
      <w:suppressAutoHyphens/>
      <w:overflowPunct w:val="0"/>
      <w:spacing w:before="40" w:after="40"/>
      <w:textAlignment w:val="baseline"/>
    </w:pPr>
    <w:rPr>
      <w:szCs w:val="20"/>
      <w:lang w:eastAsia="hu-HU"/>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eastAsia="hu-HU"/>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Cs w:val="20"/>
      <w:lang w:eastAsia="hu-HU"/>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Cs w:val="20"/>
      <w:lang w:eastAsia="hu-HU"/>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Cs w:val="20"/>
      <w:lang w:eastAsia="hu-HU"/>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Cs w:val="20"/>
      <w:u w:val="single"/>
      <w:lang w:eastAsia="hu-HU"/>
    </w:rPr>
  </w:style>
  <w:style w:type="paragraph" w:customStyle="1" w:styleId="Corpsdetexte2">
    <w:name w:val="Corps de texte2"/>
    <w:basedOn w:val="Normal"/>
    <w:rsid w:val="009C13A9"/>
    <w:pPr>
      <w:widowControl w:val="0"/>
      <w:suppressAutoHyphens/>
      <w:overflowPunct w:val="0"/>
      <w:spacing w:line="340" w:lineRule="atLeast"/>
      <w:textAlignment w:val="baseline"/>
    </w:pPr>
    <w:rPr>
      <w:szCs w:val="20"/>
      <w:lang w:eastAsia="hu-HU"/>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eastAsia="hu-HU"/>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eastAsia="hu-HU"/>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eastAsia="hu-HU"/>
    </w:rPr>
  </w:style>
  <w:style w:type="paragraph" w:customStyle="1" w:styleId="Corpsdetexte1">
    <w:name w:val="Corps de texte1"/>
    <w:basedOn w:val="Normal"/>
    <w:rsid w:val="009C13A9"/>
    <w:pPr>
      <w:widowControl w:val="0"/>
      <w:suppressAutoHyphens/>
      <w:overflowPunct w:val="0"/>
      <w:spacing w:line="340" w:lineRule="atLeast"/>
      <w:textAlignment w:val="baseline"/>
    </w:pPr>
    <w:rPr>
      <w:szCs w:val="20"/>
      <w:lang w:eastAsia="hu-HU"/>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eastAsia="hu-HU"/>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eastAsia="hu-HU"/>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szCs w:val="20"/>
      <w:lang w:eastAsia="hu-HU"/>
    </w:rPr>
  </w:style>
  <w:style w:type="paragraph" w:customStyle="1" w:styleId="Par1">
    <w:name w:val="Par_1"/>
    <w:basedOn w:val="Normal"/>
    <w:rsid w:val="009C13A9"/>
    <w:pPr>
      <w:tabs>
        <w:tab w:val="left" w:pos="482"/>
      </w:tabs>
      <w:suppressAutoHyphens/>
      <w:spacing w:before="40" w:after="40"/>
      <w:ind w:left="482" w:right="57"/>
    </w:pPr>
    <w:rPr>
      <w:szCs w:val="20"/>
      <w:lang w:eastAsia="hu-HU"/>
    </w:rPr>
  </w:style>
  <w:style w:type="paragraph" w:customStyle="1" w:styleId="t62">
    <w:name w:val="t62"/>
    <w:basedOn w:val="Normal"/>
    <w:rsid w:val="009C13A9"/>
    <w:pPr>
      <w:suppressAutoHyphens/>
      <w:spacing w:line="240" w:lineRule="atLeast"/>
    </w:pPr>
    <w:rPr>
      <w:szCs w:val="20"/>
      <w:lang w:eastAsia="hu-HU"/>
    </w:rPr>
  </w:style>
  <w:style w:type="paragraph" w:customStyle="1" w:styleId="p17">
    <w:name w:val="p17"/>
    <w:basedOn w:val="Normal"/>
    <w:rsid w:val="009C13A9"/>
    <w:pPr>
      <w:tabs>
        <w:tab w:val="left" w:pos="280"/>
      </w:tabs>
      <w:suppressAutoHyphens/>
      <w:spacing w:line="200" w:lineRule="atLeast"/>
      <w:ind w:left="1440" w:firstLine="288"/>
    </w:pPr>
    <w:rPr>
      <w:szCs w:val="20"/>
      <w:lang w:eastAsia="hu-HU"/>
    </w:rPr>
  </w:style>
  <w:style w:type="paragraph" w:customStyle="1" w:styleId="p67">
    <w:name w:val="p67"/>
    <w:basedOn w:val="Normal"/>
    <w:rsid w:val="009C13A9"/>
    <w:pPr>
      <w:tabs>
        <w:tab w:val="left" w:pos="660"/>
      </w:tabs>
      <w:suppressAutoHyphens/>
      <w:spacing w:line="200" w:lineRule="atLeast"/>
      <w:ind w:left="780"/>
    </w:pPr>
    <w:rPr>
      <w:szCs w:val="20"/>
      <w:lang w:eastAsia="hu-HU"/>
    </w:rPr>
  </w:style>
  <w:style w:type="paragraph" w:customStyle="1" w:styleId="ai">
    <w:name w:val="ai"/>
    <w:basedOn w:val="Normal"/>
    <w:rsid w:val="009C13A9"/>
    <w:pPr>
      <w:tabs>
        <w:tab w:val="left" w:pos="425"/>
      </w:tabs>
      <w:suppressAutoHyphens/>
      <w:spacing w:line="240" w:lineRule="atLeast"/>
    </w:pPr>
    <w:rPr>
      <w:rFonts w:cs="Arial"/>
      <w:bCs/>
      <w:i/>
      <w:lang w:eastAsia="hu-HU"/>
    </w:rPr>
  </w:style>
  <w:style w:type="paragraph" w:customStyle="1" w:styleId="aai">
    <w:name w:val="aai"/>
    <w:basedOn w:val="Normal"/>
    <w:rsid w:val="009C13A9"/>
    <w:pPr>
      <w:tabs>
        <w:tab w:val="left" w:pos="851"/>
      </w:tabs>
      <w:suppressAutoHyphens/>
      <w:spacing w:line="240" w:lineRule="atLeast"/>
      <w:ind w:left="850"/>
    </w:pPr>
    <w:rPr>
      <w:rFonts w:cs="Arial"/>
      <w:bCs/>
      <w:i/>
      <w:lang w:eastAsia="hu-HU"/>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eastAsia="hu-HU"/>
    </w:rPr>
  </w:style>
  <w:style w:type="paragraph" w:customStyle="1" w:styleId="xl39">
    <w:name w:val="xl39"/>
    <w:basedOn w:val="Normal"/>
    <w:rsid w:val="009C13A9"/>
    <w:pPr>
      <w:suppressAutoHyphens/>
      <w:spacing w:before="100" w:after="100"/>
      <w:jc w:val="center"/>
    </w:pPr>
    <w:rPr>
      <w:rFonts w:cs="Arial"/>
      <w:b/>
      <w:bCs/>
      <w:lang w:eastAsia="hu-HU"/>
    </w:rPr>
  </w:style>
  <w:style w:type="paragraph" w:customStyle="1" w:styleId="Textedebulles1">
    <w:name w:val="Texte de bulles1"/>
    <w:basedOn w:val="Normal"/>
    <w:rsid w:val="009C13A9"/>
    <w:pPr>
      <w:suppressAutoHyphens/>
      <w:overflowPunct w:val="0"/>
      <w:textAlignment w:val="baseline"/>
    </w:pPr>
    <w:rPr>
      <w:sz w:val="16"/>
      <w:szCs w:val="16"/>
      <w:lang w:eastAsia="hu-HU"/>
    </w:rPr>
  </w:style>
  <w:style w:type="paragraph" w:customStyle="1" w:styleId="Text10">
    <w:name w:val="Text1"/>
    <w:basedOn w:val="Normal"/>
    <w:rsid w:val="009C13A9"/>
    <w:pPr>
      <w:suppressAutoHyphens/>
      <w:spacing w:after="120" w:line="360" w:lineRule="auto"/>
    </w:pPr>
    <w:rPr>
      <w:rFonts w:ascii="Arial Narrow" w:hAnsi="Arial Narrow"/>
      <w:lang w:eastAsia="hu-HU"/>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lang w:eastAsia="hu-HU"/>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eastAsia="hu-HU"/>
    </w:rPr>
  </w:style>
  <w:style w:type="paragraph" w:customStyle="1" w:styleId="Bo1">
    <w:name w:val="Bo1"/>
    <w:basedOn w:val="Normal"/>
    <w:rsid w:val="009C13A9"/>
    <w:pPr>
      <w:suppressAutoHyphens/>
      <w:spacing w:line="240" w:lineRule="atLeast"/>
      <w:ind w:left="1134" w:hanging="709"/>
    </w:pPr>
    <w:rPr>
      <w:b/>
      <w:lang w:eastAsia="hu-HU"/>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lang w:eastAsia="hu-HU"/>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hu-HU"/>
    </w:rPr>
  </w:style>
  <w:style w:type="paragraph" w:customStyle="1" w:styleId="Textebrut1">
    <w:name w:val="Texte brut1"/>
    <w:basedOn w:val="Normal"/>
    <w:rsid w:val="009C13A9"/>
    <w:pPr>
      <w:suppressAutoHyphens/>
    </w:pPr>
    <w:rPr>
      <w:rFonts w:ascii="Consolas" w:hAnsi="Consolas"/>
      <w:sz w:val="21"/>
      <w:szCs w:val="21"/>
      <w:lang w:eastAsia="hu-HU"/>
    </w:rPr>
  </w:style>
  <w:style w:type="paragraph" w:customStyle="1" w:styleId="ED1">
    <w:name w:val="ED1"/>
    <w:basedOn w:val="Normal"/>
    <w:rsid w:val="009C13A9"/>
    <w:pPr>
      <w:suppressAutoHyphens/>
    </w:pPr>
    <w:rPr>
      <w:lang w:eastAsia="hu-HU"/>
    </w:rPr>
  </w:style>
  <w:style w:type="paragraph" w:customStyle="1" w:styleId="Commentaire1">
    <w:name w:val="Commentaire1"/>
    <w:basedOn w:val="Normal"/>
    <w:rsid w:val="009C13A9"/>
    <w:pPr>
      <w:suppressAutoHyphens/>
    </w:pPr>
    <w:rPr>
      <w:szCs w:val="20"/>
      <w:lang w:eastAsia="hu-HU"/>
    </w:rPr>
  </w:style>
  <w:style w:type="paragraph" w:customStyle="1" w:styleId="Contenudetableau">
    <w:name w:val="Contenu de tableau"/>
    <w:basedOn w:val="Normal"/>
    <w:rsid w:val="009C13A9"/>
    <w:pPr>
      <w:suppressLineNumbers/>
      <w:suppressAutoHyphens/>
    </w:pPr>
    <w:rPr>
      <w:lang w:eastAsia="hu-HU"/>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rPr>
  </w:style>
  <w:style w:type="paragraph" w:styleId="List2">
    <w:name w:val="List 2"/>
    <w:basedOn w:val="Normal"/>
    <w:rsid w:val="009C13A9"/>
    <w:pPr>
      <w:ind w:left="566" w:hanging="283"/>
    </w:pPr>
  </w:style>
  <w:style w:type="paragraph" w:styleId="List3">
    <w:name w:val="List 3"/>
    <w:basedOn w:val="Normal"/>
    <w:rsid w:val="009C13A9"/>
    <w:pPr>
      <w:ind w:left="849" w:hanging="283"/>
    </w:pPr>
  </w:style>
  <w:style w:type="paragraph" w:styleId="ListContinue2">
    <w:name w:val="List Continue 2"/>
    <w:basedOn w:val="Normal"/>
    <w:rsid w:val="009C13A9"/>
    <w:pPr>
      <w:spacing w:after="120"/>
      <w:ind w:left="566"/>
    </w:p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eastAsia="hu-HU"/>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sz w:val="16"/>
      <w:szCs w:val="16"/>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snapToGrid w:val="0"/>
    </w:rPr>
  </w:style>
  <w:style w:type="numbering" w:customStyle="1" w:styleId="Aucuneliste3">
    <w:name w:val="Aucune liste3"/>
    <w:next w:val="NoList"/>
    <w:semiHidden/>
    <w:rsid w:val="009C13A9"/>
  </w:style>
  <w:style w:type="paragraph" w:customStyle="1" w:styleId="Normal1">
    <w:name w:val="Normal1"/>
    <w:basedOn w:val="Normal"/>
    <w:rsid w:val="009C13A9"/>
    <w:rPr>
      <w:color w:val="000000"/>
      <w:szCs w:val="20"/>
      <w:lang w:eastAsia="hu-HU"/>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rPr>
  </w:style>
  <w:style w:type="paragraph" w:customStyle="1" w:styleId="Esanngauche">
    <w:name w:val="Es_ann_gauche"/>
    <w:basedOn w:val="Normal"/>
    <w:qFormat/>
    <w:rsid w:val="009C13A9"/>
    <w:pPr>
      <w:tabs>
        <w:tab w:val="left" w:leader="dot" w:pos="9072"/>
      </w:tabs>
      <w:spacing w:line="240" w:lineRule="atLeast"/>
    </w:pPr>
    <w:rPr>
      <w:rFonts w:cs="Arial"/>
    </w:rPr>
  </w:style>
  <w:style w:type="paragraph" w:customStyle="1" w:styleId="ESannexetitrearticle">
    <w:name w:val="ES_annexe_titre_article"/>
    <w:basedOn w:val="Normal"/>
    <w:qFormat/>
    <w:rsid w:val="009C13A9"/>
    <w:pPr>
      <w:spacing w:line="240" w:lineRule="atLeast"/>
      <w:jc w:val="center"/>
    </w:pPr>
    <w:rPr>
      <w:rFonts w:cs="Arial"/>
      <w:b/>
      <w:noProof/>
    </w:rPr>
  </w:style>
  <w:style w:type="paragraph" w:customStyle="1" w:styleId="ESannexelet">
    <w:name w:val="ES_annexe_let"/>
    <w:basedOn w:val="Normal"/>
    <w:qFormat/>
    <w:rsid w:val="009C13A9"/>
    <w:pPr>
      <w:spacing w:before="60" w:line="240" w:lineRule="atLeast"/>
      <w:ind w:left="851"/>
    </w:pPr>
    <w:rPr>
      <w:rFonts w:cs="Arial"/>
      <w:noProof/>
      <w:lang w:eastAsia="hu-HU"/>
    </w:rPr>
  </w:style>
  <w:style w:type="paragraph" w:customStyle="1" w:styleId="ESannexechpar">
    <w:name w:val="ES_annexe_ch_par"/>
    <w:basedOn w:val="ESchpar"/>
    <w:qFormat/>
    <w:rsid w:val="009C13A9"/>
    <w:pPr>
      <w:ind w:left="426"/>
    </w:pPr>
    <w:rPr>
      <w:lang w:eastAsia="hu-HU"/>
    </w:rPr>
  </w:style>
  <w:style w:type="paragraph" w:customStyle="1" w:styleId="Esannexeletgauch">
    <w:name w:val="Es_annexe_let_gauch"/>
    <w:basedOn w:val="Normal"/>
    <w:qFormat/>
    <w:rsid w:val="009C13A9"/>
    <w:pPr>
      <w:spacing w:before="60" w:line="240" w:lineRule="atLeast"/>
    </w:pPr>
    <w:rPr>
      <w:rFonts w:cs="Arial"/>
      <w:noProof/>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style>
  <w:style w:type="paragraph" w:customStyle="1" w:styleId="Bullet1">
    <w:name w:val="Bullet 1"/>
    <w:basedOn w:val="Normal"/>
    <w:rsid w:val="009C13A9"/>
    <w:pPr>
      <w:numPr>
        <w:numId w:val="5"/>
      </w:numPr>
      <w:spacing w:before="120" w:after="120"/>
    </w:pPr>
  </w:style>
  <w:style w:type="paragraph" w:customStyle="1" w:styleId="Bullet2">
    <w:name w:val="Bullet 2"/>
    <w:basedOn w:val="Normal"/>
    <w:rsid w:val="009C13A9"/>
    <w:pPr>
      <w:numPr>
        <w:numId w:val="6"/>
      </w:numPr>
      <w:spacing w:before="120" w:after="120"/>
    </w:p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snapToGrid w:val="0"/>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rPr>
  </w:style>
  <w:style w:type="paragraph" w:customStyle="1" w:styleId="Chiffregras">
    <w:name w:val="Chiffre_gras"/>
    <w:basedOn w:val="Normal"/>
    <w:qFormat/>
    <w:rsid w:val="005C7DB3"/>
    <w:pPr>
      <w:adjustRightInd w:val="0"/>
      <w:spacing w:line="240" w:lineRule="atLeast"/>
      <w:ind w:left="709" w:hanging="709"/>
      <w:outlineLvl w:val="0"/>
    </w:pPr>
    <w:rPr>
      <w:rFonts w:eastAsia="Calibri"/>
      <w:b/>
      <w:bCs/>
    </w:rPr>
  </w:style>
  <w:style w:type="paragraph" w:customStyle="1" w:styleId="Chiffrepar">
    <w:name w:val="Chiffre_par"/>
    <w:basedOn w:val="Normal"/>
    <w:qFormat/>
    <w:rsid w:val="005C7DB3"/>
    <w:pPr>
      <w:adjustRightInd w:val="0"/>
      <w:spacing w:line="240" w:lineRule="atLeast"/>
      <w:ind w:left="709"/>
    </w:pPr>
    <w:rPr>
      <w:rFonts w:eastAsia="Calibri"/>
    </w:rPr>
  </w:style>
  <w:style w:type="paragraph" w:customStyle="1" w:styleId="Chiffre">
    <w:name w:val="Chiffre"/>
    <w:basedOn w:val="Normal"/>
    <w:qFormat/>
    <w:rsid w:val="005C7DB3"/>
    <w:pPr>
      <w:adjustRightInd w:val="0"/>
      <w:spacing w:line="240" w:lineRule="atLeast"/>
      <w:ind w:left="709" w:hanging="709"/>
    </w:pPr>
    <w:rPr>
      <w:rFonts w:eastAsia="Calibri"/>
    </w:rPr>
  </w:style>
  <w:style w:type="paragraph" w:customStyle="1" w:styleId="chiffrelettre">
    <w:name w:val="chiffre_lettre"/>
    <w:basedOn w:val="Normal"/>
    <w:qFormat/>
    <w:rsid w:val="005C7DB3"/>
    <w:pPr>
      <w:adjustRightInd w:val="0"/>
      <w:spacing w:before="60" w:line="240" w:lineRule="atLeast"/>
      <w:ind w:left="1134"/>
    </w:pPr>
    <w:rPr>
      <w:rFonts w:eastAsia="Calibri"/>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style>
  <w:style w:type="paragraph" w:customStyle="1" w:styleId="norm">
    <w:name w:val="norm"/>
    <w:basedOn w:val="Normal"/>
    <w:rsid w:val="003D29D8"/>
    <w:pPr>
      <w:spacing w:before="100" w:beforeAutospacing="1" w:after="100" w:afterAutospacing="1"/>
    </w:p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rPr>
  </w:style>
  <w:style w:type="character" w:customStyle="1" w:styleId="IS1cmCar">
    <w:name w:val="IS_1cm Car"/>
    <w:link w:val="IS1cm"/>
    <w:rsid w:val="004F47BB"/>
    <w:rPr>
      <w:rFonts w:ascii="Arial" w:hAnsi="Arial"/>
      <w:lang w:val="hu-HU"/>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style>
  <w:style w:type="paragraph" w:customStyle="1" w:styleId="ES-Titre4a">
    <w:name w:val="ES-Titre4a"/>
    <w:basedOn w:val="ES-Titre3a"/>
    <w:qFormat/>
    <w:rsid w:val="00C859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72696">
      <w:bodyDiv w:val="1"/>
      <w:marLeft w:val="0"/>
      <w:marRight w:val="0"/>
      <w:marTop w:val="0"/>
      <w:marBottom w:val="0"/>
      <w:divBdr>
        <w:top w:val="none" w:sz="0" w:space="0" w:color="auto"/>
        <w:left w:val="none" w:sz="0" w:space="0" w:color="auto"/>
        <w:bottom w:val="none" w:sz="0" w:space="0" w:color="auto"/>
        <w:right w:val="none" w:sz="0" w:space="0" w:color="auto"/>
      </w:divBdr>
    </w:div>
    <w:div w:id="116535451">
      <w:bodyDiv w:val="1"/>
      <w:marLeft w:val="0"/>
      <w:marRight w:val="0"/>
      <w:marTop w:val="0"/>
      <w:marBottom w:val="0"/>
      <w:divBdr>
        <w:top w:val="none" w:sz="0" w:space="0" w:color="auto"/>
        <w:left w:val="none" w:sz="0" w:space="0" w:color="auto"/>
        <w:bottom w:val="none" w:sz="0" w:space="0" w:color="auto"/>
        <w:right w:val="none" w:sz="0" w:space="0" w:color="auto"/>
      </w:divBdr>
    </w:div>
    <w:div w:id="444081102">
      <w:bodyDiv w:val="1"/>
      <w:marLeft w:val="0"/>
      <w:marRight w:val="0"/>
      <w:marTop w:val="0"/>
      <w:marBottom w:val="0"/>
      <w:divBdr>
        <w:top w:val="none" w:sz="0" w:space="0" w:color="auto"/>
        <w:left w:val="none" w:sz="0" w:space="0" w:color="auto"/>
        <w:bottom w:val="none" w:sz="0" w:space="0" w:color="auto"/>
        <w:right w:val="none" w:sz="0" w:space="0" w:color="auto"/>
      </w:divBdr>
    </w:div>
    <w:div w:id="877932533">
      <w:bodyDiv w:val="1"/>
      <w:marLeft w:val="0"/>
      <w:marRight w:val="0"/>
      <w:marTop w:val="0"/>
      <w:marBottom w:val="0"/>
      <w:divBdr>
        <w:top w:val="none" w:sz="0" w:space="0" w:color="auto"/>
        <w:left w:val="none" w:sz="0" w:space="0" w:color="auto"/>
        <w:bottom w:val="none" w:sz="0" w:space="0" w:color="auto"/>
        <w:right w:val="none" w:sz="0" w:space="0" w:color="auto"/>
      </w:divBdr>
    </w:div>
    <w:div w:id="920331382">
      <w:bodyDiv w:val="1"/>
      <w:marLeft w:val="0"/>
      <w:marRight w:val="0"/>
      <w:marTop w:val="0"/>
      <w:marBottom w:val="0"/>
      <w:divBdr>
        <w:top w:val="none" w:sz="0" w:space="0" w:color="auto"/>
        <w:left w:val="none" w:sz="0" w:space="0" w:color="auto"/>
        <w:bottom w:val="none" w:sz="0" w:space="0" w:color="auto"/>
        <w:right w:val="none" w:sz="0" w:space="0" w:color="auto"/>
      </w:divBdr>
    </w:div>
    <w:div w:id="959919701">
      <w:bodyDiv w:val="1"/>
      <w:marLeft w:val="0"/>
      <w:marRight w:val="0"/>
      <w:marTop w:val="0"/>
      <w:marBottom w:val="0"/>
      <w:divBdr>
        <w:top w:val="none" w:sz="0" w:space="0" w:color="auto"/>
        <w:left w:val="none" w:sz="0" w:space="0" w:color="auto"/>
        <w:bottom w:val="none" w:sz="0" w:space="0" w:color="auto"/>
        <w:right w:val="none" w:sz="0" w:space="0" w:color="auto"/>
      </w:divBdr>
    </w:div>
    <w:div w:id="1067725200">
      <w:bodyDiv w:val="1"/>
      <w:marLeft w:val="0"/>
      <w:marRight w:val="0"/>
      <w:marTop w:val="0"/>
      <w:marBottom w:val="0"/>
      <w:divBdr>
        <w:top w:val="none" w:sz="0" w:space="0" w:color="auto"/>
        <w:left w:val="none" w:sz="0" w:space="0" w:color="auto"/>
        <w:bottom w:val="none" w:sz="0" w:space="0" w:color="auto"/>
        <w:right w:val="none" w:sz="0" w:space="0" w:color="auto"/>
      </w:divBdr>
    </w:div>
    <w:div w:id="1841234259">
      <w:bodyDiv w:val="1"/>
      <w:marLeft w:val="0"/>
      <w:marRight w:val="0"/>
      <w:marTop w:val="0"/>
      <w:marBottom w:val="0"/>
      <w:divBdr>
        <w:top w:val="none" w:sz="0" w:space="0" w:color="auto"/>
        <w:left w:val="none" w:sz="0" w:space="0" w:color="auto"/>
        <w:bottom w:val="none" w:sz="0" w:space="0" w:color="auto"/>
        <w:right w:val="none" w:sz="0" w:space="0" w:color="auto"/>
      </w:divBdr>
    </w:div>
    <w:div w:id="1843202567">
      <w:bodyDiv w:val="1"/>
      <w:marLeft w:val="0"/>
      <w:marRight w:val="0"/>
      <w:marTop w:val="0"/>
      <w:marBottom w:val="0"/>
      <w:divBdr>
        <w:top w:val="none" w:sz="0" w:space="0" w:color="auto"/>
        <w:left w:val="none" w:sz="0" w:space="0" w:color="auto"/>
        <w:bottom w:val="none" w:sz="0" w:space="0" w:color="auto"/>
        <w:right w:val="none" w:sz="0" w:space="0" w:color="auto"/>
      </w:divBdr>
    </w:div>
    <w:div w:id="1918395660">
      <w:bodyDiv w:val="1"/>
      <w:marLeft w:val="0"/>
      <w:marRight w:val="0"/>
      <w:marTop w:val="0"/>
      <w:marBottom w:val="0"/>
      <w:divBdr>
        <w:top w:val="none" w:sz="0" w:space="0" w:color="auto"/>
        <w:left w:val="none" w:sz="0" w:space="0" w:color="auto"/>
        <w:bottom w:val="none" w:sz="0" w:space="0" w:color="auto"/>
        <w:right w:val="none" w:sz="0" w:space="0" w:color="auto"/>
      </w:divBdr>
    </w:div>
    <w:div w:id="212002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117" Type="http://schemas.openxmlformats.org/officeDocument/2006/relationships/footer" Target="footer37.xml"/><Relationship Id="rId21" Type="http://schemas.openxmlformats.org/officeDocument/2006/relationships/header" Target="header8.xml"/><Relationship Id="rId42" Type="http://schemas.openxmlformats.org/officeDocument/2006/relationships/header" Target="header20.xml"/><Relationship Id="rId47" Type="http://schemas.openxmlformats.org/officeDocument/2006/relationships/footer" Target="footer11.xml"/><Relationship Id="rId63" Type="http://schemas.openxmlformats.org/officeDocument/2006/relationships/image" Target="media/image17.png"/><Relationship Id="rId68" Type="http://schemas.openxmlformats.org/officeDocument/2006/relationships/image" Target="media/image20.emf"/><Relationship Id="rId84" Type="http://schemas.openxmlformats.org/officeDocument/2006/relationships/footer" Target="footer22.xml"/><Relationship Id="rId89" Type="http://schemas.openxmlformats.org/officeDocument/2006/relationships/header" Target="header37.xml"/><Relationship Id="rId112" Type="http://schemas.openxmlformats.org/officeDocument/2006/relationships/footer" Target="footer34.xml"/><Relationship Id="rId133" Type="http://schemas.openxmlformats.org/officeDocument/2006/relationships/image" Target="media/image28.wmf"/><Relationship Id="rId138" Type="http://schemas.openxmlformats.org/officeDocument/2006/relationships/header" Target="header61.xml"/><Relationship Id="rId154" Type="http://schemas.openxmlformats.org/officeDocument/2006/relationships/theme" Target="theme/theme1.xml"/><Relationship Id="rId16" Type="http://schemas.openxmlformats.org/officeDocument/2006/relationships/footer" Target="footer4.xml"/><Relationship Id="rId107" Type="http://schemas.openxmlformats.org/officeDocument/2006/relationships/header" Target="header44.xml"/><Relationship Id="rId11" Type="http://schemas.openxmlformats.org/officeDocument/2006/relationships/header" Target="header2.xml"/><Relationship Id="rId32" Type="http://schemas.openxmlformats.org/officeDocument/2006/relationships/header" Target="header13.xml"/><Relationship Id="rId37" Type="http://schemas.openxmlformats.org/officeDocument/2006/relationships/footer" Target="footer7.xml"/><Relationship Id="rId53" Type="http://schemas.openxmlformats.org/officeDocument/2006/relationships/image" Target="media/image7.wmf"/><Relationship Id="rId58" Type="http://schemas.openxmlformats.org/officeDocument/2006/relationships/image" Target="media/image12.wmf"/><Relationship Id="rId74" Type="http://schemas.openxmlformats.org/officeDocument/2006/relationships/header" Target="header29.xml"/><Relationship Id="rId79" Type="http://schemas.openxmlformats.org/officeDocument/2006/relationships/footer" Target="footer20.xml"/><Relationship Id="rId102" Type="http://schemas.openxmlformats.org/officeDocument/2006/relationships/header" Target="header41.xml"/><Relationship Id="rId123" Type="http://schemas.openxmlformats.org/officeDocument/2006/relationships/image" Target="media/image26.emf"/><Relationship Id="rId128" Type="http://schemas.openxmlformats.org/officeDocument/2006/relationships/header" Target="header54.xml"/><Relationship Id="rId144" Type="http://schemas.openxmlformats.org/officeDocument/2006/relationships/image" Target="media/image30.png"/><Relationship Id="rId149" Type="http://schemas.openxmlformats.org/officeDocument/2006/relationships/footer" Target="footer45.xml"/><Relationship Id="rId5" Type="http://schemas.openxmlformats.org/officeDocument/2006/relationships/settings" Target="settings.xml"/><Relationship Id="rId90" Type="http://schemas.openxmlformats.org/officeDocument/2006/relationships/footer" Target="footer25.xml"/><Relationship Id="rId95" Type="http://schemas.openxmlformats.org/officeDocument/2006/relationships/footer" Target="footer28.xml"/><Relationship Id="rId22" Type="http://schemas.openxmlformats.org/officeDocument/2006/relationships/image" Target="media/image2.jpeg"/><Relationship Id="rId27" Type="http://schemas.openxmlformats.org/officeDocument/2006/relationships/header" Target="header10.xml"/><Relationship Id="rId43" Type="http://schemas.openxmlformats.org/officeDocument/2006/relationships/footer" Target="footer10.xml"/><Relationship Id="rId48" Type="http://schemas.openxmlformats.org/officeDocument/2006/relationships/header" Target="header23.xml"/><Relationship Id="rId64" Type="http://schemas.openxmlformats.org/officeDocument/2006/relationships/header" Target="header25.xml"/><Relationship Id="rId69" Type="http://schemas.openxmlformats.org/officeDocument/2006/relationships/header" Target="header26.xml"/><Relationship Id="rId113" Type="http://schemas.openxmlformats.org/officeDocument/2006/relationships/header" Target="header47.xml"/><Relationship Id="rId118" Type="http://schemas.openxmlformats.org/officeDocument/2006/relationships/image" Target="media/image25.wmf"/><Relationship Id="rId134" Type="http://schemas.openxmlformats.org/officeDocument/2006/relationships/header" Target="header59.xml"/><Relationship Id="rId139" Type="http://schemas.openxmlformats.org/officeDocument/2006/relationships/footer" Target="footer42.xml"/><Relationship Id="rId80" Type="http://schemas.openxmlformats.org/officeDocument/2006/relationships/header" Target="header32.xml"/><Relationship Id="rId85" Type="http://schemas.openxmlformats.org/officeDocument/2006/relationships/footer" Target="footer23.xml"/><Relationship Id="rId150" Type="http://schemas.openxmlformats.org/officeDocument/2006/relationships/header" Target="header66.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jpeg"/><Relationship Id="rId33" Type="http://schemas.openxmlformats.org/officeDocument/2006/relationships/header" Target="header14.xml"/><Relationship Id="rId38" Type="http://schemas.openxmlformats.org/officeDocument/2006/relationships/header" Target="header18.xml"/><Relationship Id="rId46" Type="http://schemas.openxmlformats.org/officeDocument/2006/relationships/header" Target="header22.xml"/><Relationship Id="rId59" Type="http://schemas.openxmlformats.org/officeDocument/2006/relationships/image" Target="media/image13.wmf"/><Relationship Id="rId67" Type="http://schemas.openxmlformats.org/officeDocument/2006/relationships/image" Target="media/image19.png"/><Relationship Id="rId103" Type="http://schemas.openxmlformats.org/officeDocument/2006/relationships/footer" Target="footer30.xml"/><Relationship Id="rId108" Type="http://schemas.openxmlformats.org/officeDocument/2006/relationships/header" Target="header45.xml"/><Relationship Id="rId116" Type="http://schemas.openxmlformats.org/officeDocument/2006/relationships/footer" Target="footer36.xml"/><Relationship Id="rId124" Type="http://schemas.openxmlformats.org/officeDocument/2006/relationships/image" Target="media/image27.wmf"/><Relationship Id="rId129" Type="http://schemas.openxmlformats.org/officeDocument/2006/relationships/header" Target="header55.xml"/><Relationship Id="rId137" Type="http://schemas.openxmlformats.org/officeDocument/2006/relationships/footer" Target="footer41.xml"/><Relationship Id="rId20" Type="http://schemas.openxmlformats.org/officeDocument/2006/relationships/header" Target="header7.xml"/><Relationship Id="rId41" Type="http://schemas.openxmlformats.org/officeDocument/2006/relationships/footer" Target="footer9.xml"/><Relationship Id="rId54" Type="http://schemas.openxmlformats.org/officeDocument/2006/relationships/image" Target="media/image8.wmf"/><Relationship Id="rId62" Type="http://schemas.openxmlformats.org/officeDocument/2006/relationships/image" Target="media/image16.png"/><Relationship Id="rId70" Type="http://schemas.openxmlformats.org/officeDocument/2006/relationships/footer" Target="footer16.xml"/><Relationship Id="rId75" Type="http://schemas.openxmlformats.org/officeDocument/2006/relationships/footer" Target="footer18.xml"/><Relationship Id="rId83" Type="http://schemas.openxmlformats.org/officeDocument/2006/relationships/header" Target="header34.xml"/><Relationship Id="rId88" Type="http://schemas.openxmlformats.org/officeDocument/2006/relationships/header" Target="header36.xml"/><Relationship Id="rId91" Type="http://schemas.openxmlformats.org/officeDocument/2006/relationships/footer" Target="footer26.xml"/><Relationship Id="rId96" Type="http://schemas.openxmlformats.org/officeDocument/2006/relationships/header" Target="header40.xml"/><Relationship Id="rId111" Type="http://schemas.openxmlformats.org/officeDocument/2006/relationships/header" Target="header46.xml"/><Relationship Id="rId132" Type="http://schemas.openxmlformats.org/officeDocument/2006/relationships/header" Target="header58.xml"/><Relationship Id="rId140" Type="http://schemas.openxmlformats.org/officeDocument/2006/relationships/header" Target="header62.xml"/><Relationship Id="rId145" Type="http://schemas.openxmlformats.org/officeDocument/2006/relationships/image" Target="media/image31.png"/><Relationship Id="rId15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3.png"/><Relationship Id="rId28" Type="http://schemas.openxmlformats.org/officeDocument/2006/relationships/header" Target="header11.xml"/><Relationship Id="rId36" Type="http://schemas.openxmlformats.org/officeDocument/2006/relationships/header" Target="header17.xml"/><Relationship Id="rId49" Type="http://schemas.openxmlformats.org/officeDocument/2006/relationships/footer" Target="footer12.xml"/><Relationship Id="rId57" Type="http://schemas.openxmlformats.org/officeDocument/2006/relationships/image" Target="media/image11.wmf"/><Relationship Id="rId106" Type="http://schemas.openxmlformats.org/officeDocument/2006/relationships/header" Target="header43.xml"/><Relationship Id="rId114" Type="http://schemas.openxmlformats.org/officeDocument/2006/relationships/header" Target="header48.xml"/><Relationship Id="rId119" Type="http://schemas.openxmlformats.org/officeDocument/2006/relationships/header" Target="header49.xml"/><Relationship Id="rId127" Type="http://schemas.openxmlformats.org/officeDocument/2006/relationships/footer" Target="footer39.xml"/><Relationship Id="rId10" Type="http://schemas.openxmlformats.org/officeDocument/2006/relationships/footer" Target="footer1.xml"/><Relationship Id="rId31" Type="http://schemas.openxmlformats.org/officeDocument/2006/relationships/footer" Target="footer6.xml"/><Relationship Id="rId44" Type="http://schemas.openxmlformats.org/officeDocument/2006/relationships/header" Target="header21.xml"/><Relationship Id="rId52" Type="http://schemas.openxmlformats.org/officeDocument/2006/relationships/footer" Target="footer14.xml"/><Relationship Id="rId60" Type="http://schemas.openxmlformats.org/officeDocument/2006/relationships/image" Target="media/image14.jpeg"/><Relationship Id="rId65" Type="http://schemas.openxmlformats.org/officeDocument/2006/relationships/footer" Target="footer15.xml"/><Relationship Id="rId73" Type="http://schemas.openxmlformats.org/officeDocument/2006/relationships/footer" Target="footer17.xml"/><Relationship Id="rId78" Type="http://schemas.openxmlformats.org/officeDocument/2006/relationships/footer" Target="footer19.xml"/><Relationship Id="rId81" Type="http://schemas.openxmlformats.org/officeDocument/2006/relationships/footer" Target="footer21.xml"/><Relationship Id="rId86" Type="http://schemas.openxmlformats.org/officeDocument/2006/relationships/header" Target="header35.xml"/><Relationship Id="rId94" Type="http://schemas.openxmlformats.org/officeDocument/2006/relationships/header" Target="header39.xml"/><Relationship Id="rId99" Type="http://schemas.openxmlformats.org/officeDocument/2006/relationships/image" Target="media/image22.jpg"/><Relationship Id="rId101" Type="http://schemas.openxmlformats.org/officeDocument/2006/relationships/image" Target="media/image24.png"/><Relationship Id="rId122" Type="http://schemas.openxmlformats.org/officeDocument/2006/relationships/footer" Target="footer38.xml"/><Relationship Id="rId130" Type="http://schemas.openxmlformats.org/officeDocument/2006/relationships/header" Target="header56.xml"/><Relationship Id="rId135" Type="http://schemas.openxmlformats.org/officeDocument/2006/relationships/footer" Target="footer40.xml"/><Relationship Id="rId143" Type="http://schemas.openxmlformats.org/officeDocument/2006/relationships/image" Target="media/image29.jpeg"/><Relationship Id="rId148" Type="http://schemas.openxmlformats.org/officeDocument/2006/relationships/header" Target="header65.xml"/><Relationship Id="rId151" Type="http://schemas.openxmlformats.org/officeDocument/2006/relationships/image" Target="media/image32.jpeg"/><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footer" Target="footer8.xml"/><Relationship Id="rId109" Type="http://schemas.openxmlformats.org/officeDocument/2006/relationships/footer" Target="footer32.xml"/><Relationship Id="rId34" Type="http://schemas.openxmlformats.org/officeDocument/2006/relationships/header" Target="header15.xml"/><Relationship Id="rId50" Type="http://schemas.openxmlformats.org/officeDocument/2006/relationships/header" Target="header24.xml"/><Relationship Id="rId55" Type="http://schemas.openxmlformats.org/officeDocument/2006/relationships/image" Target="media/image9.wmf"/><Relationship Id="rId76" Type="http://schemas.openxmlformats.org/officeDocument/2006/relationships/header" Target="header30.xml"/><Relationship Id="rId97" Type="http://schemas.openxmlformats.org/officeDocument/2006/relationships/footer" Target="footer29.xml"/><Relationship Id="rId104" Type="http://schemas.openxmlformats.org/officeDocument/2006/relationships/header" Target="header42.xml"/><Relationship Id="rId120" Type="http://schemas.openxmlformats.org/officeDocument/2006/relationships/header" Target="header50.xml"/><Relationship Id="rId125" Type="http://schemas.openxmlformats.org/officeDocument/2006/relationships/header" Target="header52.xml"/><Relationship Id="rId141" Type="http://schemas.openxmlformats.org/officeDocument/2006/relationships/footer" Target="footer43.xml"/><Relationship Id="rId146" Type="http://schemas.openxmlformats.org/officeDocument/2006/relationships/header" Target="header64.xml"/><Relationship Id="rId7" Type="http://schemas.openxmlformats.org/officeDocument/2006/relationships/footnotes" Target="footnotes.xml"/><Relationship Id="rId71" Type="http://schemas.openxmlformats.org/officeDocument/2006/relationships/header" Target="header27.xml"/><Relationship Id="rId92" Type="http://schemas.openxmlformats.org/officeDocument/2006/relationships/header" Target="header38.xml"/><Relationship Id="rId2" Type="http://schemas.openxmlformats.org/officeDocument/2006/relationships/numbering" Target="numbering.xml"/><Relationship Id="rId29" Type="http://schemas.openxmlformats.org/officeDocument/2006/relationships/footer" Target="footer5.xml"/><Relationship Id="rId24" Type="http://schemas.openxmlformats.org/officeDocument/2006/relationships/header" Target="header9.xml"/><Relationship Id="rId40" Type="http://schemas.openxmlformats.org/officeDocument/2006/relationships/header" Target="header19.xml"/><Relationship Id="rId45" Type="http://schemas.openxmlformats.org/officeDocument/2006/relationships/image" Target="media/image6.wmf"/><Relationship Id="rId66" Type="http://schemas.openxmlformats.org/officeDocument/2006/relationships/image" Target="media/image18.png"/><Relationship Id="rId87" Type="http://schemas.openxmlformats.org/officeDocument/2006/relationships/footer" Target="footer24.xml"/><Relationship Id="rId110" Type="http://schemas.openxmlformats.org/officeDocument/2006/relationships/footer" Target="footer33.xml"/><Relationship Id="rId115" Type="http://schemas.openxmlformats.org/officeDocument/2006/relationships/footer" Target="footer35.xml"/><Relationship Id="rId131" Type="http://schemas.openxmlformats.org/officeDocument/2006/relationships/header" Target="header57.xml"/><Relationship Id="rId136" Type="http://schemas.openxmlformats.org/officeDocument/2006/relationships/header" Target="header60.xml"/><Relationship Id="rId61" Type="http://schemas.openxmlformats.org/officeDocument/2006/relationships/image" Target="media/image15.jpeg"/><Relationship Id="rId82" Type="http://schemas.openxmlformats.org/officeDocument/2006/relationships/header" Target="header33.xml"/><Relationship Id="rId152" Type="http://schemas.openxmlformats.org/officeDocument/2006/relationships/header" Target="header67.xml"/><Relationship Id="rId19" Type="http://schemas.openxmlformats.org/officeDocument/2006/relationships/image" Target="media/image1.wmf"/><Relationship Id="rId14" Type="http://schemas.openxmlformats.org/officeDocument/2006/relationships/footer" Target="footer3.xml"/><Relationship Id="rId30" Type="http://schemas.openxmlformats.org/officeDocument/2006/relationships/header" Target="header12.xml"/><Relationship Id="rId35" Type="http://schemas.openxmlformats.org/officeDocument/2006/relationships/header" Target="header16.xml"/><Relationship Id="rId56" Type="http://schemas.openxmlformats.org/officeDocument/2006/relationships/image" Target="media/image10.wmf"/><Relationship Id="rId77" Type="http://schemas.openxmlformats.org/officeDocument/2006/relationships/header" Target="header31.xml"/><Relationship Id="rId100" Type="http://schemas.openxmlformats.org/officeDocument/2006/relationships/image" Target="media/image23.png"/><Relationship Id="rId105" Type="http://schemas.openxmlformats.org/officeDocument/2006/relationships/footer" Target="footer31.xml"/><Relationship Id="rId126" Type="http://schemas.openxmlformats.org/officeDocument/2006/relationships/header" Target="header53.xml"/><Relationship Id="rId147" Type="http://schemas.openxmlformats.org/officeDocument/2006/relationships/footer" Target="footer44.xml"/><Relationship Id="rId8" Type="http://schemas.openxmlformats.org/officeDocument/2006/relationships/endnotes" Target="endnotes.xml"/><Relationship Id="rId51" Type="http://schemas.openxmlformats.org/officeDocument/2006/relationships/footer" Target="footer13.xml"/><Relationship Id="rId72" Type="http://schemas.openxmlformats.org/officeDocument/2006/relationships/header" Target="header28.xml"/><Relationship Id="rId93" Type="http://schemas.openxmlformats.org/officeDocument/2006/relationships/footer" Target="footer27.xml"/><Relationship Id="rId98" Type="http://schemas.openxmlformats.org/officeDocument/2006/relationships/image" Target="media/image21.jpg"/><Relationship Id="rId121" Type="http://schemas.openxmlformats.org/officeDocument/2006/relationships/header" Target="header51.xml"/><Relationship Id="rId142" Type="http://schemas.openxmlformats.org/officeDocument/2006/relationships/header" Target="header63.xm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HU/TXT/HTML/?uri=CELEX:32016R1628&amp;from=HU"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B4630E-20D4-4292-937C-E214DE9A51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424</Pages>
  <Words>106065</Words>
  <Characters>723962</Characters>
  <Application>Microsoft Office Word</Application>
  <DocSecurity>0</DocSecurity>
  <Lines>24798</Lines>
  <Paragraphs>10954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821578</CharactersWithSpaces>
  <SharedDoc>false</SharedDoc>
  <HLinks>
    <vt:vector size="1992" baseType="variant">
      <vt:variant>
        <vt:i4>1179700</vt:i4>
      </vt:variant>
      <vt:variant>
        <vt:i4>1988</vt:i4>
      </vt:variant>
      <vt:variant>
        <vt:i4>0</vt:i4>
      </vt:variant>
      <vt:variant>
        <vt:i4>5</vt:i4>
      </vt:variant>
      <vt:variant>
        <vt:lpwstr/>
      </vt:variant>
      <vt:variant>
        <vt:lpwstr>_Toc413918250</vt:lpwstr>
      </vt:variant>
      <vt:variant>
        <vt:i4>1245236</vt:i4>
      </vt:variant>
      <vt:variant>
        <vt:i4>1982</vt:i4>
      </vt:variant>
      <vt:variant>
        <vt:i4>0</vt:i4>
      </vt:variant>
      <vt:variant>
        <vt:i4>5</vt:i4>
      </vt:variant>
      <vt:variant>
        <vt:lpwstr/>
      </vt:variant>
      <vt:variant>
        <vt:lpwstr>_Toc413918249</vt:lpwstr>
      </vt:variant>
      <vt:variant>
        <vt:i4>1245236</vt:i4>
      </vt:variant>
      <vt:variant>
        <vt:i4>1976</vt:i4>
      </vt:variant>
      <vt:variant>
        <vt:i4>0</vt:i4>
      </vt:variant>
      <vt:variant>
        <vt:i4>5</vt:i4>
      </vt:variant>
      <vt:variant>
        <vt:lpwstr/>
      </vt:variant>
      <vt:variant>
        <vt:lpwstr>_Toc413918248</vt:lpwstr>
      </vt:variant>
      <vt:variant>
        <vt:i4>1245236</vt:i4>
      </vt:variant>
      <vt:variant>
        <vt:i4>1970</vt:i4>
      </vt:variant>
      <vt:variant>
        <vt:i4>0</vt:i4>
      </vt:variant>
      <vt:variant>
        <vt:i4>5</vt:i4>
      </vt:variant>
      <vt:variant>
        <vt:lpwstr/>
      </vt:variant>
      <vt:variant>
        <vt:lpwstr>_Toc413918247</vt:lpwstr>
      </vt:variant>
      <vt:variant>
        <vt:i4>1245236</vt:i4>
      </vt:variant>
      <vt:variant>
        <vt:i4>1964</vt:i4>
      </vt:variant>
      <vt:variant>
        <vt:i4>0</vt:i4>
      </vt:variant>
      <vt:variant>
        <vt:i4>5</vt:i4>
      </vt:variant>
      <vt:variant>
        <vt:lpwstr/>
      </vt:variant>
      <vt:variant>
        <vt:lpwstr>_Toc413918246</vt:lpwstr>
      </vt:variant>
      <vt:variant>
        <vt:i4>1245236</vt:i4>
      </vt:variant>
      <vt:variant>
        <vt:i4>1958</vt:i4>
      </vt:variant>
      <vt:variant>
        <vt:i4>0</vt:i4>
      </vt:variant>
      <vt:variant>
        <vt:i4>5</vt:i4>
      </vt:variant>
      <vt:variant>
        <vt:lpwstr/>
      </vt:variant>
      <vt:variant>
        <vt:lpwstr>_Toc413918245</vt:lpwstr>
      </vt:variant>
      <vt:variant>
        <vt:i4>1245236</vt:i4>
      </vt:variant>
      <vt:variant>
        <vt:i4>1952</vt:i4>
      </vt:variant>
      <vt:variant>
        <vt:i4>0</vt:i4>
      </vt:variant>
      <vt:variant>
        <vt:i4>5</vt:i4>
      </vt:variant>
      <vt:variant>
        <vt:lpwstr/>
      </vt:variant>
      <vt:variant>
        <vt:lpwstr>_Toc413918244</vt:lpwstr>
      </vt:variant>
      <vt:variant>
        <vt:i4>1245236</vt:i4>
      </vt:variant>
      <vt:variant>
        <vt:i4>1946</vt:i4>
      </vt:variant>
      <vt:variant>
        <vt:i4>0</vt:i4>
      </vt:variant>
      <vt:variant>
        <vt:i4>5</vt:i4>
      </vt:variant>
      <vt:variant>
        <vt:lpwstr/>
      </vt:variant>
      <vt:variant>
        <vt:lpwstr>_Toc413918243</vt:lpwstr>
      </vt:variant>
      <vt:variant>
        <vt:i4>1245236</vt:i4>
      </vt:variant>
      <vt:variant>
        <vt:i4>1940</vt:i4>
      </vt:variant>
      <vt:variant>
        <vt:i4>0</vt:i4>
      </vt:variant>
      <vt:variant>
        <vt:i4>5</vt:i4>
      </vt:variant>
      <vt:variant>
        <vt:lpwstr/>
      </vt:variant>
      <vt:variant>
        <vt:lpwstr>_Toc413918242</vt:lpwstr>
      </vt:variant>
      <vt:variant>
        <vt:i4>1245236</vt:i4>
      </vt:variant>
      <vt:variant>
        <vt:i4>1934</vt:i4>
      </vt:variant>
      <vt:variant>
        <vt:i4>0</vt:i4>
      </vt:variant>
      <vt:variant>
        <vt:i4>5</vt:i4>
      </vt:variant>
      <vt:variant>
        <vt:lpwstr/>
      </vt:variant>
      <vt:variant>
        <vt:lpwstr>_Toc413918241</vt:lpwstr>
      </vt:variant>
      <vt:variant>
        <vt:i4>1245236</vt:i4>
      </vt:variant>
      <vt:variant>
        <vt:i4>1928</vt:i4>
      </vt:variant>
      <vt:variant>
        <vt:i4>0</vt:i4>
      </vt:variant>
      <vt:variant>
        <vt:i4>5</vt:i4>
      </vt:variant>
      <vt:variant>
        <vt:lpwstr/>
      </vt:variant>
      <vt:variant>
        <vt:lpwstr>_Toc413918240</vt:lpwstr>
      </vt:variant>
      <vt:variant>
        <vt:i4>1310772</vt:i4>
      </vt:variant>
      <vt:variant>
        <vt:i4>1922</vt:i4>
      </vt:variant>
      <vt:variant>
        <vt:i4>0</vt:i4>
      </vt:variant>
      <vt:variant>
        <vt:i4>5</vt:i4>
      </vt:variant>
      <vt:variant>
        <vt:lpwstr/>
      </vt:variant>
      <vt:variant>
        <vt:lpwstr>_Toc413918239</vt:lpwstr>
      </vt:variant>
      <vt:variant>
        <vt:i4>1310772</vt:i4>
      </vt:variant>
      <vt:variant>
        <vt:i4>1916</vt:i4>
      </vt:variant>
      <vt:variant>
        <vt:i4>0</vt:i4>
      </vt:variant>
      <vt:variant>
        <vt:i4>5</vt:i4>
      </vt:variant>
      <vt:variant>
        <vt:lpwstr/>
      </vt:variant>
      <vt:variant>
        <vt:lpwstr>_Toc413918238</vt:lpwstr>
      </vt:variant>
      <vt:variant>
        <vt:i4>1310772</vt:i4>
      </vt:variant>
      <vt:variant>
        <vt:i4>1910</vt:i4>
      </vt:variant>
      <vt:variant>
        <vt:i4>0</vt:i4>
      </vt:variant>
      <vt:variant>
        <vt:i4>5</vt:i4>
      </vt:variant>
      <vt:variant>
        <vt:lpwstr/>
      </vt:variant>
      <vt:variant>
        <vt:lpwstr>_Toc413918237</vt:lpwstr>
      </vt:variant>
      <vt:variant>
        <vt:i4>1310772</vt:i4>
      </vt:variant>
      <vt:variant>
        <vt:i4>1904</vt:i4>
      </vt:variant>
      <vt:variant>
        <vt:i4>0</vt:i4>
      </vt:variant>
      <vt:variant>
        <vt:i4>5</vt:i4>
      </vt:variant>
      <vt:variant>
        <vt:lpwstr/>
      </vt:variant>
      <vt:variant>
        <vt:lpwstr>_Toc413918236</vt:lpwstr>
      </vt:variant>
      <vt:variant>
        <vt:i4>1310772</vt:i4>
      </vt:variant>
      <vt:variant>
        <vt:i4>1898</vt:i4>
      </vt:variant>
      <vt:variant>
        <vt:i4>0</vt:i4>
      </vt:variant>
      <vt:variant>
        <vt:i4>5</vt:i4>
      </vt:variant>
      <vt:variant>
        <vt:lpwstr/>
      </vt:variant>
      <vt:variant>
        <vt:lpwstr>_Toc413918235</vt:lpwstr>
      </vt:variant>
      <vt:variant>
        <vt:i4>1310772</vt:i4>
      </vt:variant>
      <vt:variant>
        <vt:i4>1892</vt:i4>
      </vt:variant>
      <vt:variant>
        <vt:i4>0</vt:i4>
      </vt:variant>
      <vt:variant>
        <vt:i4>5</vt:i4>
      </vt:variant>
      <vt:variant>
        <vt:lpwstr/>
      </vt:variant>
      <vt:variant>
        <vt:lpwstr>_Toc413918234</vt:lpwstr>
      </vt:variant>
      <vt:variant>
        <vt:i4>1310772</vt:i4>
      </vt:variant>
      <vt:variant>
        <vt:i4>1886</vt:i4>
      </vt:variant>
      <vt:variant>
        <vt:i4>0</vt:i4>
      </vt:variant>
      <vt:variant>
        <vt:i4>5</vt:i4>
      </vt:variant>
      <vt:variant>
        <vt:lpwstr/>
      </vt:variant>
      <vt:variant>
        <vt:lpwstr>_Toc413918233</vt:lpwstr>
      </vt:variant>
      <vt:variant>
        <vt:i4>1310772</vt:i4>
      </vt:variant>
      <vt:variant>
        <vt:i4>1880</vt:i4>
      </vt:variant>
      <vt:variant>
        <vt:i4>0</vt:i4>
      </vt:variant>
      <vt:variant>
        <vt:i4>5</vt:i4>
      </vt:variant>
      <vt:variant>
        <vt:lpwstr/>
      </vt:variant>
      <vt:variant>
        <vt:lpwstr>_Toc413918232</vt:lpwstr>
      </vt:variant>
      <vt:variant>
        <vt:i4>1310772</vt:i4>
      </vt:variant>
      <vt:variant>
        <vt:i4>1874</vt:i4>
      </vt:variant>
      <vt:variant>
        <vt:i4>0</vt:i4>
      </vt:variant>
      <vt:variant>
        <vt:i4>5</vt:i4>
      </vt:variant>
      <vt:variant>
        <vt:lpwstr/>
      </vt:variant>
      <vt:variant>
        <vt:lpwstr>_Toc413918231</vt:lpwstr>
      </vt:variant>
      <vt:variant>
        <vt:i4>1310772</vt:i4>
      </vt:variant>
      <vt:variant>
        <vt:i4>1868</vt:i4>
      </vt:variant>
      <vt:variant>
        <vt:i4>0</vt:i4>
      </vt:variant>
      <vt:variant>
        <vt:i4>5</vt:i4>
      </vt:variant>
      <vt:variant>
        <vt:lpwstr/>
      </vt:variant>
      <vt:variant>
        <vt:lpwstr>_Toc413918230</vt:lpwstr>
      </vt:variant>
      <vt:variant>
        <vt:i4>1376308</vt:i4>
      </vt:variant>
      <vt:variant>
        <vt:i4>1862</vt:i4>
      </vt:variant>
      <vt:variant>
        <vt:i4>0</vt:i4>
      </vt:variant>
      <vt:variant>
        <vt:i4>5</vt:i4>
      </vt:variant>
      <vt:variant>
        <vt:lpwstr/>
      </vt:variant>
      <vt:variant>
        <vt:lpwstr>_Toc413918229</vt:lpwstr>
      </vt:variant>
      <vt:variant>
        <vt:i4>1376308</vt:i4>
      </vt:variant>
      <vt:variant>
        <vt:i4>1856</vt:i4>
      </vt:variant>
      <vt:variant>
        <vt:i4>0</vt:i4>
      </vt:variant>
      <vt:variant>
        <vt:i4>5</vt:i4>
      </vt:variant>
      <vt:variant>
        <vt:lpwstr/>
      </vt:variant>
      <vt:variant>
        <vt:lpwstr>_Toc413918228</vt:lpwstr>
      </vt:variant>
      <vt:variant>
        <vt:i4>1376308</vt:i4>
      </vt:variant>
      <vt:variant>
        <vt:i4>1850</vt:i4>
      </vt:variant>
      <vt:variant>
        <vt:i4>0</vt:i4>
      </vt:variant>
      <vt:variant>
        <vt:i4>5</vt:i4>
      </vt:variant>
      <vt:variant>
        <vt:lpwstr/>
      </vt:variant>
      <vt:variant>
        <vt:lpwstr>_Toc413918227</vt:lpwstr>
      </vt:variant>
      <vt:variant>
        <vt:i4>1376308</vt:i4>
      </vt:variant>
      <vt:variant>
        <vt:i4>1844</vt:i4>
      </vt:variant>
      <vt:variant>
        <vt:i4>0</vt:i4>
      </vt:variant>
      <vt:variant>
        <vt:i4>5</vt:i4>
      </vt:variant>
      <vt:variant>
        <vt:lpwstr/>
      </vt:variant>
      <vt:variant>
        <vt:lpwstr>_Toc413918226</vt:lpwstr>
      </vt:variant>
      <vt:variant>
        <vt:i4>1376308</vt:i4>
      </vt:variant>
      <vt:variant>
        <vt:i4>1838</vt:i4>
      </vt:variant>
      <vt:variant>
        <vt:i4>0</vt:i4>
      </vt:variant>
      <vt:variant>
        <vt:i4>5</vt:i4>
      </vt:variant>
      <vt:variant>
        <vt:lpwstr/>
      </vt:variant>
      <vt:variant>
        <vt:lpwstr>_Toc413918225</vt:lpwstr>
      </vt:variant>
      <vt:variant>
        <vt:i4>1376308</vt:i4>
      </vt:variant>
      <vt:variant>
        <vt:i4>1832</vt:i4>
      </vt:variant>
      <vt:variant>
        <vt:i4>0</vt:i4>
      </vt:variant>
      <vt:variant>
        <vt:i4>5</vt:i4>
      </vt:variant>
      <vt:variant>
        <vt:lpwstr/>
      </vt:variant>
      <vt:variant>
        <vt:lpwstr>_Toc413918224</vt:lpwstr>
      </vt:variant>
      <vt:variant>
        <vt:i4>1376308</vt:i4>
      </vt:variant>
      <vt:variant>
        <vt:i4>1826</vt:i4>
      </vt:variant>
      <vt:variant>
        <vt:i4>0</vt:i4>
      </vt:variant>
      <vt:variant>
        <vt:i4>5</vt:i4>
      </vt:variant>
      <vt:variant>
        <vt:lpwstr/>
      </vt:variant>
      <vt:variant>
        <vt:lpwstr>_Toc413918223</vt:lpwstr>
      </vt:variant>
      <vt:variant>
        <vt:i4>1376308</vt:i4>
      </vt:variant>
      <vt:variant>
        <vt:i4>1820</vt:i4>
      </vt:variant>
      <vt:variant>
        <vt:i4>0</vt:i4>
      </vt:variant>
      <vt:variant>
        <vt:i4>5</vt:i4>
      </vt:variant>
      <vt:variant>
        <vt:lpwstr/>
      </vt:variant>
      <vt:variant>
        <vt:lpwstr>_Toc413918222</vt:lpwstr>
      </vt:variant>
      <vt:variant>
        <vt:i4>1376308</vt:i4>
      </vt:variant>
      <vt:variant>
        <vt:i4>1814</vt:i4>
      </vt:variant>
      <vt:variant>
        <vt:i4>0</vt:i4>
      </vt:variant>
      <vt:variant>
        <vt:i4>5</vt:i4>
      </vt:variant>
      <vt:variant>
        <vt:lpwstr/>
      </vt:variant>
      <vt:variant>
        <vt:lpwstr>_Toc413918221</vt:lpwstr>
      </vt:variant>
      <vt:variant>
        <vt:i4>1376308</vt:i4>
      </vt:variant>
      <vt:variant>
        <vt:i4>1808</vt:i4>
      </vt:variant>
      <vt:variant>
        <vt:i4>0</vt:i4>
      </vt:variant>
      <vt:variant>
        <vt:i4>5</vt:i4>
      </vt:variant>
      <vt:variant>
        <vt:lpwstr/>
      </vt:variant>
      <vt:variant>
        <vt:lpwstr>_Toc413918220</vt:lpwstr>
      </vt:variant>
      <vt:variant>
        <vt:i4>1441844</vt:i4>
      </vt:variant>
      <vt:variant>
        <vt:i4>1802</vt:i4>
      </vt:variant>
      <vt:variant>
        <vt:i4>0</vt:i4>
      </vt:variant>
      <vt:variant>
        <vt:i4>5</vt:i4>
      </vt:variant>
      <vt:variant>
        <vt:lpwstr/>
      </vt:variant>
      <vt:variant>
        <vt:lpwstr>_Toc413918219</vt:lpwstr>
      </vt:variant>
      <vt:variant>
        <vt:i4>1441844</vt:i4>
      </vt:variant>
      <vt:variant>
        <vt:i4>1796</vt:i4>
      </vt:variant>
      <vt:variant>
        <vt:i4>0</vt:i4>
      </vt:variant>
      <vt:variant>
        <vt:i4>5</vt:i4>
      </vt:variant>
      <vt:variant>
        <vt:lpwstr/>
      </vt:variant>
      <vt:variant>
        <vt:lpwstr>_Toc413918218</vt:lpwstr>
      </vt:variant>
      <vt:variant>
        <vt:i4>1441844</vt:i4>
      </vt:variant>
      <vt:variant>
        <vt:i4>1790</vt:i4>
      </vt:variant>
      <vt:variant>
        <vt:i4>0</vt:i4>
      </vt:variant>
      <vt:variant>
        <vt:i4>5</vt:i4>
      </vt:variant>
      <vt:variant>
        <vt:lpwstr/>
      </vt:variant>
      <vt:variant>
        <vt:lpwstr>_Toc413918217</vt:lpwstr>
      </vt:variant>
      <vt:variant>
        <vt:i4>1441844</vt:i4>
      </vt:variant>
      <vt:variant>
        <vt:i4>1784</vt:i4>
      </vt:variant>
      <vt:variant>
        <vt:i4>0</vt:i4>
      </vt:variant>
      <vt:variant>
        <vt:i4>5</vt:i4>
      </vt:variant>
      <vt:variant>
        <vt:lpwstr/>
      </vt:variant>
      <vt:variant>
        <vt:lpwstr>_Toc413918216</vt:lpwstr>
      </vt:variant>
      <vt:variant>
        <vt:i4>1441844</vt:i4>
      </vt:variant>
      <vt:variant>
        <vt:i4>1778</vt:i4>
      </vt:variant>
      <vt:variant>
        <vt:i4>0</vt:i4>
      </vt:variant>
      <vt:variant>
        <vt:i4>5</vt:i4>
      </vt:variant>
      <vt:variant>
        <vt:lpwstr/>
      </vt:variant>
      <vt:variant>
        <vt:lpwstr>_Toc413918215</vt:lpwstr>
      </vt:variant>
      <vt:variant>
        <vt:i4>1441844</vt:i4>
      </vt:variant>
      <vt:variant>
        <vt:i4>1772</vt:i4>
      </vt:variant>
      <vt:variant>
        <vt:i4>0</vt:i4>
      </vt:variant>
      <vt:variant>
        <vt:i4>5</vt:i4>
      </vt:variant>
      <vt:variant>
        <vt:lpwstr/>
      </vt:variant>
      <vt:variant>
        <vt:lpwstr>_Toc413918214</vt:lpwstr>
      </vt:variant>
      <vt:variant>
        <vt:i4>1441844</vt:i4>
      </vt:variant>
      <vt:variant>
        <vt:i4>1766</vt:i4>
      </vt:variant>
      <vt:variant>
        <vt:i4>0</vt:i4>
      </vt:variant>
      <vt:variant>
        <vt:i4>5</vt:i4>
      </vt:variant>
      <vt:variant>
        <vt:lpwstr/>
      </vt:variant>
      <vt:variant>
        <vt:lpwstr>_Toc413918213</vt:lpwstr>
      </vt:variant>
      <vt:variant>
        <vt:i4>1441844</vt:i4>
      </vt:variant>
      <vt:variant>
        <vt:i4>1760</vt:i4>
      </vt:variant>
      <vt:variant>
        <vt:i4>0</vt:i4>
      </vt:variant>
      <vt:variant>
        <vt:i4>5</vt:i4>
      </vt:variant>
      <vt:variant>
        <vt:lpwstr/>
      </vt:variant>
      <vt:variant>
        <vt:lpwstr>_Toc413918212</vt:lpwstr>
      </vt:variant>
      <vt:variant>
        <vt:i4>1441844</vt:i4>
      </vt:variant>
      <vt:variant>
        <vt:i4>1754</vt:i4>
      </vt:variant>
      <vt:variant>
        <vt:i4>0</vt:i4>
      </vt:variant>
      <vt:variant>
        <vt:i4>5</vt:i4>
      </vt:variant>
      <vt:variant>
        <vt:lpwstr/>
      </vt:variant>
      <vt:variant>
        <vt:lpwstr>_Toc413918211</vt:lpwstr>
      </vt:variant>
      <vt:variant>
        <vt:i4>1441844</vt:i4>
      </vt:variant>
      <vt:variant>
        <vt:i4>1748</vt:i4>
      </vt:variant>
      <vt:variant>
        <vt:i4>0</vt:i4>
      </vt:variant>
      <vt:variant>
        <vt:i4>5</vt:i4>
      </vt:variant>
      <vt:variant>
        <vt:lpwstr/>
      </vt:variant>
      <vt:variant>
        <vt:lpwstr>_Toc413918210</vt:lpwstr>
      </vt:variant>
      <vt:variant>
        <vt:i4>1507380</vt:i4>
      </vt:variant>
      <vt:variant>
        <vt:i4>1742</vt:i4>
      </vt:variant>
      <vt:variant>
        <vt:i4>0</vt:i4>
      </vt:variant>
      <vt:variant>
        <vt:i4>5</vt:i4>
      </vt:variant>
      <vt:variant>
        <vt:lpwstr/>
      </vt:variant>
      <vt:variant>
        <vt:lpwstr>_Toc413918209</vt:lpwstr>
      </vt:variant>
      <vt:variant>
        <vt:i4>1507380</vt:i4>
      </vt:variant>
      <vt:variant>
        <vt:i4>1736</vt:i4>
      </vt:variant>
      <vt:variant>
        <vt:i4>0</vt:i4>
      </vt:variant>
      <vt:variant>
        <vt:i4>5</vt:i4>
      </vt:variant>
      <vt:variant>
        <vt:lpwstr/>
      </vt:variant>
      <vt:variant>
        <vt:lpwstr>_Toc413918208</vt:lpwstr>
      </vt:variant>
      <vt:variant>
        <vt:i4>1507380</vt:i4>
      </vt:variant>
      <vt:variant>
        <vt:i4>1730</vt:i4>
      </vt:variant>
      <vt:variant>
        <vt:i4>0</vt:i4>
      </vt:variant>
      <vt:variant>
        <vt:i4>5</vt:i4>
      </vt:variant>
      <vt:variant>
        <vt:lpwstr/>
      </vt:variant>
      <vt:variant>
        <vt:lpwstr>_Toc413918207</vt:lpwstr>
      </vt:variant>
      <vt:variant>
        <vt:i4>1507380</vt:i4>
      </vt:variant>
      <vt:variant>
        <vt:i4>1724</vt:i4>
      </vt:variant>
      <vt:variant>
        <vt:i4>0</vt:i4>
      </vt:variant>
      <vt:variant>
        <vt:i4>5</vt:i4>
      </vt:variant>
      <vt:variant>
        <vt:lpwstr/>
      </vt:variant>
      <vt:variant>
        <vt:lpwstr>_Toc413918206</vt:lpwstr>
      </vt:variant>
      <vt:variant>
        <vt:i4>1507380</vt:i4>
      </vt:variant>
      <vt:variant>
        <vt:i4>1718</vt:i4>
      </vt:variant>
      <vt:variant>
        <vt:i4>0</vt:i4>
      </vt:variant>
      <vt:variant>
        <vt:i4>5</vt:i4>
      </vt:variant>
      <vt:variant>
        <vt:lpwstr/>
      </vt:variant>
      <vt:variant>
        <vt:lpwstr>_Toc413918205</vt:lpwstr>
      </vt:variant>
      <vt:variant>
        <vt:i4>1507380</vt:i4>
      </vt:variant>
      <vt:variant>
        <vt:i4>1712</vt:i4>
      </vt:variant>
      <vt:variant>
        <vt:i4>0</vt:i4>
      </vt:variant>
      <vt:variant>
        <vt:i4>5</vt:i4>
      </vt:variant>
      <vt:variant>
        <vt:lpwstr/>
      </vt:variant>
      <vt:variant>
        <vt:lpwstr>_Toc413918204</vt:lpwstr>
      </vt:variant>
      <vt:variant>
        <vt:i4>1507380</vt:i4>
      </vt:variant>
      <vt:variant>
        <vt:i4>1706</vt:i4>
      </vt:variant>
      <vt:variant>
        <vt:i4>0</vt:i4>
      </vt:variant>
      <vt:variant>
        <vt:i4>5</vt:i4>
      </vt:variant>
      <vt:variant>
        <vt:lpwstr/>
      </vt:variant>
      <vt:variant>
        <vt:lpwstr>_Toc413918203</vt:lpwstr>
      </vt:variant>
      <vt:variant>
        <vt:i4>1507380</vt:i4>
      </vt:variant>
      <vt:variant>
        <vt:i4>1700</vt:i4>
      </vt:variant>
      <vt:variant>
        <vt:i4>0</vt:i4>
      </vt:variant>
      <vt:variant>
        <vt:i4>5</vt:i4>
      </vt:variant>
      <vt:variant>
        <vt:lpwstr/>
      </vt:variant>
      <vt:variant>
        <vt:lpwstr>_Toc413918202</vt:lpwstr>
      </vt:variant>
      <vt:variant>
        <vt:i4>1507380</vt:i4>
      </vt:variant>
      <vt:variant>
        <vt:i4>1694</vt:i4>
      </vt:variant>
      <vt:variant>
        <vt:i4>0</vt:i4>
      </vt:variant>
      <vt:variant>
        <vt:i4>5</vt:i4>
      </vt:variant>
      <vt:variant>
        <vt:lpwstr/>
      </vt:variant>
      <vt:variant>
        <vt:lpwstr>_Toc413918201</vt:lpwstr>
      </vt:variant>
      <vt:variant>
        <vt:i4>1507380</vt:i4>
      </vt:variant>
      <vt:variant>
        <vt:i4>1688</vt:i4>
      </vt:variant>
      <vt:variant>
        <vt:i4>0</vt:i4>
      </vt:variant>
      <vt:variant>
        <vt:i4>5</vt:i4>
      </vt:variant>
      <vt:variant>
        <vt:lpwstr/>
      </vt:variant>
      <vt:variant>
        <vt:lpwstr>_Toc413918200</vt:lpwstr>
      </vt:variant>
      <vt:variant>
        <vt:i4>1966135</vt:i4>
      </vt:variant>
      <vt:variant>
        <vt:i4>1682</vt:i4>
      </vt:variant>
      <vt:variant>
        <vt:i4>0</vt:i4>
      </vt:variant>
      <vt:variant>
        <vt:i4>5</vt:i4>
      </vt:variant>
      <vt:variant>
        <vt:lpwstr/>
      </vt:variant>
      <vt:variant>
        <vt:lpwstr>_Toc413918199</vt:lpwstr>
      </vt:variant>
      <vt:variant>
        <vt:i4>1966135</vt:i4>
      </vt:variant>
      <vt:variant>
        <vt:i4>1676</vt:i4>
      </vt:variant>
      <vt:variant>
        <vt:i4>0</vt:i4>
      </vt:variant>
      <vt:variant>
        <vt:i4>5</vt:i4>
      </vt:variant>
      <vt:variant>
        <vt:lpwstr/>
      </vt:variant>
      <vt:variant>
        <vt:lpwstr>_Toc413918198</vt:lpwstr>
      </vt:variant>
      <vt:variant>
        <vt:i4>1966135</vt:i4>
      </vt:variant>
      <vt:variant>
        <vt:i4>1670</vt:i4>
      </vt:variant>
      <vt:variant>
        <vt:i4>0</vt:i4>
      </vt:variant>
      <vt:variant>
        <vt:i4>5</vt:i4>
      </vt:variant>
      <vt:variant>
        <vt:lpwstr/>
      </vt:variant>
      <vt:variant>
        <vt:lpwstr>_Toc413918197</vt:lpwstr>
      </vt:variant>
      <vt:variant>
        <vt:i4>1966135</vt:i4>
      </vt:variant>
      <vt:variant>
        <vt:i4>1664</vt:i4>
      </vt:variant>
      <vt:variant>
        <vt:i4>0</vt:i4>
      </vt:variant>
      <vt:variant>
        <vt:i4>5</vt:i4>
      </vt:variant>
      <vt:variant>
        <vt:lpwstr/>
      </vt:variant>
      <vt:variant>
        <vt:lpwstr>_Toc413918196</vt:lpwstr>
      </vt:variant>
      <vt:variant>
        <vt:i4>1966135</vt:i4>
      </vt:variant>
      <vt:variant>
        <vt:i4>1658</vt:i4>
      </vt:variant>
      <vt:variant>
        <vt:i4>0</vt:i4>
      </vt:variant>
      <vt:variant>
        <vt:i4>5</vt:i4>
      </vt:variant>
      <vt:variant>
        <vt:lpwstr/>
      </vt:variant>
      <vt:variant>
        <vt:lpwstr>_Toc413918195</vt:lpwstr>
      </vt:variant>
      <vt:variant>
        <vt:i4>1966135</vt:i4>
      </vt:variant>
      <vt:variant>
        <vt:i4>1652</vt:i4>
      </vt:variant>
      <vt:variant>
        <vt:i4>0</vt:i4>
      </vt:variant>
      <vt:variant>
        <vt:i4>5</vt:i4>
      </vt:variant>
      <vt:variant>
        <vt:lpwstr/>
      </vt:variant>
      <vt:variant>
        <vt:lpwstr>_Toc413918194</vt:lpwstr>
      </vt:variant>
      <vt:variant>
        <vt:i4>1966135</vt:i4>
      </vt:variant>
      <vt:variant>
        <vt:i4>1646</vt:i4>
      </vt:variant>
      <vt:variant>
        <vt:i4>0</vt:i4>
      </vt:variant>
      <vt:variant>
        <vt:i4>5</vt:i4>
      </vt:variant>
      <vt:variant>
        <vt:lpwstr/>
      </vt:variant>
      <vt:variant>
        <vt:lpwstr>_Toc413918193</vt:lpwstr>
      </vt:variant>
      <vt:variant>
        <vt:i4>1966135</vt:i4>
      </vt:variant>
      <vt:variant>
        <vt:i4>1640</vt:i4>
      </vt:variant>
      <vt:variant>
        <vt:i4>0</vt:i4>
      </vt:variant>
      <vt:variant>
        <vt:i4>5</vt:i4>
      </vt:variant>
      <vt:variant>
        <vt:lpwstr/>
      </vt:variant>
      <vt:variant>
        <vt:lpwstr>_Toc413918192</vt:lpwstr>
      </vt:variant>
      <vt:variant>
        <vt:i4>1966135</vt:i4>
      </vt:variant>
      <vt:variant>
        <vt:i4>1634</vt:i4>
      </vt:variant>
      <vt:variant>
        <vt:i4>0</vt:i4>
      </vt:variant>
      <vt:variant>
        <vt:i4>5</vt:i4>
      </vt:variant>
      <vt:variant>
        <vt:lpwstr/>
      </vt:variant>
      <vt:variant>
        <vt:lpwstr>_Toc413918191</vt:lpwstr>
      </vt:variant>
      <vt:variant>
        <vt:i4>1966135</vt:i4>
      </vt:variant>
      <vt:variant>
        <vt:i4>1628</vt:i4>
      </vt:variant>
      <vt:variant>
        <vt:i4>0</vt:i4>
      </vt:variant>
      <vt:variant>
        <vt:i4>5</vt:i4>
      </vt:variant>
      <vt:variant>
        <vt:lpwstr/>
      </vt:variant>
      <vt:variant>
        <vt:lpwstr>_Toc413918190</vt:lpwstr>
      </vt:variant>
      <vt:variant>
        <vt:i4>2031671</vt:i4>
      </vt:variant>
      <vt:variant>
        <vt:i4>1622</vt:i4>
      </vt:variant>
      <vt:variant>
        <vt:i4>0</vt:i4>
      </vt:variant>
      <vt:variant>
        <vt:i4>5</vt:i4>
      </vt:variant>
      <vt:variant>
        <vt:lpwstr/>
      </vt:variant>
      <vt:variant>
        <vt:lpwstr>_Toc413918189</vt:lpwstr>
      </vt:variant>
      <vt:variant>
        <vt:i4>2031671</vt:i4>
      </vt:variant>
      <vt:variant>
        <vt:i4>1616</vt:i4>
      </vt:variant>
      <vt:variant>
        <vt:i4>0</vt:i4>
      </vt:variant>
      <vt:variant>
        <vt:i4>5</vt:i4>
      </vt:variant>
      <vt:variant>
        <vt:lpwstr/>
      </vt:variant>
      <vt:variant>
        <vt:lpwstr>_Toc413918188</vt:lpwstr>
      </vt:variant>
      <vt:variant>
        <vt:i4>2031671</vt:i4>
      </vt:variant>
      <vt:variant>
        <vt:i4>1610</vt:i4>
      </vt:variant>
      <vt:variant>
        <vt:i4>0</vt:i4>
      </vt:variant>
      <vt:variant>
        <vt:i4>5</vt:i4>
      </vt:variant>
      <vt:variant>
        <vt:lpwstr/>
      </vt:variant>
      <vt:variant>
        <vt:lpwstr>_Toc413918187</vt:lpwstr>
      </vt:variant>
      <vt:variant>
        <vt:i4>2031671</vt:i4>
      </vt:variant>
      <vt:variant>
        <vt:i4>1604</vt:i4>
      </vt:variant>
      <vt:variant>
        <vt:i4>0</vt:i4>
      </vt:variant>
      <vt:variant>
        <vt:i4>5</vt:i4>
      </vt:variant>
      <vt:variant>
        <vt:lpwstr/>
      </vt:variant>
      <vt:variant>
        <vt:lpwstr>_Toc413918186</vt:lpwstr>
      </vt:variant>
      <vt:variant>
        <vt:i4>2031671</vt:i4>
      </vt:variant>
      <vt:variant>
        <vt:i4>1598</vt:i4>
      </vt:variant>
      <vt:variant>
        <vt:i4>0</vt:i4>
      </vt:variant>
      <vt:variant>
        <vt:i4>5</vt:i4>
      </vt:variant>
      <vt:variant>
        <vt:lpwstr/>
      </vt:variant>
      <vt:variant>
        <vt:lpwstr>_Toc413918185</vt:lpwstr>
      </vt:variant>
      <vt:variant>
        <vt:i4>2031671</vt:i4>
      </vt:variant>
      <vt:variant>
        <vt:i4>1592</vt:i4>
      </vt:variant>
      <vt:variant>
        <vt:i4>0</vt:i4>
      </vt:variant>
      <vt:variant>
        <vt:i4>5</vt:i4>
      </vt:variant>
      <vt:variant>
        <vt:lpwstr/>
      </vt:variant>
      <vt:variant>
        <vt:lpwstr>_Toc413918184</vt:lpwstr>
      </vt:variant>
      <vt:variant>
        <vt:i4>2031671</vt:i4>
      </vt:variant>
      <vt:variant>
        <vt:i4>1586</vt:i4>
      </vt:variant>
      <vt:variant>
        <vt:i4>0</vt:i4>
      </vt:variant>
      <vt:variant>
        <vt:i4>5</vt:i4>
      </vt:variant>
      <vt:variant>
        <vt:lpwstr/>
      </vt:variant>
      <vt:variant>
        <vt:lpwstr>_Toc413918183</vt:lpwstr>
      </vt:variant>
      <vt:variant>
        <vt:i4>2031671</vt:i4>
      </vt:variant>
      <vt:variant>
        <vt:i4>1580</vt:i4>
      </vt:variant>
      <vt:variant>
        <vt:i4>0</vt:i4>
      </vt:variant>
      <vt:variant>
        <vt:i4>5</vt:i4>
      </vt:variant>
      <vt:variant>
        <vt:lpwstr/>
      </vt:variant>
      <vt:variant>
        <vt:lpwstr>_Toc413918182</vt:lpwstr>
      </vt:variant>
      <vt:variant>
        <vt:i4>2031671</vt:i4>
      </vt:variant>
      <vt:variant>
        <vt:i4>1574</vt:i4>
      </vt:variant>
      <vt:variant>
        <vt:i4>0</vt:i4>
      </vt:variant>
      <vt:variant>
        <vt:i4>5</vt:i4>
      </vt:variant>
      <vt:variant>
        <vt:lpwstr/>
      </vt:variant>
      <vt:variant>
        <vt:lpwstr>_Toc413918181</vt:lpwstr>
      </vt:variant>
      <vt:variant>
        <vt:i4>2031671</vt:i4>
      </vt:variant>
      <vt:variant>
        <vt:i4>1568</vt:i4>
      </vt:variant>
      <vt:variant>
        <vt:i4>0</vt:i4>
      </vt:variant>
      <vt:variant>
        <vt:i4>5</vt:i4>
      </vt:variant>
      <vt:variant>
        <vt:lpwstr/>
      </vt:variant>
      <vt:variant>
        <vt:lpwstr>_Toc413918180</vt:lpwstr>
      </vt:variant>
      <vt:variant>
        <vt:i4>1048631</vt:i4>
      </vt:variant>
      <vt:variant>
        <vt:i4>1562</vt:i4>
      </vt:variant>
      <vt:variant>
        <vt:i4>0</vt:i4>
      </vt:variant>
      <vt:variant>
        <vt:i4>5</vt:i4>
      </vt:variant>
      <vt:variant>
        <vt:lpwstr/>
      </vt:variant>
      <vt:variant>
        <vt:lpwstr>_Toc413918179</vt:lpwstr>
      </vt:variant>
      <vt:variant>
        <vt:i4>1048631</vt:i4>
      </vt:variant>
      <vt:variant>
        <vt:i4>1556</vt:i4>
      </vt:variant>
      <vt:variant>
        <vt:i4>0</vt:i4>
      </vt:variant>
      <vt:variant>
        <vt:i4>5</vt:i4>
      </vt:variant>
      <vt:variant>
        <vt:lpwstr/>
      </vt:variant>
      <vt:variant>
        <vt:lpwstr>_Toc413918178</vt:lpwstr>
      </vt:variant>
      <vt:variant>
        <vt:i4>1048631</vt:i4>
      </vt:variant>
      <vt:variant>
        <vt:i4>1550</vt:i4>
      </vt:variant>
      <vt:variant>
        <vt:i4>0</vt:i4>
      </vt:variant>
      <vt:variant>
        <vt:i4>5</vt:i4>
      </vt:variant>
      <vt:variant>
        <vt:lpwstr/>
      </vt:variant>
      <vt:variant>
        <vt:lpwstr>_Toc413918177</vt:lpwstr>
      </vt:variant>
      <vt:variant>
        <vt:i4>1048631</vt:i4>
      </vt:variant>
      <vt:variant>
        <vt:i4>1544</vt:i4>
      </vt:variant>
      <vt:variant>
        <vt:i4>0</vt:i4>
      </vt:variant>
      <vt:variant>
        <vt:i4>5</vt:i4>
      </vt:variant>
      <vt:variant>
        <vt:lpwstr/>
      </vt:variant>
      <vt:variant>
        <vt:lpwstr>_Toc413918176</vt:lpwstr>
      </vt:variant>
      <vt:variant>
        <vt:i4>1048631</vt:i4>
      </vt:variant>
      <vt:variant>
        <vt:i4>1538</vt:i4>
      </vt:variant>
      <vt:variant>
        <vt:i4>0</vt:i4>
      </vt:variant>
      <vt:variant>
        <vt:i4>5</vt:i4>
      </vt:variant>
      <vt:variant>
        <vt:lpwstr/>
      </vt:variant>
      <vt:variant>
        <vt:lpwstr>_Toc413918175</vt:lpwstr>
      </vt:variant>
      <vt:variant>
        <vt:i4>1048631</vt:i4>
      </vt:variant>
      <vt:variant>
        <vt:i4>1532</vt:i4>
      </vt:variant>
      <vt:variant>
        <vt:i4>0</vt:i4>
      </vt:variant>
      <vt:variant>
        <vt:i4>5</vt:i4>
      </vt:variant>
      <vt:variant>
        <vt:lpwstr/>
      </vt:variant>
      <vt:variant>
        <vt:lpwstr>_Toc413918174</vt:lpwstr>
      </vt:variant>
      <vt:variant>
        <vt:i4>1048631</vt:i4>
      </vt:variant>
      <vt:variant>
        <vt:i4>1526</vt:i4>
      </vt:variant>
      <vt:variant>
        <vt:i4>0</vt:i4>
      </vt:variant>
      <vt:variant>
        <vt:i4>5</vt:i4>
      </vt:variant>
      <vt:variant>
        <vt:lpwstr/>
      </vt:variant>
      <vt:variant>
        <vt:lpwstr>_Toc413918173</vt:lpwstr>
      </vt:variant>
      <vt:variant>
        <vt:i4>1048631</vt:i4>
      </vt:variant>
      <vt:variant>
        <vt:i4>1520</vt:i4>
      </vt:variant>
      <vt:variant>
        <vt:i4>0</vt:i4>
      </vt:variant>
      <vt:variant>
        <vt:i4>5</vt:i4>
      </vt:variant>
      <vt:variant>
        <vt:lpwstr/>
      </vt:variant>
      <vt:variant>
        <vt:lpwstr>_Toc413918172</vt:lpwstr>
      </vt:variant>
      <vt:variant>
        <vt:i4>1048631</vt:i4>
      </vt:variant>
      <vt:variant>
        <vt:i4>1514</vt:i4>
      </vt:variant>
      <vt:variant>
        <vt:i4>0</vt:i4>
      </vt:variant>
      <vt:variant>
        <vt:i4>5</vt:i4>
      </vt:variant>
      <vt:variant>
        <vt:lpwstr/>
      </vt:variant>
      <vt:variant>
        <vt:lpwstr>_Toc413918171</vt:lpwstr>
      </vt:variant>
      <vt:variant>
        <vt:i4>1048631</vt:i4>
      </vt:variant>
      <vt:variant>
        <vt:i4>1508</vt:i4>
      </vt:variant>
      <vt:variant>
        <vt:i4>0</vt:i4>
      </vt:variant>
      <vt:variant>
        <vt:i4>5</vt:i4>
      </vt:variant>
      <vt:variant>
        <vt:lpwstr/>
      </vt:variant>
      <vt:variant>
        <vt:lpwstr>_Toc413918170</vt:lpwstr>
      </vt:variant>
      <vt:variant>
        <vt:i4>1114167</vt:i4>
      </vt:variant>
      <vt:variant>
        <vt:i4>1502</vt:i4>
      </vt:variant>
      <vt:variant>
        <vt:i4>0</vt:i4>
      </vt:variant>
      <vt:variant>
        <vt:i4>5</vt:i4>
      </vt:variant>
      <vt:variant>
        <vt:lpwstr/>
      </vt:variant>
      <vt:variant>
        <vt:lpwstr>_Toc413918169</vt:lpwstr>
      </vt:variant>
      <vt:variant>
        <vt:i4>1114167</vt:i4>
      </vt:variant>
      <vt:variant>
        <vt:i4>1496</vt:i4>
      </vt:variant>
      <vt:variant>
        <vt:i4>0</vt:i4>
      </vt:variant>
      <vt:variant>
        <vt:i4>5</vt:i4>
      </vt:variant>
      <vt:variant>
        <vt:lpwstr/>
      </vt:variant>
      <vt:variant>
        <vt:lpwstr>_Toc413918168</vt:lpwstr>
      </vt:variant>
      <vt:variant>
        <vt:i4>1114167</vt:i4>
      </vt:variant>
      <vt:variant>
        <vt:i4>1490</vt:i4>
      </vt:variant>
      <vt:variant>
        <vt:i4>0</vt:i4>
      </vt:variant>
      <vt:variant>
        <vt:i4>5</vt:i4>
      </vt:variant>
      <vt:variant>
        <vt:lpwstr/>
      </vt:variant>
      <vt:variant>
        <vt:lpwstr>_Toc413918167</vt:lpwstr>
      </vt:variant>
      <vt:variant>
        <vt:i4>1114167</vt:i4>
      </vt:variant>
      <vt:variant>
        <vt:i4>1484</vt:i4>
      </vt:variant>
      <vt:variant>
        <vt:i4>0</vt:i4>
      </vt:variant>
      <vt:variant>
        <vt:i4>5</vt:i4>
      </vt:variant>
      <vt:variant>
        <vt:lpwstr/>
      </vt:variant>
      <vt:variant>
        <vt:lpwstr>_Toc413918166</vt:lpwstr>
      </vt:variant>
      <vt:variant>
        <vt:i4>1114167</vt:i4>
      </vt:variant>
      <vt:variant>
        <vt:i4>1478</vt:i4>
      </vt:variant>
      <vt:variant>
        <vt:i4>0</vt:i4>
      </vt:variant>
      <vt:variant>
        <vt:i4>5</vt:i4>
      </vt:variant>
      <vt:variant>
        <vt:lpwstr/>
      </vt:variant>
      <vt:variant>
        <vt:lpwstr>_Toc413918165</vt:lpwstr>
      </vt:variant>
      <vt:variant>
        <vt:i4>1114167</vt:i4>
      </vt:variant>
      <vt:variant>
        <vt:i4>1472</vt:i4>
      </vt:variant>
      <vt:variant>
        <vt:i4>0</vt:i4>
      </vt:variant>
      <vt:variant>
        <vt:i4>5</vt:i4>
      </vt:variant>
      <vt:variant>
        <vt:lpwstr/>
      </vt:variant>
      <vt:variant>
        <vt:lpwstr>_Toc413918164</vt:lpwstr>
      </vt:variant>
      <vt:variant>
        <vt:i4>1114167</vt:i4>
      </vt:variant>
      <vt:variant>
        <vt:i4>1466</vt:i4>
      </vt:variant>
      <vt:variant>
        <vt:i4>0</vt:i4>
      </vt:variant>
      <vt:variant>
        <vt:i4>5</vt:i4>
      </vt:variant>
      <vt:variant>
        <vt:lpwstr/>
      </vt:variant>
      <vt:variant>
        <vt:lpwstr>_Toc413918163</vt:lpwstr>
      </vt:variant>
      <vt:variant>
        <vt:i4>1114167</vt:i4>
      </vt:variant>
      <vt:variant>
        <vt:i4>1460</vt:i4>
      </vt:variant>
      <vt:variant>
        <vt:i4>0</vt:i4>
      </vt:variant>
      <vt:variant>
        <vt:i4>5</vt:i4>
      </vt:variant>
      <vt:variant>
        <vt:lpwstr/>
      </vt:variant>
      <vt:variant>
        <vt:lpwstr>_Toc413918162</vt:lpwstr>
      </vt:variant>
      <vt:variant>
        <vt:i4>1114167</vt:i4>
      </vt:variant>
      <vt:variant>
        <vt:i4>1454</vt:i4>
      </vt:variant>
      <vt:variant>
        <vt:i4>0</vt:i4>
      </vt:variant>
      <vt:variant>
        <vt:i4>5</vt:i4>
      </vt:variant>
      <vt:variant>
        <vt:lpwstr/>
      </vt:variant>
      <vt:variant>
        <vt:lpwstr>_Toc413918161</vt:lpwstr>
      </vt:variant>
      <vt:variant>
        <vt:i4>1114167</vt:i4>
      </vt:variant>
      <vt:variant>
        <vt:i4>1448</vt:i4>
      </vt:variant>
      <vt:variant>
        <vt:i4>0</vt:i4>
      </vt:variant>
      <vt:variant>
        <vt:i4>5</vt:i4>
      </vt:variant>
      <vt:variant>
        <vt:lpwstr/>
      </vt:variant>
      <vt:variant>
        <vt:lpwstr>_Toc413918160</vt:lpwstr>
      </vt:variant>
      <vt:variant>
        <vt:i4>1179703</vt:i4>
      </vt:variant>
      <vt:variant>
        <vt:i4>1442</vt:i4>
      </vt:variant>
      <vt:variant>
        <vt:i4>0</vt:i4>
      </vt:variant>
      <vt:variant>
        <vt:i4>5</vt:i4>
      </vt:variant>
      <vt:variant>
        <vt:lpwstr/>
      </vt:variant>
      <vt:variant>
        <vt:lpwstr>_Toc413918159</vt:lpwstr>
      </vt:variant>
      <vt:variant>
        <vt:i4>1179703</vt:i4>
      </vt:variant>
      <vt:variant>
        <vt:i4>1436</vt:i4>
      </vt:variant>
      <vt:variant>
        <vt:i4>0</vt:i4>
      </vt:variant>
      <vt:variant>
        <vt:i4>5</vt:i4>
      </vt:variant>
      <vt:variant>
        <vt:lpwstr/>
      </vt:variant>
      <vt:variant>
        <vt:lpwstr>_Toc413918158</vt:lpwstr>
      </vt:variant>
      <vt:variant>
        <vt:i4>1179703</vt:i4>
      </vt:variant>
      <vt:variant>
        <vt:i4>1430</vt:i4>
      </vt:variant>
      <vt:variant>
        <vt:i4>0</vt:i4>
      </vt:variant>
      <vt:variant>
        <vt:i4>5</vt:i4>
      </vt:variant>
      <vt:variant>
        <vt:lpwstr/>
      </vt:variant>
      <vt:variant>
        <vt:lpwstr>_Toc413918157</vt:lpwstr>
      </vt:variant>
      <vt:variant>
        <vt:i4>1179703</vt:i4>
      </vt:variant>
      <vt:variant>
        <vt:i4>1424</vt:i4>
      </vt:variant>
      <vt:variant>
        <vt:i4>0</vt:i4>
      </vt:variant>
      <vt:variant>
        <vt:i4>5</vt:i4>
      </vt:variant>
      <vt:variant>
        <vt:lpwstr/>
      </vt:variant>
      <vt:variant>
        <vt:lpwstr>_Toc413918156</vt:lpwstr>
      </vt:variant>
      <vt:variant>
        <vt:i4>1179703</vt:i4>
      </vt:variant>
      <vt:variant>
        <vt:i4>1418</vt:i4>
      </vt:variant>
      <vt:variant>
        <vt:i4>0</vt:i4>
      </vt:variant>
      <vt:variant>
        <vt:i4>5</vt:i4>
      </vt:variant>
      <vt:variant>
        <vt:lpwstr/>
      </vt:variant>
      <vt:variant>
        <vt:lpwstr>_Toc413918155</vt:lpwstr>
      </vt:variant>
      <vt:variant>
        <vt:i4>1179703</vt:i4>
      </vt:variant>
      <vt:variant>
        <vt:i4>1412</vt:i4>
      </vt:variant>
      <vt:variant>
        <vt:i4>0</vt:i4>
      </vt:variant>
      <vt:variant>
        <vt:i4>5</vt:i4>
      </vt:variant>
      <vt:variant>
        <vt:lpwstr/>
      </vt:variant>
      <vt:variant>
        <vt:lpwstr>_Toc413918154</vt:lpwstr>
      </vt:variant>
      <vt:variant>
        <vt:i4>1179703</vt:i4>
      </vt:variant>
      <vt:variant>
        <vt:i4>1406</vt:i4>
      </vt:variant>
      <vt:variant>
        <vt:i4>0</vt:i4>
      </vt:variant>
      <vt:variant>
        <vt:i4>5</vt:i4>
      </vt:variant>
      <vt:variant>
        <vt:lpwstr/>
      </vt:variant>
      <vt:variant>
        <vt:lpwstr>_Toc413918153</vt:lpwstr>
      </vt:variant>
      <vt:variant>
        <vt:i4>1179703</vt:i4>
      </vt:variant>
      <vt:variant>
        <vt:i4>1400</vt:i4>
      </vt:variant>
      <vt:variant>
        <vt:i4>0</vt:i4>
      </vt:variant>
      <vt:variant>
        <vt:i4>5</vt:i4>
      </vt:variant>
      <vt:variant>
        <vt:lpwstr/>
      </vt:variant>
      <vt:variant>
        <vt:lpwstr>_Toc413918152</vt:lpwstr>
      </vt:variant>
      <vt:variant>
        <vt:i4>1179703</vt:i4>
      </vt:variant>
      <vt:variant>
        <vt:i4>1394</vt:i4>
      </vt:variant>
      <vt:variant>
        <vt:i4>0</vt:i4>
      </vt:variant>
      <vt:variant>
        <vt:i4>5</vt:i4>
      </vt:variant>
      <vt:variant>
        <vt:lpwstr/>
      </vt:variant>
      <vt:variant>
        <vt:lpwstr>_Toc413918151</vt:lpwstr>
      </vt:variant>
      <vt:variant>
        <vt:i4>1179703</vt:i4>
      </vt:variant>
      <vt:variant>
        <vt:i4>1388</vt:i4>
      </vt:variant>
      <vt:variant>
        <vt:i4>0</vt:i4>
      </vt:variant>
      <vt:variant>
        <vt:i4>5</vt:i4>
      </vt:variant>
      <vt:variant>
        <vt:lpwstr/>
      </vt:variant>
      <vt:variant>
        <vt:lpwstr>_Toc413918150</vt:lpwstr>
      </vt:variant>
      <vt:variant>
        <vt:i4>1245239</vt:i4>
      </vt:variant>
      <vt:variant>
        <vt:i4>1382</vt:i4>
      </vt:variant>
      <vt:variant>
        <vt:i4>0</vt:i4>
      </vt:variant>
      <vt:variant>
        <vt:i4>5</vt:i4>
      </vt:variant>
      <vt:variant>
        <vt:lpwstr/>
      </vt:variant>
      <vt:variant>
        <vt:lpwstr>_Toc413918149</vt:lpwstr>
      </vt:variant>
      <vt:variant>
        <vt:i4>1245239</vt:i4>
      </vt:variant>
      <vt:variant>
        <vt:i4>1376</vt:i4>
      </vt:variant>
      <vt:variant>
        <vt:i4>0</vt:i4>
      </vt:variant>
      <vt:variant>
        <vt:i4>5</vt:i4>
      </vt:variant>
      <vt:variant>
        <vt:lpwstr/>
      </vt:variant>
      <vt:variant>
        <vt:lpwstr>_Toc413918148</vt:lpwstr>
      </vt:variant>
      <vt:variant>
        <vt:i4>1245239</vt:i4>
      </vt:variant>
      <vt:variant>
        <vt:i4>1370</vt:i4>
      </vt:variant>
      <vt:variant>
        <vt:i4>0</vt:i4>
      </vt:variant>
      <vt:variant>
        <vt:i4>5</vt:i4>
      </vt:variant>
      <vt:variant>
        <vt:lpwstr/>
      </vt:variant>
      <vt:variant>
        <vt:lpwstr>_Toc413918147</vt:lpwstr>
      </vt:variant>
      <vt:variant>
        <vt:i4>1245239</vt:i4>
      </vt:variant>
      <vt:variant>
        <vt:i4>1364</vt:i4>
      </vt:variant>
      <vt:variant>
        <vt:i4>0</vt:i4>
      </vt:variant>
      <vt:variant>
        <vt:i4>5</vt:i4>
      </vt:variant>
      <vt:variant>
        <vt:lpwstr/>
      </vt:variant>
      <vt:variant>
        <vt:lpwstr>_Toc413918146</vt:lpwstr>
      </vt:variant>
      <vt:variant>
        <vt:i4>1245239</vt:i4>
      </vt:variant>
      <vt:variant>
        <vt:i4>1358</vt:i4>
      </vt:variant>
      <vt:variant>
        <vt:i4>0</vt:i4>
      </vt:variant>
      <vt:variant>
        <vt:i4>5</vt:i4>
      </vt:variant>
      <vt:variant>
        <vt:lpwstr/>
      </vt:variant>
      <vt:variant>
        <vt:lpwstr>_Toc413918145</vt:lpwstr>
      </vt:variant>
      <vt:variant>
        <vt:i4>1245239</vt:i4>
      </vt:variant>
      <vt:variant>
        <vt:i4>1352</vt:i4>
      </vt:variant>
      <vt:variant>
        <vt:i4>0</vt:i4>
      </vt:variant>
      <vt:variant>
        <vt:i4>5</vt:i4>
      </vt:variant>
      <vt:variant>
        <vt:lpwstr/>
      </vt:variant>
      <vt:variant>
        <vt:lpwstr>_Toc413918144</vt:lpwstr>
      </vt:variant>
      <vt:variant>
        <vt:i4>1245239</vt:i4>
      </vt:variant>
      <vt:variant>
        <vt:i4>1346</vt:i4>
      </vt:variant>
      <vt:variant>
        <vt:i4>0</vt:i4>
      </vt:variant>
      <vt:variant>
        <vt:i4>5</vt:i4>
      </vt:variant>
      <vt:variant>
        <vt:lpwstr/>
      </vt:variant>
      <vt:variant>
        <vt:lpwstr>_Toc413918143</vt:lpwstr>
      </vt:variant>
      <vt:variant>
        <vt:i4>1245239</vt:i4>
      </vt:variant>
      <vt:variant>
        <vt:i4>1340</vt:i4>
      </vt:variant>
      <vt:variant>
        <vt:i4>0</vt:i4>
      </vt:variant>
      <vt:variant>
        <vt:i4>5</vt:i4>
      </vt:variant>
      <vt:variant>
        <vt:lpwstr/>
      </vt:variant>
      <vt:variant>
        <vt:lpwstr>_Toc413918142</vt:lpwstr>
      </vt:variant>
      <vt:variant>
        <vt:i4>1245239</vt:i4>
      </vt:variant>
      <vt:variant>
        <vt:i4>1334</vt:i4>
      </vt:variant>
      <vt:variant>
        <vt:i4>0</vt:i4>
      </vt:variant>
      <vt:variant>
        <vt:i4>5</vt:i4>
      </vt:variant>
      <vt:variant>
        <vt:lpwstr/>
      </vt:variant>
      <vt:variant>
        <vt:lpwstr>_Toc413918141</vt:lpwstr>
      </vt:variant>
      <vt:variant>
        <vt:i4>1245239</vt:i4>
      </vt:variant>
      <vt:variant>
        <vt:i4>1328</vt:i4>
      </vt:variant>
      <vt:variant>
        <vt:i4>0</vt:i4>
      </vt:variant>
      <vt:variant>
        <vt:i4>5</vt:i4>
      </vt:variant>
      <vt:variant>
        <vt:lpwstr/>
      </vt:variant>
      <vt:variant>
        <vt:lpwstr>_Toc413918140</vt:lpwstr>
      </vt:variant>
      <vt:variant>
        <vt:i4>1310775</vt:i4>
      </vt:variant>
      <vt:variant>
        <vt:i4>1322</vt:i4>
      </vt:variant>
      <vt:variant>
        <vt:i4>0</vt:i4>
      </vt:variant>
      <vt:variant>
        <vt:i4>5</vt:i4>
      </vt:variant>
      <vt:variant>
        <vt:lpwstr/>
      </vt:variant>
      <vt:variant>
        <vt:lpwstr>_Toc413918139</vt:lpwstr>
      </vt:variant>
      <vt:variant>
        <vt:i4>1310775</vt:i4>
      </vt:variant>
      <vt:variant>
        <vt:i4>1316</vt:i4>
      </vt:variant>
      <vt:variant>
        <vt:i4>0</vt:i4>
      </vt:variant>
      <vt:variant>
        <vt:i4>5</vt:i4>
      </vt:variant>
      <vt:variant>
        <vt:lpwstr/>
      </vt:variant>
      <vt:variant>
        <vt:lpwstr>_Toc413918138</vt:lpwstr>
      </vt:variant>
      <vt:variant>
        <vt:i4>1310775</vt:i4>
      </vt:variant>
      <vt:variant>
        <vt:i4>1310</vt:i4>
      </vt:variant>
      <vt:variant>
        <vt:i4>0</vt:i4>
      </vt:variant>
      <vt:variant>
        <vt:i4>5</vt:i4>
      </vt:variant>
      <vt:variant>
        <vt:lpwstr/>
      </vt:variant>
      <vt:variant>
        <vt:lpwstr>_Toc413918137</vt:lpwstr>
      </vt:variant>
      <vt:variant>
        <vt:i4>1310775</vt:i4>
      </vt:variant>
      <vt:variant>
        <vt:i4>1304</vt:i4>
      </vt:variant>
      <vt:variant>
        <vt:i4>0</vt:i4>
      </vt:variant>
      <vt:variant>
        <vt:i4>5</vt:i4>
      </vt:variant>
      <vt:variant>
        <vt:lpwstr/>
      </vt:variant>
      <vt:variant>
        <vt:lpwstr>_Toc413918136</vt:lpwstr>
      </vt:variant>
      <vt:variant>
        <vt:i4>1310775</vt:i4>
      </vt:variant>
      <vt:variant>
        <vt:i4>1298</vt:i4>
      </vt:variant>
      <vt:variant>
        <vt:i4>0</vt:i4>
      </vt:variant>
      <vt:variant>
        <vt:i4>5</vt:i4>
      </vt:variant>
      <vt:variant>
        <vt:lpwstr/>
      </vt:variant>
      <vt:variant>
        <vt:lpwstr>_Toc413918135</vt:lpwstr>
      </vt:variant>
      <vt:variant>
        <vt:i4>1310775</vt:i4>
      </vt:variant>
      <vt:variant>
        <vt:i4>1292</vt:i4>
      </vt:variant>
      <vt:variant>
        <vt:i4>0</vt:i4>
      </vt:variant>
      <vt:variant>
        <vt:i4>5</vt:i4>
      </vt:variant>
      <vt:variant>
        <vt:lpwstr/>
      </vt:variant>
      <vt:variant>
        <vt:lpwstr>_Toc413918134</vt:lpwstr>
      </vt:variant>
      <vt:variant>
        <vt:i4>1310775</vt:i4>
      </vt:variant>
      <vt:variant>
        <vt:i4>1286</vt:i4>
      </vt:variant>
      <vt:variant>
        <vt:i4>0</vt:i4>
      </vt:variant>
      <vt:variant>
        <vt:i4>5</vt:i4>
      </vt:variant>
      <vt:variant>
        <vt:lpwstr/>
      </vt:variant>
      <vt:variant>
        <vt:lpwstr>_Toc413918133</vt:lpwstr>
      </vt:variant>
      <vt:variant>
        <vt:i4>1310775</vt:i4>
      </vt:variant>
      <vt:variant>
        <vt:i4>1280</vt:i4>
      </vt:variant>
      <vt:variant>
        <vt:i4>0</vt:i4>
      </vt:variant>
      <vt:variant>
        <vt:i4>5</vt:i4>
      </vt:variant>
      <vt:variant>
        <vt:lpwstr/>
      </vt:variant>
      <vt:variant>
        <vt:lpwstr>_Toc413918132</vt:lpwstr>
      </vt:variant>
      <vt:variant>
        <vt:i4>1310775</vt:i4>
      </vt:variant>
      <vt:variant>
        <vt:i4>1274</vt:i4>
      </vt:variant>
      <vt:variant>
        <vt:i4>0</vt:i4>
      </vt:variant>
      <vt:variant>
        <vt:i4>5</vt:i4>
      </vt:variant>
      <vt:variant>
        <vt:lpwstr/>
      </vt:variant>
      <vt:variant>
        <vt:lpwstr>_Toc413918131</vt:lpwstr>
      </vt:variant>
      <vt:variant>
        <vt:i4>1310775</vt:i4>
      </vt:variant>
      <vt:variant>
        <vt:i4>1268</vt:i4>
      </vt:variant>
      <vt:variant>
        <vt:i4>0</vt:i4>
      </vt:variant>
      <vt:variant>
        <vt:i4>5</vt:i4>
      </vt:variant>
      <vt:variant>
        <vt:lpwstr/>
      </vt:variant>
      <vt:variant>
        <vt:lpwstr>_Toc413918130</vt:lpwstr>
      </vt:variant>
      <vt:variant>
        <vt:i4>1376311</vt:i4>
      </vt:variant>
      <vt:variant>
        <vt:i4>1262</vt:i4>
      </vt:variant>
      <vt:variant>
        <vt:i4>0</vt:i4>
      </vt:variant>
      <vt:variant>
        <vt:i4>5</vt:i4>
      </vt:variant>
      <vt:variant>
        <vt:lpwstr/>
      </vt:variant>
      <vt:variant>
        <vt:lpwstr>_Toc413918129</vt:lpwstr>
      </vt:variant>
      <vt:variant>
        <vt:i4>1376311</vt:i4>
      </vt:variant>
      <vt:variant>
        <vt:i4>1256</vt:i4>
      </vt:variant>
      <vt:variant>
        <vt:i4>0</vt:i4>
      </vt:variant>
      <vt:variant>
        <vt:i4>5</vt:i4>
      </vt:variant>
      <vt:variant>
        <vt:lpwstr/>
      </vt:variant>
      <vt:variant>
        <vt:lpwstr>_Toc413918128</vt:lpwstr>
      </vt:variant>
      <vt:variant>
        <vt:i4>1376311</vt:i4>
      </vt:variant>
      <vt:variant>
        <vt:i4>1250</vt:i4>
      </vt:variant>
      <vt:variant>
        <vt:i4>0</vt:i4>
      </vt:variant>
      <vt:variant>
        <vt:i4>5</vt:i4>
      </vt:variant>
      <vt:variant>
        <vt:lpwstr/>
      </vt:variant>
      <vt:variant>
        <vt:lpwstr>_Toc413918127</vt:lpwstr>
      </vt:variant>
      <vt:variant>
        <vt:i4>1376311</vt:i4>
      </vt:variant>
      <vt:variant>
        <vt:i4>1244</vt:i4>
      </vt:variant>
      <vt:variant>
        <vt:i4>0</vt:i4>
      </vt:variant>
      <vt:variant>
        <vt:i4>5</vt:i4>
      </vt:variant>
      <vt:variant>
        <vt:lpwstr/>
      </vt:variant>
      <vt:variant>
        <vt:lpwstr>_Toc413918126</vt:lpwstr>
      </vt:variant>
      <vt:variant>
        <vt:i4>1376311</vt:i4>
      </vt:variant>
      <vt:variant>
        <vt:i4>1238</vt:i4>
      </vt:variant>
      <vt:variant>
        <vt:i4>0</vt:i4>
      </vt:variant>
      <vt:variant>
        <vt:i4>5</vt:i4>
      </vt:variant>
      <vt:variant>
        <vt:lpwstr/>
      </vt:variant>
      <vt:variant>
        <vt:lpwstr>_Toc413918125</vt:lpwstr>
      </vt:variant>
      <vt:variant>
        <vt:i4>1376311</vt:i4>
      </vt:variant>
      <vt:variant>
        <vt:i4>1232</vt:i4>
      </vt:variant>
      <vt:variant>
        <vt:i4>0</vt:i4>
      </vt:variant>
      <vt:variant>
        <vt:i4>5</vt:i4>
      </vt:variant>
      <vt:variant>
        <vt:lpwstr/>
      </vt:variant>
      <vt:variant>
        <vt:lpwstr>_Toc413918124</vt:lpwstr>
      </vt:variant>
      <vt:variant>
        <vt:i4>1376311</vt:i4>
      </vt:variant>
      <vt:variant>
        <vt:i4>1226</vt:i4>
      </vt:variant>
      <vt:variant>
        <vt:i4>0</vt:i4>
      </vt:variant>
      <vt:variant>
        <vt:i4>5</vt:i4>
      </vt:variant>
      <vt:variant>
        <vt:lpwstr/>
      </vt:variant>
      <vt:variant>
        <vt:lpwstr>_Toc413918123</vt:lpwstr>
      </vt:variant>
      <vt:variant>
        <vt:i4>1376311</vt:i4>
      </vt:variant>
      <vt:variant>
        <vt:i4>1220</vt:i4>
      </vt:variant>
      <vt:variant>
        <vt:i4>0</vt:i4>
      </vt:variant>
      <vt:variant>
        <vt:i4>5</vt:i4>
      </vt:variant>
      <vt:variant>
        <vt:lpwstr/>
      </vt:variant>
      <vt:variant>
        <vt:lpwstr>_Toc413918122</vt:lpwstr>
      </vt:variant>
      <vt:variant>
        <vt:i4>1376311</vt:i4>
      </vt:variant>
      <vt:variant>
        <vt:i4>1214</vt:i4>
      </vt:variant>
      <vt:variant>
        <vt:i4>0</vt:i4>
      </vt:variant>
      <vt:variant>
        <vt:i4>5</vt:i4>
      </vt:variant>
      <vt:variant>
        <vt:lpwstr/>
      </vt:variant>
      <vt:variant>
        <vt:lpwstr>_Toc413918121</vt:lpwstr>
      </vt:variant>
      <vt:variant>
        <vt:i4>1376311</vt:i4>
      </vt:variant>
      <vt:variant>
        <vt:i4>1208</vt:i4>
      </vt:variant>
      <vt:variant>
        <vt:i4>0</vt:i4>
      </vt:variant>
      <vt:variant>
        <vt:i4>5</vt:i4>
      </vt:variant>
      <vt:variant>
        <vt:lpwstr/>
      </vt:variant>
      <vt:variant>
        <vt:lpwstr>_Toc413918120</vt:lpwstr>
      </vt:variant>
      <vt:variant>
        <vt:i4>1441847</vt:i4>
      </vt:variant>
      <vt:variant>
        <vt:i4>1202</vt:i4>
      </vt:variant>
      <vt:variant>
        <vt:i4>0</vt:i4>
      </vt:variant>
      <vt:variant>
        <vt:i4>5</vt:i4>
      </vt:variant>
      <vt:variant>
        <vt:lpwstr/>
      </vt:variant>
      <vt:variant>
        <vt:lpwstr>_Toc413918119</vt:lpwstr>
      </vt:variant>
      <vt:variant>
        <vt:i4>1441847</vt:i4>
      </vt:variant>
      <vt:variant>
        <vt:i4>1196</vt:i4>
      </vt:variant>
      <vt:variant>
        <vt:i4>0</vt:i4>
      </vt:variant>
      <vt:variant>
        <vt:i4>5</vt:i4>
      </vt:variant>
      <vt:variant>
        <vt:lpwstr/>
      </vt:variant>
      <vt:variant>
        <vt:lpwstr>_Toc413918118</vt:lpwstr>
      </vt:variant>
      <vt:variant>
        <vt:i4>1441847</vt:i4>
      </vt:variant>
      <vt:variant>
        <vt:i4>1190</vt:i4>
      </vt:variant>
      <vt:variant>
        <vt:i4>0</vt:i4>
      </vt:variant>
      <vt:variant>
        <vt:i4>5</vt:i4>
      </vt:variant>
      <vt:variant>
        <vt:lpwstr/>
      </vt:variant>
      <vt:variant>
        <vt:lpwstr>_Toc413918117</vt:lpwstr>
      </vt:variant>
      <vt:variant>
        <vt:i4>1441847</vt:i4>
      </vt:variant>
      <vt:variant>
        <vt:i4>1184</vt:i4>
      </vt:variant>
      <vt:variant>
        <vt:i4>0</vt:i4>
      </vt:variant>
      <vt:variant>
        <vt:i4>5</vt:i4>
      </vt:variant>
      <vt:variant>
        <vt:lpwstr/>
      </vt:variant>
      <vt:variant>
        <vt:lpwstr>_Toc413918116</vt:lpwstr>
      </vt:variant>
      <vt:variant>
        <vt:i4>1441847</vt:i4>
      </vt:variant>
      <vt:variant>
        <vt:i4>1178</vt:i4>
      </vt:variant>
      <vt:variant>
        <vt:i4>0</vt:i4>
      </vt:variant>
      <vt:variant>
        <vt:i4>5</vt:i4>
      </vt:variant>
      <vt:variant>
        <vt:lpwstr/>
      </vt:variant>
      <vt:variant>
        <vt:lpwstr>_Toc413918115</vt:lpwstr>
      </vt:variant>
      <vt:variant>
        <vt:i4>1441847</vt:i4>
      </vt:variant>
      <vt:variant>
        <vt:i4>1172</vt:i4>
      </vt:variant>
      <vt:variant>
        <vt:i4>0</vt:i4>
      </vt:variant>
      <vt:variant>
        <vt:i4>5</vt:i4>
      </vt:variant>
      <vt:variant>
        <vt:lpwstr/>
      </vt:variant>
      <vt:variant>
        <vt:lpwstr>_Toc413918114</vt:lpwstr>
      </vt:variant>
      <vt:variant>
        <vt:i4>1441847</vt:i4>
      </vt:variant>
      <vt:variant>
        <vt:i4>1166</vt:i4>
      </vt:variant>
      <vt:variant>
        <vt:i4>0</vt:i4>
      </vt:variant>
      <vt:variant>
        <vt:i4>5</vt:i4>
      </vt:variant>
      <vt:variant>
        <vt:lpwstr/>
      </vt:variant>
      <vt:variant>
        <vt:lpwstr>_Toc413918113</vt:lpwstr>
      </vt:variant>
      <vt:variant>
        <vt:i4>1441847</vt:i4>
      </vt:variant>
      <vt:variant>
        <vt:i4>1160</vt:i4>
      </vt:variant>
      <vt:variant>
        <vt:i4>0</vt:i4>
      </vt:variant>
      <vt:variant>
        <vt:i4>5</vt:i4>
      </vt:variant>
      <vt:variant>
        <vt:lpwstr/>
      </vt:variant>
      <vt:variant>
        <vt:lpwstr>_Toc413918112</vt:lpwstr>
      </vt:variant>
      <vt:variant>
        <vt:i4>1441847</vt:i4>
      </vt:variant>
      <vt:variant>
        <vt:i4>1154</vt:i4>
      </vt:variant>
      <vt:variant>
        <vt:i4>0</vt:i4>
      </vt:variant>
      <vt:variant>
        <vt:i4>5</vt:i4>
      </vt:variant>
      <vt:variant>
        <vt:lpwstr/>
      </vt:variant>
      <vt:variant>
        <vt:lpwstr>_Toc413918111</vt:lpwstr>
      </vt:variant>
      <vt:variant>
        <vt:i4>1441847</vt:i4>
      </vt:variant>
      <vt:variant>
        <vt:i4>1148</vt:i4>
      </vt:variant>
      <vt:variant>
        <vt:i4>0</vt:i4>
      </vt:variant>
      <vt:variant>
        <vt:i4>5</vt:i4>
      </vt:variant>
      <vt:variant>
        <vt:lpwstr/>
      </vt:variant>
      <vt:variant>
        <vt:lpwstr>_Toc413918110</vt:lpwstr>
      </vt:variant>
      <vt:variant>
        <vt:i4>1507383</vt:i4>
      </vt:variant>
      <vt:variant>
        <vt:i4>1142</vt:i4>
      </vt:variant>
      <vt:variant>
        <vt:i4>0</vt:i4>
      </vt:variant>
      <vt:variant>
        <vt:i4>5</vt:i4>
      </vt:variant>
      <vt:variant>
        <vt:lpwstr/>
      </vt:variant>
      <vt:variant>
        <vt:lpwstr>_Toc413918109</vt:lpwstr>
      </vt:variant>
      <vt:variant>
        <vt:i4>1507383</vt:i4>
      </vt:variant>
      <vt:variant>
        <vt:i4>1136</vt:i4>
      </vt:variant>
      <vt:variant>
        <vt:i4>0</vt:i4>
      </vt:variant>
      <vt:variant>
        <vt:i4>5</vt:i4>
      </vt:variant>
      <vt:variant>
        <vt:lpwstr/>
      </vt:variant>
      <vt:variant>
        <vt:lpwstr>_Toc413918108</vt:lpwstr>
      </vt:variant>
      <vt:variant>
        <vt:i4>1507383</vt:i4>
      </vt:variant>
      <vt:variant>
        <vt:i4>1130</vt:i4>
      </vt:variant>
      <vt:variant>
        <vt:i4>0</vt:i4>
      </vt:variant>
      <vt:variant>
        <vt:i4>5</vt:i4>
      </vt:variant>
      <vt:variant>
        <vt:lpwstr/>
      </vt:variant>
      <vt:variant>
        <vt:lpwstr>_Toc413918107</vt:lpwstr>
      </vt:variant>
      <vt:variant>
        <vt:i4>1507383</vt:i4>
      </vt:variant>
      <vt:variant>
        <vt:i4>1124</vt:i4>
      </vt:variant>
      <vt:variant>
        <vt:i4>0</vt:i4>
      </vt:variant>
      <vt:variant>
        <vt:i4>5</vt:i4>
      </vt:variant>
      <vt:variant>
        <vt:lpwstr/>
      </vt:variant>
      <vt:variant>
        <vt:lpwstr>_Toc413918106</vt:lpwstr>
      </vt:variant>
      <vt:variant>
        <vt:i4>1507383</vt:i4>
      </vt:variant>
      <vt:variant>
        <vt:i4>1118</vt:i4>
      </vt:variant>
      <vt:variant>
        <vt:i4>0</vt:i4>
      </vt:variant>
      <vt:variant>
        <vt:i4>5</vt:i4>
      </vt:variant>
      <vt:variant>
        <vt:lpwstr/>
      </vt:variant>
      <vt:variant>
        <vt:lpwstr>_Toc413918105</vt:lpwstr>
      </vt:variant>
      <vt:variant>
        <vt:i4>1507383</vt:i4>
      </vt:variant>
      <vt:variant>
        <vt:i4>1112</vt:i4>
      </vt:variant>
      <vt:variant>
        <vt:i4>0</vt:i4>
      </vt:variant>
      <vt:variant>
        <vt:i4>5</vt:i4>
      </vt:variant>
      <vt:variant>
        <vt:lpwstr/>
      </vt:variant>
      <vt:variant>
        <vt:lpwstr>_Toc413918104</vt:lpwstr>
      </vt:variant>
      <vt:variant>
        <vt:i4>1507383</vt:i4>
      </vt:variant>
      <vt:variant>
        <vt:i4>1106</vt:i4>
      </vt:variant>
      <vt:variant>
        <vt:i4>0</vt:i4>
      </vt:variant>
      <vt:variant>
        <vt:i4>5</vt:i4>
      </vt:variant>
      <vt:variant>
        <vt:lpwstr/>
      </vt:variant>
      <vt:variant>
        <vt:lpwstr>_Toc413918103</vt:lpwstr>
      </vt:variant>
      <vt:variant>
        <vt:i4>1507383</vt:i4>
      </vt:variant>
      <vt:variant>
        <vt:i4>1100</vt:i4>
      </vt:variant>
      <vt:variant>
        <vt:i4>0</vt:i4>
      </vt:variant>
      <vt:variant>
        <vt:i4>5</vt:i4>
      </vt:variant>
      <vt:variant>
        <vt:lpwstr/>
      </vt:variant>
      <vt:variant>
        <vt:lpwstr>_Toc413918102</vt:lpwstr>
      </vt:variant>
      <vt:variant>
        <vt:i4>1507383</vt:i4>
      </vt:variant>
      <vt:variant>
        <vt:i4>1094</vt:i4>
      </vt:variant>
      <vt:variant>
        <vt:i4>0</vt:i4>
      </vt:variant>
      <vt:variant>
        <vt:i4>5</vt:i4>
      </vt:variant>
      <vt:variant>
        <vt:lpwstr/>
      </vt:variant>
      <vt:variant>
        <vt:lpwstr>_Toc413918101</vt:lpwstr>
      </vt:variant>
      <vt:variant>
        <vt:i4>1507383</vt:i4>
      </vt:variant>
      <vt:variant>
        <vt:i4>1088</vt:i4>
      </vt:variant>
      <vt:variant>
        <vt:i4>0</vt:i4>
      </vt:variant>
      <vt:variant>
        <vt:i4>5</vt:i4>
      </vt:variant>
      <vt:variant>
        <vt:lpwstr/>
      </vt:variant>
      <vt:variant>
        <vt:lpwstr>_Toc413918100</vt:lpwstr>
      </vt:variant>
      <vt:variant>
        <vt:i4>1966134</vt:i4>
      </vt:variant>
      <vt:variant>
        <vt:i4>1082</vt:i4>
      </vt:variant>
      <vt:variant>
        <vt:i4>0</vt:i4>
      </vt:variant>
      <vt:variant>
        <vt:i4>5</vt:i4>
      </vt:variant>
      <vt:variant>
        <vt:lpwstr/>
      </vt:variant>
      <vt:variant>
        <vt:lpwstr>_Toc413918099</vt:lpwstr>
      </vt:variant>
      <vt:variant>
        <vt:i4>1966134</vt:i4>
      </vt:variant>
      <vt:variant>
        <vt:i4>1076</vt:i4>
      </vt:variant>
      <vt:variant>
        <vt:i4>0</vt:i4>
      </vt:variant>
      <vt:variant>
        <vt:i4>5</vt:i4>
      </vt:variant>
      <vt:variant>
        <vt:lpwstr/>
      </vt:variant>
      <vt:variant>
        <vt:lpwstr>_Toc413918098</vt:lpwstr>
      </vt:variant>
      <vt:variant>
        <vt:i4>1966134</vt:i4>
      </vt:variant>
      <vt:variant>
        <vt:i4>1070</vt:i4>
      </vt:variant>
      <vt:variant>
        <vt:i4>0</vt:i4>
      </vt:variant>
      <vt:variant>
        <vt:i4>5</vt:i4>
      </vt:variant>
      <vt:variant>
        <vt:lpwstr/>
      </vt:variant>
      <vt:variant>
        <vt:lpwstr>_Toc413918097</vt:lpwstr>
      </vt:variant>
      <vt:variant>
        <vt:i4>1966134</vt:i4>
      </vt:variant>
      <vt:variant>
        <vt:i4>1064</vt:i4>
      </vt:variant>
      <vt:variant>
        <vt:i4>0</vt:i4>
      </vt:variant>
      <vt:variant>
        <vt:i4>5</vt:i4>
      </vt:variant>
      <vt:variant>
        <vt:lpwstr/>
      </vt:variant>
      <vt:variant>
        <vt:lpwstr>_Toc413918096</vt:lpwstr>
      </vt:variant>
      <vt:variant>
        <vt:i4>1966134</vt:i4>
      </vt:variant>
      <vt:variant>
        <vt:i4>1058</vt:i4>
      </vt:variant>
      <vt:variant>
        <vt:i4>0</vt:i4>
      </vt:variant>
      <vt:variant>
        <vt:i4>5</vt:i4>
      </vt:variant>
      <vt:variant>
        <vt:lpwstr/>
      </vt:variant>
      <vt:variant>
        <vt:lpwstr>_Toc413918095</vt:lpwstr>
      </vt:variant>
      <vt:variant>
        <vt:i4>1966134</vt:i4>
      </vt:variant>
      <vt:variant>
        <vt:i4>1052</vt:i4>
      </vt:variant>
      <vt:variant>
        <vt:i4>0</vt:i4>
      </vt:variant>
      <vt:variant>
        <vt:i4>5</vt:i4>
      </vt:variant>
      <vt:variant>
        <vt:lpwstr/>
      </vt:variant>
      <vt:variant>
        <vt:lpwstr>_Toc413918094</vt:lpwstr>
      </vt:variant>
      <vt:variant>
        <vt:i4>1966134</vt:i4>
      </vt:variant>
      <vt:variant>
        <vt:i4>1046</vt:i4>
      </vt:variant>
      <vt:variant>
        <vt:i4>0</vt:i4>
      </vt:variant>
      <vt:variant>
        <vt:i4>5</vt:i4>
      </vt:variant>
      <vt:variant>
        <vt:lpwstr/>
      </vt:variant>
      <vt:variant>
        <vt:lpwstr>_Toc413918093</vt:lpwstr>
      </vt:variant>
      <vt:variant>
        <vt:i4>1966134</vt:i4>
      </vt:variant>
      <vt:variant>
        <vt:i4>1040</vt:i4>
      </vt:variant>
      <vt:variant>
        <vt:i4>0</vt:i4>
      </vt:variant>
      <vt:variant>
        <vt:i4>5</vt:i4>
      </vt:variant>
      <vt:variant>
        <vt:lpwstr/>
      </vt:variant>
      <vt:variant>
        <vt:lpwstr>_Toc413918092</vt:lpwstr>
      </vt:variant>
      <vt:variant>
        <vt:i4>1966134</vt:i4>
      </vt:variant>
      <vt:variant>
        <vt:i4>1034</vt:i4>
      </vt:variant>
      <vt:variant>
        <vt:i4>0</vt:i4>
      </vt:variant>
      <vt:variant>
        <vt:i4>5</vt:i4>
      </vt:variant>
      <vt:variant>
        <vt:lpwstr/>
      </vt:variant>
      <vt:variant>
        <vt:lpwstr>_Toc413918091</vt:lpwstr>
      </vt:variant>
      <vt:variant>
        <vt:i4>1966134</vt:i4>
      </vt:variant>
      <vt:variant>
        <vt:i4>1028</vt:i4>
      </vt:variant>
      <vt:variant>
        <vt:i4>0</vt:i4>
      </vt:variant>
      <vt:variant>
        <vt:i4>5</vt:i4>
      </vt:variant>
      <vt:variant>
        <vt:lpwstr/>
      </vt:variant>
      <vt:variant>
        <vt:lpwstr>_Toc413918090</vt:lpwstr>
      </vt:variant>
      <vt:variant>
        <vt:i4>2031670</vt:i4>
      </vt:variant>
      <vt:variant>
        <vt:i4>1022</vt:i4>
      </vt:variant>
      <vt:variant>
        <vt:i4>0</vt:i4>
      </vt:variant>
      <vt:variant>
        <vt:i4>5</vt:i4>
      </vt:variant>
      <vt:variant>
        <vt:lpwstr/>
      </vt:variant>
      <vt:variant>
        <vt:lpwstr>_Toc413918089</vt:lpwstr>
      </vt:variant>
      <vt:variant>
        <vt:i4>2031670</vt:i4>
      </vt:variant>
      <vt:variant>
        <vt:i4>1016</vt:i4>
      </vt:variant>
      <vt:variant>
        <vt:i4>0</vt:i4>
      </vt:variant>
      <vt:variant>
        <vt:i4>5</vt:i4>
      </vt:variant>
      <vt:variant>
        <vt:lpwstr/>
      </vt:variant>
      <vt:variant>
        <vt:lpwstr>_Toc413918088</vt:lpwstr>
      </vt:variant>
      <vt:variant>
        <vt:i4>2031670</vt:i4>
      </vt:variant>
      <vt:variant>
        <vt:i4>1010</vt:i4>
      </vt:variant>
      <vt:variant>
        <vt:i4>0</vt:i4>
      </vt:variant>
      <vt:variant>
        <vt:i4>5</vt:i4>
      </vt:variant>
      <vt:variant>
        <vt:lpwstr/>
      </vt:variant>
      <vt:variant>
        <vt:lpwstr>_Toc413918087</vt:lpwstr>
      </vt:variant>
      <vt:variant>
        <vt:i4>2031670</vt:i4>
      </vt:variant>
      <vt:variant>
        <vt:i4>1004</vt:i4>
      </vt:variant>
      <vt:variant>
        <vt:i4>0</vt:i4>
      </vt:variant>
      <vt:variant>
        <vt:i4>5</vt:i4>
      </vt:variant>
      <vt:variant>
        <vt:lpwstr/>
      </vt:variant>
      <vt:variant>
        <vt:lpwstr>_Toc413918086</vt:lpwstr>
      </vt:variant>
      <vt:variant>
        <vt:i4>2031670</vt:i4>
      </vt:variant>
      <vt:variant>
        <vt:i4>998</vt:i4>
      </vt:variant>
      <vt:variant>
        <vt:i4>0</vt:i4>
      </vt:variant>
      <vt:variant>
        <vt:i4>5</vt:i4>
      </vt:variant>
      <vt:variant>
        <vt:lpwstr/>
      </vt:variant>
      <vt:variant>
        <vt:lpwstr>_Toc413918085</vt:lpwstr>
      </vt:variant>
      <vt:variant>
        <vt:i4>2031670</vt:i4>
      </vt:variant>
      <vt:variant>
        <vt:i4>992</vt:i4>
      </vt:variant>
      <vt:variant>
        <vt:i4>0</vt:i4>
      </vt:variant>
      <vt:variant>
        <vt:i4>5</vt:i4>
      </vt:variant>
      <vt:variant>
        <vt:lpwstr/>
      </vt:variant>
      <vt:variant>
        <vt:lpwstr>_Toc413918084</vt:lpwstr>
      </vt:variant>
      <vt:variant>
        <vt:i4>2031670</vt:i4>
      </vt:variant>
      <vt:variant>
        <vt:i4>986</vt:i4>
      </vt:variant>
      <vt:variant>
        <vt:i4>0</vt:i4>
      </vt:variant>
      <vt:variant>
        <vt:i4>5</vt:i4>
      </vt:variant>
      <vt:variant>
        <vt:lpwstr/>
      </vt:variant>
      <vt:variant>
        <vt:lpwstr>_Toc413918083</vt:lpwstr>
      </vt:variant>
      <vt:variant>
        <vt:i4>2031670</vt:i4>
      </vt:variant>
      <vt:variant>
        <vt:i4>980</vt:i4>
      </vt:variant>
      <vt:variant>
        <vt:i4>0</vt:i4>
      </vt:variant>
      <vt:variant>
        <vt:i4>5</vt:i4>
      </vt:variant>
      <vt:variant>
        <vt:lpwstr/>
      </vt:variant>
      <vt:variant>
        <vt:lpwstr>_Toc413918082</vt:lpwstr>
      </vt:variant>
      <vt:variant>
        <vt:i4>2031670</vt:i4>
      </vt:variant>
      <vt:variant>
        <vt:i4>974</vt:i4>
      </vt:variant>
      <vt:variant>
        <vt:i4>0</vt:i4>
      </vt:variant>
      <vt:variant>
        <vt:i4>5</vt:i4>
      </vt:variant>
      <vt:variant>
        <vt:lpwstr/>
      </vt:variant>
      <vt:variant>
        <vt:lpwstr>_Toc413918081</vt:lpwstr>
      </vt:variant>
      <vt:variant>
        <vt:i4>2031670</vt:i4>
      </vt:variant>
      <vt:variant>
        <vt:i4>968</vt:i4>
      </vt:variant>
      <vt:variant>
        <vt:i4>0</vt:i4>
      </vt:variant>
      <vt:variant>
        <vt:i4>5</vt:i4>
      </vt:variant>
      <vt:variant>
        <vt:lpwstr/>
      </vt:variant>
      <vt:variant>
        <vt:lpwstr>_Toc413918080</vt:lpwstr>
      </vt:variant>
      <vt:variant>
        <vt:i4>1048630</vt:i4>
      </vt:variant>
      <vt:variant>
        <vt:i4>962</vt:i4>
      </vt:variant>
      <vt:variant>
        <vt:i4>0</vt:i4>
      </vt:variant>
      <vt:variant>
        <vt:i4>5</vt:i4>
      </vt:variant>
      <vt:variant>
        <vt:lpwstr/>
      </vt:variant>
      <vt:variant>
        <vt:lpwstr>_Toc413918079</vt:lpwstr>
      </vt:variant>
      <vt:variant>
        <vt:i4>1048630</vt:i4>
      </vt:variant>
      <vt:variant>
        <vt:i4>956</vt:i4>
      </vt:variant>
      <vt:variant>
        <vt:i4>0</vt:i4>
      </vt:variant>
      <vt:variant>
        <vt:i4>5</vt:i4>
      </vt:variant>
      <vt:variant>
        <vt:lpwstr/>
      </vt:variant>
      <vt:variant>
        <vt:lpwstr>_Toc413918078</vt:lpwstr>
      </vt:variant>
      <vt:variant>
        <vt:i4>1048630</vt:i4>
      </vt:variant>
      <vt:variant>
        <vt:i4>950</vt:i4>
      </vt:variant>
      <vt:variant>
        <vt:i4>0</vt:i4>
      </vt:variant>
      <vt:variant>
        <vt:i4>5</vt:i4>
      </vt:variant>
      <vt:variant>
        <vt:lpwstr/>
      </vt:variant>
      <vt:variant>
        <vt:lpwstr>_Toc413918077</vt:lpwstr>
      </vt:variant>
      <vt:variant>
        <vt:i4>1048630</vt:i4>
      </vt:variant>
      <vt:variant>
        <vt:i4>944</vt:i4>
      </vt:variant>
      <vt:variant>
        <vt:i4>0</vt:i4>
      </vt:variant>
      <vt:variant>
        <vt:i4>5</vt:i4>
      </vt:variant>
      <vt:variant>
        <vt:lpwstr/>
      </vt:variant>
      <vt:variant>
        <vt:lpwstr>_Toc413918076</vt:lpwstr>
      </vt:variant>
      <vt:variant>
        <vt:i4>1048630</vt:i4>
      </vt:variant>
      <vt:variant>
        <vt:i4>938</vt:i4>
      </vt:variant>
      <vt:variant>
        <vt:i4>0</vt:i4>
      </vt:variant>
      <vt:variant>
        <vt:i4>5</vt:i4>
      </vt:variant>
      <vt:variant>
        <vt:lpwstr/>
      </vt:variant>
      <vt:variant>
        <vt:lpwstr>_Toc413918075</vt:lpwstr>
      </vt:variant>
      <vt:variant>
        <vt:i4>1048630</vt:i4>
      </vt:variant>
      <vt:variant>
        <vt:i4>932</vt:i4>
      </vt:variant>
      <vt:variant>
        <vt:i4>0</vt:i4>
      </vt:variant>
      <vt:variant>
        <vt:i4>5</vt:i4>
      </vt:variant>
      <vt:variant>
        <vt:lpwstr/>
      </vt:variant>
      <vt:variant>
        <vt:lpwstr>_Toc413918074</vt:lpwstr>
      </vt:variant>
      <vt:variant>
        <vt:i4>1048630</vt:i4>
      </vt:variant>
      <vt:variant>
        <vt:i4>926</vt:i4>
      </vt:variant>
      <vt:variant>
        <vt:i4>0</vt:i4>
      </vt:variant>
      <vt:variant>
        <vt:i4>5</vt:i4>
      </vt:variant>
      <vt:variant>
        <vt:lpwstr/>
      </vt:variant>
      <vt:variant>
        <vt:lpwstr>_Toc413918073</vt:lpwstr>
      </vt:variant>
      <vt:variant>
        <vt:i4>1048630</vt:i4>
      </vt:variant>
      <vt:variant>
        <vt:i4>920</vt:i4>
      </vt:variant>
      <vt:variant>
        <vt:i4>0</vt:i4>
      </vt:variant>
      <vt:variant>
        <vt:i4>5</vt:i4>
      </vt:variant>
      <vt:variant>
        <vt:lpwstr/>
      </vt:variant>
      <vt:variant>
        <vt:lpwstr>_Toc413918072</vt:lpwstr>
      </vt:variant>
      <vt:variant>
        <vt:i4>1048630</vt:i4>
      </vt:variant>
      <vt:variant>
        <vt:i4>914</vt:i4>
      </vt:variant>
      <vt:variant>
        <vt:i4>0</vt:i4>
      </vt:variant>
      <vt:variant>
        <vt:i4>5</vt:i4>
      </vt:variant>
      <vt:variant>
        <vt:lpwstr/>
      </vt:variant>
      <vt:variant>
        <vt:lpwstr>_Toc413918071</vt:lpwstr>
      </vt:variant>
      <vt:variant>
        <vt:i4>1048630</vt:i4>
      </vt:variant>
      <vt:variant>
        <vt:i4>908</vt:i4>
      </vt:variant>
      <vt:variant>
        <vt:i4>0</vt:i4>
      </vt:variant>
      <vt:variant>
        <vt:i4>5</vt:i4>
      </vt:variant>
      <vt:variant>
        <vt:lpwstr/>
      </vt:variant>
      <vt:variant>
        <vt:lpwstr>_Toc413918070</vt:lpwstr>
      </vt:variant>
      <vt:variant>
        <vt:i4>1114166</vt:i4>
      </vt:variant>
      <vt:variant>
        <vt:i4>902</vt:i4>
      </vt:variant>
      <vt:variant>
        <vt:i4>0</vt:i4>
      </vt:variant>
      <vt:variant>
        <vt:i4>5</vt:i4>
      </vt:variant>
      <vt:variant>
        <vt:lpwstr/>
      </vt:variant>
      <vt:variant>
        <vt:lpwstr>_Toc413918069</vt:lpwstr>
      </vt:variant>
      <vt:variant>
        <vt:i4>1114166</vt:i4>
      </vt:variant>
      <vt:variant>
        <vt:i4>896</vt:i4>
      </vt:variant>
      <vt:variant>
        <vt:i4>0</vt:i4>
      </vt:variant>
      <vt:variant>
        <vt:i4>5</vt:i4>
      </vt:variant>
      <vt:variant>
        <vt:lpwstr/>
      </vt:variant>
      <vt:variant>
        <vt:lpwstr>_Toc413918068</vt:lpwstr>
      </vt:variant>
      <vt:variant>
        <vt:i4>1114166</vt:i4>
      </vt:variant>
      <vt:variant>
        <vt:i4>890</vt:i4>
      </vt:variant>
      <vt:variant>
        <vt:i4>0</vt:i4>
      </vt:variant>
      <vt:variant>
        <vt:i4>5</vt:i4>
      </vt:variant>
      <vt:variant>
        <vt:lpwstr/>
      </vt:variant>
      <vt:variant>
        <vt:lpwstr>_Toc413918067</vt:lpwstr>
      </vt:variant>
      <vt:variant>
        <vt:i4>1114166</vt:i4>
      </vt:variant>
      <vt:variant>
        <vt:i4>884</vt:i4>
      </vt:variant>
      <vt:variant>
        <vt:i4>0</vt:i4>
      </vt:variant>
      <vt:variant>
        <vt:i4>5</vt:i4>
      </vt:variant>
      <vt:variant>
        <vt:lpwstr/>
      </vt:variant>
      <vt:variant>
        <vt:lpwstr>_Toc413918066</vt:lpwstr>
      </vt:variant>
      <vt:variant>
        <vt:i4>1114166</vt:i4>
      </vt:variant>
      <vt:variant>
        <vt:i4>878</vt:i4>
      </vt:variant>
      <vt:variant>
        <vt:i4>0</vt:i4>
      </vt:variant>
      <vt:variant>
        <vt:i4>5</vt:i4>
      </vt:variant>
      <vt:variant>
        <vt:lpwstr/>
      </vt:variant>
      <vt:variant>
        <vt:lpwstr>_Toc413918065</vt:lpwstr>
      </vt:variant>
      <vt:variant>
        <vt:i4>1114166</vt:i4>
      </vt:variant>
      <vt:variant>
        <vt:i4>872</vt:i4>
      </vt:variant>
      <vt:variant>
        <vt:i4>0</vt:i4>
      </vt:variant>
      <vt:variant>
        <vt:i4>5</vt:i4>
      </vt:variant>
      <vt:variant>
        <vt:lpwstr/>
      </vt:variant>
      <vt:variant>
        <vt:lpwstr>_Toc413918064</vt:lpwstr>
      </vt:variant>
      <vt:variant>
        <vt:i4>1114166</vt:i4>
      </vt:variant>
      <vt:variant>
        <vt:i4>866</vt:i4>
      </vt:variant>
      <vt:variant>
        <vt:i4>0</vt:i4>
      </vt:variant>
      <vt:variant>
        <vt:i4>5</vt:i4>
      </vt:variant>
      <vt:variant>
        <vt:lpwstr/>
      </vt:variant>
      <vt:variant>
        <vt:lpwstr>_Toc413918063</vt:lpwstr>
      </vt:variant>
      <vt:variant>
        <vt:i4>1114166</vt:i4>
      </vt:variant>
      <vt:variant>
        <vt:i4>860</vt:i4>
      </vt:variant>
      <vt:variant>
        <vt:i4>0</vt:i4>
      </vt:variant>
      <vt:variant>
        <vt:i4>5</vt:i4>
      </vt:variant>
      <vt:variant>
        <vt:lpwstr/>
      </vt:variant>
      <vt:variant>
        <vt:lpwstr>_Toc413918062</vt:lpwstr>
      </vt:variant>
      <vt:variant>
        <vt:i4>1114166</vt:i4>
      </vt:variant>
      <vt:variant>
        <vt:i4>854</vt:i4>
      </vt:variant>
      <vt:variant>
        <vt:i4>0</vt:i4>
      </vt:variant>
      <vt:variant>
        <vt:i4>5</vt:i4>
      </vt:variant>
      <vt:variant>
        <vt:lpwstr/>
      </vt:variant>
      <vt:variant>
        <vt:lpwstr>_Toc413918061</vt:lpwstr>
      </vt:variant>
      <vt:variant>
        <vt:i4>1114166</vt:i4>
      </vt:variant>
      <vt:variant>
        <vt:i4>848</vt:i4>
      </vt:variant>
      <vt:variant>
        <vt:i4>0</vt:i4>
      </vt:variant>
      <vt:variant>
        <vt:i4>5</vt:i4>
      </vt:variant>
      <vt:variant>
        <vt:lpwstr/>
      </vt:variant>
      <vt:variant>
        <vt:lpwstr>_Toc413918060</vt:lpwstr>
      </vt:variant>
      <vt:variant>
        <vt:i4>1179702</vt:i4>
      </vt:variant>
      <vt:variant>
        <vt:i4>842</vt:i4>
      </vt:variant>
      <vt:variant>
        <vt:i4>0</vt:i4>
      </vt:variant>
      <vt:variant>
        <vt:i4>5</vt:i4>
      </vt:variant>
      <vt:variant>
        <vt:lpwstr/>
      </vt:variant>
      <vt:variant>
        <vt:lpwstr>_Toc413918059</vt:lpwstr>
      </vt:variant>
      <vt:variant>
        <vt:i4>1179702</vt:i4>
      </vt:variant>
      <vt:variant>
        <vt:i4>836</vt:i4>
      </vt:variant>
      <vt:variant>
        <vt:i4>0</vt:i4>
      </vt:variant>
      <vt:variant>
        <vt:i4>5</vt:i4>
      </vt:variant>
      <vt:variant>
        <vt:lpwstr/>
      </vt:variant>
      <vt:variant>
        <vt:lpwstr>_Toc413918058</vt:lpwstr>
      </vt:variant>
      <vt:variant>
        <vt:i4>1179702</vt:i4>
      </vt:variant>
      <vt:variant>
        <vt:i4>830</vt:i4>
      </vt:variant>
      <vt:variant>
        <vt:i4>0</vt:i4>
      </vt:variant>
      <vt:variant>
        <vt:i4>5</vt:i4>
      </vt:variant>
      <vt:variant>
        <vt:lpwstr/>
      </vt:variant>
      <vt:variant>
        <vt:lpwstr>_Toc413918057</vt:lpwstr>
      </vt:variant>
      <vt:variant>
        <vt:i4>1179702</vt:i4>
      </vt:variant>
      <vt:variant>
        <vt:i4>824</vt:i4>
      </vt:variant>
      <vt:variant>
        <vt:i4>0</vt:i4>
      </vt:variant>
      <vt:variant>
        <vt:i4>5</vt:i4>
      </vt:variant>
      <vt:variant>
        <vt:lpwstr/>
      </vt:variant>
      <vt:variant>
        <vt:lpwstr>_Toc413918056</vt:lpwstr>
      </vt:variant>
      <vt:variant>
        <vt:i4>1179702</vt:i4>
      </vt:variant>
      <vt:variant>
        <vt:i4>818</vt:i4>
      </vt:variant>
      <vt:variant>
        <vt:i4>0</vt:i4>
      </vt:variant>
      <vt:variant>
        <vt:i4>5</vt:i4>
      </vt:variant>
      <vt:variant>
        <vt:lpwstr/>
      </vt:variant>
      <vt:variant>
        <vt:lpwstr>_Toc413918055</vt:lpwstr>
      </vt:variant>
      <vt:variant>
        <vt:i4>1179702</vt:i4>
      </vt:variant>
      <vt:variant>
        <vt:i4>812</vt:i4>
      </vt:variant>
      <vt:variant>
        <vt:i4>0</vt:i4>
      </vt:variant>
      <vt:variant>
        <vt:i4>5</vt:i4>
      </vt:variant>
      <vt:variant>
        <vt:lpwstr/>
      </vt:variant>
      <vt:variant>
        <vt:lpwstr>_Toc413918054</vt:lpwstr>
      </vt:variant>
      <vt:variant>
        <vt:i4>1179702</vt:i4>
      </vt:variant>
      <vt:variant>
        <vt:i4>806</vt:i4>
      </vt:variant>
      <vt:variant>
        <vt:i4>0</vt:i4>
      </vt:variant>
      <vt:variant>
        <vt:i4>5</vt:i4>
      </vt:variant>
      <vt:variant>
        <vt:lpwstr/>
      </vt:variant>
      <vt:variant>
        <vt:lpwstr>_Toc413918053</vt:lpwstr>
      </vt:variant>
      <vt:variant>
        <vt:i4>1179702</vt:i4>
      </vt:variant>
      <vt:variant>
        <vt:i4>800</vt:i4>
      </vt:variant>
      <vt:variant>
        <vt:i4>0</vt:i4>
      </vt:variant>
      <vt:variant>
        <vt:i4>5</vt:i4>
      </vt:variant>
      <vt:variant>
        <vt:lpwstr/>
      </vt:variant>
      <vt:variant>
        <vt:lpwstr>_Toc413918052</vt:lpwstr>
      </vt:variant>
      <vt:variant>
        <vt:i4>1179702</vt:i4>
      </vt:variant>
      <vt:variant>
        <vt:i4>794</vt:i4>
      </vt:variant>
      <vt:variant>
        <vt:i4>0</vt:i4>
      </vt:variant>
      <vt:variant>
        <vt:i4>5</vt:i4>
      </vt:variant>
      <vt:variant>
        <vt:lpwstr/>
      </vt:variant>
      <vt:variant>
        <vt:lpwstr>_Toc413918051</vt:lpwstr>
      </vt:variant>
      <vt:variant>
        <vt:i4>1179702</vt:i4>
      </vt:variant>
      <vt:variant>
        <vt:i4>788</vt:i4>
      </vt:variant>
      <vt:variant>
        <vt:i4>0</vt:i4>
      </vt:variant>
      <vt:variant>
        <vt:i4>5</vt:i4>
      </vt:variant>
      <vt:variant>
        <vt:lpwstr/>
      </vt:variant>
      <vt:variant>
        <vt:lpwstr>_Toc413918050</vt:lpwstr>
      </vt:variant>
      <vt:variant>
        <vt:i4>1245238</vt:i4>
      </vt:variant>
      <vt:variant>
        <vt:i4>782</vt:i4>
      </vt:variant>
      <vt:variant>
        <vt:i4>0</vt:i4>
      </vt:variant>
      <vt:variant>
        <vt:i4>5</vt:i4>
      </vt:variant>
      <vt:variant>
        <vt:lpwstr/>
      </vt:variant>
      <vt:variant>
        <vt:lpwstr>_Toc413918049</vt:lpwstr>
      </vt:variant>
      <vt:variant>
        <vt:i4>1245238</vt:i4>
      </vt:variant>
      <vt:variant>
        <vt:i4>776</vt:i4>
      </vt:variant>
      <vt:variant>
        <vt:i4>0</vt:i4>
      </vt:variant>
      <vt:variant>
        <vt:i4>5</vt:i4>
      </vt:variant>
      <vt:variant>
        <vt:lpwstr/>
      </vt:variant>
      <vt:variant>
        <vt:lpwstr>_Toc413918048</vt:lpwstr>
      </vt:variant>
      <vt:variant>
        <vt:i4>1245238</vt:i4>
      </vt:variant>
      <vt:variant>
        <vt:i4>770</vt:i4>
      </vt:variant>
      <vt:variant>
        <vt:i4>0</vt:i4>
      </vt:variant>
      <vt:variant>
        <vt:i4>5</vt:i4>
      </vt:variant>
      <vt:variant>
        <vt:lpwstr/>
      </vt:variant>
      <vt:variant>
        <vt:lpwstr>_Toc413918047</vt:lpwstr>
      </vt:variant>
      <vt:variant>
        <vt:i4>1245238</vt:i4>
      </vt:variant>
      <vt:variant>
        <vt:i4>764</vt:i4>
      </vt:variant>
      <vt:variant>
        <vt:i4>0</vt:i4>
      </vt:variant>
      <vt:variant>
        <vt:i4>5</vt:i4>
      </vt:variant>
      <vt:variant>
        <vt:lpwstr/>
      </vt:variant>
      <vt:variant>
        <vt:lpwstr>_Toc413918046</vt:lpwstr>
      </vt:variant>
      <vt:variant>
        <vt:i4>1245238</vt:i4>
      </vt:variant>
      <vt:variant>
        <vt:i4>758</vt:i4>
      </vt:variant>
      <vt:variant>
        <vt:i4>0</vt:i4>
      </vt:variant>
      <vt:variant>
        <vt:i4>5</vt:i4>
      </vt:variant>
      <vt:variant>
        <vt:lpwstr/>
      </vt:variant>
      <vt:variant>
        <vt:lpwstr>_Toc413918045</vt:lpwstr>
      </vt:variant>
      <vt:variant>
        <vt:i4>1245238</vt:i4>
      </vt:variant>
      <vt:variant>
        <vt:i4>752</vt:i4>
      </vt:variant>
      <vt:variant>
        <vt:i4>0</vt:i4>
      </vt:variant>
      <vt:variant>
        <vt:i4>5</vt:i4>
      </vt:variant>
      <vt:variant>
        <vt:lpwstr/>
      </vt:variant>
      <vt:variant>
        <vt:lpwstr>_Toc413918044</vt:lpwstr>
      </vt:variant>
      <vt:variant>
        <vt:i4>1245238</vt:i4>
      </vt:variant>
      <vt:variant>
        <vt:i4>746</vt:i4>
      </vt:variant>
      <vt:variant>
        <vt:i4>0</vt:i4>
      </vt:variant>
      <vt:variant>
        <vt:i4>5</vt:i4>
      </vt:variant>
      <vt:variant>
        <vt:lpwstr/>
      </vt:variant>
      <vt:variant>
        <vt:lpwstr>_Toc413918043</vt:lpwstr>
      </vt:variant>
      <vt:variant>
        <vt:i4>1245238</vt:i4>
      </vt:variant>
      <vt:variant>
        <vt:i4>740</vt:i4>
      </vt:variant>
      <vt:variant>
        <vt:i4>0</vt:i4>
      </vt:variant>
      <vt:variant>
        <vt:i4>5</vt:i4>
      </vt:variant>
      <vt:variant>
        <vt:lpwstr/>
      </vt:variant>
      <vt:variant>
        <vt:lpwstr>_Toc413918042</vt:lpwstr>
      </vt:variant>
      <vt:variant>
        <vt:i4>1245238</vt:i4>
      </vt:variant>
      <vt:variant>
        <vt:i4>734</vt:i4>
      </vt:variant>
      <vt:variant>
        <vt:i4>0</vt:i4>
      </vt:variant>
      <vt:variant>
        <vt:i4>5</vt:i4>
      </vt:variant>
      <vt:variant>
        <vt:lpwstr/>
      </vt:variant>
      <vt:variant>
        <vt:lpwstr>_Toc413918041</vt:lpwstr>
      </vt:variant>
      <vt:variant>
        <vt:i4>1245238</vt:i4>
      </vt:variant>
      <vt:variant>
        <vt:i4>728</vt:i4>
      </vt:variant>
      <vt:variant>
        <vt:i4>0</vt:i4>
      </vt:variant>
      <vt:variant>
        <vt:i4>5</vt:i4>
      </vt:variant>
      <vt:variant>
        <vt:lpwstr/>
      </vt:variant>
      <vt:variant>
        <vt:lpwstr>_Toc413918040</vt:lpwstr>
      </vt:variant>
      <vt:variant>
        <vt:i4>1310774</vt:i4>
      </vt:variant>
      <vt:variant>
        <vt:i4>722</vt:i4>
      </vt:variant>
      <vt:variant>
        <vt:i4>0</vt:i4>
      </vt:variant>
      <vt:variant>
        <vt:i4>5</vt:i4>
      </vt:variant>
      <vt:variant>
        <vt:lpwstr/>
      </vt:variant>
      <vt:variant>
        <vt:lpwstr>_Toc413918039</vt:lpwstr>
      </vt:variant>
      <vt:variant>
        <vt:i4>1310774</vt:i4>
      </vt:variant>
      <vt:variant>
        <vt:i4>716</vt:i4>
      </vt:variant>
      <vt:variant>
        <vt:i4>0</vt:i4>
      </vt:variant>
      <vt:variant>
        <vt:i4>5</vt:i4>
      </vt:variant>
      <vt:variant>
        <vt:lpwstr/>
      </vt:variant>
      <vt:variant>
        <vt:lpwstr>_Toc413918038</vt:lpwstr>
      </vt:variant>
      <vt:variant>
        <vt:i4>1310774</vt:i4>
      </vt:variant>
      <vt:variant>
        <vt:i4>710</vt:i4>
      </vt:variant>
      <vt:variant>
        <vt:i4>0</vt:i4>
      </vt:variant>
      <vt:variant>
        <vt:i4>5</vt:i4>
      </vt:variant>
      <vt:variant>
        <vt:lpwstr/>
      </vt:variant>
      <vt:variant>
        <vt:lpwstr>_Toc413918037</vt:lpwstr>
      </vt:variant>
      <vt:variant>
        <vt:i4>1310774</vt:i4>
      </vt:variant>
      <vt:variant>
        <vt:i4>704</vt:i4>
      </vt:variant>
      <vt:variant>
        <vt:i4>0</vt:i4>
      </vt:variant>
      <vt:variant>
        <vt:i4>5</vt:i4>
      </vt:variant>
      <vt:variant>
        <vt:lpwstr/>
      </vt:variant>
      <vt:variant>
        <vt:lpwstr>_Toc413918036</vt:lpwstr>
      </vt:variant>
      <vt:variant>
        <vt:i4>1310774</vt:i4>
      </vt:variant>
      <vt:variant>
        <vt:i4>698</vt:i4>
      </vt:variant>
      <vt:variant>
        <vt:i4>0</vt:i4>
      </vt:variant>
      <vt:variant>
        <vt:i4>5</vt:i4>
      </vt:variant>
      <vt:variant>
        <vt:lpwstr/>
      </vt:variant>
      <vt:variant>
        <vt:lpwstr>_Toc413918035</vt:lpwstr>
      </vt:variant>
      <vt:variant>
        <vt:i4>1310774</vt:i4>
      </vt:variant>
      <vt:variant>
        <vt:i4>692</vt:i4>
      </vt:variant>
      <vt:variant>
        <vt:i4>0</vt:i4>
      </vt:variant>
      <vt:variant>
        <vt:i4>5</vt:i4>
      </vt:variant>
      <vt:variant>
        <vt:lpwstr/>
      </vt:variant>
      <vt:variant>
        <vt:lpwstr>_Toc413918034</vt:lpwstr>
      </vt:variant>
      <vt:variant>
        <vt:i4>1310774</vt:i4>
      </vt:variant>
      <vt:variant>
        <vt:i4>686</vt:i4>
      </vt:variant>
      <vt:variant>
        <vt:i4>0</vt:i4>
      </vt:variant>
      <vt:variant>
        <vt:i4>5</vt:i4>
      </vt:variant>
      <vt:variant>
        <vt:lpwstr/>
      </vt:variant>
      <vt:variant>
        <vt:lpwstr>_Toc413918033</vt:lpwstr>
      </vt:variant>
      <vt:variant>
        <vt:i4>1310774</vt:i4>
      </vt:variant>
      <vt:variant>
        <vt:i4>680</vt:i4>
      </vt:variant>
      <vt:variant>
        <vt:i4>0</vt:i4>
      </vt:variant>
      <vt:variant>
        <vt:i4>5</vt:i4>
      </vt:variant>
      <vt:variant>
        <vt:lpwstr/>
      </vt:variant>
      <vt:variant>
        <vt:lpwstr>_Toc413918032</vt:lpwstr>
      </vt:variant>
      <vt:variant>
        <vt:i4>1310774</vt:i4>
      </vt:variant>
      <vt:variant>
        <vt:i4>674</vt:i4>
      </vt:variant>
      <vt:variant>
        <vt:i4>0</vt:i4>
      </vt:variant>
      <vt:variant>
        <vt:i4>5</vt:i4>
      </vt:variant>
      <vt:variant>
        <vt:lpwstr/>
      </vt:variant>
      <vt:variant>
        <vt:lpwstr>_Toc413918031</vt:lpwstr>
      </vt:variant>
      <vt:variant>
        <vt:i4>1310774</vt:i4>
      </vt:variant>
      <vt:variant>
        <vt:i4>668</vt:i4>
      </vt:variant>
      <vt:variant>
        <vt:i4>0</vt:i4>
      </vt:variant>
      <vt:variant>
        <vt:i4>5</vt:i4>
      </vt:variant>
      <vt:variant>
        <vt:lpwstr/>
      </vt:variant>
      <vt:variant>
        <vt:lpwstr>_Toc413918030</vt:lpwstr>
      </vt:variant>
      <vt:variant>
        <vt:i4>1376310</vt:i4>
      </vt:variant>
      <vt:variant>
        <vt:i4>662</vt:i4>
      </vt:variant>
      <vt:variant>
        <vt:i4>0</vt:i4>
      </vt:variant>
      <vt:variant>
        <vt:i4>5</vt:i4>
      </vt:variant>
      <vt:variant>
        <vt:lpwstr/>
      </vt:variant>
      <vt:variant>
        <vt:lpwstr>_Toc413918029</vt:lpwstr>
      </vt:variant>
      <vt:variant>
        <vt:i4>1376310</vt:i4>
      </vt:variant>
      <vt:variant>
        <vt:i4>656</vt:i4>
      </vt:variant>
      <vt:variant>
        <vt:i4>0</vt:i4>
      </vt:variant>
      <vt:variant>
        <vt:i4>5</vt:i4>
      </vt:variant>
      <vt:variant>
        <vt:lpwstr/>
      </vt:variant>
      <vt:variant>
        <vt:lpwstr>_Toc413918028</vt:lpwstr>
      </vt:variant>
      <vt:variant>
        <vt:i4>1376310</vt:i4>
      </vt:variant>
      <vt:variant>
        <vt:i4>650</vt:i4>
      </vt:variant>
      <vt:variant>
        <vt:i4>0</vt:i4>
      </vt:variant>
      <vt:variant>
        <vt:i4>5</vt:i4>
      </vt:variant>
      <vt:variant>
        <vt:lpwstr/>
      </vt:variant>
      <vt:variant>
        <vt:lpwstr>_Toc413918027</vt:lpwstr>
      </vt:variant>
      <vt:variant>
        <vt:i4>1376310</vt:i4>
      </vt:variant>
      <vt:variant>
        <vt:i4>644</vt:i4>
      </vt:variant>
      <vt:variant>
        <vt:i4>0</vt:i4>
      </vt:variant>
      <vt:variant>
        <vt:i4>5</vt:i4>
      </vt:variant>
      <vt:variant>
        <vt:lpwstr/>
      </vt:variant>
      <vt:variant>
        <vt:lpwstr>_Toc413918026</vt:lpwstr>
      </vt:variant>
      <vt:variant>
        <vt:i4>1376310</vt:i4>
      </vt:variant>
      <vt:variant>
        <vt:i4>638</vt:i4>
      </vt:variant>
      <vt:variant>
        <vt:i4>0</vt:i4>
      </vt:variant>
      <vt:variant>
        <vt:i4>5</vt:i4>
      </vt:variant>
      <vt:variant>
        <vt:lpwstr/>
      </vt:variant>
      <vt:variant>
        <vt:lpwstr>_Toc413918025</vt:lpwstr>
      </vt:variant>
      <vt:variant>
        <vt:i4>1376310</vt:i4>
      </vt:variant>
      <vt:variant>
        <vt:i4>632</vt:i4>
      </vt:variant>
      <vt:variant>
        <vt:i4>0</vt:i4>
      </vt:variant>
      <vt:variant>
        <vt:i4>5</vt:i4>
      </vt:variant>
      <vt:variant>
        <vt:lpwstr/>
      </vt:variant>
      <vt:variant>
        <vt:lpwstr>_Toc413918024</vt:lpwstr>
      </vt:variant>
      <vt:variant>
        <vt:i4>1376310</vt:i4>
      </vt:variant>
      <vt:variant>
        <vt:i4>626</vt:i4>
      </vt:variant>
      <vt:variant>
        <vt:i4>0</vt:i4>
      </vt:variant>
      <vt:variant>
        <vt:i4>5</vt:i4>
      </vt:variant>
      <vt:variant>
        <vt:lpwstr/>
      </vt:variant>
      <vt:variant>
        <vt:lpwstr>_Toc413918023</vt:lpwstr>
      </vt:variant>
      <vt:variant>
        <vt:i4>1376310</vt:i4>
      </vt:variant>
      <vt:variant>
        <vt:i4>620</vt:i4>
      </vt:variant>
      <vt:variant>
        <vt:i4>0</vt:i4>
      </vt:variant>
      <vt:variant>
        <vt:i4>5</vt:i4>
      </vt:variant>
      <vt:variant>
        <vt:lpwstr/>
      </vt:variant>
      <vt:variant>
        <vt:lpwstr>_Toc413918022</vt:lpwstr>
      </vt:variant>
      <vt:variant>
        <vt:i4>1376310</vt:i4>
      </vt:variant>
      <vt:variant>
        <vt:i4>614</vt:i4>
      </vt:variant>
      <vt:variant>
        <vt:i4>0</vt:i4>
      </vt:variant>
      <vt:variant>
        <vt:i4>5</vt:i4>
      </vt:variant>
      <vt:variant>
        <vt:lpwstr/>
      </vt:variant>
      <vt:variant>
        <vt:lpwstr>_Toc413918021</vt:lpwstr>
      </vt:variant>
      <vt:variant>
        <vt:i4>1376310</vt:i4>
      </vt:variant>
      <vt:variant>
        <vt:i4>608</vt:i4>
      </vt:variant>
      <vt:variant>
        <vt:i4>0</vt:i4>
      </vt:variant>
      <vt:variant>
        <vt:i4>5</vt:i4>
      </vt:variant>
      <vt:variant>
        <vt:lpwstr/>
      </vt:variant>
      <vt:variant>
        <vt:lpwstr>_Toc413918020</vt:lpwstr>
      </vt:variant>
      <vt:variant>
        <vt:i4>1441846</vt:i4>
      </vt:variant>
      <vt:variant>
        <vt:i4>602</vt:i4>
      </vt:variant>
      <vt:variant>
        <vt:i4>0</vt:i4>
      </vt:variant>
      <vt:variant>
        <vt:i4>5</vt:i4>
      </vt:variant>
      <vt:variant>
        <vt:lpwstr/>
      </vt:variant>
      <vt:variant>
        <vt:lpwstr>_Toc413918019</vt:lpwstr>
      </vt:variant>
      <vt:variant>
        <vt:i4>1441846</vt:i4>
      </vt:variant>
      <vt:variant>
        <vt:i4>596</vt:i4>
      </vt:variant>
      <vt:variant>
        <vt:i4>0</vt:i4>
      </vt:variant>
      <vt:variant>
        <vt:i4>5</vt:i4>
      </vt:variant>
      <vt:variant>
        <vt:lpwstr/>
      </vt:variant>
      <vt:variant>
        <vt:lpwstr>_Toc413918018</vt:lpwstr>
      </vt:variant>
      <vt:variant>
        <vt:i4>1441846</vt:i4>
      </vt:variant>
      <vt:variant>
        <vt:i4>590</vt:i4>
      </vt:variant>
      <vt:variant>
        <vt:i4>0</vt:i4>
      </vt:variant>
      <vt:variant>
        <vt:i4>5</vt:i4>
      </vt:variant>
      <vt:variant>
        <vt:lpwstr/>
      </vt:variant>
      <vt:variant>
        <vt:lpwstr>_Toc413918017</vt:lpwstr>
      </vt:variant>
      <vt:variant>
        <vt:i4>1441846</vt:i4>
      </vt:variant>
      <vt:variant>
        <vt:i4>584</vt:i4>
      </vt:variant>
      <vt:variant>
        <vt:i4>0</vt:i4>
      </vt:variant>
      <vt:variant>
        <vt:i4>5</vt:i4>
      </vt:variant>
      <vt:variant>
        <vt:lpwstr/>
      </vt:variant>
      <vt:variant>
        <vt:lpwstr>_Toc413918016</vt:lpwstr>
      </vt:variant>
      <vt:variant>
        <vt:i4>1441846</vt:i4>
      </vt:variant>
      <vt:variant>
        <vt:i4>578</vt:i4>
      </vt:variant>
      <vt:variant>
        <vt:i4>0</vt:i4>
      </vt:variant>
      <vt:variant>
        <vt:i4>5</vt:i4>
      </vt:variant>
      <vt:variant>
        <vt:lpwstr/>
      </vt:variant>
      <vt:variant>
        <vt:lpwstr>_Toc413918015</vt:lpwstr>
      </vt:variant>
      <vt:variant>
        <vt:i4>1441846</vt:i4>
      </vt:variant>
      <vt:variant>
        <vt:i4>572</vt:i4>
      </vt:variant>
      <vt:variant>
        <vt:i4>0</vt:i4>
      </vt:variant>
      <vt:variant>
        <vt:i4>5</vt:i4>
      </vt:variant>
      <vt:variant>
        <vt:lpwstr/>
      </vt:variant>
      <vt:variant>
        <vt:lpwstr>_Toc413918014</vt:lpwstr>
      </vt:variant>
      <vt:variant>
        <vt:i4>1441846</vt:i4>
      </vt:variant>
      <vt:variant>
        <vt:i4>566</vt:i4>
      </vt:variant>
      <vt:variant>
        <vt:i4>0</vt:i4>
      </vt:variant>
      <vt:variant>
        <vt:i4>5</vt:i4>
      </vt:variant>
      <vt:variant>
        <vt:lpwstr/>
      </vt:variant>
      <vt:variant>
        <vt:lpwstr>_Toc413918013</vt:lpwstr>
      </vt:variant>
      <vt:variant>
        <vt:i4>1441846</vt:i4>
      </vt:variant>
      <vt:variant>
        <vt:i4>560</vt:i4>
      </vt:variant>
      <vt:variant>
        <vt:i4>0</vt:i4>
      </vt:variant>
      <vt:variant>
        <vt:i4>5</vt:i4>
      </vt:variant>
      <vt:variant>
        <vt:lpwstr/>
      </vt:variant>
      <vt:variant>
        <vt:lpwstr>_Toc413918012</vt:lpwstr>
      </vt:variant>
      <vt:variant>
        <vt:i4>1441846</vt:i4>
      </vt:variant>
      <vt:variant>
        <vt:i4>554</vt:i4>
      </vt:variant>
      <vt:variant>
        <vt:i4>0</vt:i4>
      </vt:variant>
      <vt:variant>
        <vt:i4>5</vt:i4>
      </vt:variant>
      <vt:variant>
        <vt:lpwstr/>
      </vt:variant>
      <vt:variant>
        <vt:lpwstr>_Toc413918011</vt:lpwstr>
      </vt:variant>
      <vt:variant>
        <vt:i4>1441846</vt:i4>
      </vt:variant>
      <vt:variant>
        <vt:i4>548</vt:i4>
      </vt:variant>
      <vt:variant>
        <vt:i4>0</vt:i4>
      </vt:variant>
      <vt:variant>
        <vt:i4>5</vt:i4>
      </vt:variant>
      <vt:variant>
        <vt:lpwstr/>
      </vt:variant>
      <vt:variant>
        <vt:lpwstr>_Toc413918010</vt:lpwstr>
      </vt:variant>
      <vt:variant>
        <vt:i4>1507382</vt:i4>
      </vt:variant>
      <vt:variant>
        <vt:i4>542</vt:i4>
      </vt:variant>
      <vt:variant>
        <vt:i4>0</vt:i4>
      </vt:variant>
      <vt:variant>
        <vt:i4>5</vt:i4>
      </vt:variant>
      <vt:variant>
        <vt:lpwstr/>
      </vt:variant>
      <vt:variant>
        <vt:lpwstr>_Toc413918009</vt:lpwstr>
      </vt:variant>
      <vt:variant>
        <vt:i4>1507382</vt:i4>
      </vt:variant>
      <vt:variant>
        <vt:i4>536</vt:i4>
      </vt:variant>
      <vt:variant>
        <vt:i4>0</vt:i4>
      </vt:variant>
      <vt:variant>
        <vt:i4>5</vt:i4>
      </vt:variant>
      <vt:variant>
        <vt:lpwstr/>
      </vt:variant>
      <vt:variant>
        <vt:lpwstr>_Toc413918008</vt:lpwstr>
      </vt:variant>
      <vt:variant>
        <vt:i4>1507382</vt:i4>
      </vt:variant>
      <vt:variant>
        <vt:i4>530</vt:i4>
      </vt:variant>
      <vt:variant>
        <vt:i4>0</vt:i4>
      </vt:variant>
      <vt:variant>
        <vt:i4>5</vt:i4>
      </vt:variant>
      <vt:variant>
        <vt:lpwstr/>
      </vt:variant>
      <vt:variant>
        <vt:lpwstr>_Toc413918007</vt:lpwstr>
      </vt:variant>
      <vt:variant>
        <vt:i4>1507382</vt:i4>
      </vt:variant>
      <vt:variant>
        <vt:i4>524</vt:i4>
      </vt:variant>
      <vt:variant>
        <vt:i4>0</vt:i4>
      </vt:variant>
      <vt:variant>
        <vt:i4>5</vt:i4>
      </vt:variant>
      <vt:variant>
        <vt:lpwstr/>
      </vt:variant>
      <vt:variant>
        <vt:lpwstr>_Toc413918006</vt:lpwstr>
      </vt:variant>
      <vt:variant>
        <vt:i4>1507382</vt:i4>
      </vt:variant>
      <vt:variant>
        <vt:i4>518</vt:i4>
      </vt:variant>
      <vt:variant>
        <vt:i4>0</vt:i4>
      </vt:variant>
      <vt:variant>
        <vt:i4>5</vt:i4>
      </vt:variant>
      <vt:variant>
        <vt:lpwstr/>
      </vt:variant>
      <vt:variant>
        <vt:lpwstr>_Toc413918005</vt:lpwstr>
      </vt:variant>
      <vt:variant>
        <vt:i4>1507382</vt:i4>
      </vt:variant>
      <vt:variant>
        <vt:i4>512</vt:i4>
      </vt:variant>
      <vt:variant>
        <vt:i4>0</vt:i4>
      </vt:variant>
      <vt:variant>
        <vt:i4>5</vt:i4>
      </vt:variant>
      <vt:variant>
        <vt:lpwstr/>
      </vt:variant>
      <vt:variant>
        <vt:lpwstr>_Toc413918004</vt:lpwstr>
      </vt:variant>
      <vt:variant>
        <vt:i4>1507382</vt:i4>
      </vt:variant>
      <vt:variant>
        <vt:i4>506</vt:i4>
      </vt:variant>
      <vt:variant>
        <vt:i4>0</vt:i4>
      </vt:variant>
      <vt:variant>
        <vt:i4>5</vt:i4>
      </vt:variant>
      <vt:variant>
        <vt:lpwstr/>
      </vt:variant>
      <vt:variant>
        <vt:lpwstr>_Toc413918003</vt:lpwstr>
      </vt:variant>
      <vt:variant>
        <vt:i4>1507382</vt:i4>
      </vt:variant>
      <vt:variant>
        <vt:i4>500</vt:i4>
      </vt:variant>
      <vt:variant>
        <vt:i4>0</vt:i4>
      </vt:variant>
      <vt:variant>
        <vt:i4>5</vt:i4>
      </vt:variant>
      <vt:variant>
        <vt:lpwstr/>
      </vt:variant>
      <vt:variant>
        <vt:lpwstr>_Toc413918002</vt:lpwstr>
      </vt:variant>
      <vt:variant>
        <vt:i4>1507382</vt:i4>
      </vt:variant>
      <vt:variant>
        <vt:i4>494</vt:i4>
      </vt:variant>
      <vt:variant>
        <vt:i4>0</vt:i4>
      </vt:variant>
      <vt:variant>
        <vt:i4>5</vt:i4>
      </vt:variant>
      <vt:variant>
        <vt:lpwstr/>
      </vt:variant>
      <vt:variant>
        <vt:lpwstr>_Toc413918001</vt:lpwstr>
      </vt:variant>
      <vt:variant>
        <vt:i4>1507382</vt:i4>
      </vt:variant>
      <vt:variant>
        <vt:i4>488</vt:i4>
      </vt:variant>
      <vt:variant>
        <vt:i4>0</vt:i4>
      </vt:variant>
      <vt:variant>
        <vt:i4>5</vt:i4>
      </vt:variant>
      <vt:variant>
        <vt:lpwstr/>
      </vt:variant>
      <vt:variant>
        <vt:lpwstr>_Toc413918000</vt:lpwstr>
      </vt:variant>
      <vt:variant>
        <vt:i4>1114175</vt:i4>
      </vt:variant>
      <vt:variant>
        <vt:i4>482</vt:i4>
      </vt:variant>
      <vt:variant>
        <vt:i4>0</vt:i4>
      </vt:variant>
      <vt:variant>
        <vt:i4>5</vt:i4>
      </vt:variant>
      <vt:variant>
        <vt:lpwstr/>
      </vt:variant>
      <vt:variant>
        <vt:lpwstr>_Toc413917999</vt:lpwstr>
      </vt:variant>
      <vt:variant>
        <vt:i4>1114175</vt:i4>
      </vt:variant>
      <vt:variant>
        <vt:i4>476</vt:i4>
      </vt:variant>
      <vt:variant>
        <vt:i4>0</vt:i4>
      </vt:variant>
      <vt:variant>
        <vt:i4>5</vt:i4>
      </vt:variant>
      <vt:variant>
        <vt:lpwstr/>
      </vt:variant>
      <vt:variant>
        <vt:lpwstr>_Toc413917998</vt:lpwstr>
      </vt:variant>
      <vt:variant>
        <vt:i4>1114175</vt:i4>
      </vt:variant>
      <vt:variant>
        <vt:i4>470</vt:i4>
      </vt:variant>
      <vt:variant>
        <vt:i4>0</vt:i4>
      </vt:variant>
      <vt:variant>
        <vt:i4>5</vt:i4>
      </vt:variant>
      <vt:variant>
        <vt:lpwstr/>
      </vt:variant>
      <vt:variant>
        <vt:lpwstr>_Toc413917997</vt:lpwstr>
      </vt:variant>
      <vt:variant>
        <vt:i4>1114175</vt:i4>
      </vt:variant>
      <vt:variant>
        <vt:i4>464</vt:i4>
      </vt:variant>
      <vt:variant>
        <vt:i4>0</vt:i4>
      </vt:variant>
      <vt:variant>
        <vt:i4>5</vt:i4>
      </vt:variant>
      <vt:variant>
        <vt:lpwstr/>
      </vt:variant>
      <vt:variant>
        <vt:lpwstr>_Toc413917996</vt:lpwstr>
      </vt:variant>
      <vt:variant>
        <vt:i4>1114175</vt:i4>
      </vt:variant>
      <vt:variant>
        <vt:i4>458</vt:i4>
      </vt:variant>
      <vt:variant>
        <vt:i4>0</vt:i4>
      </vt:variant>
      <vt:variant>
        <vt:i4>5</vt:i4>
      </vt:variant>
      <vt:variant>
        <vt:lpwstr/>
      </vt:variant>
      <vt:variant>
        <vt:lpwstr>_Toc413917995</vt:lpwstr>
      </vt:variant>
      <vt:variant>
        <vt:i4>1114175</vt:i4>
      </vt:variant>
      <vt:variant>
        <vt:i4>452</vt:i4>
      </vt:variant>
      <vt:variant>
        <vt:i4>0</vt:i4>
      </vt:variant>
      <vt:variant>
        <vt:i4>5</vt:i4>
      </vt:variant>
      <vt:variant>
        <vt:lpwstr/>
      </vt:variant>
      <vt:variant>
        <vt:lpwstr>_Toc413917994</vt:lpwstr>
      </vt:variant>
      <vt:variant>
        <vt:i4>1114175</vt:i4>
      </vt:variant>
      <vt:variant>
        <vt:i4>446</vt:i4>
      </vt:variant>
      <vt:variant>
        <vt:i4>0</vt:i4>
      </vt:variant>
      <vt:variant>
        <vt:i4>5</vt:i4>
      </vt:variant>
      <vt:variant>
        <vt:lpwstr/>
      </vt:variant>
      <vt:variant>
        <vt:lpwstr>_Toc413917993</vt:lpwstr>
      </vt:variant>
      <vt:variant>
        <vt:i4>1114175</vt:i4>
      </vt:variant>
      <vt:variant>
        <vt:i4>440</vt:i4>
      </vt:variant>
      <vt:variant>
        <vt:i4>0</vt:i4>
      </vt:variant>
      <vt:variant>
        <vt:i4>5</vt:i4>
      </vt:variant>
      <vt:variant>
        <vt:lpwstr/>
      </vt:variant>
      <vt:variant>
        <vt:lpwstr>_Toc413917992</vt:lpwstr>
      </vt:variant>
      <vt:variant>
        <vt:i4>1114175</vt:i4>
      </vt:variant>
      <vt:variant>
        <vt:i4>434</vt:i4>
      </vt:variant>
      <vt:variant>
        <vt:i4>0</vt:i4>
      </vt:variant>
      <vt:variant>
        <vt:i4>5</vt:i4>
      </vt:variant>
      <vt:variant>
        <vt:lpwstr/>
      </vt:variant>
      <vt:variant>
        <vt:lpwstr>_Toc413917991</vt:lpwstr>
      </vt:variant>
      <vt:variant>
        <vt:i4>1114175</vt:i4>
      </vt:variant>
      <vt:variant>
        <vt:i4>428</vt:i4>
      </vt:variant>
      <vt:variant>
        <vt:i4>0</vt:i4>
      </vt:variant>
      <vt:variant>
        <vt:i4>5</vt:i4>
      </vt:variant>
      <vt:variant>
        <vt:lpwstr/>
      </vt:variant>
      <vt:variant>
        <vt:lpwstr>_Toc413917990</vt:lpwstr>
      </vt:variant>
      <vt:variant>
        <vt:i4>1048639</vt:i4>
      </vt:variant>
      <vt:variant>
        <vt:i4>422</vt:i4>
      </vt:variant>
      <vt:variant>
        <vt:i4>0</vt:i4>
      </vt:variant>
      <vt:variant>
        <vt:i4>5</vt:i4>
      </vt:variant>
      <vt:variant>
        <vt:lpwstr/>
      </vt:variant>
      <vt:variant>
        <vt:lpwstr>_Toc413917989</vt:lpwstr>
      </vt:variant>
      <vt:variant>
        <vt:i4>1048639</vt:i4>
      </vt:variant>
      <vt:variant>
        <vt:i4>416</vt:i4>
      </vt:variant>
      <vt:variant>
        <vt:i4>0</vt:i4>
      </vt:variant>
      <vt:variant>
        <vt:i4>5</vt:i4>
      </vt:variant>
      <vt:variant>
        <vt:lpwstr/>
      </vt:variant>
      <vt:variant>
        <vt:lpwstr>_Toc413917988</vt:lpwstr>
      </vt:variant>
      <vt:variant>
        <vt:i4>1048639</vt:i4>
      </vt:variant>
      <vt:variant>
        <vt:i4>410</vt:i4>
      </vt:variant>
      <vt:variant>
        <vt:i4>0</vt:i4>
      </vt:variant>
      <vt:variant>
        <vt:i4>5</vt:i4>
      </vt:variant>
      <vt:variant>
        <vt:lpwstr/>
      </vt:variant>
      <vt:variant>
        <vt:lpwstr>_Toc413917987</vt:lpwstr>
      </vt:variant>
      <vt:variant>
        <vt:i4>1048639</vt:i4>
      </vt:variant>
      <vt:variant>
        <vt:i4>404</vt:i4>
      </vt:variant>
      <vt:variant>
        <vt:i4>0</vt:i4>
      </vt:variant>
      <vt:variant>
        <vt:i4>5</vt:i4>
      </vt:variant>
      <vt:variant>
        <vt:lpwstr/>
      </vt:variant>
      <vt:variant>
        <vt:lpwstr>_Toc413917986</vt:lpwstr>
      </vt:variant>
      <vt:variant>
        <vt:i4>1048639</vt:i4>
      </vt:variant>
      <vt:variant>
        <vt:i4>398</vt:i4>
      </vt:variant>
      <vt:variant>
        <vt:i4>0</vt:i4>
      </vt:variant>
      <vt:variant>
        <vt:i4>5</vt:i4>
      </vt:variant>
      <vt:variant>
        <vt:lpwstr/>
      </vt:variant>
      <vt:variant>
        <vt:lpwstr>_Toc413917985</vt:lpwstr>
      </vt:variant>
      <vt:variant>
        <vt:i4>1048639</vt:i4>
      </vt:variant>
      <vt:variant>
        <vt:i4>392</vt:i4>
      </vt:variant>
      <vt:variant>
        <vt:i4>0</vt:i4>
      </vt:variant>
      <vt:variant>
        <vt:i4>5</vt:i4>
      </vt:variant>
      <vt:variant>
        <vt:lpwstr/>
      </vt:variant>
      <vt:variant>
        <vt:lpwstr>_Toc413917984</vt:lpwstr>
      </vt:variant>
      <vt:variant>
        <vt:i4>1048639</vt:i4>
      </vt:variant>
      <vt:variant>
        <vt:i4>386</vt:i4>
      </vt:variant>
      <vt:variant>
        <vt:i4>0</vt:i4>
      </vt:variant>
      <vt:variant>
        <vt:i4>5</vt:i4>
      </vt:variant>
      <vt:variant>
        <vt:lpwstr/>
      </vt:variant>
      <vt:variant>
        <vt:lpwstr>_Toc413917983</vt:lpwstr>
      </vt:variant>
      <vt:variant>
        <vt:i4>1048639</vt:i4>
      </vt:variant>
      <vt:variant>
        <vt:i4>380</vt:i4>
      </vt:variant>
      <vt:variant>
        <vt:i4>0</vt:i4>
      </vt:variant>
      <vt:variant>
        <vt:i4>5</vt:i4>
      </vt:variant>
      <vt:variant>
        <vt:lpwstr/>
      </vt:variant>
      <vt:variant>
        <vt:lpwstr>_Toc413917982</vt:lpwstr>
      </vt:variant>
      <vt:variant>
        <vt:i4>1048639</vt:i4>
      </vt:variant>
      <vt:variant>
        <vt:i4>374</vt:i4>
      </vt:variant>
      <vt:variant>
        <vt:i4>0</vt:i4>
      </vt:variant>
      <vt:variant>
        <vt:i4>5</vt:i4>
      </vt:variant>
      <vt:variant>
        <vt:lpwstr/>
      </vt:variant>
      <vt:variant>
        <vt:lpwstr>_Toc413917981</vt:lpwstr>
      </vt:variant>
      <vt:variant>
        <vt:i4>1048639</vt:i4>
      </vt:variant>
      <vt:variant>
        <vt:i4>368</vt:i4>
      </vt:variant>
      <vt:variant>
        <vt:i4>0</vt:i4>
      </vt:variant>
      <vt:variant>
        <vt:i4>5</vt:i4>
      </vt:variant>
      <vt:variant>
        <vt:lpwstr/>
      </vt:variant>
      <vt:variant>
        <vt:lpwstr>_Toc413917980</vt:lpwstr>
      </vt:variant>
      <vt:variant>
        <vt:i4>2031679</vt:i4>
      </vt:variant>
      <vt:variant>
        <vt:i4>362</vt:i4>
      </vt:variant>
      <vt:variant>
        <vt:i4>0</vt:i4>
      </vt:variant>
      <vt:variant>
        <vt:i4>5</vt:i4>
      </vt:variant>
      <vt:variant>
        <vt:lpwstr/>
      </vt:variant>
      <vt:variant>
        <vt:lpwstr>_Toc413917979</vt:lpwstr>
      </vt:variant>
      <vt:variant>
        <vt:i4>2031679</vt:i4>
      </vt:variant>
      <vt:variant>
        <vt:i4>356</vt:i4>
      </vt:variant>
      <vt:variant>
        <vt:i4>0</vt:i4>
      </vt:variant>
      <vt:variant>
        <vt:i4>5</vt:i4>
      </vt:variant>
      <vt:variant>
        <vt:lpwstr/>
      </vt:variant>
      <vt:variant>
        <vt:lpwstr>_Toc413917978</vt:lpwstr>
      </vt:variant>
      <vt:variant>
        <vt:i4>2031679</vt:i4>
      </vt:variant>
      <vt:variant>
        <vt:i4>350</vt:i4>
      </vt:variant>
      <vt:variant>
        <vt:i4>0</vt:i4>
      </vt:variant>
      <vt:variant>
        <vt:i4>5</vt:i4>
      </vt:variant>
      <vt:variant>
        <vt:lpwstr/>
      </vt:variant>
      <vt:variant>
        <vt:lpwstr>_Toc413917977</vt:lpwstr>
      </vt:variant>
      <vt:variant>
        <vt:i4>2031679</vt:i4>
      </vt:variant>
      <vt:variant>
        <vt:i4>344</vt:i4>
      </vt:variant>
      <vt:variant>
        <vt:i4>0</vt:i4>
      </vt:variant>
      <vt:variant>
        <vt:i4>5</vt:i4>
      </vt:variant>
      <vt:variant>
        <vt:lpwstr/>
      </vt:variant>
      <vt:variant>
        <vt:lpwstr>_Toc413917976</vt:lpwstr>
      </vt:variant>
      <vt:variant>
        <vt:i4>2031679</vt:i4>
      </vt:variant>
      <vt:variant>
        <vt:i4>338</vt:i4>
      </vt:variant>
      <vt:variant>
        <vt:i4>0</vt:i4>
      </vt:variant>
      <vt:variant>
        <vt:i4>5</vt:i4>
      </vt:variant>
      <vt:variant>
        <vt:lpwstr/>
      </vt:variant>
      <vt:variant>
        <vt:lpwstr>_Toc413917975</vt:lpwstr>
      </vt:variant>
      <vt:variant>
        <vt:i4>2031679</vt:i4>
      </vt:variant>
      <vt:variant>
        <vt:i4>332</vt:i4>
      </vt:variant>
      <vt:variant>
        <vt:i4>0</vt:i4>
      </vt:variant>
      <vt:variant>
        <vt:i4>5</vt:i4>
      </vt:variant>
      <vt:variant>
        <vt:lpwstr/>
      </vt:variant>
      <vt:variant>
        <vt:lpwstr>_Toc413917974</vt:lpwstr>
      </vt:variant>
      <vt:variant>
        <vt:i4>2031679</vt:i4>
      </vt:variant>
      <vt:variant>
        <vt:i4>326</vt:i4>
      </vt:variant>
      <vt:variant>
        <vt:i4>0</vt:i4>
      </vt:variant>
      <vt:variant>
        <vt:i4>5</vt:i4>
      </vt:variant>
      <vt:variant>
        <vt:lpwstr/>
      </vt:variant>
      <vt:variant>
        <vt:lpwstr>_Toc413917973</vt:lpwstr>
      </vt:variant>
      <vt:variant>
        <vt:i4>2031679</vt:i4>
      </vt:variant>
      <vt:variant>
        <vt:i4>320</vt:i4>
      </vt:variant>
      <vt:variant>
        <vt:i4>0</vt:i4>
      </vt:variant>
      <vt:variant>
        <vt:i4>5</vt:i4>
      </vt:variant>
      <vt:variant>
        <vt:lpwstr/>
      </vt:variant>
      <vt:variant>
        <vt:lpwstr>_Toc413917972</vt:lpwstr>
      </vt:variant>
      <vt:variant>
        <vt:i4>2031679</vt:i4>
      </vt:variant>
      <vt:variant>
        <vt:i4>314</vt:i4>
      </vt:variant>
      <vt:variant>
        <vt:i4>0</vt:i4>
      </vt:variant>
      <vt:variant>
        <vt:i4>5</vt:i4>
      </vt:variant>
      <vt:variant>
        <vt:lpwstr/>
      </vt:variant>
      <vt:variant>
        <vt:lpwstr>_Toc413917971</vt:lpwstr>
      </vt:variant>
      <vt:variant>
        <vt:i4>2031679</vt:i4>
      </vt:variant>
      <vt:variant>
        <vt:i4>308</vt:i4>
      </vt:variant>
      <vt:variant>
        <vt:i4>0</vt:i4>
      </vt:variant>
      <vt:variant>
        <vt:i4>5</vt:i4>
      </vt:variant>
      <vt:variant>
        <vt:lpwstr/>
      </vt:variant>
      <vt:variant>
        <vt:lpwstr>_Toc413917970</vt:lpwstr>
      </vt:variant>
      <vt:variant>
        <vt:i4>1966143</vt:i4>
      </vt:variant>
      <vt:variant>
        <vt:i4>302</vt:i4>
      </vt:variant>
      <vt:variant>
        <vt:i4>0</vt:i4>
      </vt:variant>
      <vt:variant>
        <vt:i4>5</vt:i4>
      </vt:variant>
      <vt:variant>
        <vt:lpwstr/>
      </vt:variant>
      <vt:variant>
        <vt:lpwstr>_Toc413917969</vt:lpwstr>
      </vt:variant>
      <vt:variant>
        <vt:i4>1966143</vt:i4>
      </vt:variant>
      <vt:variant>
        <vt:i4>296</vt:i4>
      </vt:variant>
      <vt:variant>
        <vt:i4>0</vt:i4>
      </vt:variant>
      <vt:variant>
        <vt:i4>5</vt:i4>
      </vt:variant>
      <vt:variant>
        <vt:lpwstr/>
      </vt:variant>
      <vt:variant>
        <vt:lpwstr>_Toc413917968</vt:lpwstr>
      </vt:variant>
      <vt:variant>
        <vt:i4>1966143</vt:i4>
      </vt:variant>
      <vt:variant>
        <vt:i4>290</vt:i4>
      </vt:variant>
      <vt:variant>
        <vt:i4>0</vt:i4>
      </vt:variant>
      <vt:variant>
        <vt:i4>5</vt:i4>
      </vt:variant>
      <vt:variant>
        <vt:lpwstr/>
      </vt:variant>
      <vt:variant>
        <vt:lpwstr>_Toc413917967</vt:lpwstr>
      </vt:variant>
      <vt:variant>
        <vt:i4>1966143</vt:i4>
      </vt:variant>
      <vt:variant>
        <vt:i4>284</vt:i4>
      </vt:variant>
      <vt:variant>
        <vt:i4>0</vt:i4>
      </vt:variant>
      <vt:variant>
        <vt:i4>5</vt:i4>
      </vt:variant>
      <vt:variant>
        <vt:lpwstr/>
      </vt:variant>
      <vt:variant>
        <vt:lpwstr>_Toc413917966</vt:lpwstr>
      </vt:variant>
      <vt:variant>
        <vt:i4>1966143</vt:i4>
      </vt:variant>
      <vt:variant>
        <vt:i4>278</vt:i4>
      </vt:variant>
      <vt:variant>
        <vt:i4>0</vt:i4>
      </vt:variant>
      <vt:variant>
        <vt:i4>5</vt:i4>
      </vt:variant>
      <vt:variant>
        <vt:lpwstr/>
      </vt:variant>
      <vt:variant>
        <vt:lpwstr>_Toc413917965</vt:lpwstr>
      </vt:variant>
      <vt:variant>
        <vt:i4>1966143</vt:i4>
      </vt:variant>
      <vt:variant>
        <vt:i4>272</vt:i4>
      </vt:variant>
      <vt:variant>
        <vt:i4>0</vt:i4>
      </vt:variant>
      <vt:variant>
        <vt:i4>5</vt:i4>
      </vt:variant>
      <vt:variant>
        <vt:lpwstr/>
      </vt:variant>
      <vt:variant>
        <vt:lpwstr>_Toc413917964</vt:lpwstr>
      </vt:variant>
      <vt:variant>
        <vt:i4>1966143</vt:i4>
      </vt:variant>
      <vt:variant>
        <vt:i4>266</vt:i4>
      </vt:variant>
      <vt:variant>
        <vt:i4>0</vt:i4>
      </vt:variant>
      <vt:variant>
        <vt:i4>5</vt:i4>
      </vt:variant>
      <vt:variant>
        <vt:lpwstr/>
      </vt:variant>
      <vt:variant>
        <vt:lpwstr>_Toc413917963</vt:lpwstr>
      </vt:variant>
      <vt:variant>
        <vt:i4>1966143</vt:i4>
      </vt:variant>
      <vt:variant>
        <vt:i4>260</vt:i4>
      </vt:variant>
      <vt:variant>
        <vt:i4>0</vt:i4>
      </vt:variant>
      <vt:variant>
        <vt:i4>5</vt:i4>
      </vt:variant>
      <vt:variant>
        <vt:lpwstr/>
      </vt:variant>
      <vt:variant>
        <vt:lpwstr>_Toc413917962</vt:lpwstr>
      </vt:variant>
      <vt:variant>
        <vt:i4>1966143</vt:i4>
      </vt:variant>
      <vt:variant>
        <vt:i4>254</vt:i4>
      </vt:variant>
      <vt:variant>
        <vt:i4>0</vt:i4>
      </vt:variant>
      <vt:variant>
        <vt:i4>5</vt:i4>
      </vt:variant>
      <vt:variant>
        <vt:lpwstr/>
      </vt:variant>
      <vt:variant>
        <vt:lpwstr>_Toc413917961</vt:lpwstr>
      </vt:variant>
      <vt:variant>
        <vt:i4>1966143</vt:i4>
      </vt:variant>
      <vt:variant>
        <vt:i4>248</vt:i4>
      </vt:variant>
      <vt:variant>
        <vt:i4>0</vt:i4>
      </vt:variant>
      <vt:variant>
        <vt:i4>5</vt:i4>
      </vt:variant>
      <vt:variant>
        <vt:lpwstr/>
      </vt:variant>
      <vt:variant>
        <vt:lpwstr>_Toc413917960</vt:lpwstr>
      </vt:variant>
      <vt:variant>
        <vt:i4>1900607</vt:i4>
      </vt:variant>
      <vt:variant>
        <vt:i4>242</vt:i4>
      </vt:variant>
      <vt:variant>
        <vt:i4>0</vt:i4>
      </vt:variant>
      <vt:variant>
        <vt:i4>5</vt:i4>
      </vt:variant>
      <vt:variant>
        <vt:lpwstr/>
      </vt:variant>
      <vt:variant>
        <vt:lpwstr>_Toc413917959</vt:lpwstr>
      </vt:variant>
      <vt:variant>
        <vt:i4>1900607</vt:i4>
      </vt:variant>
      <vt:variant>
        <vt:i4>236</vt:i4>
      </vt:variant>
      <vt:variant>
        <vt:i4>0</vt:i4>
      </vt:variant>
      <vt:variant>
        <vt:i4>5</vt:i4>
      </vt:variant>
      <vt:variant>
        <vt:lpwstr/>
      </vt:variant>
      <vt:variant>
        <vt:lpwstr>_Toc413917958</vt:lpwstr>
      </vt:variant>
      <vt:variant>
        <vt:i4>1900607</vt:i4>
      </vt:variant>
      <vt:variant>
        <vt:i4>230</vt:i4>
      </vt:variant>
      <vt:variant>
        <vt:i4>0</vt:i4>
      </vt:variant>
      <vt:variant>
        <vt:i4>5</vt:i4>
      </vt:variant>
      <vt:variant>
        <vt:lpwstr/>
      </vt:variant>
      <vt:variant>
        <vt:lpwstr>_Toc413917957</vt:lpwstr>
      </vt:variant>
      <vt:variant>
        <vt:i4>1900607</vt:i4>
      </vt:variant>
      <vt:variant>
        <vt:i4>224</vt:i4>
      </vt:variant>
      <vt:variant>
        <vt:i4>0</vt:i4>
      </vt:variant>
      <vt:variant>
        <vt:i4>5</vt:i4>
      </vt:variant>
      <vt:variant>
        <vt:lpwstr/>
      </vt:variant>
      <vt:variant>
        <vt:lpwstr>_Toc413917956</vt:lpwstr>
      </vt:variant>
      <vt:variant>
        <vt:i4>1900607</vt:i4>
      </vt:variant>
      <vt:variant>
        <vt:i4>218</vt:i4>
      </vt:variant>
      <vt:variant>
        <vt:i4>0</vt:i4>
      </vt:variant>
      <vt:variant>
        <vt:i4>5</vt:i4>
      </vt:variant>
      <vt:variant>
        <vt:lpwstr/>
      </vt:variant>
      <vt:variant>
        <vt:lpwstr>_Toc413917955</vt:lpwstr>
      </vt:variant>
      <vt:variant>
        <vt:i4>1900607</vt:i4>
      </vt:variant>
      <vt:variant>
        <vt:i4>212</vt:i4>
      </vt:variant>
      <vt:variant>
        <vt:i4>0</vt:i4>
      </vt:variant>
      <vt:variant>
        <vt:i4>5</vt:i4>
      </vt:variant>
      <vt:variant>
        <vt:lpwstr/>
      </vt:variant>
      <vt:variant>
        <vt:lpwstr>_Toc413917954</vt:lpwstr>
      </vt:variant>
      <vt:variant>
        <vt:i4>1900607</vt:i4>
      </vt:variant>
      <vt:variant>
        <vt:i4>206</vt:i4>
      </vt:variant>
      <vt:variant>
        <vt:i4>0</vt:i4>
      </vt:variant>
      <vt:variant>
        <vt:i4>5</vt:i4>
      </vt:variant>
      <vt:variant>
        <vt:lpwstr/>
      </vt:variant>
      <vt:variant>
        <vt:lpwstr>_Toc413917953</vt:lpwstr>
      </vt:variant>
      <vt:variant>
        <vt:i4>1900607</vt:i4>
      </vt:variant>
      <vt:variant>
        <vt:i4>200</vt:i4>
      </vt:variant>
      <vt:variant>
        <vt:i4>0</vt:i4>
      </vt:variant>
      <vt:variant>
        <vt:i4>5</vt:i4>
      </vt:variant>
      <vt:variant>
        <vt:lpwstr/>
      </vt:variant>
      <vt:variant>
        <vt:lpwstr>_Toc413917952</vt:lpwstr>
      </vt:variant>
      <vt:variant>
        <vt:i4>1900607</vt:i4>
      </vt:variant>
      <vt:variant>
        <vt:i4>194</vt:i4>
      </vt:variant>
      <vt:variant>
        <vt:i4>0</vt:i4>
      </vt:variant>
      <vt:variant>
        <vt:i4>5</vt:i4>
      </vt:variant>
      <vt:variant>
        <vt:lpwstr/>
      </vt:variant>
      <vt:variant>
        <vt:lpwstr>_Toc413917951</vt:lpwstr>
      </vt:variant>
      <vt:variant>
        <vt:i4>1900607</vt:i4>
      </vt:variant>
      <vt:variant>
        <vt:i4>188</vt:i4>
      </vt:variant>
      <vt:variant>
        <vt:i4>0</vt:i4>
      </vt:variant>
      <vt:variant>
        <vt:i4>5</vt:i4>
      </vt:variant>
      <vt:variant>
        <vt:lpwstr/>
      </vt:variant>
      <vt:variant>
        <vt:lpwstr>_Toc413917950</vt:lpwstr>
      </vt:variant>
      <vt:variant>
        <vt:i4>1835071</vt:i4>
      </vt:variant>
      <vt:variant>
        <vt:i4>182</vt:i4>
      </vt:variant>
      <vt:variant>
        <vt:i4>0</vt:i4>
      </vt:variant>
      <vt:variant>
        <vt:i4>5</vt:i4>
      </vt:variant>
      <vt:variant>
        <vt:lpwstr/>
      </vt:variant>
      <vt:variant>
        <vt:lpwstr>_Toc413917949</vt:lpwstr>
      </vt:variant>
      <vt:variant>
        <vt:i4>1835071</vt:i4>
      </vt:variant>
      <vt:variant>
        <vt:i4>176</vt:i4>
      </vt:variant>
      <vt:variant>
        <vt:i4>0</vt:i4>
      </vt:variant>
      <vt:variant>
        <vt:i4>5</vt:i4>
      </vt:variant>
      <vt:variant>
        <vt:lpwstr/>
      </vt:variant>
      <vt:variant>
        <vt:lpwstr>_Toc413917948</vt:lpwstr>
      </vt:variant>
      <vt:variant>
        <vt:i4>1835071</vt:i4>
      </vt:variant>
      <vt:variant>
        <vt:i4>170</vt:i4>
      </vt:variant>
      <vt:variant>
        <vt:i4>0</vt:i4>
      </vt:variant>
      <vt:variant>
        <vt:i4>5</vt:i4>
      </vt:variant>
      <vt:variant>
        <vt:lpwstr/>
      </vt:variant>
      <vt:variant>
        <vt:lpwstr>_Toc413917947</vt:lpwstr>
      </vt:variant>
      <vt:variant>
        <vt:i4>1835071</vt:i4>
      </vt:variant>
      <vt:variant>
        <vt:i4>164</vt:i4>
      </vt:variant>
      <vt:variant>
        <vt:i4>0</vt:i4>
      </vt:variant>
      <vt:variant>
        <vt:i4>5</vt:i4>
      </vt:variant>
      <vt:variant>
        <vt:lpwstr/>
      </vt:variant>
      <vt:variant>
        <vt:lpwstr>_Toc413917946</vt:lpwstr>
      </vt:variant>
      <vt:variant>
        <vt:i4>1835071</vt:i4>
      </vt:variant>
      <vt:variant>
        <vt:i4>158</vt:i4>
      </vt:variant>
      <vt:variant>
        <vt:i4>0</vt:i4>
      </vt:variant>
      <vt:variant>
        <vt:i4>5</vt:i4>
      </vt:variant>
      <vt:variant>
        <vt:lpwstr/>
      </vt:variant>
      <vt:variant>
        <vt:lpwstr>_Toc413917945</vt:lpwstr>
      </vt:variant>
      <vt:variant>
        <vt:i4>1835071</vt:i4>
      </vt:variant>
      <vt:variant>
        <vt:i4>152</vt:i4>
      </vt:variant>
      <vt:variant>
        <vt:i4>0</vt:i4>
      </vt:variant>
      <vt:variant>
        <vt:i4>5</vt:i4>
      </vt:variant>
      <vt:variant>
        <vt:lpwstr/>
      </vt:variant>
      <vt:variant>
        <vt:lpwstr>_Toc413917944</vt:lpwstr>
      </vt:variant>
      <vt:variant>
        <vt:i4>1835071</vt:i4>
      </vt:variant>
      <vt:variant>
        <vt:i4>146</vt:i4>
      </vt:variant>
      <vt:variant>
        <vt:i4>0</vt:i4>
      </vt:variant>
      <vt:variant>
        <vt:i4>5</vt:i4>
      </vt:variant>
      <vt:variant>
        <vt:lpwstr/>
      </vt:variant>
      <vt:variant>
        <vt:lpwstr>_Toc413917943</vt:lpwstr>
      </vt:variant>
      <vt:variant>
        <vt:i4>1835071</vt:i4>
      </vt:variant>
      <vt:variant>
        <vt:i4>140</vt:i4>
      </vt:variant>
      <vt:variant>
        <vt:i4>0</vt:i4>
      </vt:variant>
      <vt:variant>
        <vt:i4>5</vt:i4>
      </vt:variant>
      <vt:variant>
        <vt:lpwstr/>
      </vt:variant>
      <vt:variant>
        <vt:lpwstr>_Toc413917942</vt:lpwstr>
      </vt:variant>
      <vt:variant>
        <vt:i4>1835071</vt:i4>
      </vt:variant>
      <vt:variant>
        <vt:i4>134</vt:i4>
      </vt:variant>
      <vt:variant>
        <vt:i4>0</vt:i4>
      </vt:variant>
      <vt:variant>
        <vt:i4>5</vt:i4>
      </vt:variant>
      <vt:variant>
        <vt:lpwstr/>
      </vt:variant>
      <vt:variant>
        <vt:lpwstr>_Toc413917941</vt:lpwstr>
      </vt:variant>
      <vt:variant>
        <vt:i4>1835071</vt:i4>
      </vt:variant>
      <vt:variant>
        <vt:i4>128</vt:i4>
      </vt:variant>
      <vt:variant>
        <vt:i4>0</vt:i4>
      </vt:variant>
      <vt:variant>
        <vt:i4>5</vt:i4>
      </vt:variant>
      <vt:variant>
        <vt:lpwstr/>
      </vt:variant>
      <vt:variant>
        <vt:lpwstr>_Toc413917940</vt:lpwstr>
      </vt:variant>
      <vt:variant>
        <vt:i4>1769535</vt:i4>
      </vt:variant>
      <vt:variant>
        <vt:i4>122</vt:i4>
      </vt:variant>
      <vt:variant>
        <vt:i4>0</vt:i4>
      </vt:variant>
      <vt:variant>
        <vt:i4>5</vt:i4>
      </vt:variant>
      <vt:variant>
        <vt:lpwstr/>
      </vt:variant>
      <vt:variant>
        <vt:lpwstr>_Toc413917939</vt:lpwstr>
      </vt:variant>
      <vt:variant>
        <vt:i4>1769535</vt:i4>
      </vt:variant>
      <vt:variant>
        <vt:i4>116</vt:i4>
      </vt:variant>
      <vt:variant>
        <vt:i4>0</vt:i4>
      </vt:variant>
      <vt:variant>
        <vt:i4>5</vt:i4>
      </vt:variant>
      <vt:variant>
        <vt:lpwstr/>
      </vt:variant>
      <vt:variant>
        <vt:lpwstr>_Toc413917938</vt:lpwstr>
      </vt:variant>
      <vt:variant>
        <vt:i4>1769535</vt:i4>
      </vt:variant>
      <vt:variant>
        <vt:i4>110</vt:i4>
      </vt:variant>
      <vt:variant>
        <vt:i4>0</vt:i4>
      </vt:variant>
      <vt:variant>
        <vt:i4>5</vt:i4>
      </vt:variant>
      <vt:variant>
        <vt:lpwstr/>
      </vt:variant>
      <vt:variant>
        <vt:lpwstr>_Toc413917937</vt:lpwstr>
      </vt:variant>
      <vt:variant>
        <vt:i4>1769535</vt:i4>
      </vt:variant>
      <vt:variant>
        <vt:i4>104</vt:i4>
      </vt:variant>
      <vt:variant>
        <vt:i4>0</vt:i4>
      </vt:variant>
      <vt:variant>
        <vt:i4>5</vt:i4>
      </vt:variant>
      <vt:variant>
        <vt:lpwstr/>
      </vt:variant>
      <vt:variant>
        <vt:lpwstr>_Toc413917936</vt:lpwstr>
      </vt:variant>
      <vt:variant>
        <vt:i4>1769535</vt:i4>
      </vt:variant>
      <vt:variant>
        <vt:i4>98</vt:i4>
      </vt:variant>
      <vt:variant>
        <vt:i4>0</vt:i4>
      </vt:variant>
      <vt:variant>
        <vt:i4>5</vt:i4>
      </vt:variant>
      <vt:variant>
        <vt:lpwstr/>
      </vt:variant>
      <vt:variant>
        <vt:lpwstr>_Toc413917935</vt:lpwstr>
      </vt:variant>
      <vt:variant>
        <vt:i4>1769535</vt:i4>
      </vt:variant>
      <vt:variant>
        <vt:i4>92</vt:i4>
      </vt:variant>
      <vt:variant>
        <vt:i4>0</vt:i4>
      </vt:variant>
      <vt:variant>
        <vt:i4>5</vt:i4>
      </vt:variant>
      <vt:variant>
        <vt:lpwstr/>
      </vt:variant>
      <vt:variant>
        <vt:lpwstr>_Toc413917934</vt:lpwstr>
      </vt:variant>
      <vt:variant>
        <vt:i4>1769535</vt:i4>
      </vt:variant>
      <vt:variant>
        <vt:i4>86</vt:i4>
      </vt:variant>
      <vt:variant>
        <vt:i4>0</vt:i4>
      </vt:variant>
      <vt:variant>
        <vt:i4>5</vt:i4>
      </vt:variant>
      <vt:variant>
        <vt:lpwstr/>
      </vt:variant>
      <vt:variant>
        <vt:lpwstr>_Toc413917933</vt:lpwstr>
      </vt:variant>
      <vt:variant>
        <vt:i4>1769535</vt:i4>
      </vt:variant>
      <vt:variant>
        <vt:i4>80</vt:i4>
      </vt:variant>
      <vt:variant>
        <vt:i4>0</vt:i4>
      </vt:variant>
      <vt:variant>
        <vt:i4>5</vt:i4>
      </vt:variant>
      <vt:variant>
        <vt:lpwstr/>
      </vt:variant>
      <vt:variant>
        <vt:lpwstr>_Toc413917932</vt:lpwstr>
      </vt:variant>
      <vt:variant>
        <vt:i4>1769535</vt:i4>
      </vt:variant>
      <vt:variant>
        <vt:i4>74</vt:i4>
      </vt:variant>
      <vt:variant>
        <vt:i4>0</vt:i4>
      </vt:variant>
      <vt:variant>
        <vt:i4>5</vt:i4>
      </vt:variant>
      <vt:variant>
        <vt:lpwstr/>
      </vt:variant>
      <vt:variant>
        <vt:lpwstr>_Toc413917931</vt:lpwstr>
      </vt:variant>
      <vt:variant>
        <vt:i4>1769535</vt:i4>
      </vt:variant>
      <vt:variant>
        <vt:i4>68</vt:i4>
      </vt:variant>
      <vt:variant>
        <vt:i4>0</vt:i4>
      </vt:variant>
      <vt:variant>
        <vt:i4>5</vt:i4>
      </vt:variant>
      <vt:variant>
        <vt:lpwstr/>
      </vt:variant>
      <vt:variant>
        <vt:lpwstr>_Toc413917930</vt:lpwstr>
      </vt:variant>
      <vt:variant>
        <vt:i4>1703999</vt:i4>
      </vt:variant>
      <vt:variant>
        <vt:i4>62</vt:i4>
      </vt:variant>
      <vt:variant>
        <vt:i4>0</vt:i4>
      </vt:variant>
      <vt:variant>
        <vt:i4>5</vt:i4>
      </vt:variant>
      <vt:variant>
        <vt:lpwstr/>
      </vt:variant>
      <vt:variant>
        <vt:lpwstr>_Toc413917929</vt:lpwstr>
      </vt:variant>
      <vt:variant>
        <vt:i4>1703999</vt:i4>
      </vt:variant>
      <vt:variant>
        <vt:i4>56</vt:i4>
      </vt:variant>
      <vt:variant>
        <vt:i4>0</vt:i4>
      </vt:variant>
      <vt:variant>
        <vt:i4>5</vt:i4>
      </vt:variant>
      <vt:variant>
        <vt:lpwstr/>
      </vt:variant>
      <vt:variant>
        <vt:lpwstr>_Toc413917928</vt:lpwstr>
      </vt:variant>
      <vt:variant>
        <vt:i4>1703999</vt:i4>
      </vt:variant>
      <vt:variant>
        <vt:i4>50</vt:i4>
      </vt:variant>
      <vt:variant>
        <vt:i4>0</vt:i4>
      </vt:variant>
      <vt:variant>
        <vt:i4>5</vt:i4>
      </vt:variant>
      <vt:variant>
        <vt:lpwstr/>
      </vt:variant>
      <vt:variant>
        <vt:lpwstr>_Toc413917927</vt:lpwstr>
      </vt:variant>
      <vt:variant>
        <vt:i4>1703999</vt:i4>
      </vt:variant>
      <vt:variant>
        <vt:i4>44</vt:i4>
      </vt:variant>
      <vt:variant>
        <vt:i4>0</vt:i4>
      </vt:variant>
      <vt:variant>
        <vt:i4>5</vt:i4>
      </vt:variant>
      <vt:variant>
        <vt:lpwstr/>
      </vt:variant>
      <vt:variant>
        <vt:lpwstr>_Toc413917926</vt:lpwstr>
      </vt:variant>
      <vt:variant>
        <vt:i4>1703999</vt:i4>
      </vt:variant>
      <vt:variant>
        <vt:i4>38</vt:i4>
      </vt:variant>
      <vt:variant>
        <vt:i4>0</vt:i4>
      </vt:variant>
      <vt:variant>
        <vt:i4>5</vt:i4>
      </vt:variant>
      <vt:variant>
        <vt:lpwstr/>
      </vt:variant>
      <vt:variant>
        <vt:lpwstr>_Toc413917925</vt:lpwstr>
      </vt:variant>
      <vt:variant>
        <vt:i4>1703999</vt:i4>
      </vt:variant>
      <vt:variant>
        <vt:i4>32</vt:i4>
      </vt:variant>
      <vt:variant>
        <vt:i4>0</vt:i4>
      </vt:variant>
      <vt:variant>
        <vt:i4>5</vt:i4>
      </vt:variant>
      <vt:variant>
        <vt:lpwstr/>
      </vt:variant>
      <vt:variant>
        <vt:lpwstr>_Toc413917924</vt:lpwstr>
      </vt:variant>
      <vt:variant>
        <vt:i4>1703999</vt:i4>
      </vt:variant>
      <vt:variant>
        <vt:i4>26</vt:i4>
      </vt:variant>
      <vt:variant>
        <vt:i4>0</vt:i4>
      </vt:variant>
      <vt:variant>
        <vt:i4>5</vt:i4>
      </vt:variant>
      <vt:variant>
        <vt:lpwstr/>
      </vt:variant>
      <vt:variant>
        <vt:lpwstr>_Toc413917923</vt:lpwstr>
      </vt:variant>
      <vt:variant>
        <vt:i4>1703999</vt:i4>
      </vt:variant>
      <vt:variant>
        <vt:i4>20</vt:i4>
      </vt:variant>
      <vt:variant>
        <vt:i4>0</vt:i4>
      </vt:variant>
      <vt:variant>
        <vt:i4>5</vt:i4>
      </vt:variant>
      <vt:variant>
        <vt:lpwstr/>
      </vt:variant>
      <vt:variant>
        <vt:lpwstr>_Toc413917922</vt:lpwstr>
      </vt:variant>
      <vt:variant>
        <vt:i4>1703999</vt:i4>
      </vt:variant>
      <vt:variant>
        <vt:i4>14</vt:i4>
      </vt:variant>
      <vt:variant>
        <vt:i4>0</vt:i4>
      </vt:variant>
      <vt:variant>
        <vt:i4>5</vt:i4>
      </vt:variant>
      <vt:variant>
        <vt:lpwstr/>
      </vt:variant>
      <vt:variant>
        <vt:lpwstr>_Toc413917921</vt:lpwstr>
      </vt:variant>
      <vt:variant>
        <vt:i4>1703999</vt:i4>
      </vt:variant>
      <vt:variant>
        <vt:i4>8</vt:i4>
      </vt:variant>
      <vt:variant>
        <vt:i4>0</vt:i4>
      </vt:variant>
      <vt:variant>
        <vt:i4>5</vt:i4>
      </vt:variant>
      <vt:variant>
        <vt:lpwstr/>
      </vt:variant>
      <vt:variant>
        <vt:lpwstr>_Toc413917920</vt:lpwstr>
      </vt:variant>
      <vt:variant>
        <vt:i4>1638463</vt:i4>
      </vt:variant>
      <vt:variant>
        <vt:i4>2</vt:i4>
      </vt:variant>
      <vt:variant>
        <vt:i4>0</vt:i4>
      </vt:variant>
      <vt:variant>
        <vt:i4>5</vt:i4>
      </vt:variant>
      <vt:variant>
        <vt:lpwstr/>
      </vt:variant>
      <vt:variant>
        <vt:lpwstr>_Toc413917919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2019-01-18T18:49:00Z</dcterms:created>
  <dcterms:modified xsi:type="dcterms:W3CDTF">2019-01-21T16:04:00Z</dcterms:modified>
</cp:coreProperties>
</file>