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Europski standard kojim se utvrđuju tehnička pravila</w:t>
      </w:r>
      <w:r>
        <w:rPr>
          <w:color w:val="000000"/>
        </w:rPr>
        <w:br/>
      </w:r>
      <w:r>
        <w:rPr>
          <w:color w:val="000000"/>
        </w:rPr>
        <w:t xml:space="preserve">za plovila unutarnje plovidbe (ES-TRIN) – Izdanje 2017./1</w:t>
      </w:r>
      <w:r>
        <w:rPr>
          <w:color w:val="000000"/>
        </w:rPr>
        <w:br/>
      </w:r>
      <w:r>
        <w:rPr>
          <w:color w:val="000000"/>
        </w:rPr>
        <w:t xml:space="preserve">Ispravak 2.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U članku 32.02. stavku 2. prijelazna odredba koja se odnosi na članak 3.03. stavak 2. treba glasiti: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Nastambe ispred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sudarne pregrade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1.1.2010.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Nastambe iza pregrade krmenog pika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Sigurnosna oprema ispred sudarne pregrade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1.1.2015.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Sigurnosna oprema iza pregrade krmenog pika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U članku 32.05. stavku 5. prijelazna odredba koja se odnosi na članak 3.03. stavak 2. treba glasiti: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Nastambe iza pregrade krmenog pika.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N.R.C., 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1.1.2045.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Sigurnosna oprema iza pregrade krmenog pika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N.R.C., 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1.1.2035.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7.10.2018.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U članku 33.02. stavku 2. prijelazna odredba koja se odnosi na članak 3.03. stavak 2. treba glasiti: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Nastambe ispred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sudarne pregrade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30.12.2024.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Nastambe iza pregrade krmenog pika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30.12.2059.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Sigurnosna oprema ispred sudarne pregrade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30.12.2029.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Sigurnosna oprema iza pregrade krmenog pika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najkasnije pri obnavljanju svjedodžbe broda za unutarnju plovidbu nakon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30.12.2049.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</w:p>
  </w:footnote>
  <w:footnote w:id="1" w:type="continuationSeparator">
    <w:p>
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hr-HR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hr-HR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