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Европейски стандарт за определяне на технически изисквания </w:t>
      </w:r>
      <w:r>
        <w:rPr>
          <w:b/>
          <w:color w:val="000000"/>
          <w:sz w:val="22"/>
        </w:rPr>
        <w:br/>
      </w:r>
      <w:r>
        <w:rPr>
          <w:b/>
          <w:color w:val="000000"/>
          <w:sz w:val="22"/>
        </w:rPr>
        <w:t>за плавателните съдове по вътрешните водни пътища (ES-TRIN) – Издание 2017/1</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Поправка 1</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В инструкцията ESI-III-2 точка 1, параграф 4 да се чете, както следва:</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„Разпоредбите, засягащи лица с намалена подвижност, се позовават на:</w:t>
      </w:r>
    </w:p>
    <w:p w:rsidR="00B85FBD" w:rsidRPr="000221DA" w:rsidRDefault="00B85FBD" w:rsidP="00B85FBD">
      <w:pPr>
        <w:spacing w:before="60"/>
        <w:ind w:left="850" w:hanging="425"/>
        <w:rPr>
          <w:rFonts w:cs="Arial"/>
        </w:rPr>
      </w:pPr>
      <w:r>
        <w:rPr>
          <w:shd w:val="clear" w:color="auto" w:fill="FFFFFF"/>
        </w:rPr>
        <w:sym w:font="Symbol" w:char="F0B7"/>
      </w:r>
      <w:r>
        <w:tab/>
      </w:r>
      <w:r>
        <w:t>Директива 2009/45/ЕО</w:t>
      </w:r>
      <w:r>
        <w:rPr>
          <w:rFonts/>
          <w:noProof/>
          <w:vertAlign w:val="superscript"/>
        </w:rPr>
        <w:footnoteReference w:id="1"/>
      </w:r>
      <w:r>
        <w:t xml:space="preserve"> и</w:t>
      </w:r>
    </w:p>
    <w:p w:rsidR="00B85FBD" w:rsidRPr="00F43822" w:rsidRDefault="00B85FBD" w:rsidP="00B85FBD">
      <w:pPr>
        <w:spacing w:before="60"/>
        <w:ind w:left="850" w:hanging="425"/>
        <w:rPr>
          <w:rFonts w:cs="Arial"/>
          <w:noProof/>
          <w:lang/>
        </w:rPr>
      </w:pPr>
      <w:r>
        <w:rPr>
          <w:shd w:val="clear" w:color="auto" w:fill="FFFFFF"/>
        </w:rPr>
        <w:sym w:font="Symbol" w:char="F0B7"/>
      </w:r>
      <w:r>
        <w:tab/>
      </w:r>
      <w:r>
        <w:t>ръководството за приспособяване на пътнически плавателни съдове за вътрешни водни пътища за хора с увреждания в съответствие с Резолюция № 69 на Икономическата комисия за Европа на ООН.</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Директива 2009/45/ЕО на Европейския парламент и на Съвета от 6 май 2009 година за правилата за безопасност и стандартите за пътническите кораби (ОВ L 163, 25.6.2009 г.)</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Насоки за пътническите плавателни съдове, годни също за превоз на лица с намалена подвижност — Икономическата комисия за Европа на ООН, Комитет по вътрешен транспорт, Работната група за вътрешноводния транспорт, приети на 15 октомври 2010 г.</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bg-BG" w:eastAsia="bg-BG"/>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bg-BG" w:eastAsia="bg-BG"/>
    </w:rPr>
  </w:style>
  <w:style w:type="character" w:styleId="Appelnotedebasdep">
    <w:name w:val="footnote reference"/>
    <w:basedOn w:val="Policepardfaut"/>
    <w:qFormat/>
    <w:rsid w:val="00B85FBD"/>
    <w:rPr>
      <w:rFonts w:cs="Times New Roman"/>
      <w:vertAlign w:val="superscript"/>
      <w:lang w:val="bg-BG" w:eastAsia="bg-BG"/>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