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Style2"/>
        <w:widowControl w:val="0"/>
        <w:keepNext/>
        <w:keepLines/>
        <w:shd w:val="clear" w:color="auto" w:fill="auto"/>
        <w:bidi w:val="0"/>
        <w:spacing w:before="0" w:after="521"/>
        <w:ind w:left="0" w:right="0" w:firstLine="0"/>
      </w:pPr>
      <w:bookmarkStart w:id="0" w:name="bookmark0"/>
      <w:r>
        <w:rPr>
          <w:color w:val="000000"/>
        </w:rPr>
        <w:t xml:space="preserve">Европейски стандарт за определяне на технически изисквания</w:t>
      </w:r>
      <w:r>
        <w:rPr>
          <w:color w:val="000000"/>
        </w:rPr>
        <w:br/>
      </w:r>
      <w:r>
        <w:rPr>
          <w:color w:val="000000"/>
        </w:rPr>
        <w:t xml:space="preserve">за плавателните съдове по вътрешните водни пътища (ES-TRIN) – Издание 2017/1</w:t>
      </w:r>
      <w:r>
        <w:rPr>
          <w:color w:val="000000"/>
        </w:rPr>
        <w:br/>
      </w:r>
      <w:r>
        <w:rPr>
          <w:color w:val="000000"/>
        </w:rPr>
        <w:t xml:space="preserve">Поправка 2</w:t>
      </w:r>
      <w:bookmarkEnd w:id="0"/>
    </w:p>
    <w:p>
      <w:pPr>
        <w:pStyle w:val="Style4"/>
        <w:widowControl w:val="0"/>
        <w:keepNext/>
        <w:keepLines/>
        <w:shd w:val="clear" w:color="auto" w:fill="auto"/>
        <w:bidi w:val="0"/>
        <w:jc w:val="left"/>
        <w:spacing w:before="0" w:after="455"/>
        <w:ind w:left="0" w:right="0" w:firstLine="0"/>
      </w:pPr>
      <w:bookmarkStart w:id="1" w:name="bookmark1"/>
      <w:r>
        <w:rPr>
          <w:color w:val="000000"/>
        </w:rPr>
        <w:t xml:space="preserve">В член 32.02, точка 2 преходната разпоредба във връзка с член 3.03, точка 2 да се чете, както следва:</w:t>
      </w:r>
      <w:bookmarkEnd w:id="1"/>
    </w:p>
    <w:tbl>
      <w:tblPr>
        <w:tblOverlap w:val="never"/>
        <w:tblLayout w:type="fixed"/>
        <w:jc w:val="center"/>
      </w:tblPr>
      <w:tblGrid>
        <w:gridCol w:w="1349"/>
        <w:gridCol w:w="1454"/>
        <w:gridCol w:w="3298"/>
        <w:gridCol w:w="672"/>
        <w:gridCol w:w="5851"/>
        <w:gridCol w:w="1282"/>
      </w:tblGrid>
      <w:tr>
        <w:trPr>
          <w:trHeight w:val="69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3.03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Точка 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68" w:lineRule="exact"/>
              <w:ind w:left="0" w:right="0" w:firstLine="0"/>
            </w:pPr>
            <w:r>
              <w:rPr>
                <w:rStyle w:val="CharStyle8"/>
              </w:rPr>
              <w:t xml:space="preserve">Помещения пред</w:t>
            </w:r>
          </w:p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първата носова водонепроницаема преграда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НЗР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най-късно при подновяване на удостоверението на плавателния съд за плаване по вътрешни водни пътища след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1.1.2010 г.</w:t>
            </w:r>
          </w:p>
        </w:tc>
      </w:tr>
      <w:tr>
        <w:trPr>
          <w:trHeight w:val="69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8"/>
              </w:rPr>
              <w:t xml:space="preserve">Помещения зад ахтерпиковата преграда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НЗР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най-късно при подновяване на удостоверението на плавателния съд за плаване по вътрешни водни пътища след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1.1.2045 г.</w:t>
            </w:r>
          </w:p>
        </w:tc>
      </w:tr>
      <w:tr>
        <w:trPr>
          <w:trHeight w:val="69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5" w:lineRule="exact"/>
              <w:ind w:left="0" w:right="0" w:firstLine="0"/>
            </w:pPr>
            <w:r>
              <w:rPr>
                <w:rStyle w:val="CharStyle8"/>
              </w:rPr>
              <w:t xml:space="preserve">Оборудване за безопасност пред първата носова водонепроницаема преграда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НЗР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най-късно при подновяване на удостоверението на плавателния съд за плаване по вътрешни водни пътища след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1.1.2015 г.</w:t>
            </w:r>
          </w:p>
        </w:tc>
      </w:tr>
      <w:tr>
        <w:trPr>
          <w:trHeight w:val="701" w:hRule="exact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8"/>
              </w:rPr>
              <w:t xml:space="preserve">Оборудване за безопасност зад ахтерпиковата преграда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НЗР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най-късно при подновяване на удостоверението на плавателния съд за плаване по вътрешни водни пътища след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1.1.2035 г.</w:t>
            </w:r>
          </w:p>
        </w:tc>
      </w:tr>
    </w:tbl>
    <w:p>
      <w:pPr>
        <w:framePr w:w="13906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pStyle w:val="Style4"/>
        <w:widowControl w:val="0"/>
        <w:keepNext/>
        <w:keepLines/>
        <w:shd w:val="clear" w:color="auto" w:fill="auto"/>
        <w:bidi w:val="0"/>
        <w:jc w:val="left"/>
        <w:spacing w:before="545" w:after="455"/>
        <w:ind w:left="0" w:right="0" w:firstLine="0"/>
      </w:pPr>
      <w:bookmarkStart w:id="2" w:name="bookmark2"/>
      <w:r>
        <w:rPr>
          <w:color w:val="000000"/>
        </w:rPr>
        <w:t xml:space="preserve">В член 32.05, точка 5 преходната разпоредба във връзка с член 3.03, точка 2 да се чете, както следва:</w:t>
      </w:r>
      <w:bookmarkEnd w:id="2"/>
    </w:p>
    <w:tbl>
      <w:tblPr>
        <w:tblOverlap w:val="never"/>
        <w:tblLayout w:type="fixed"/>
        <w:jc w:val="center"/>
      </w:tblPr>
      <w:tblGrid>
        <w:gridCol w:w="1349"/>
        <w:gridCol w:w="1459"/>
        <w:gridCol w:w="3293"/>
        <w:gridCol w:w="5390"/>
        <w:gridCol w:w="1272"/>
        <w:gridCol w:w="1286"/>
      </w:tblGrid>
      <w:tr>
        <w:trPr>
          <w:trHeight w:val="61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405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3.03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405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Точка 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6"/>
              <w:framePr w:w="1405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8"/>
              </w:rPr>
              <w:t xml:space="preserve">Помещения зад ахтерпиковата преграда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6"/>
              <w:framePr w:w="1405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40" w:lineRule="exact"/>
              <w:ind w:left="0" w:right="0" w:firstLine="0"/>
            </w:pPr>
            <w:r>
              <w:rPr>
                <w:rStyle w:val="CharStyle8"/>
              </w:rPr>
              <w:t xml:space="preserve">НЗР, най-късно при подновяване на удостоверението на плавателния съд за плаване по вътрешни водни пътища след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405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1.1.2045 г.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6"/>
              <w:framePr w:w="1405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7.10.2018 г.</w:t>
            </w:r>
          </w:p>
        </w:tc>
      </w:tr>
      <w:tr>
        <w:trPr>
          <w:trHeight w:val="701" w:hRule="exact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1405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1405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6"/>
              <w:framePr w:w="1405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0" w:right="0" w:firstLine="0"/>
            </w:pPr>
            <w:r>
              <w:rPr>
                <w:rStyle w:val="CharStyle8"/>
              </w:rPr>
              <w:t xml:space="preserve">Оборудване за безопасност зад ахтерпиковата преграда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6"/>
              <w:framePr w:w="1405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45" w:lineRule="exact"/>
              <w:ind w:left="0" w:right="0" w:firstLine="0"/>
            </w:pPr>
            <w:r>
              <w:rPr>
                <w:rStyle w:val="CharStyle8"/>
              </w:rPr>
              <w:t xml:space="preserve">НЗР, най-късно при подновяване на удостоверението на плавателния съд за плаване по вътрешни водни пътища след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6"/>
              <w:framePr w:w="1405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1.1.2035 г.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6"/>
              <w:framePr w:w="1405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7.10.2018 г.</w:t>
            </w:r>
          </w:p>
        </w:tc>
      </w:tr>
    </w:tbl>
    <w:p>
      <w:pPr>
        <w:framePr w:w="14050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footerReference w:type="default" r:id="rId5"/>
          <w:titlePg/>
          <w:footnotePr>
            <w:pos w:val="pageBottom"/>
            <w:numFmt w:val="decimal"/>
            <w:numRestart w:val="continuous"/>
          </w:footnotePr>
          <w:pgSz w:w="16840" w:h="11900" w:orient="landscape"/>
          <w:pgMar w:top="1344" w:left="1393" w:right="1398" w:bottom="1344" w:header="0" w:footer="3" w:gutter="0"/>
          <w:rtlGutter w:val="0"/>
          <w:cols w:space="720"/>
          <w:noEndnote/>
          <w:docGrid w:linePitch="360"/>
        </w:sectPr>
      </w:pPr>
    </w:p>
    <w:p>
      <w:pPr>
        <w:pStyle w:val="Style4"/>
        <w:widowControl w:val="0"/>
        <w:keepNext/>
        <w:keepLines/>
        <w:shd w:val="clear" w:color="auto" w:fill="auto"/>
        <w:bidi w:val="0"/>
        <w:jc w:val="left"/>
        <w:spacing w:before="0" w:after="475"/>
        <w:ind w:left="0" w:right="0" w:firstLine="0"/>
      </w:pPr>
      <w:bookmarkStart w:id="3" w:name="bookmark3"/>
      <w:r>
        <w:rPr>
          <w:color w:val="000000"/>
        </w:rPr>
        <w:t xml:space="preserve">В член 33.02, точка 2 преходната разпоредба във връзка с член 3.03, точка 2 да се чете, както следва:</w:t>
      </w:r>
      <w:bookmarkEnd w:id="3"/>
    </w:p>
    <w:tbl>
      <w:tblPr>
        <w:tblOverlap w:val="never"/>
        <w:tblLayout w:type="fixed"/>
        <w:jc w:val="center"/>
      </w:tblPr>
      <w:tblGrid>
        <w:gridCol w:w="1349"/>
        <w:gridCol w:w="1454"/>
        <w:gridCol w:w="3298"/>
        <w:gridCol w:w="672"/>
        <w:gridCol w:w="5851"/>
        <w:gridCol w:w="1282"/>
      </w:tblGrid>
      <w:tr>
        <w:trPr>
          <w:trHeight w:val="69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3.03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Точка 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68" w:lineRule="exact"/>
              <w:ind w:left="0" w:right="0" w:firstLine="0"/>
            </w:pPr>
            <w:r>
              <w:rPr>
                <w:rStyle w:val="CharStyle8"/>
              </w:rPr>
              <w:t xml:space="preserve">Помещения пред</w:t>
            </w:r>
          </w:p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първата носова водонепроницаема преграда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НЗР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най-късно при подновяване на удостоверението на плавателния съд за плаване по вътрешни водни пътища след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30.12.2024 г.</w:t>
            </w:r>
          </w:p>
        </w:tc>
      </w:tr>
      <w:tr>
        <w:trPr>
          <w:trHeight w:val="68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0" w:right="0" w:firstLine="0"/>
            </w:pPr>
            <w:r>
              <w:rPr>
                <w:rStyle w:val="CharStyle8"/>
              </w:rPr>
              <w:t xml:space="preserve">Помещения зад ахтерпиковата преграда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НЗР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най-късно при подновяване на удостоверението на плавателния съд за плаване по вътрешни водни пътища след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30.12.2059 г.</w:t>
            </w:r>
          </w:p>
        </w:tc>
      </w:tr>
      <w:tr>
        <w:trPr>
          <w:trHeight w:val="69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8"/>
              </w:rPr>
              <w:t xml:space="preserve">Оборудване за безопасност пред първата носова водонепроницаема преграда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НЗР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най-късно при подновяване на удостоверението на плавателния съд за плаване по вътрешни водни пътища след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30.12.2029 г.</w:t>
            </w:r>
          </w:p>
        </w:tc>
      </w:tr>
      <w:tr>
        <w:trPr>
          <w:trHeight w:val="701" w:hRule="exact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8"/>
              </w:rPr>
              <w:t xml:space="preserve">Оборудване за безопасност зад ахтерпиковата преграда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НЗР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най-късно при подновяване на удостоверението на плавателния съд за плаване по вътрешни водни пътища след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30.12.2049 г.</w:t>
            </w:r>
          </w:p>
        </w:tc>
      </w:tr>
    </w:tbl>
    <w:p>
      <w:pPr>
        <w:framePr w:w="13906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sectPr>
      <w:pgSz w:w="16840" w:h="11900" w:orient="landscape"/>
      <w:pgMar w:top="1624" w:left="1407" w:right="1469" w:bottom="1624" w:header="0" w:footer="3" w:gutter="0"/>
      <w:rtlGutter w:val="0"/>
      <w:cols w:space="720"/>
      <w:noEndnote/>
      <w:docGrid w:linePitch="360"/>
    </w:sectPr>
  </w:body>
</w:document>
</file>

<file path=word/footer1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27.pt;margin-top:283.9pt;width:11.05pt;height:3.1pt;z-index:-188744064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9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1"/>
                  </w:rPr>
                  <w:t xml:space="preserve">***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</w:p>
  </w:footnote>
  <w:footnote w:id="1" w:type="continuationSeparator">
    <w:p>
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Times New Roman" w:eastAsia="Times New Roman" w:hAnsi="Times New Roman" w:cs="Times New Roman"/>
        <w:sz w:val="24"/>
        <w:szCs w:val="24"/>
        <w:lang w:val="bg-BG" w:eastAsia="en-US" w:bidi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bg-BG" w:eastAsia="en-US" w:bidi="en-US"/>
      <w:sz w:val="24"/>
      <w:szCs w:val="24"/>
      <w:rFonts w:ascii="Times New Roman" w:eastAsia="Times New Roman" w:hAnsi="Times New Roman" w:cs="Times New Roman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bg-BG" w:eastAsia="en-US" w:bidi="en-US"/>
      <w:sz w:val="24"/>
      <w:szCs w:val="24"/>
      <w:rFonts w:ascii="Times New Roman" w:eastAsia="Times New Roman" w:hAnsi="Times New Roman" w:cs="Times New Roman"/>
      <w:w w:val="100"/>
      <w:spacing w:val="0"/>
      <w:color w:val="000000"/>
      <w:position w:val="0"/>
    </w:rPr>
  </w:style>
  <w:style w:type="character" w:customStyle="1" w:styleId="CharStyle3">
    <w:name w:val="Heading #1_"/>
    <w:basedOn w:val="DefaultParagraphFont"/>
    <w:link w:val="Style2"/>
    <w:rPr>
      <w:b/>
      <w:bCs/>
      <w:i w:val="0"/>
      <w:iCs w:val="0"/>
      <w:u w:val="none"/>
      <w:strike w:val="0"/>
      <w:smallCaps w:val="0"/>
      <w:sz w:val="22"/>
      <w:szCs w:val="22"/>
      <w:rFonts w:ascii="Arial" w:eastAsia="Arial" w:hAnsi="Arial" w:cs="Arial"/>
    </w:rPr>
  </w:style>
  <w:style w:type="character" w:customStyle="1" w:styleId="CharStyle5">
    <w:name w:val="Heading #2_"/>
    <w:basedOn w:val="DefaultParagraphFont"/>
    <w:link w:val="Style4"/>
    <w:rPr>
      <w:b w:val="0"/>
      <w:bCs w:val="0"/>
      <w:i w:val="0"/>
      <w:iCs w:val="0"/>
      <w:u w:val="none"/>
      <w:strike w:val="0"/>
      <w:smallCaps w:val="0"/>
      <w:sz w:val="20"/>
      <w:szCs w:val="20"/>
      <w:rFonts w:ascii="Arial" w:eastAsia="Arial" w:hAnsi="Arial" w:cs="Arial"/>
    </w:rPr>
  </w:style>
  <w:style w:type="character" w:customStyle="1" w:styleId="CharStyle7">
    <w:name w:val="Body text (2)_"/>
    <w:basedOn w:val="DefaultParagraphFont"/>
    <w:link w:val="Style6"/>
    <w:rPr>
      <w:b w:val="0"/>
      <w:bCs w:val="0"/>
      <w:i w:val="0"/>
      <w:iCs w:val="0"/>
      <w:u w:val="none"/>
      <w:strike w:val="0"/>
      <w:smallCaps w:val="0"/>
      <w:sz w:val="20"/>
      <w:szCs w:val="20"/>
    </w:rPr>
  </w:style>
  <w:style w:type="character" w:customStyle="1" w:styleId="CharStyle8">
    <w:name w:val="Body text (2) + Arial,7.5 pt"/>
    <w:basedOn w:val="CharStyle7"/>
    <w:rPr>
      <w:lang w:val="bg-BG" w:eastAsia="en-US" w:bidi="en-US"/>
      <w:sz w:val="15"/>
      <w:szCs w:val="15"/>
      <w:rFonts w:ascii="Arial" w:eastAsia="Arial" w:hAnsi="Arial" w:cs="Arial"/>
      <w:w w:val="100"/>
      <w:spacing w:val="0"/>
      <w:color w:val="000000"/>
      <w:position w:val="0"/>
    </w:rPr>
  </w:style>
  <w:style w:type="character" w:customStyle="1" w:styleId="CharStyle10">
    <w:name w:val="Header or footer_"/>
    <w:basedOn w:val="DefaultParagraphFont"/>
    <w:link w:val="Style9"/>
    <w:rPr>
      <w:b w:val="0"/>
      <w:bCs w:val="0"/>
      <w:i w:val="0"/>
      <w:iCs w:val="0"/>
      <w:u w:val="none"/>
      <w:strike w:val="0"/>
      <w:smallCaps w:val="0"/>
      <w:sz w:val="8"/>
      <w:szCs w:val="8"/>
      <w:rFonts w:ascii="Arial" w:eastAsia="Arial" w:hAnsi="Arial" w:cs="Arial"/>
    </w:rPr>
  </w:style>
  <w:style w:type="character" w:customStyle="1" w:styleId="CharStyle11">
    <w:name w:val="Header or footer"/>
    <w:basedOn w:val="CharStyle10"/>
    <w:rPr>
      <w:lang w:val="bg-BG" w:eastAsia="en-US" w:bidi="en-US"/>
      <w:w w:val="100"/>
      <w:spacing w:val="0"/>
      <w:color w:val="000000"/>
      <w:position w:val="0"/>
    </w:rPr>
  </w:style>
  <w:style w:type="paragraph" w:customStyle="1" w:styleId="Style2">
    <w:name w:val="Heading #1"/>
    <w:basedOn w:val="Normal"/>
    <w:link w:val="CharStyle3"/>
    <w:pPr>
      <w:widowControl w:val="0"/>
      <w:shd w:val="clear" w:color="auto" w:fill="FFFFFF"/>
      <w:jc w:val="center"/>
      <w:outlineLvl w:val="0"/>
      <w:spacing w:after="500" w:line="250" w:lineRule="exact"/>
    </w:pPr>
    <w:rPr>
      <w:b/>
      <w:bCs/>
      <w:i w:val="0"/>
      <w:iCs w:val="0"/>
      <w:u w:val="none"/>
      <w:strike w:val="0"/>
      <w:smallCaps w:val="0"/>
      <w:sz w:val="22"/>
      <w:szCs w:val="22"/>
      <w:rFonts w:ascii="Arial" w:eastAsia="Arial" w:hAnsi="Arial" w:cs="Arial"/>
    </w:rPr>
  </w:style>
  <w:style w:type="paragraph" w:customStyle="1" w:styleId="Style4">
    <w:name w:val="Heading #2"/>
    <w:basedOn w:val="Normal"/>
    <w:link w:val="CharStyle5"/>
    <w:pPr>
      <w:widowControl w:val="0"/>
      <w:shd w:val="clear" w:color="auto" w:fill="FFFFFF"/>
      <w:outlineLvl w:val="1"/>
      <w:spacing w:before="500" w:after="500" w:line="224" w:lineRule="exact"/>
    </w:pPr>
    <w:rPr>
      <w:b w:val="0"/>
      <w:bCs w:val="0"/>
      <w:i w:val="0"/>
      <w:iCs w:val="0"/>
      <w:u w:val="none"/>
      <w:strike w:val="0"/>
      <w:smallCaps w:val="0"/>
      <w:sz w:val="20"/>
      <w:szCs w:val="20"/>
      <w:rFonts w:ascii="Arial" w:eastAsia="Arial" w:hAnsi="Arial" w:cs="Arial"/>
    </w:rPr>
  </w:style>
  <w:style w:type="paragraph" w:customStyle="1" w:styleId="Style6">
    <w:name w:val="Body text (2)"/>
    <w:basedOn w:val="Normal"/>
    <w:link w:val="CharStyle7"/>
    <w:pPr>
      <w:widowControl w:val="0"/>
      <w:shd w:val="clear" w:color="auto" w:fill="FFFFFF"/>
    </w:pPr>
    <w:rPr>
      <w:b w:val="0"/>
      <w:bCs w:val="0"/>
      <w:i w:val="0"/>
      <w:iCs w:val="0"/>
      <w:u w:val="none"/>
      <w:strike w:val="0"/>
      <w:smallCaps w:val="0"/>
      <w:sz w:val="20"/>
      <w:szCs w:val="20"/>
    </w:rPr>
  </w:style>
  <w:style w:type="paragraph" w:customStyle="1" w:styleId="Style9">
    <w:name w:val="Header or footer"/>
    <w:basedOn w:val="Normal"/>
    <w:link w:val="CharStyle10"/>
    <w:pPr>
      <w:widowControl w:val="0"/>
      <w:shd w:val="clear" w:color="auto" w:fill="FFFFFF"/>
      <w:spacing w:line="90" w:lineRule="exact"/>
    </w:pPr>
    <w:rPr>
      <w:b w:val="0"/>
      <w:bCs w:val="0"/>
      <w:i w:val="0"/>
      <w:iCs w:val="0"/>
      <w:u w:val="none"/>
      <w:strike w:val="0"/>
      <w:smallCaps w:val="0"/>
      <w:sz w:val="8"/>
      <w:szCs w:val="8"/>
      <w:rFonts w:ascii="Arial" w:eastAsia="Arial" w:hAnsi="Arial" w:cs="Arial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</file>

<file path=docProps/core.xml><?xml version="1.0" encoding="utf-8"?>
<cp:coreProperties xmlns:cp="http://schemas.openxmlformats.org/package/2006/metadata/core-properties" xmlns:dc="http://purl.org/dc/elements/1.1/">
  <dc:title/>
  <dc:subject/>
  <dc:creator>CCNR</dc:creator>
  <cp:keywords/>
</cp:coreProperties>
</file>